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_rels/footnotes.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[2017-10-28]</w:t>
        <w:br/>
        <w:t xml:space="preserve">Lizenz: Copyright (C) 2009-2017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Im </w:t>
      </w:r>
      <w:r>
        <w:rPr>
          <w:color w:val="808080"/>
        </w:rPr>
        <w:t>(nach/vor dem)</w:t>
      </w:r>
      <w:r>
        <w:rPr/>
        <w:t xml:space="preserve"> Anfang von Gottes Schöpfung </w:t>
      </w:r>
      <w:r>
        <w:rPr>
          <w:color w:val="808080"/>
        </w:rPr>
        <w:t>(Teilung?</w:t>
      </w:r>
      <w:r>
        <w:rPr/>
        <w:t xml:space="preserve"> </w:t>
      </w:r>
      <w:r>
        <w:rPr>
          <w:rStyle w:val="Funotenanker"/>
        </w:rPr>
        <w:footnoteReference w:customMarkFollows="1" w:id="3"/>
        <w:t>a</w:t>
      </w:r>
      <w:r>
        <w:rPr/>
        <w:t xml:space="preserve"> </w:t>
      </w:r>
      <w:r>
        <w:rPr>
          <w:color w:val="808080"/>
        </w:rPr>
        <w:t>)</w:t>
      </w:r>
      <w:r>
        <w:rPr/>
        <w:t xml:space="preserve"> von Himmel und Erde </w:t>
      </w:r>
      <w:r>
        <w:rPr>
          <w:color w:val="808080"/>
        </w:rPr>
        <w:t>(der Welt)</w:t>
      </w:r>
      <w:r>
        <w:rPr/>
        <w:t xml:space="preserve"> </w:t>
      </w:r>
      <w:r>
        <w:rPr>
          <w:rStyle w:val="Funotenanker"/>
        </w:rPr>
        <w:footnoteReference w:customMarkFollows="1" w:id="4"/>
        <w:t>b</w:t>
      </w:r>
      <w:r>
        <w:rPr/>
        <w:t xml:space="preserve"> </w:t>
      </w:r>
      <w:r>
        <w:rPr>
          <w:rStyle w:val="Funotenanker"/>
        </w:rPr>
        <w:footnoteReference w:customMarkFollows="1" w:id="5"/>
        <w:t>c</w:t>
      </w:r>
      <w:r>
        <w:rPr/>
        <w:t xml:space="preserve"> {{field-off:bible}}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nicht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über der Oberfläche </w:t>
      </w:r>
      <w:r>
        <w:rPr>
          <w:color w:val="808080"/>
        </w:rPr>
        <w:t>(dem Gesicht)</w:t>
      </w:r>
      <w:r>
        <w:rPr/>
        <w:t xml:space="preserve"> der Tiefe </w:t>
      </w:r>
      <w:r>
        <w:rPr>
          <w:color w:val="808080"/>
        </w:rPr>
        <w:t>(Urtiefe,</w:t>
      </w:r>
      <w:r>
        <w:rPr/>
        <w:t xml:space="preserve"> </w:t>
      </w:r>
      <w:r>
        <w:rPr>
          <w:rStyle w:val="Funotenanker"/>
        </w:rPr>
        <w:footnoteReference w:customMarkFollows="1" w:id="8"/>
        <w:t>f</w:t>
      </w:r>
      <w:r>
        <w:rPr/>
        <w:t xml:space="preserve"> </w:t>
      </w:r>
      <w:r>
        <w:rPr>
          <w:color w:val="808080"/>
        </w:rPr>
        <w:t>Wasser)</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die Helligkeit </w:t>
      </w:r>
      <w:r>
        <w:rPr>
          <w:color w:val="808080"/>
        </w:rPr>
        <w:t>(das Licht)</w:t>
      </w:r>
      <w:r>
        <w:rPr/>
        <w:t xml:space="preserve"> „Tag“, die Finsternis </w:t>
      </w:r>
      <w:r>
        <w:rPr>
          <w:color w:val="808080"/>
        </w:rPr>
        <w:t>(Dunkelheit)</w:t>
      </w:r>
      <w:r>
        <w:rPr/>
        <w:t xml:space="preserve"> aber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4"/>
        <w:t>l</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5"/>
        <w:t>m</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w:t>
      </w:r>
      <w:r>
        <w:rPr>
          <w:b/>
          <w:color w:val="808080"/>
        </w:rPr>
        <w:t>]</w:t>
      </w:r>
      <w:r>
        <w:rPr/>
        <w:t xml:space="preserve"> </w:t>
      </w:r>
      <w:r>
        <w:rPr>
          <w:rStyle w:val="Funotenanker"/>
        </w:rPr>
        <w:footnoteReference w:customMarkFollows="1" w:id="16"/>
        <w:t>n</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17"/>
        <w:t>o</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sammeln </w:t>
      </w:r>
      <w:r>
        <w:rPr>
          <w:color w:val="808080"/>
        </w:rPr>
        <w:t>(gesammelt werden)</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18"/>
        <w:t>p</w:t>
      </w:r>
      <w:r>
        <w:rPr/>
        <w:t xml:space="preserve"> Samen tragendes Getreide </w:t>
      </w:r>
      <w:r>
        <w:rPr>
          <w:color w:val="808080"/>
        </w:rPr>
        <w:t>(Pflanzen)</w:t>
      </w:r>
      <w:r>
        <w:rPr/>
        <w:t xml:space="preserve"> </w:t>
      </w:r>
      <w:r>
        <w:rPr>
          <w:rStyle w:val="Funotenanker"/>
        </w:rPr>
        <w:footnoteReference w:customMarkFollows="1" w:id="19"/>
        <w:t>q</w:t>
      </w:r>
      <w:r>
        <w:rPr/>
        <w:t xml:space="preserve"> und </w:t>
      </w:r>
      <w:r>
        <w:rPr>
          <w:rStyle w:val="Funotenanker"/>
        </w:rPr>
        <w:footnoteReference w:customMarkFollows="1" w:id="20"/>
        <w:t>r</w:t>
      </w:r>
      <w:r>
        <w:rPr/>
        <w:t xml:space="preserve"> verschiedenste Arten von</w:t>
      </w:r>
      <w:r>
        <w:rPr>
          <w:rStyle w:val="Funotenanker"/>
        </w:rPr>
        <w:footnoteReference w:customMarkFollows="1" w:id="21"/>
        <w:t>s</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2"/>
        <w:t>t</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3"/>
        <w:t>u</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24"/>
        <w:t>v</w:t>
      </w:r>
      <w:r>
        <w:rPr/>
        <w:t xml:space="preserve"> Festzeiten </w:t>
      </w:r>
      <w:r>
        <w:rPr>
          <w:color w:val="808080"/>
        </w:rPr>
        <w:t>(Jahreszeiten)</w:t>
      </w:r>
      <w:r>
        <w:rPr/>
        <w:t xml:space="preserve"> </w:t>
      </w:r>
      <w:r>
        <w:rPr>
          <w:rStyle w:val="Funotenanker"/>
        </w:rPr>
        <w:footnoteReference w:customMarkFollows="1" w:id="25"/>
        <w:t>w</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26"/>
        <w:t>x</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27"/>
        <w:t>y</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28"/>
        <w:t>z</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29"/>
        <w:t>aa</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0"/>
        <w:t>ab</w:t>
      </w:r>
      <w:r>
        <w:rPr/>
        <w:t xml:space="preserve"> sollen über der Erde unter </w:t>
      </w:r>
      <w:r>
        <w:rPr>
          <w:color w:val="808080"/>
        </w:rPr>
        <w:t>(an)</w:t>
      </w:r>
      <w:r>
        <w:rPr/>
        <w:t xml:space="preserve"> </w:t>
      </w:r>
      <w:r>
        <w:rPr>
          <w:rStyle w:val="Funotenanker"/>
        </w:rPr>
        <w:footnoteReference w:customMarkFollows="1" w:id="31"/>
        <w:t>ac</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2"/>
        <w:t>ad</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3"/>
        <w:t>ae</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34"/>
        <w:t>af</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35"/>
        <w:t>ag</w:t>
      </w:r>
      <w:r>
        <w:rPr/>
        <w:t xml:space="preserve">: „Seid fruchtbar und vermehrt euch </w:t>
      </w:r>
      <w:r>
        <w:rPr>
          <w:color w:val="808080"/>
        </w:rPr>
        <w:t>(werdet zahlreich)</w:t>
      </w:r>
      <w:r>
        <w:rPr/>
        <w:t xml:space="preserve"> </w:t>
      </w:r>
      <w:r>
        <w:rPr>
          <w:rStyle w:val="Funotenanker"/>
        </w:rPr>
        <w:footnoteReference w:customMarkFollows="1" w:id="36"/>
        <w:t>ah</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37"/>
        <w:t>ai</w:t>
      </w:r>
      <w:r>
        <w:rPr/>
        <w:t xml:space="preserve"> und wilden Tieren</w:t>
      </w:r>
      <w:r>
        <w:rPr>
          <w:rStyle w:val="Funotenanker"/>
        </w:rPr>
        <w:footnoteReference w:customMarkFollows="1" w:id="38"/>
        <w:t>aj</w:t>
      </w:r>
      <w:r>
        <w:rPr/>
        <w:t xml:space="preserve"> </w:t>
      </w:r>
      <w:r>
        <w:rPr>
          <w:color w:val="808080"/>
        </w:rPr>
        <w:t>(Tieren des Feldes)</w:t>
      </w:r>
      <w:r>
        <w:rPr/>
        <w:t>.</w:t>
      </w:r>
      <w:r>
        <w:rPr>
          <w:rStyle w:val="Funotenanker"/>
        </w:rPr>
        <w:footnoteReference w:customMarkFollows="1" w:id="39"/>
        <w:t>ak</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0"/>
        <w:t>al</w:t>
      </w:r>
      <w:r>
        <w:rPr/>
        <w:t xml:space="preserve"> Menschen </w:t>
      </w:r>
      <w:r>
        <w:rPr>
          <w:color w:val="808080"/>
        </w:rPr>
        <w:t>(die Menschheit, Adam)</w:t>
      </w:r>
      <w:r>
        <w:rPr/>
        <w:t xml:space="preserve"> </w:t>
      </w:r>
      <w:r>
        <w:rPr>
          <w:rStyle w:val="Funotenanker"/>
        </w:rPr>
        <w:footnoteReference w:customMarkFollows="1" w:id="41"/>
        <w:t>am</w:t>
      </w:r>
      <w:r>
        <w:rPr/>
        <w:t xml:space="preserve"> als mir </w:t>
      </w:r>
      <w:r>
        <w:rPr>
          <w:color w:val="808080"/>
        </w:rPr>
        <w:t>(uns)</w:t>
      </w:r>
      <w:r>
        <w:rPr/>
        <w:t xml:space="preserve"> ähnliches</w:t>
      </w:r>
      <w:r>
        <w:rPr>
          <w:rStyle w:val="Funotenanker"/>
        </w:rPr>
        <w:footnoteReference w:customMarkFollows="1" w:id="42"/>
        <w:t>an</w:t>
      </w:r>
      <w:r>
        <w:rPr/>
        <w:t xml:space="preserve"> Bildnis </w:t>
      </w:r>
      <w:r>
        <w:rPr>
          <w:color w:val="808080"/>
        </w:rPr>
        <w:t>(Stellvertreter, Widerpart)</w:t>
      </w:r>
      <w:r>
        <w:rPr/>
        <w:t xml:space="preserve"> </w:t>
      </w:r>
      <w:r>
        <w:rPr>
          <w:rStyle w:val="Funotenanker"/>
        </w:rPr>
        <w:footnoteReference w:customMarkFollows="1" w:id="43"/>
        <w:t>ao</w:t>
      </w:r>
      <w:r>
        <w:rPr/>
        <w:t xml:space="preserve"> machen! </w:t>
      </w:r>
      <w:r>
        <w:rPr>
          <w:color w:val="808080"/>
        </w:rPr>
        <w:t>(Damit)</w:t>
      </w:r>
      <w:r>
        <w:rPr/>
        <w:t xml:space="preserve"> </w:t>
      </w:r>
      <w:r>
        <w:rPr>
          <w:rStyle w:val="Funotenanker"/>
        </w:rPr>
        <w:footnoteReference w:customMarkFollows="1" w:id="44"/>
        <w:t>ap</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45"/>
        <w:t>aq</w:t>
      </w:r>
      <w:r>
        <w:rPr/>
        <w:t xml:space="preserve"> und über das Vieh und über die ganze Erde </w:t>
      </w:r>
      <w:r>
        <w:rPr>
          <w:color w:val="808080"/>
        </w:rPr>
        <w:t>(alle wilden Tiere)</w:t>
      </w:r>
      <w:r>
        <w:rPr/>
        <w:t xml:space="preserve"> </w:t>
      </w:r>
      <w:r>
        <w:rPr>
          <w:rStyle w:val="Funotenanker"/>
        </w:rPr>
        <w:footnoteReference w:customMarkFollows="1" w:id="46"/>
        <w:t>ar</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47"/>
        <w:t>as</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48"/>
        <w:t>at</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49"/>
        <w:t>au</w:t>
      </w:r>
      <w:r>
        <w:rPr/>
        <w:t xml:space="preserve"> schuf er sie.</w:t>
      </w:r>
      <w:r>
        <w:rPr>
          <w:rStyle w:val="Funotenanker"/>
        </w:rPr>
        <w:footnoteReference w:customMarkFollows="1" w:id="50"/>
        <w:t>av</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1"/>
        <w:t>aw</w:t>
      </w:r>
      <w:r>
        <w:rPr/>
        <w:t xml:space="preserve">; füllt die Erde, unterwerft sie und herrscht über </w:t>
      </w:r>
      <w:r>
        <w:rPr>
          <w:color w:val="808080"/>
        </w:rPr>
        <w:t>(unterjocht, macht euch Untertan)</w:t>
      </w:r>
      <w:r>
        <w:rPr/>
        <w:t xml:space="preserve"> </w:t>
      </w:r>
      <w:r>
        <w:rPr>
          <w:rStyle w:val="Funotenanker"/>
        </w:rPr>
        <w:footnoteReference w:customMarkFollows="1" w:id="52"/>
        <w:t>ax</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3"/>
        <w:t>ay</w:t>
      </w:r>
      <w:r>
        <w:rPr/>
        <w:t xml:space="preserve"> euch alles Samen tragende Getreide</w:t>
      </w:r>
      <w:r>
        <w:rPr>
          <w:rStyle w:val="Funotenanker"/>
        </w:rPr>
        <w:footnoteReference w:customMarkFollows="1" w:id="54"/>
        <w:t>az</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55"/>
        <w:t>ba</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56"/>
        <w:t>bb</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57"/>
        <w:t>bc</w:t>
      </w:r>
      <w:r>
        <w:rPr/>
        <w:t xml:space="preserve"> alle Pflanzen </w:t>
      </w:r>
      <w:r>
        <w:rPr>
          <w:color w:val="808080"/>
        </w:rPr>
        <w:t>(Getreide?)</w:t>
      </w:r>
      <w:r>
        <w:rPr/>
        <w:t xml:space="preserve"> </w:t>
      </w:r>
      <w:r>
        <w:rPr>
          <w:rStyle w:val="Funotenanker"/>
        </w:rPr>
        <w:footnoteReference w:customMarkFollows="1" w:id="58"/>
        <w:t>bd</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59"/>
        <w:t>be</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0"/>
        <w:t>bf</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1"/>
        <w:t>Status</w:t>
      </w:r>
      <w:r>
        <w:rPr/>
        <w:t xml:space="preserve"> </w:t>
      </w:r>
      <w:r>
        <w:rPr>
          <w:color w:val="808080"/>
        </w:rPr>
        <w:t>(So)</w:t>
      </w:r>
      <w:r>
        <w:rPr/>
        <w:t xml:space="preserve"> </w:t>
      </w:r>
      <w:r>
        <w:rPr>
          <w:rStyle w:val="Funotenanker"/>
        </w:rPr>
        <w:footnoteReference w:customMarkFollows="1" w:id="62"/>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3"/>
        <w:t>b</w:t>
      </w:r>
      <w:r>
        <w:rPr/>
        <w:t xml:space="preserve"> und ihr ganzes Heer </w:t>
      </w:r>
      <w:r>
        <w:rPr>
          <w:color w:val="808080"/>
        </w:rPr>
        <w:t>(alles darauf und darin)</w:t>
      </w:r>
      <w:r>
        <w:rPr/>
        <w:t xml:space="preserve"> </w:t>
      </w:r>
      <w:r>
        <w:rPr>
          <w:rStyle w:val="Funotenanker"/>
        </w:rPr>
        <w:footnoteReference w:customMarkFollows="1" w:id="64"/>
        <w:t>c</w:t>
      </w:r>
      <w:r>
        <w:rPr/>
        <w:t xml:space="preserve">,{{field-off:bible}} </w:t>
        <w:br/>
        <w:t>[[@BibleTOBIBLE:Ge 2:2]]</w:t>
      </w:r>
      <w:r>
        <w:rPr>
          <w:b/>
        </w:rPr>
        <w:t>2</w:t>
      </w:r>
      <w:r>
        <w:rPr/>
        <w:t xml:space="preserve"> {{field-on:bible}}Darum</w:t>
      </w:r>
      <w:r>
        <w:rPr>
          <w:rStyle w:val="Funotenanker"/>
        </w:rPr>
        <w:footnoteReference w:customMarkFollows="1" w:id="65"/>
        <w:t>d</w:t>
      </w:r>
      <w:r>
        <w:rPr/>
        <w:t xml:space="preserve"> erklärte </w:t>
      </w:r>
      <w:r>
        <w:rPr>
          <w:color w:val="808080"/>
        </w:rPr>
        <w:t>(erachtete als)</w:t>
      </w:r>
      <w:r>
        <w:rPr/>
        <w:t xml:space="preserve"> </w:t>
      </w:r>
      <w:r>
        <w:rPr>
          <w:rStyle w:val="Funotenanker"/>
        </w:rPr>
        <w:footnoteReference w:customMarkFollows="1" w:id="66"/>
        <w:t>e</w:t>
      </w:r>
      <w:r>
        <w:rPr/>
        <w:t>Gott am siebten Tag</w:t>
      </w:r>
      <w:r>
        <w:rPr>
          <w:rStyle w:val="Funotenanker"/>
        </w:rPr>
        <w:footnoteReference w:customMarkFollows="1" w:id="67"/>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68"/>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69"/>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0"/>
        <w:t>i</w:t>
      </w:r>
      <w:r>
        <w:rPr/>
        <w:t xml:space="preserve"> geschaffen hatte, geruht hatte</w:t>
      </w:r>
      <w:r>
        <w:rPr>
          <w:rStyle w:val="Funotenanker"/>
        </w:rPr>
        <w:footnoteReference w:customMarkFollows="1" w:id="71"/>
        <w:t>j</w:t>
      </w:r>
      <w:r>
        <w:rPr/>
        <w:t>.</w:t>
      </w:r>
      <w:r>
        <w:rPr>
          <w:rStyle w:val="Funotenanker"/>
        </w:rPr>
        <w:footnoteReference w:customMarkFollows="1" w:id="72"/>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3"/>
        <w:t>l</w:t>
      </w:r>
      <w:r>
        <w:rPr/>
        <w:t xml:space="preserve"> </w:t>
      </w:r>
      <w:r>
        <w:rPr>
          <w:rStyle w:val="Funotenanker"/>
        </w:rPr>
        <w:footnoteReference w:customMarkFollows="1" w:id="74"/>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75"/>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76"/>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77"/>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78"/>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79"/>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0"/>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1"/>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2"/>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3"/>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84"/>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85"/>
        <w:t>x</w:t>
      </w:r>
      <w:r>
        <w:rPr/>
        <w:t xml:space="preserve"> sich nicht vor einander</w:t>
      </w:r>
      <w:r>
        <w:rPr>
          <w:rStyle w:val="Funotenanker"/>
        </w:rPr>
        <w:footnoteReference w:customMarkFollows="1" w:id="86"/>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87"/>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88"/>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89"/>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0"/>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1"/>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2"/>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3"/>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94"/>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95"/>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96"/>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97"/>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98"/>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99"/>
        <w:t>c</w:t>
      </w:r>
      <w:r>
        <w:rPr/>
        <w:t xml:space="preserve"> Gopherbäumen</w:t>
      </w:r>
      <w:r>
        <w:rPr>
          <w:rStyle w:val="Funotenanker"/>
        </w:rPr>
        <w:footnoteReference w:customMarkFollows="1" w:id="100"/>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1"/>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2"/>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3"/>
        <w:t>g</w:t>
      </w:r>
      <w:r>
        <w:rPr/>
        <w:t xml:space="preserve"> {{field-off:bible}} </w:t>
        <w:br/>
        <w:t>[[@BibleTOBIBLE:Ge 6:17]]</w:t>
      </w:r>
      <w:r>
        <w:rPr>
          <w:b/>
        </w:rPr>
        <w:t>17</w:t>
      </w:r>
      <w:r>
        <w:rPr/>
        <w:t xml:space="preserve"> {{field-on:bible}}Und ich, siehe ich bin im Begriff</w:t>
      </w:r>
      <w:r>
        <w:rPr>
          <w:rStyle w:val="Funotenanker"/>
        </w:rPr>
        <w:footnoteReference w:customMarkFollows="1" w:id="104"/>
        <w:t>h</w:t>
      </w:r>
      <w:r>
        <w:rPr/>
        <w:t xml:space="preserve"> den Himmelsozean</w:t>
      </w:r>
      <w:r>
        <w:rPr>
          <w:rStyle w:val="Funotenanker"/>
        </w:rPr>
        <w:footnoteReference w:customMarkFollows="1" w:id="105"/>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06"/>
        <w:t>j</w:t>
      </w:r>
      <w:r>
        <w:rPr/>
        <w:t>, dass</w:t>
      </w:r>
      <w:r>
        <w:rPr>
          <w:rStyle w:val="Funotenanker"/>
        </w:rPr>
        <w:footnoteReference w:customMarkFollows="1" w:id="107"/>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08"/>
        <w:t>l</w:t>
      </w:r>
      <w:r>
        <w:rPr/>
        <w:t xml:space="preserve"> nach ihren Arten und von allen Landtieren</w:t>
      </w:r>
      <w:r>
        <w:rPr>
          <w:rStyle w:val="Funotenanker"/>
        </w:rPr>
        <w:footnoteReference w:customMarkFollows="1" w:id="109"/>
        <w:t>m</w:t>
      </w:r>
      <w:r>
        <w:rPr/>
        <w:t xml:space="preserve"> nach ihren Arten, von allem Kriechgetier</w:t>
      </w:r>
      <w:r>
        <w:rPr>
          <w:rStyle w:val="Funotenanker"/>
        </w:rPr>
        <w:footnoteReference w:customMarkFollows="1" w:id="110"/>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1"/>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2"/>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3"/>
        <w:t>b</w:t>
      </w:r>
      <w:r>
        <w:rPr/>
        <w:t>, und das Wasser wurde viel und hob den Kasten an, und er erhob sich von der Erde</w:t>
      </w:r>
      <w:r>
        <w:rPr>
          <w:rStyle w:val="Funotenanker"/>
        </w:rPr>
        <w:footnoteReference w:customMarkFollows="1" w:id="114"/>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15"/>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16"/>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17"/>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18"/>
        <w:t>Status</w:t>
      </w:r>
      <w:r>
        <w:rPr/>
        <w:t xml:space="preserve"> Und Gott gedachte an</w:t>
      </w:r>
      <w:r>
        <w:rPr>
          <w:rStyle w:val="Funotenanker"/>
        </w:rPr>
        <w:footnoteReference w:customMarkFollows="1" w:id="119"/>
        <w:t>a</w:t>
      </w:r>
      <w:r>
        <w:rPr/>
        <w:t xml:space="preserve"> Noach und alle Tiere </w:t>
      </w:r>
      <w:r>
        <w:rPr>
          <w:color w:val="808080"/>
        </w:rPr>
        <w:t>(Lebewesen)</w:t>
      </w:r>
      <w:r>
        <w:rPr/>
        <w:t xml:space="preserve"> und alles Vieh</w:t>
      </w:r>
      <w:r>
        <w:rPr>
          <w:rStyle w:val="Funotenanker"/>
        </w:rPr>
        <w:footnoteReference w:customMarkFollows="1" w:id="120"/>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1"/>
        <w:t>c</w:t>
      </w:r>
      <w:r>
        <w:rPr/>
        <w:t xml:space="preserve"> das Wasser sinke.{{field-off:bible}} </w:t>
        <w:br/>
        <w:t>[[@BibleTOBIBLE:Ge 8:2]]</w:t>
      </w:r>
      <w:r>
        <w:rPr>
          <w:b/>
        </w:rPr>
        <w:t>2</w:t>
      </w:r>
      <w:r>
        <w:rPr/>
        <w:t xml:space="preserve"> {{field-on:bible}}Da schlossen sich</w:t>
      </w:r>
      <w:r>
        <w:rPr>
          <w:rStyle w:val="Funotenanker"/>
        </w:rPr>
        <w:footnoteReference w:customMarkFollows="1" w:id="122"/>
        <w:t>d</w:t>
      </w:r>
      <w:r>
        <w:rPr/>
        <w:t xml:space="preserve"> </w:t>
      </w:r>
      <w:r>
        <w:rPr>
          <w:color w:val="808080"/>
        </w:rPr>
        <w:t>(wurden verschlossen)</w:t>
      </w:r>
      <w:r>
        <w:rPr/>
        <w:t xml:space="preserve"> die Quellen des Weltozeans</w:t>
      </w:r>
      <w:r>
        <w:rPr>
          <w:rStyle w:val="Funotenanker"/>
        </w:rPr>
        <w:footnoteReference w:customMarkFollows="1" w:id="123"/>
        <w:t>e</w:t>
      </w:r>
      <w:r>
        <w:rPr/>
        <w:t xml:space="preserve"> und die Luken</w:t>
      </w:r>
      <w:r>
        <w:rPr>
          <w:rStyle w:val="Funotenanker"/>
        </w:rPr>
        <w:footnoteReference w:customMarkFollows="1" w:id="124"/>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25"/>
        <w:t>g</w:t>
      </w:r>
      <w:r>
        <w:rPr/>
        <w:t xml:space="preserve"> allmählich</w:t>
      </w:r>
      <w:r>
        <w:rPr>
          <w:rStyle w:val="Funotenanker"/>
        </w:rPr>
        <w:footnoteReference w:customMarkFollows="1" w:id="126"/>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27"/>
        <w:t>i</w:t>
      </w:r>
      <w:r>
        <w:rPr/>
        <w:t xml:space="preserve"> Ararat.{{field-off:bible}} </w:t>
        <w:br/>
        <w:t>[[@BibleTOBIBLE:Ge 8:5]]</w:t>
      </w:r>
      <w:r>
        <w:rPr>
          <w:b/>
        </w:rPr>
        <w:t>5</w:t>
      </w:r>
      <w:r>
        <w:rPr/>
        <w:t xml:space="preserve"> {{field-on:bible}}Und die Wasser nahmen immer mehr ab</w:t>
      </w:r>
      <w:r>
        <w:rPr>
          <w:rStyle w:val="Funotenanker"/>
        </w:rPr>
        <w:footnoteReference w:customMarkFollows="1" w:id="128"/>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29"/>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0"/>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1"/>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2"/>
        <w:t>n</w:t>
      </w:r>
      <w:r>
        <w:rPr/>
        <w:t xml:space="preserve"> noch weitere sieben Tage, und erneut</w:t>
      </w:r>
      <w:r>
        <w:rPr>
          <w:rStyle w:val="Funotenanker"/>
        </w:rPr>
        <w:footnoteReference w:customMarkFollows="1" w:id="133"/>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34"/>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35"/>
        <w:t>q</w:t>
      </w:r>
      <w:r>
        <w:rPr/>
        <w:t xml:space="preserve">.{{field-off:bible}} </w:t>
        <w:br/>
        <w:t>[[@BibleTOBIBLE:Ge 8:13]]</w:t>
      </w:r>
      <w:r>
        <w:rPr>
          <w:b/>
        </w:rPr>
        <w:t>13</w:t>
      </w:r>
      <w:r>
        <w:rPr/>
        <w:t xml:space="preserve"> {{field-on:bible}}Es war im 601. Jahr</w:t>
      </w:r>
      <w:r>
        <w:rPr>
          <w:rStyle w:val="Funotenanker"/>
        </w:rPr>
        <w:footnoteReference w:customMarkFollows="1" w:id="136"/>
        <w:t>r</w:t>
      </w:r>
      <w:r>
        <w:rPr/>
        <w:t>, im ersten Monat, am ersten Tag des Monats, da trockneten die Wasser auf der Erde. Da nahm Noach die Plane</w:t>
      </w:r>
      <w:r>
        <w:rPr>
          <w:rStyle w:val="Funotenanker"/>
        </w:rPr>
        <w:footnoteReference w:customMarkFollows="1" w:id="137"/>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38"/>
        <w:t>t</w:t>
      </w:r>
      <w:r>
        <w:rPr/>
        <w:t xml:space="preserve"> lass herausgehen</w:t>
      </w:r>
      <w:r>
        <w:rPr>
          <w:rStyle w:val="Funotenanker"/>
        </w:rPr>
        <w:footnoteReference w:customMarkFollows="1" w:id="139"/>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0"/>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1"/>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2"/>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3"/>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44"/>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45"/>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46"/>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47"/>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48"/>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49"/>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0"/>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1"/>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2"/>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3"/>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54"/>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55"/>
        <w:t>Status</w:t>
      </w:r>
      <w:r>
        <w:rPr/>
        <w:t xml:space="preserve"> Und diese</w:t>
      </w:r>
      <w:r>
        <w:rPr>
          <w:rStyle w:val="Funotenanker"/>
        </w:rPr>
        <w:footnoteReference w:customMarkFollows="1" w:id="156"/>
        <w:t>a</w:t>
      </w:r>
      <w:r>
        <w:rPr/>
        <w:t xml:space="preserve"> </w:t>
      </w:r>
      <w:r>
        <w:rPr>
          <w:b/>
          <w:color w:val="808080"/>
        </w:rPr>
        <w:t>[</w:t>
      </w:r>
      <w:r>
        <w:rPr/>
        <w:t>sind</w:t>
      </w:r>
      <w:r>
        <w:rPr>
          <w:b/>
          <w:color w:val="808080"/>
        </w:rPr>
        <w:t>]</w:t>
      </w:r>
      <w:r>
        <w:rPr/>
        <w:t xml:space="preserve"> Genealogien</w:t>
      </w:r>
      <w:r>
        <w:rPr>
          <w:rStyle w:val="Funotenanker"/>
        </w:rPr>
        <w:footnoteReference w:customMarkFollows="1" w:id="157"/>
        <w:t>b</w:t>
      </w:r>
      <w:r>
        <w:rPr/>
        <w:t xml:space="preserve"> </w:t>
      </w:r>
      <w:r>
        <w:rPr>
          <w:b/>
          <w:color w:val="808080"/>
        </w:rPr>
        <w:t>[</w:t>
      </w:r>
      <w:r>
        <w:rPr/>
        <w:t>der</w:t>
      </w:r>
      <w:r>
        <w:rPr>
          <w:b/>
          <w:color w:val="808080"/>
        </w:rPr>
        <w:t>]</w:t>
      </w:r>
      <w:r>
        <w:rPr/>
        <w:t xml:space="preserve"> Söhne</w:t>
      </w:r>
      <w:r>
        <w:rPr>
          <w:rStyle w:val="Funotenanker"/>
        </w:rPr>
        <w:footnoteReference w:customMarkFollows="1" w:id="158"/>
        <w:t>c</w:t>
      </w:r>
      <w:r>
        <w:rPr/>
        <w:t xml:space="preserve"> Noachs Sem </w:t>
      </w:r>
      <w:r>
        <w:rPr>
          <w:rStyle w:val="Funotenanker"/>
        </w:rPr>
        <w:footnoteReference w:customMarkFollows="1" w:id="159"/>
        <w:t>d</w:t>
      </w:r>
      <w:r>
        <w:rPr/>
        <w:t>Ham und</w:t>
      </w:r>
      <w:r>
        <w:rPr>
          <w:rStyle w:val="Funotenanker"/>
        </w:rPr>
        <w:footnoteReference w:customMarkFollows="1" w:id="160"/>
        <w:t>e</w:t>
      </w:r>
      <w:r>
        <w:rPr/>
        <w:t xml:space="preserve"> Jafet und es wurden</w:t>
      </w:r>
      <w:r>
        <w:rPr>
          <w:rStyle w:val="Funotenanker"/>
        </w:rPr>
        <w:footnoteReference w:customMarkFollows="1" w:id="161"/>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2"/>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3"/>
        <w:t>h</w:t>
      </w:r>
      <w:r>
        <w:rPr/>
        <w:t xml:space="preserve"> und </w:t>
      </w:r>
      <w:r>
        <w:rPr>
          <w:b/>
          <w:color w:val="808080"/>
        </w:rPr>
        <w:t>[</w:t>
      </w:r>
      <w:r>
        <w:rPr/>
        <w:t>die</w:t>
      </w:r>
      <w:r>
        <w:rPr>
          <w:b/>
          <w:color w:val="808080"/>
        </w:rPr>
        <w:t>]</w:t>
      </w:r>
      <w:r>
        <w:rPr/>
        <w:t xml:space="preserve"> Dodaniter</w:t>
      </w:r>
      <w:r>
        <w:rPr>
          <w:rStyle w:val="Funotenanker"/>
        </w:rPr>
        <w:footnoteReference w:customMarkFollows="1" w:id="164"/>
        <w:t>i</w:t>
      </w:r>
      <w:r>
        <w:rPr/>
        <w:t xml:space="preserve"> </w:t>
      </w:r>
      <w:r>
        <w:rPr>
          <w:rStyle w:val="Funotenanker"/>
        </w:rPr>
        <w:footnoteReference w:customMarkFollows="1" w:id="165"/>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66"/>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67"/>
        <w:t>l</w:t>
      </w:r>
      <w:r>
        <w:rPr/>
        <w:t xml:space="preserve"> in ihre Länder</w:t>
      </w:r>
      <w:r>
        <w:rPr>
          <w:rStyle w:val="Funotenanker"/>
        </w:rPr>
        <w:footnoteReference w:customMarkFollows="1" w:id="168"/>
        <w:t>m</w:t>
      </w:r>
      <w:r>
        <w:rPr/>
        <w:t xml:space="preserve"> jedes </w:t>
      </w:r>
      <w:r>
        <w:rPr>
          <w:color w:val="808080"/>
        </w:rPr>
        <w:t>(jeder?)</w:t>
      </w:r>
      <w:r>
        <w:rPr/>
        <w:t xml:space="preserve"> nach seiner Sprache nach ihren Stammesverbänden</w:t>
      </w:r>
      <w:r>
        <w:rPr>
          <w:rStyle w:val="Funotenanker"/>
        </w:rPr>
        <w:footnoteReference w:customMarkFollows="1" w:id="169"/>
        <w:t>n</w:t>
      </w:r>
      <w:r>
        <w:rPr/>
        <w:t xml:space="preserve"> in ihrem Volk</w:t>
      </w:r>
      <w:r>
        <w:rPr>
          <w:rStyle w:val="Funotenanker"/>
        </w:rPr>
        <w:footnoteReference w:customMarkFollows="1" w:id="170"/>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1"/>
        <w:t>p</w:t>
      </w:r>
      <w:r>
        <w:rPr/>
        <w:t xml:space="preserve"> und Mizrajim</w:t>
      </w:r>
      <w:r>
        <w:rPr>
          <w:rStyle w:val="Funotenanker"/>
        </w:rPr>
        <w:footnoteReference w:customMarkFollows="1" w:id="172"/>
        <w:t>q</w:t>
      </w:r>
      <w:r>
        <w:rPr/>
        <w:t xml:space="preserve"> und</w:t>
      </w:r>
      <w:r>
        <w:rPr>
          <w:rStyle w:val="Funotenanker"/>
        </w:rPr>
        <w:footnoteReference w:customMarkFollows="1" w:id="173"/>
        <w:t>r</w:t>
      </w:r>
      <w:r>
        <w:rPr/>
        <w:t xml:space="preserve"> Put</w:t>
      </w:r>
      <w:r>
        <w:rPr>
          <w:rStyle w:val="Funotenanker"/>
        </w:rPr>
        <w:footnoteReference w:customMarkFollows="1" w:id="174"/>
        <w:t>s</w:t>
      </w:r>
      <w:r>
        <w:rPr/>
        <w:t xml:space="preserve"> und Kanaan</w:t>
      </w:r>
      <w:r>
        <w:rPr>
          <w:rStyle w:val="Funotenanker"/>
        </w:rPr>
        <w:footnoteReference w:customMarkFollows="1" w:id="175"/>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76"/>
        <w:t>u</w:t>
      </w:r>
      <w:r>
        <w:rPr/>
        <w:t xml:space="preserve"> </w:t>
      </w:r>
      <w:r>
        <w:rPr>
          <w:color w:val="808080"/>
        </w:rPr>
        <w:t>(hat)</w:t>
      </w:r>
      <w:r>
        <w:rPr/>
        <w:t xml:space="preserve"> gezeugt den</w:t>
      </w:r>
      <w:r>
        <w:rPr>
          <w:rStyle w:val="Funotenanker"/>
        </w:rPr>
        <w:footnoteReference w:customMarkFollows="1" w:id="177"/>
        <w:t>v</w:t>
      </w:r>
      <w:r>
        <w:rPr/>
        <w:t xml:space="preserve"> Nimrod jener</w:t>
      </w:r>
      <w:r>
        <w:rPr>
          <w:rStyle w:val="Funotenanker"/>
        </w:rPr>
        <w:footnoteReference w:customMarkFollows="1" w:id="178"/>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79"/>
        <w:t>x</w:t>
      </w:r>
      <w:r>
        <w:rPr/>
        <w:t xml:space="preserve"> Erde.{{field-off:bible}} </w:t>
        <w:br/>
        <w:t>[[@BibleTOBIBLE:Ge 10:9]]</w:t>
      </w:r>
      <w:r>
        <w:rPr>
          <w:b/>
        </w:rPr>
        <w:t>9</w:t>
      </w:r>
      <w:r>
        <w:rPr/>
        <w:t xml:space="preserve"> {{field-on:bible}}Jener war ein siegreicher Jäger vor</w:t>
      </w:r>
      <w:r>
        <w:rPr>
          <w:rStyle w:val="Funotenanker"/>
        </w:rPr>
        <w:footnoteReference w:customMarkFollows="1" w:id="180"/>
        <w:t>y</w:t>
      </w:r>
      <w:r>
        <w:rPr/>
        <w:t xml:space="preserve"> </w:t>
      </w:r>
      <w:r>
        <w:rPr>
          <w:b/>
          <w:color w:val="808080"/>
        </w:rPr>
        <w:t>[</w:t>
      </w:r>
      <w:r>
        <w:rPr/>
        <w:t>dem</w:t>
      </w:r>
      <w:r>
        <w:rPr>
          <w:b/>
          <w:color w:val="808080"/>
        </w:rPr>
        <w:t>]</w:t>
      </w:r>
      <w:r>
        <w:rPr/>
        <w:t xml:space="preserve"> Angesicht</w:t>
      </w:r>
      <w:r>
        <w:rPr>
          <w:rStyle w:val="Funotenanker"/>
        </w:rPr>
        <w:footnoteReference w:customMarkFollows="1" w:id="181"/>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2"/>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3"/>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84"/>
        <w:t>ac</w:t>
      </w:r>
      <w:r>
        <w:rPr/>
        <w:t xml:space="preserve"> Land war </w:t>
      </w:r>
      <w:r>
        <w:rPr>
          <w:b/>
          <w:color w:val="808080"/>
        </w:rPr>
        <w:t>[</w:t>
      </w:r>
      <w:r>
        <w:rPr/>
        <w:t>er?</w:t>
      </w:r>
      <w:r>
        <w:rPr>
          <w:b/>
          <w:color w:val="808080"/>
        </w:rPr>
        <w:t>]</w:t>
      </w:r>
      <w:r>
        <w:rPr/>
        <w:t xml:space="preserve"> </w:t>
      </w:r>
      <w:r>
        <w:rPr>
          <w:rStyle w:val="Funotenanker"/>
        </w:rPr>
        <w:footnoteReference w:customMarkFollows="1" w:id="185"/>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86"/>
        <w:t>ae</w:t>
      </w:r>
      <w:r>
        <w:rPr/>
        <w:t xml:space="preserve"> und er</w:t>
      </w:r>
      <w:r>
        <w:rPr>
          <w:rStyle w:val="Funotenanker"/>
        </w:rPr>
        <w:footnoteReference w:customMarkFollows="1" w:id="187"/>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88"/>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89"/>
        <w:t>ah</w:t>
      </w:r>
      <w:r>
        <w:rPr/>
        <w:t xml:space="preserve"> Stadt, die</w:t>
      </w:r>
      <w:r>
        <w:rPr>
          <w:rStyle w:val="Funotenanker"/>
        </w:rPr>
        <w:footnoteReference w:customMarkFollows="1" w:id="190"/>
        <w:t>ai</w:t>
      </w:r>
      <w:r>
        <w:rPr/>
        <w:t xml:space="preserve"> Große.{{field-off:bible}} </w:t>
        <w:br/>
        <w:t>[[@BibleTOBIBLE:Ge 10:13]]</w:t>
      </w:r>
      <w:r>
        <w:rPr>
          <w:b/>
        </w:rPr>
        <w:t>13</w:t>
      </w:r>
      <w:r>
        <w:rPr/>
        <w:t xml:space="preserve"> {{field-on:bible}}Und Mizrajim hat</w:t>
      </w:r>
      <w:r>
        <w:rPr>
          <w:rStyle w:val="Funotenanker"/>
        </w:rPr>
        <w:footnoteReference w:customMarkFollows="1" w:id="191"/>
        <w:t>aj</w:t>
      </w:r>
      <w:r>
        <w:rPr/>
        <w:t xml:space="preserve"> gezeugt die </w:t>
      </w:r>
      <w:r>
        <w:rPr>
          <w:rStyle w:val="Funotenanker"/>
        </w:rPr>
        <w:footnoteReference w:customMarkFollows="1" w:id="192"/>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3"/>
        <w:t>al</w:t>
      </w:r>
      <w:r>
        <w:rPr/>
        <w:t xml:space="preserve"> ausgegangen sind</w:t>
      </w:r>
      <w:r>
        <w:rPr>
          <w:rStyle w:val="Funotenanker"/>
        </w:rPr>
        <w:footnoteReference w:customMarkFollows="1" w:id="194"/>
        <w:t>am</w:t>
      </w:r>
      <w:r>
        <w:rPr/>
        <w:t xml:space="preserve"> von dort </w:t>
      </w:r>
      <w:r>
        <w:rPr>
          <w:b/>
          <w:color w:val="808080"/>
        </w:rPr>
        <w:t>[</w:t>
      </w:r>
      <w:r>
        <w:rPr/>
        <w:t>die</w:t>
      </w:r>
      <w:r>
        <w:rPr>
          <w:b/>
          <w:color w:val="808080"/>
        </w:rPr>
        <w:t>]</w:t>
      </w:r>
      <w:r>
        <w:rPr/>
        <w:t xml:space="preserve"> </w:t>
      </w:r>
      <w:r>
        <w:rPr>
          <w:rStyle w:val="Funotenanker"/>
        </w:rPr>
        <w:footnoteReference w:customMarkFollows="1" w:id="195"/>
        <w:t>an</w:t>
      </w:r>
      <w:r>
        <w:rPr/>
        <w:t xml:space="preserve"> </w:t>
      </w:r>
      <w:r>
        <w:rPr>
          <w:rStyle w:val="Funotenanker"/>
        </w:rPr>
        <w:footnoteReference w:customMarkFollows="1" w:id="196"/>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197"/>
        <w:t>ap</w:t>
      </w:r>
      <w:r>
        <w:rPr/>
        <w:t xml:space="preserve"> </w:t>
      </w:r>
      <w:r>
        <w:rPr>
          <w:rStyle w:val="Funotenanker"/>
        </w:rPr>
        <w:footnoteReference w:customMarkFollows="1" w:id="198"/>
        <w:t>aq</w:t>
      </w:r>
      <w:r>
        <w:rPr/>
        <w:t>Jebusiter und den</w:t>
      </w:r>
      <w:r>
        <w:rPr>
          <w:rStyle w:val="Funotenanker"/>
        </w:rPr>
        <w:footnoteReference w:customMarkFollows="1" w:id="199"/>
        <w:t>ar</w:t>
      </w:r>
      <w:r>
        <w:rPr/>
        <w:t xml:space="preserve"> </w:t>
      </w:r>
      <w:r>
        <w:rPr>
          <w:rStyle w:val="Funotenanker"/>
        </w:rPr>
        <w:footnoteReference w:customMarkFollows="1" w:id="200"/>
        <w:t>as</w:t>
      </w:r>
      <w:r>
        <w:rPr/>
        <w:t>Amoriter und den</w:t>
      </w:r>
      <w:r>
        <w:rPr>
          <w:rStyle w:val="Funotenanker"/>
        </w:rPr>
        <w:footnoteReference w:customMarkFollows="1" w:id="201"/>
        <w:t>at</w:t>
      </w:r>
      <w:r>
        <w:rPr/>
        <w:t xml:space="preserve"> </w:t>
      </w:r>
      <w:r>
        <w:rPr>
          <w:rStyle w:val="Funotenanker"/>
        </w:rPr>
        <w:footnoteReference w:customMarkFollows="1" w:id="202"/>
        <w:t>au</w:t>
      </w:r>
      <w:r>
        <w:rPr/>
        <w:t xml:space="preserve">Girgaschiter.{{field-off:bible}} </w:t>
        <w:br/>
        <w:t>[[@BibleTOBIBLE:Ge 10:17]]</w:t>
      </w:r>
      <w:r>
        <w:rPr>
          <w:b/>
        </w:rPr>
        <w:t>17</w:t>
      </w:r>
      <w:r>
        <w:rPr/>
        <w:t xml:space="preserve"> {{field-on:bible}}Und den</w:t>
      </w:r>
      <w:r>
        <w:rPr>
          <w:rStyle w:val="Funotenanker"/>
        </w:rPr>
        <w:footnoteReference w:customMarkFollows="1" w:id="203"/>
        <w:t>av</w:t>
      </w:r>
      <w:r>
        <w:rPr/>
        <w:t xml:space="preserve"> </w:t>
      </w:r>
      <w:r>
        <w:rPr>
          <w:rStyle w:val="Funotenanker"/>
        </w:rPr>
        <w:footnoteReference w:customMarkFollows="1" w:id="204"/>
        <w:t>aw</w:t>
      </w:r>
      <w:r>
        <w:rPr/>
        <w:t>Hiwiter und den</w:t>
      </w:r>
      <w:r>
        <w:rPr>
          <w:rStyle w:val="Funotenanker"/>
        </w:rPr>
        <w:footnoteReference w:customMarkFollows="1" w:id="205"/>
        <w:t>ax</w:t>
      </w:r>
      <w:r>
        <w:rPr/>
        <w:t xml:space="preserve"> </w:t>
      </w:r>
      <w:r>
        <w:rPr>
          <w:rStyle w:val="Funotenanker"/>
        </w:rPr>
        <w:footnoteReference w:customMarkFollows="1" w:id="206"/>
        <w:t>ay</w:t>
      </w:r>
      <w:r>
        <w:rPr/>
        <w:t>Arkiter und den</w:t>
      </w:r>
      <w:r>
        <w:rPr>
          <w:rStyle w:val="Funotenanker"/>
        </w:rPr>
        <w:footnoteReference w:customMarkFollows="1" w:id="207"/>
        <w:t>az</w:t>
      </w:r>
      <w:r>
        <w:rPr/>
        <w:t xml:space="preserve"> </w:t>
      </w:r>
      <w:r>
        <w:rPr>
          <w:rStyle w:val="Funotenanker"/>
        </w:rPr>
        <w:footnoteReference w:customMarkFollows="1" w:id="208"/>
        <w:t>ba</w:t>
      </w:r>
      <w:r>
        <w:rPr/>
        <w:t xml:space="preserve">Siniter.{{field-off:bible}} </w:t>
        <w:br/>
        <w:t>[[@BibleTOBIBLE:Ge 10:18]]</w:t>
      </w:r>
      <w:r>
        <w:rPr>
          <w:b/>
        </w:rPr>
        <w:t>18</w:t>
      </w:r>
      <w:r>
        <w:rPr/>
        <w:t xml:space="preserve"> {{field-on:bible}}Und den</w:t>
      </w:r>
      <w:r>
        <w:rPr>
          <w:rStyle w:val="Funotenanker"/>
        </w:rPr>
        <w:footnoteReference w:customMarkFollows="1" w:id="209"/>
        <w:t>bb</w:t>
      </w:r>
      <w:r>
        <w:rPr/>
        <w:t xml:space="preserve"> </w:t>
      </w:r>
      <w:r>
        <w:rPr>
          <w:rStyle w:val="Funotenanker"/>
        </w:rPr>
        <w:footnoteReference w:customMarkFollows="1" w:id="210"/>
        <w:t>bc</w:t>
      </w:r>
      <w:r>
        <w:rPr/>
        <w:t>Arwaditer und den</w:t>
      </w:r>
      <w:r>
        <w:rPr>
          <w:rStyle w:val="Funotenanker"/>
        </w:rPr>
        <w:footnoteReference w:customMarkFollows="1" w:id="211"/>
        <w:t>bd</w:t>
      </w:r>
      <w:r>
        <w:rPr/>
        <w:t xml:space="preserve"> </w:t>
      </w:r>
      <w:r>
        <w:rPr>
          <w:rStyle w:val="Funotenanker"/>
        </w:rPr>
        <w:footnoteReference w:customMarkFollows="1" w:id="212"/>
        <w:t>be</w:t>
      </w:r>
      <w:r>
        <w:rPr/>
        <w:t>Zemariter und den</w:t>
      </w:r>
      <w:r>
        <w:rPr>
          <w:rStyle w:val="Funotenanker"/>
        </w:rPr>
        <w:footnoteReference w:customMarkFollows="1" w:id="213"/>
        <w:t>bf</w:t>
      </w:r>
      <w:r>
        <w:rPr/>
        <w:t xml:space="preserve"> </w:t>
      </w:r>
      <w:r>
        <w:rPr>
          <w:rStyle w:val="Funotenanker"/>
        </w:rPr>
        <w:footnoteReference w:customMarkFollows="1" w:id="214"/>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10:20]]</w:t>
      </w:r>
      <w:r>
        <w:rPr>
          <w:b/>
        </w:rPr>
        <w:t>20</w:t>
      </w:r>
      <w:r>
        <w:rPr/>
        <w:t xml:space="preserve"> {{field-on:bible}} </w:t>
      </w:r>
      <w:r>
        <w:rPr>
          <w:rStyle w:val="Funotenanker"/>
        </w:rPr>
        <w:footnoteReference w:customMarkFollows="1" w:id="215"/>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16"/>
        <w:t>bh</w:t>
      </w:r>
      <w:r>
        <w:rPr/>
        <w:t xml:space="preserve">Stammesverbänden, nach ihren Sprachen in ihren Ländern, in ihrem </w:t>
      </w:r>
      <w:r>
        <w:rPr>
          <w:rStyle w:val="Funotenanker"/>
        </w:rPr>
        <w:footnoteReference w:customMarkFollows="1" w:id="217"/>
        <w:t>bi</w:t>
      </w:r>
      <w:r>
        <w:rPr/>
        <w:t xml:space="preserve">Volk.{{field-off:bible}} </w:t>
        <w:br/>
        <w:t>[[@BibleTOBIBLE:Ge 10:22]]</w:t>
      </w:r>
      <w:r>
        <w:rPr>
          <w:b/>
        </w:rPr>
        <w:t>22</w:t>
      </w:r>
      <w:r>
        <w:rPr/>
        <w:t xml:space="preserve"> {{field-on:bible}} </w:t>
      </w:r>
      <w:r>
        <w:rPr>
          <w:rStyle w:val="Funotenanker"/>
        </w:rPr>
        <w:footnoteReference w:customMarkFollows="1" w:id="218"/>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19"/>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10:26]]</w:t>
      </w:r>
      <w:r>
        <w:rPr>
          <w:b/>
        </w:rPr>
        <w:t>26</w:t>
      </w:r>
      <w:r>
        <w:rPr/>
        <w:t xml:space="preserve"> {{field-on:bible}} </w:t>
      </w:r>
      <w:r>
        <w:rPr>
          <w:rStyle w:val="Funotenanker"/>
        </w:rPr>
        <w:footnoteReference w:customMarkFollows="1" w:id="220"/>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10:31]]</w:t>
      </w:r>
      <w:r>
        <w:rPr>
          <w:b/>
        </w:rPr>
        <w:t>31</w:t>
      </w:r>
      <w:r>
        <w:rPr/>
        <w:t xml:space="preserve"> {{field-on:bible}} </w:t>
      </w:r>
      <w:r>
        <w:rPr>
          <w:rStyle w:val="Funotenanker"/>
        </w:rPr>
        <w:footnoteReference w:customMarkFollows="1" w:id="221"/>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22"/>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23"/>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24"/>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25"/>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26"/>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27"/>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28"/>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29"/>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30"/>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31"/>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32"/>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33"/>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34"/>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35"/>
        <w:t>g</w:t>
      </w:r>
      <w:r>
        <w:rPr/>
        <w:t xml:space="preserve"> das Land bis zu dem Ort Sichem, bis zur Eiche More. </w:t>
      </w:r>
      <w:r>
        <w:rPr>
          <w:strike/>
          <w:color w:val="808080"/>
        </w:rPr>
        <w:t>{und}</w:t>
      </w:r>
      <w:r>
        <w:rPr/>
        <w:t xml:space="preserve"> </w:t>
      </w:r>
      <w:r>
        <w:rPr>
          <w:rStyle w:val="Funotenanker"/>
        </w:rPr>
        <w:footnoteReference w:customMarkFollows="1" w:id="236"/>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37"/>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38"/>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39"/>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40"/>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41"/>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42"/>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43"/>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44"/>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45"/>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46"/>
        <w:t>b</w:t>
      </w:r>
      <w:r>
        <w:rPr/>
        <w:t xml:space="preserve"> sehr reich durch das Vieh, durch das Silber und durch das Gold.</w:t>
      </w:r>
      <w:r>
        <w:rPr>
          <w:rStyle w:val="Funotenanker"/>
        </w:rPr>
        <w:footnoteReference w:customMarkFollows="1" w:id="247"/>
        <w:t>c</w:t>
      </w:r>
      <w:r>
        <w:rPr/>
        <w:t xml:space="preserve"> {{field-off:bible}} </w:t>
        <w:br/>
        <w:t>[[@BibleTOBIBLE:Ge 13:3]]</w:t>
      </w:r>
      <w:r>
        <w:rPr>
          <w:b/>
        </w:rPr>
        <w:t>3</w:t>
      </w:r>
      <w:r>
        <w:rPr/>
        <w:t xml:space="preserve"> {{field-on:bible}}Und er ging zu seinen Stationen</w:t>
      </w:r>
      <w:r>
        <w:rPr>
          <w:rStyle w:val="Funotenanker"/>
        </w:rPr>
        <w:footnoteReference w:customMarkFollows="1" w:id="248"/>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49"/>
        <w:t>e</w:t>
      </w:r>
      <w:r>
        <w:rPr/>
        <w:t xml:space="preserve"> zwischen Bet-El und Ai,</w:t>
      </w:r>
      <w:r>
        <w:rPr>
          <w:rStyle w:val="Funotenanker"/>
        </w:rPr>
        <w:footnoteReference w:customMarkFollows="1" w:id="250"/>
        <w:t>f</w:t>
      </w:r>
      <w:r>
        <w:rPr/>
        <w:t xml:space="preserve"> {{field-off:bible}} </w:t>
        <w:br/>
        <w:t>[[@BibleTOBIBLE:Ge 13:4]]</w:t>
      </w:r>
      <w:r>
        <w:rPr>
          <w:b/>
        </w:rPr>
        <w:t>4</w:t>
      </w:r>
      <w:r>
        <w:rPr/>
        <w:t xml:space="preserve"> {{field-on:bible}}an den Ort, wo er früher den Altar</w:t>
      </w:r>
      <w:r>
        <w:rPr>
          <w:rStyle w:val="Funotenanker"/>
        </w:rPr>
        <w:footnoteReference w:customMarkFollows="1" w:id="251"/>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52"/>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53"/>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54"/>
        <w:t>j</w:t>
      </w:r>
      <w:r>
        <w:rPr/>
        <w:t>.</w:t>
      </w:r>
      <w:r>
        <w:rPr>
          <w:rStyle w:val="Funotenanker"/>
        </w:rPr>
        <w:footnoteReference w:customMarkFollows="1" w:id="255"/>
        <w:t>k</w:t>
      </w:r>
      <w:r>
        <w:rPr/>
        <w:t xml:space="preserve"> {{field-off:bible}} </w:t>
        <w:br/>
        <w:t>[[@BibleTOBIBLE:Ge 13:6]]</w:t>
      </w:r>
      <w:r>
        <w:rPr>
          <w:b/>
        </w:rPr>
        <w:t>6</w:t>
      </w:r>
      <w:r>
        <w:rPr/>
        <w:t xml:space="preserve"> {{field-on:bible}}Doch das Land ertrug es</w:t>
      </w:r>
      <w:r>
        <w:rPr>
          <w:rStyle w:val="Funotenanker"/>
        </w:rPr>
        <w:footnoteReference w:customMarkFollows="1" w:id="256"/>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57"/>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58"/>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59"/>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60"/>
        <w:t>p</w:t>
      </w:r>
      <w:r>
        <w:rPr/>
        <w:t xml:space="preserve"> Trenne dich doch von mir</w:t>
      </w:r>
      <w:r>
        <w:rPr>
          <w:rStyle w:val="Funotenanker"/>
        </w:rPr>
        <w:footnoteReference w:customMarkFollows="1" w:id="261"/>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62"/>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63"/>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64"/>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65"/>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66"/>
        <w:t>v</w:t>
      </w:r>
      <w:r>
        <w:rPr/>
        <w:t>.</w:t>
      </w:r>
      <w:r>
        <w:rPr>
          <w:rStyle w:val="Funotenanker"/>
        </w:rPr>
        <w:footnoteReference w:customMarkFollows="1" w:id="267"/>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68"/>
        <w:t>x</w:t>
      </w:r>
      <w:r>
        <w:rPr/>
        <w:t>, so dass sie sich einer vom anderen trennten</w:t>
      </w:r>
      <w:r>
        <w:rPr>
          <w:rStyle w:val="Funotenanker"/>
        </w:rPr>
        <w:footnoteReference w:customMarkFollows="1" w:id="269"/>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70"/>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71"/>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72"/>
        <w:t>ab</w:t>
      </w:r>
      <w:r>
        <w:rPr/>
        <w:t xml:space="preserve"> im Osten</w:t>
      </w:r>
      <w:r>
        <w:rPr>
          <w:rStyle w:val="Funotenanker"/>
        </w:rPr>
        <w:footnoteReference w:customMarkFollows="1" w:id="273"/>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74"/>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75"/>
        <w:t>ae</w:t>
      </w:r>
      <w:r>
        <w:rPr/>
        <w:t xml:space="preserve"> </w:t>
      </w:r>
      <w:r>
        <w:rPr>
          <w:color w:val="808080"/>
        </w:rPr>
        <w:t>)</w:t>
      </w:r>
      <w:r>
        <w:rPr/>
        <w:t xml:space="preserve"> Lots von ihm:</w:t>
      </w:r>
      <w:r>
        <w:rPr>
          <w:rStyle w:val="Funotenanker"/>
        </w:rPr>
        <w:footnoteReference w:customMarkFollows="1" w:id="276"/>
        <w:t>af</w:t>
      </w:r>
      <w:r>
        <w:rPr/>
        <w:t xml:space="preserve"> „Erhebe bitte deine Augen </w:t>
      </w:r>
      <w:r>
        <w:rPr>
          <w:color w:val="808080"/>
        </w:rPr>
        <w:t>(lass bitte deinen Blick kreisen)</w:t>
      </w:r>
      <w:r>
        <w:rPr/>
        <w:t xml:space="preserve"> </w:t>
      </w:r>
      <w:r>
        <w:rPr>
          <w:rStyle w:val="Funotenanker"/>
        </w:rPr>
        <w:footnoteReference w:customMarkFollows="1" w:id="277"/>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78"/>
        <w:t>ah</w:t>
      </w:r>
      <w:r>
        <w:rPr/>
        <w:t>, das du siehst</w:t>
      </w:r>
      <w:r>
        <w:rPr>
          <w:rStyle w:val="Funotenanker"/>
        </w:rPr>
        <w:footnoteReference w:customMarkFollows="1" w:id="279"/>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80"/>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81"/>
        <w:t>ak</w:t>
      </w:r>
      <w:r>
        <w:rPr/>
        <w:t xml:space="preserve"> und kam und blieb </w:t>
      </w:r>
      <w:r>
        <w:rPr>
          <w:color w:val="808080"/>
        </w:rPr>
        <w:t>(wohnte)</w:t>
      </w:r>
      <w:r>
        <w:rPr/>
        <w:t xml:space="preserve"> bei den großen Bäumen</w:t>
      </w:r>
      <w:r>
        <w:rPr>
          <w:rStyle w:val="Funotenanker"/>
        </w:rPr>
        <w:footnoteReference w:customMarkFollows="1" w:id="282"/>
        <w:t>al</w:t>
      </w:r>
      <w:r>
        <w:rPr/>
        <w:t xml:space="preserve"> </w:t>
      </w:r>
      <w:r>
        <w:rPr>
          <w:rStyle w:val="Funotenanker"/>
        </w:rPr>
        <w:footnoteReference w:customMarkFollows="1" w:id="283"/>
        <w:t>am</w:t>
      </w:r>
      <w:r>
        <w:rPr/>
        <w:t xml:space="preserve"> Mamres</w:t>
      </w:r>
      <w:r>
        <w:rPr>
          <w:rStyle w:val="Funotenanker"/>
        </w:rPr>
        <w:footnoteReference w:customMarkFollows="1" w:id="284"/>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14]]Kapitel 14</w:t>
      </w:r>
    </w:p>
    <w:p>
      <w:pPr>
        <w:pStyle w:val="Textkrper"/>
        <w:rPr/>
      </w:pPr>
      <w:r>
        <w:rPr/>
        <w:br/>
        <w:t>[[@BibleTOBIBLE:Ge 14:1]]</w:t>
      </w:r>
      <w:r>
        <w:rPr>
          <w:b/>
        </w:rPr>
        <w:t>1</w:t>
      </w:r>
      <w:r>
        <w:rPr/>
        <w:t xml:space="preserve"> {{field-on:bible}} </w:t>
      </w:r>
      <w:r>
        <w:rPr>
          <w:rStyle w:val="Funotenanker"/>
        </w:rPr>
        <w:footnoteReference w:customMarkFollows="1" w:id="285"/>
        <w:t>Status</w:t>
      </w:r>
      <w:r>
        <w:rPr/>
        <w:t xml:space="preserve"> Und es begab sich in den Tagen Amrafels, des Königs von Babylon </w:t>
      </w:r>
      <w:r>
        <w:rPr>
          <w:color w:val="808080"/>
        </w:rPr>
        <w:t>(Schinar)</w:t>
      </w:r>
      <w:r>
        <w:rPr/>
        <w:t>, Arjochs, des Königs von Ellasar, Kedarlaomers, des Königs von Elam und Tidals, des Königs von Völkern</w:t>
      </w:r>
      <w:r>
        <w:rPr>
          <w:rStyle w:val="Funotenanker"/>
        </w:rPr>
        <w:footnoteReference w:customMarkFollows="1" w:id="286"/>
        <w:t>a</w:t>
      </w:r>
      <w:r>
        <w:rPr/>
        <w:t xml:space="preserve">,{{field-off:bible}} </w:t>
        <w:br/>
        <w:t>[[@BibleTOBIBLE:Ge 14:2]]</w:t>
      </w:r>
      <w:r>
        <w:rPr>
          <w:b/>
        </w:rPr>
        <w:t>2</w:t>
      </w:r>
      <w:r>
        <w:rPr/>
        <w:t xml:space="preserve"> {{field-on:bible}}da führten sie Krieg gegen Bera, den König von Sodom, und gegen Birscha, den König von Gomorra, Schinaw, den König von Edom, und Schemewer, den König von Zebojim, und den König von Bela, das ist Zoar</w:t>
      </w:r>
      <w:r>
        <w:rPr>
          <w:rStyle w:val="Funotenanker"/>
        </w:rPr>
        <w:footnoteReference w:customMarkFollows="1" w:id="287"/>
        <w:t>b</w:t>
      </w:r>
      <w:r>
        <w:rPr/>
        <w:t xml:space="preserve">.{{field-off:bible}} </w:t>
        <w:br/>
        <w:t>[[@BibleTOBIBLE:Ge 14:3]]</w:t>
      </w:r>
      <w:r>
        <w:rPr>
          <w:b/>
        </w:rPr>
        <w:t>3</w:t>
      </w:r>
      <w:r>
        <w:rPr/>
        <w:t xml:space="preserve"> {{field-on:bible}}Diese alle hatten sich verbündet im Tal Sidim, das ist das Salzmeer </w:t>
      </w:r>
      <w:r>
        <w:rPr>
          <w:color w:val="808080"/>
        </w:rPr>
        <w:t>(das Tote Meer)</w:t>
      </w:r>
      <w:r>
        <w:rPr/>
        <w:t xml:space="preserve">.{{field-off:bible}} </w:t>
        <w:br/>
        <w:t>[[@BibleTOBIBLE:Ge 14:4]]</w:t>
      </w:r>
      <w:r>
        <w:rPr>
          <w:b/>
        </w:rPr>
        <w:t>4</w:t>
      </w:r>
      <w:r>
        <w:rPr/>
        <w:t xml:space="preserve"> {{field-on:bible}}Zwölf Jahre hatten sie Kedarlaomer gedient </w:t>
      </w:r>
      <w:r>
        <w:rPr>
          <w:color w:val="808080"/>
        </w:rPr>
        <w:t>(waren sie Vasallen gewesen)</w:t>
      </w:r>
      <w:r>
        <w:rPr/>
        <w:t xml:space="preserve">, und </w:t>
      </w:r>
      <w:r>
        <w:rPr>
          <w:color w:val="808080"/>
        </w:rPr>
        <w:t>(aber)</w:t>
      </w:r>
      <w:r>
        <w:rPr/>
        <w:t xml:space="preserve"> im dreizehnten Jahr hatten sie sich empört </w:t>
      </w:r>
      <w:r>
        <w:rPr>
          <w:color w:val="808080"/>
        </w:rPr>
        <w:t>(sich aufgelehnt, waren abgefallen)</w:t>
      </w:r>
      <w:r>
        <w:rPr/>
        <w:t xml:space="preserve">.{{field-off:bible}} </w:t>
        <w:br/>
        <w:t>[[@BibleTOBIBLE:Ge 14:5]]</w:t>
      </w:r>
      <w:r>
        <w:rPr>
          <w:b/>
        </w:rPr>
        <w:t>5</w:t>
      </w:r>
      <w:r>
        <w:rPr/>
        <w:t xml:space="preserve"> {{field-on:bible}}Aber im vierzehnten Jahr kamen</w:t>
      </w:r>
      <w:r>
        <w:rPr>
          <w:rStyle w:val="Funotenanker"/>
        </w:rPr>
        <w:footnoteReference w:customMarkFollows="1" w:id="288"/>
        <w:t>c</w:t>
      </w:r>
      <w:r>
        <w:rPr/>
        <w:t xml:space="preserve"> Kedarlaomer und die Könige, die mit ihm </w:t>
      </w:r>
      <w:r>
        <w:rPr>
          <w:b/>
          <w:color w:val="808080"/>
        </w:rPr>
        <w:t>[</w:t>
      </w:r>
      <w:r>
        <w:rPr/>
        <w:t>verbündet</w:t>
      </w:r>
      <w:r>
        <w:rPr>
          <w:b/>
          <w:color w:val="808080"/>
        </w:rPr>
        <w:t>]</w:t>
      </w:r>
      <w:r>
        <w:rPr/>
        <w:t xml:space="preserve"> waren. Und sie schlugen die Refaiter</w:t>
      </w:r>
      <w:r>
        <w:rPr>
          <w:rStyle w:val="Funotenanker"/>
        </w:rPr>
        <w:footnoteReference w:customMarkFollows="1" w:id="289"/>
        <w:t>d</w:t>
      </w:r>
      <w:r>
        <w:rPr/>
        <w:t xml:space="preserve"> bei </w:t>
      </w:r>
      <w:r>
        <w:rPr>
          <w:color w:val="808080"/>
        </w:rPr>
        <w:t>(in)</w:t>
      </w:r>
      <w:r>
        <w:rPr/>
        <w:t xml:space="preserve"> Aschterot</w:t>
      </w:r>
      <w:r>
        <w:rPr>
          <w:rStyle w:val="Funotenanker"/>
        </w:rPr>
        <w:footnoteReference w:customMarkFollows="1" w:id="290"/>
        <w:t>e</w:t>
      </w:r>
      <w:r>
        <w:rPr/>
        <w:t xml:space="preserve"> Karnim</w:t>
      </w:r>
      <w:r>
        <w:rPr>
          <w:rStyle w:val="Funotenanker"/>
        </w:rPr>
        <w:footnoteReference w:customMarkFollows="1" w:id="291"/>
        <w:t>f</w:t>
      </w:r>
      <w:r>
        <w:rPr/>
        <w:t xml:space="preserve">, und die Susiter bei </w:t>
      </w:r>
      <w:r>
        <w:rPr>
          <w:color w:val="808080"/>
        </w:rPr>
        <w:t>(in)</w:t>
      </w:r>
      <w:r>
        <w:rPr/>
        <w:t xml:space="preserve"> Ham und die Emäer</w:t>
      </w:r>
      <w:r>
        <w:rPr>
          <w:rStyle w:val="Funotenanker"/>
        </w:rPr>
        <w:footnoteReference w:customMarkFollows="1" w:id="292"/>
        <w:t>g</w:t>
      </w:r>
      <w:r>
        <w:rPr/>
        <w:t xml:space="preserve"> in der Ebene Kirjatim{{field-off:bible}} </w:t>
        <w:br/>
        <w:t>[[@BibleTOBIBLE:Ge 14:6]]</w:t>
      </w:r>
      <w:r>
        <w:rPr>
          <w:b/>
        </w:rPr>
        <w:t>6</w:t>
      </w:r>
      <w:r>
        <w:rPr/>
        <w:t xml:space="preserve"> {{field-on:bible}}und die Horiter</w:t>
      </w:r>
      <w:r>
        <w:rPr>
          <w:rStyle w:val="Funotenanker"/>
        </w:rPr>
        <w:footnoteReference w:customMarkFollows="1" w:id="293"/>
        <w:t>h</w:t>
      </w:r>
      <w:r>
        <w:rPr/>
        <w:t xml:space="preserve"> auf ihrem Gebirge Seir bis nach El</w:t>
      </w:r>
      <w:r>
        <w:rPr>
          <w:rStyle w:val="Funotenanker"/>
        </w:rPr>
        <w:footnoteReference w:customMarkFollows="1" w:id="294"/>
        <w:t>i</w:t>
      </w:r>
      <w:r>
        <w:rPr/>
        <w:t xml:space="preserve"> Paran</w:t>
      </w:r>
      <w:r>
        <w:rPr>
          <w:rStyle w:val="Funotenanker"/>
        </w:rPr>
        <w:footnoteReference w:customMarkFollows="1" w:id="295"/>
        <w:t>j</w:t>
      </w:r>
      <w:r>
        <w:rPr/>
        <w:t xml:space="preserve"> </w:t>
      </w:r>
      <w:r>
        <w:rPr>
          <w:color w:val="808080"/>
        </w:rPr>
        <w:t>(Eilat)</w:t>
      </w:r>
      <w:r>
        <w:rPr/>
        <w:t xml:space="preserve">, das an der Wüste </w:t>
      </w:r>
      <w:r>
        <w:rPr>
          <w:b/>
          <w:color w:val="808080"/>
        </w:rPr>
        <w:t>[</w:t>
      </w:r>
      <w:r>
        <w:rPr/>
        <w:t>liegt</w:t>
      </w:r>
      <w:r>
        <w:rPr>
          <w:b/>
          <w:color w:val="808080"/>
        </w:rPr>
        <w:t>]</w:t>
      </w:r>
      <w:r>
        <w:rPr/>
        <w:t xml:space="preserve">.{{field-off:bible}} </w:t>
        <w:br/>
        <w:t>[[@BibleTOBIBLE:Ge 14:7]]</w:t>
      </w:r>
      <w:r>
        <w:rPr>
          <w:b/>
        </w:rPr>
        <w:t>7</w:t>
      </w:r>
      <w:r>
        <w:rPr/>
        <w:t xml:space="preserve"> {{field-on:bible}}Dann machten sie kehrt</w:t>
      </w:r>
      <w:r>
        <w:rPr>
          <w:rStyle w:val="Funotenanker"/>
        </w:rPr>
        <w:footnoteReference w:customMarkFollows="1" w:id="296"/>
        <w:t>k</w:t>
      </w:r>
      <w:r>
        <w:rPr/>
        <w:t xml:space="preserve"> und kamen nach Ein Mischpat </w:t>
      </w:r>
      <w:r>
        <w:rPr>
          <w:color w:val="808080"/>
        </w:rPr>
        <w:t>(„Gerichtsbrunnen“)</w:t>
      </w:r>
      <w:r>
        <w:rPr/>
        <w:t xml:space="preserve"> </w:t>
      </w:r>
      <w:r>
        <w:rPr>
          <w:rStyle w:val="Funotenanker"/>
        </w:rPr>
        <w:footnoteReference w:customMarkFollows="1" w:id="297"/>
        <w:t>l</w:t>
      </w:r>
      <w:r>
        <w:rPr/>
        <w:t xml:space="preserve">, das ist Kadesch. Und sie schlugen das ganze Gebiet der Amalekiter und auch </w:t>
      </w:r>
      <w:r>
        <w:rPr>
          <w:color w:val="808080"/>
        </w:rPr>
        <w:t>(sogar)</w:t>
      </w:r>
      <w:r>
        <w:rPr/>
        <w:t xml:space="preserve"> die Amoriter, die</w:t>
      </w:r>
      <w:r>
        <w:rPr>
          <w:rStyle w:val="Funotenanker"/>
        </w:rPr>
        <w:footnoteReference w:customMarkFollows="1" w:id="298"/>
        <w:t>m</w:t>
      </w:r>
      <w:r>
        <w:rPr/>
        <w:t xml:space="preserve"> in </w:t>
      </w:r>
      <w:r>
        <w:rPr>
          <w:color w:val="808080"/>
        </w:rPr>
        <w:t>(bei)</w:t>
      </w:r>
      <w:r>
        <w:rPr/>
        <w:t xml:space="preserve"> Hazezon Tamar </w:t>
      </w:r>
      <w:r>
        <w:rPr>
          <w:color w:val="808080"/>
        </w:rPr>
        <w:t>(En-Gedi)</w:t>
      </w:r>
      <w:r>
        <w:rPr/>
        <w:t xml:space="preserve"> wohnten.{{field-off:bible}} </w:t>
        <w:br/>
        <w:t>[[@BibleTOBIBLE:Ge 14:8]]</w:t>
      </w:r>
      <w:r>
        <w:rPr>
          <w:b/>
        </w:rPr>
        <w:t>8</w:t>
      </w:r>
      <w:r>
        <w:rPr/>
        <w:t xml:space="preserve"> {{field-on:bible}}Da zogen</w:t>
      </w:r>
      <w:r>
        <w:rPr>
          <w:rStyle w:val="Funotenanker"/>
        </w:rPr>
        <w:footnoteReference w:customMarkFollows="1" w:id="299"/>
        <w:t>n</w:t>
      </w:r>
      <w:r>
        <w:rPr/>
        <w:t xml:space="preserve"> aus der König von Sodom und der König von Gomorra, </w:t>
      </w:r>
      <w:r>
        <w:rPr>
          <w:strike/>
          <w:color w:val="808080"/>
        </w:rPr>
        <w:t>{und}</w:t>
      </w:r>
      <w:r>
        <w:rPr/>
        <w:t xml:space="preserve"> der König von Adma, </w:t>
      </w:r>
      <w:r>
        <w:rPr>
          <w:strike/>
          <w:color w:val="808080"/>
        </w:rPr>
        <w:t>{und}</w:t>
      </w:r>
      <w:r>
        <w:rPr/>
        <w:t xml:space="preserve"> der König von Zebojim und der König von Bela, das ist Zoar. Und sie stellten sich in Schlachtordnung</w:t>
      </w:r>
      <w:r>
        <w:rPr>
          <w:rStyle w:val="Funotenanker"/>
        </w:rPr>
        <w:footnoteReference w:customMarkFollows="1" w:id="300"/>
        <w:t>o</w:t>
      </w:r>
      <w:r>
        <w:rPr/>
        <w:t xml:space="preserve"> auf im Tal Siddim{{field-off:bible}} </w:t>
        <w:br/>
        <w:t>[[@BibleTOBIBLE:Ge 14:9]]</w:t>
      </w:r>
      <w:r>
        <w:rPr>
          <w:b/>
        </w:rPr>
        <w:t>9</w:t>
      </w:r>
      <w:r>
        <w:rPr/>
        <w:t xml:space="preserve"> {{field-on:bible}}gegen Kedarlaomer, den König von Elam, und Tidal, den König von Völkern, </w:t>
      </w:r>
      <w:r>
        <w:rPr>
          <w:strike/>
          <w:color w:val="808080"/>
        </w:rPr>
        <w:t>{und}</w:t>
      </w:r>
      <w:r>
        <w:rPr/>
        <w:t xml:space="preserve"> Amrafel, den König von Sinar und Arjoch, den König von Ellasar, vier Könige gegen diese</w:t>
      </w:r>
      <w:r>
        <w:rPr>
          <w:rStyle w:val="Funotenanker"/>
        </w:rPr>
        <w:footnoteReference w:customMarkFollows="1" w:id="301"/>
        <w:t>p</w:t>
      </w:r>
      <w:r>
        <w:rPr/>
        <w:t xml:space="preserve"> fünf.{{field-off:bible}} </w:t>
        <w:br/>
        <w:t>[[@BibleTOBIBLE:Ge 14:10]]</w:t>
      </w:r>
      <w:r>
        <w:rPr>
          <w:b/>
        </w:rPr>
        <w:t>10</w:t>
      </w:r>
      <w:r>
        <w:rPr/>
        <w:t xml:space="preserve"> {{field-on:bible}}Aber </w:t>
      </w:r>
      <w:r>
        <w:rPr>
          <w:color w:val="808080"/>
        </w:rPr>
        <w:t>(und)</w:t>
      </w:r>
      <w:r>
        <w:rPr/>
        <w:t xml:space="preserve"> das Tal Sidim </w:t>
      </w:r>
      <w:r>
        <w:rPr>
          <w:b/>
          <w:color w:val="808080"/>
        </w:rPr>
        <w:t>[</w:t>
      </w:r>
      <w:r>
        <w:rPr/>
        <w:t>hatte</w:t>
      </w:r>
      <w:r>
        <w:rPr>
          <w:b/>
          <w:color w:val="808080"/>
        </w:rPr>
        <w:t>]</w:t>
      </w:r>
      <w:r>
        <w:rPr/>
        <w:t xml:space="preserve"> viele</w:t>
      </w:r>
      <w:r>
        <w:rPr>
          <w:rStyle w:val="Funotenanker"/>
        </w:rPr>
        <w:footnoteReference w:customMarkFollows="1" w:id="302"/>
        <w:t>q</w:t>
      </w:r>
      <w:r>
        <w:rPr/>
        <w:t xml:space="preserve"> Bitumengruben. Und als</w:t>
      </w:r>
      <w:r>
        <w:rPr>
          <w:rStyle w:val="Funotenanker"/>
        </w:rPr>
        <w:footnoteReference w:customMarkFollows="1" w:id="303"/>
        <w:t>r</w:t>
      </w:r>
      <w:r>
        <w:rPr/>
        <w:t xml:space="preserve"> die Könige von Sodom und Gomorra flohen, da fielen sie dort hinein; die übrig blieben</w:t>
      </w:r>
      <w:r>
        <w:rPr>
          <w:rStyle w:val="Funotenanker"/>
        </w:rPr>
        <w:footnoteReference w:customMarkFollows="1" w:id="304"/>
        <w:t>s</w:t>
      </w:r>
      <w:r>
        <w:rPr/>
        <w:t xml:space="preserve"> flohen zum </w:t>
      </w:r>
      <w:r>
        <w:rPr>
          <w:color w:val="808080"/>
        </w:rPr>
        <w:t>(auf's)</w:t>
      </w:r>
      <w:r>
        <w:rPr/>
        <w:t xml:space="preserve"> Gebirge.{{field-off:bible}} </w:t>
        <w:br/>
        <w:t>[[@BibleTOBIBLE:Ge 14:11]]</w:t>
      </w:r>
      <w:r>
        <w:rPr>
          <w:b/>
        </w:rPr>
        <w:t>11</w:t>
      </w:r>
      <w:r>
        <w:rPr/>
        <w:t xml:space="preserve"> {{field-on:bible}}Da nahmen </w:t>
      </w:r>
      <w:r>
        <w:rPr>
          <w:color w:val="808080"/>
        </w:rPr>
        <w:t>(konfiszierten, erbeuteten)</w:t>
      </w:r>
      <w:r>
        <w:rPr/>
        <w:t xml:space="preserve"> sie alle Habe </w:t>
      </w:r>
      <w:r>
        <w:rPr>
          <w:color w:val="808080"/>
        </w:rPr>
        <w:t>(Güter, Besitz)</w:t>
      </w:r>
      <w:r>
        <w:rPr/>
        <w:t xml:space="preserve"> Sodoms und Gomorras und alle Vorräte</w:t>
      </w:r>
      <w:r>
        <w:rPr>
          <w:rStyle w:val="Funotenanker"/>
        </w:rPr>
        <w:footnoteReference w:customMarkFollows="1" w:id="305"/>
        <w:t>t</w:t>
      </w:r>
      <w:r>
        <w:rPr/>
        <w:t xml:space="preserve"> und zogen fort.{{field-off:bible}} </w:t>
        <w:br/>
        <w:t>[[@BibleTOBIBLE:Ge 14:12]]</w:t>
      </w:r>
      <w:r>
        <w:rPr>
          <w:b/>
        </w:rPr>
        <w:t>12</w:t>
      </w:r>
      <w:r>
        <w:rPr/>
        <w:t xml:space="preserve"> {{field-on:bible}}Sie nahmen aber auch Lot </w:t>
      </w:r>
      <w:r>
        <w:rPr>
          <w:b/>
          <w:color w:val="808080"/>
        </w:rPr>
        <w:t>[</w:t>
      </w:r>
      <w:r>
        <w:rPr/>
        <w:t>gefangen, als Geisel</w:t>
      </w:r>
      <w:r>
        <w:rPr>
          <w:b/>
          <w:color w:val="808080"/>
        </w:rPr>
        <w:t>]</w:t>
      </w:r>
      <w:r>
        <w:rPr/>
        <w:t xml:space="preserve"> </w:t>
      </w:r>
      <w:r>
        <w:rPr>
          <w:color w:val="808080"/>
        </w:rPr>
        <w:t>(verschleppten Lot)</w:t>
      </w:r>
      <w:r>
        <w:rPr/>
        <w:t xml:space="preserve"> und seinen Besitz </w:t>
      </w:r>
      <w:r>
        <w:rPr>
          <w:color w:val="808080"/>
        </w:rPr>
        <w:t>(Habe, Güter)</w:t>
      </w:r>
      <w:r>
        <w:rPr/>
        <w:t xml:space="preserve">, den Brudersohn </w:t>
      </w:r>
      <w:r>
        <w:rPr>
          <w:color w:val="808080"/>
        </w:rPr>
        <w:t>(= Neffen)</w:t>
      </w:r>
      <w:r>
        <w:rPr/>
        <w:t xml:space="preserve"> Abrams, und zogen fort. Er aber hatte in Sodom gewohnt.{{field-off:bible}} </w:t>
        <w:br/>
        <w:t>[[@BibleTOBIBLE:Ge 14:13]]</w:t>
      </w:r>
      <w:r>
        <w:rPr>
          <w:b/>
        </w:rPr>
        <w:t>13</w:t>
      </w:r>
      <w:r>
        <w:rPr/>
        <w:t xml:space="preserve"> {{field-on:bible}}Da kam ein Entkommener und erzählte </w:t>
      </w:r>
      <w:r>
        <w:rPr>
          <w:color w:val="808080"/>
        </w:rPr>
        <w:t>(gab Nachricht)</w:t>
      </w:r>
      <w:r>
        <w:rPr/>
        <w:t xml:space="preserve"> dem Abram. Der wohnte bei </w:t>
      </w:r>
      <w:r>
        <w:rPr>
          <w:color w:val="808080"/>
        </w:rPr>
        <w:t>(unter)</w:t>
      </w:r>
      <w:r>
        <w:rPr/>
        <w:t xml:space="preserve"> den heiligen Bäumen </w:t>
      </w:r>
      <w:r>
        <w:rPr>
          <w:color w:val="808080"/>
        </w:rPr>
        <w:t>(großen Bäumen, Terebinthen)</w:t>
      </w:r>
      <w:r>
        <w:rPr/>
        <w:t xml:space="preserve"> Mamres, des Amoriters, ein Bruder von Eschkol und Aner; die waren Verbündete</w:t>
      </w:r>
      <w:r>
        <w:rPr>
          <w:rStyle w:val="Funotenanker"/>
        </w:rPr>
        <w:footnoteReference w:customMarkFollows="1" w:id="306"/>
        <w:t>u</w:t>
      </w:r>
      <w:r>
        <w:rPr/>
        <w:t xml:space="preserve"> Abrams.{{field-off:bible}} </w:t>
        <w:br/>
        <w:t>[[@BibleTOBIBLE:Ge 14:14]]</w:t>
      </w:r>
      <w:r>
        <w:rPr>
          <w:b/>
        </w:rPr>
        <w:t>14</w:t>
      </w:r>
      <w:r>
        <w:rPr/>
        <w:t xml:space="preserve"> {{field-on:bible}}Als</w:t>
      </w:r>
      <w:r>
        <w:rPr>
          <w:rStyle w:val="Funotenanker"/>
        </w:rPr>
        <w:footnoteReference w:customMarkFollows="1" w:id="307"/>
        <w:t>v</w:t>
      </w:r>
      <w:r>
        <w:rPr/>
        <w:t xml:space="preserve"> Abram hörte, dass sein Neffe </w:t>
      </w:r>
      <w:r>
        <w:rPr>
          <w:color w:val="808080"/>
        </w:rPr>
        <w:t>(Verwandter)</w:t>
      </w:r>
      <w:r>
        <w:rPr/>
        <w:t xml:space="preserve"> gefangen weggeführt worden war, da führte er zum Kampf</w:t>
      </w:r>
      <w:r>
        <w:rPr>
          <w:rStyle w:val="Funotenanker"/>
        </w:rPr>
        <w:footnoteReference w:customMarkFollows="1" w:id="308"/>
        <w:t>w</w:t>
      </w:r>
      <w:r>
        <w:rPr/>
        <w:t xml:space="preserve"> seine Bewährten </w:t>
      </w:r>
      <w:r>
        <w:rPr>
          <w:color w:val="808080"/>
        </w:rPr>
        <w:t>(Erfahrenen)</w:t>
      </w:r>
      <w:r>
        <w:rPr/>
        <w:t xml:space="preserve"> </w:t>
      </w:r>
      <w:r>
        <w:rPr>
          <w:b/>
          <w:color w:val="808080"/>
        </w:rPr>
        <w:t>[</w:t>
      </w:r>
      <w:r>
        <w:rPr/>
        <w:t>Knechte</w:t>
      </w:r>
      <w:r>
        <w:rPr>
          <w:b/>
          <w:color w:val="808080"/>
        </w:rPr>
        <w:t>]</w:t>
      </w:r>
      <w:r>
        <w:rPr/>
        <w:t>, die</w:t>
      </w:r>
      <w:r>
        <w:rPr>
          <w:rStyle w:val="Funotenanker"/>
        </w:rPr>
        <w:footnoteReference w:customMarkFollows="1" w:id="309"/>
        <w:t>x</w:t>
      </w:r>
      <w:r>
        <w:rPr/>
        <w:t xml:space="preserve"> in seinem Haus geboren worden waren, 318 </w:t>
      </w:r>
      <w:r>
        <w:rPr>
          <w:b/>
          <w:color w:val="808080"/>
        </w:rPr>
        <w:t>[</w:t>
      </w:r>
      <w:r>
        <w:rPr/>
        <w:t>Mann</w:t>
      </w:r>
      <w:r>
        <w:rPr>
          <w:b/>
          <w:color w:val="808080"/>
        </w:rPr>
        <w:t>]</w:t>
      </w:r>
      <w:r>
        <w:rPr/>
        <w:t xml:space="preserve">, und verfolgte </w:t>
      </w:r>
      <w:r>
        <w:rPr>
          <w:b/>
          <w:color w:val="808080"/>
        </w:rPr>
        <w:t>[</w:t>
      </w:r>
      <w:r>
        <w:rPr/>
        <w:t>die Angreifer</w:t>
      </w:r>
      <w:r>
        <w:rPr>
          <w:b/>
          <w:color w:val="808080"/>
        </w:rPr>
        <w:t>]</w:t>
      </w:r>
      <w:r>
        <w:rPr/>
        <w:t xml:space="preserve"> bis Dan</w:t>
      </w:r>
      <w:r>
        <w:rPr>
          <w:rStyle w:val="Funotenanker"/>
        </w:rPr>
        <w:footnoteReference w:customMarkFollows="1" w:id="310"/>
        <w:t>y</w:t>
      </w:r>
      <w:r>
        <w:rPr/>
        <w:t xml:space="preserve"> {{field-off:bible}} </w:t>
        <w:br/>
        <w:t>[[@BibleTOBIBLE:Ge 14:15]]</w:t>
      </w:r>
      <w:r>
        <w:rPr>
          <w:b/>
        </w:rPr>
        <w:t>15</w:t>
      </w:r>
      <w:r>
        <w:rPr/>
        <w:t xml:space="preserve"> {{field-on:bible}}Da teilte er </w:t>
      </w:r>
      <w:r>
        <w:rPr>
          <w:color w:val="808080"/>
        </w:rPr>
        <w:t>(sich =)</w:t>
      </w:r>
      <w:r>
        <w:rPr/>
        <w:t xml:space="preserve"> seine Schar </w:t>
      </w:r>
      <w:r>
        <w:rPr>
          <w:b/>
          <w:color w:val="808080"/>
        </w:rPr>
        <w:t>[</w:t>
      </w:r>
      <w:r>
        <w:rPr/>
        <w:t>und fiel</w:t>
      </w:r>
      <w:r>
        <w:rPr>
          <w:b/>
          <w:color w:val="808080"/>
        </w:rPr>
        <w:t>]</w:t>
      </w:r>
      <w:r>
        <w:rPr/>
        <w:t xml:space="preserve"> über sie </w:t>
      </w:r>
      <w:r>
        <w:rPr>
          <w:b/>
          <w:color w:val="808080"/>
        </w:rPr>
        <w:t>[</w:t>
      </w:r>
      <w:r>
        <w:rPr/>
        <w:t>her</w:t>
      </w:r>
      <w:r>
        <w:rPr>
          <w:b/>
          <w:color w:val="808080"/>
        </w:rPr>
        <w:t>]</w:t>
      </w:r>
      <w:r>
        <w:rPr/>
        <w:t xml:space="preserve"> bei Nacht, er und seine Knechte, und schlug sie. Und er verfolgte sie bis Hoba, das nördlich von Damaskus </w:t>
      </w:r>
      <w:r>
        <w:rPr>
          <w:b/>
          <w:color w:val="808080"/>
        </w:rPr>
        <w:t>[</w:t>
      </w:r>
      <w:r>
        <w:rPr/>
        <w:t>liegt</w:t>
      </w:r>
      <w:r>
        <w:rPr>
          <w:b/>
          <w:color w:val="808080"/>
        </w:rPr>
        <w:t>]</w:t>
      </w:r>
      <w:r>
        <w:rPr/>
        <w:t xml:space="preserve">.{{field-off:bible}} </w:t>
        <w:br/>
        <w:t>[[@BibleTOBIBLE:Ge 14:16]]</w:t>
      </w:r>
      <w:r>
        <w:rPr>
          <w:b/>
        </w:rPr>
        <w:t>16</w:t>
      </w:r>
      <w:r>
        <w:rPr/>
        <w:t xml:space="preserve"> {{field-on:bible}}Und er brachte zurück alle Habe </w:t>
      </w:r>
      <w:r>
        <w:rPr>
          <w:color w:val="808080"/>
        </w:rPr>
        <w:t>(Besitz, Güter)</w:t>
      </w:r>
      <w:r>
        <w:rPr/>
        <w:t xml:space="preserve">, und auch Lot, seinen Neffen </w:t>
      </w:r>
      <w:r>
        <w:rPr>
          <w:color w:val="808080"/>
        </w:rPr>
        <w:t>(Verwandten)</w:t>
      </w:r>
      <w:r>
        <w:rPr/>
        <w:t xml:space="preserve"> und seinen Besitz </w:t>
      </w:r>
      <w:r>
        <w:rPr>
          <w:color w:val="808080"/>
        </w:rPr>
        <w:t>(Habe, Güter)</w:t>
      </w:r>
      <w:r>
        <w:rPr/>
        <w:t xml:space="preserve"> brachte er zurück, und auch die Frauen und das Volk.{{field-off:bible}} </w:t>
        <w:br/>
        <w:t>[[@BibleTOBIBLE:Ge 14:17]]</w:t>
      </w:r>
      <w:r>
        <w:rPr>
          <w:b/>
        </w:rPr>
        <w:t>17</w:t>
      </w:r>
      <w:r>
        <w:rPr/>
        <w:t xml:space="preserve"> {{field-on:bible}}Da zog aus der König von Sodom, ihm entgegen, nachdem er zurückgekehrt war vom </w:t>
      </w:r>
      <w:r>
        <w:rPr>
          <w:color w:val="808080"/>
        </w:rPr>
        <w:t>(Schlagen =)</w:t>
      </w:r>
      <w:r>
        <w:rPr/>
        <w:t xml:space="preserve"> Sieg über Kedar-Laomer</w:t>
      </w:r>
      <w:r>
        <w:rPr>
          <w:rStyle w:val="Funotenanker"/>
        </w:rPr>
        <w:footnoteReference w:customMarkFollows="1" w:id="311"/>
        <w:t>z</w:t>
      </w:r>
      <w:r>
        <w:rPr/>
        <w:t xml:space="preserve">, und die Könige, die mit ihm </w:t>
      </w:r>
      <w:r>
        <w:rPr>
          <w:b/>
          <w:color w:val="808080"/>
        </w:rPr>
        <w:t>[</w:t>
      </w:r>
      <w:r>
        <w:rPr/>
        <w:t>verbündet</w:t>
      </w:r>
      <w:r>
        <w:rPr>
          <w:b/>
          <w:color w:val="808080"/>
        </w:rPr>
        <w:t>]</w:t>
      </w:r>
      <w:r>
        <w:rPr/>
        <w:t xml:space="preserve"> waren, ins Tal „Tal“ </w:t>
      </w:r>
      <w:r>
        <w:rPr>
          <w:color w:val="808080"/>
        </w:rPr>
        <w:t>(Schawe)</w:t>
      </w:r>
      <w:r>
        <w:rPr/>
        <w:t xml:space="preserve">, das ist das Königstal.{{field-off:bible}} </w:t>
        <w:br/>
        <w:t>[[@BibleTOBIBLE:Ge 14:18]]</w:t>
      </w:r>
      <w:r>
        <w:rPr>
          <w:b/>
        </w:rPr>
        <w:t>18</w:t>
      </w:r>
      <w:r>
        <w:rPr/>
        <w:t xml:space="preserve"> {{field-on:bible}}Aber Melchi-zedek</w:t>
      </w:r>
      <w:r>
        <w:rPr>
          <w:rStyle w:val="Funotenanker"/>
        </w:rPr>
        <w:footnoteReference w:customMarkFollows="1" w:id="312"/>
        <w:t>aa</w:t>
      </w:r>
      <w:r>
        <w:rPr/>
        <w:t>, der König von Salem, brachte Brot und Wein heraus. Er aber war ein Priester des höchsten Gottes</w:t>
      </w:r>
      <w:r>
        <w:rPr>
          <w:rStyle w:val="Funotenanker"/>
        </w:rPr>
        <w:footnoteReference w:customMarkFollows="1" w:id="313"/>
        <w:t>ab</w:t>
      </w:r>
      <w:r>
        <w:rPr/>
        <w:t xml:space="preserve">.{{field-off:bible}} </w:t>
        <w:br/>
        <w:t>[[@BibleTOBIBLE:Ge 14:19]]</w:t>
      </w:r>
      <w:r>
        <w:rPr>
          <w:b/>
        </w:rPr>
        <w:t>19</w:t>
      </w:r>
      <w:r>
        <w:rPr/>
        <w:t xml:space="preserve"> {{field-on:bible}} </w:t>
      </w:r>
      <w:r>
        <w:rPr>
          <w:strike/>
          <w:color w:val="808080"/>
        </w:rPr>
        <w:t>{Und}</w:t>
      </w:r>
      <w:r>
        <w:rPr/>
        <w:t xml:space="preserve"> Er segnete ihn und sprach: </w:t>
        <w:br/>
        <w:t>Gesegnet sei Abram vom höchsten Gott, dem Schöpfer des Himmels und der Erde.</w:t>
        <w:br/>
        <w:t xml:space="preserve">{{field-off:bible}} </w:t>
        <w:br/>
        <w:t>[[@BibleTOBIBLE:Ge 14:20]]</w:t>
      </w:r>
      <w:r>
        <w:rPr>
          <w:b/>
        </w:rPr>
        <w:t>20</w:t>
      </w:r>
      <w:r>
        <w:rPr/>
        <w:t xml:space="preserve"> {{field-on:bible}} </w:t>
        <w:br/>
        <w:t>Und gepriesen sei der höchste Gott, der deine Feinde in deine Hand gegeben hat.</w:t>
        <w:br/>
        <w:t xml:space="preserve">Und er </w:t>
      </w:r>
      <w:r>
        <w:rPr>
          <w:color w:val="808080"/>
        </w:rPr>
        <w:t>(= Abram)</w:t>
      </w:r>
      <w:r>
        <w:rPr/>
        <w:t xml:space="preserve"> gab ihm den Zehnten von allem.{{field-off:bible}} </w:t>
        <w:br/>
        <w:t>[[@BibleTOBIBLE:Ge 14:21]]</w:t>
      </w:r>
      <w:r>
        <w:rPr>
          <w:b/>
        </w:rPr>
        <w:t>21</w:t>
      </w:r>
      <w:r>
        <w:rPr/>
        <w:t xml:space="preserve"> {{field-on:bible}}Da sprach der König von Sodom zu Abram: Gib mir die Leute, aber die Güter </w:t>
      </w:r>
      <w:r>
        <w:rPr>
          <w:color w:val="808080"/>
        </w:rPr>
        <w:t>(Habe, Besitz)</w:t>
      </w:r>
      <w:r>
        <w:rPr/>
        <w:t xml:space="preserve"> nimm dir.{{field-off:bible}} </w:t>
        <w:br/>
        <w:t>[[@BibleTOBIBLE:Ge 14:22]]</w:t>
      </w:r>
      <w:r>
        <w:rPr>
          <w:b/>
        </w:rPr>
        <w:t>22</w:t>
      </w:r>
      <w:r>
        <w:rPr/>
        <w:t xml:space="preserve"> {{field-on:bible}}Da sprach Abram zum König von Sodom: Ich erhebe meine Hand</w:t>
      </w:r>
      <w:r>
        <w:rPr>
          <w:rStyle w:val="Funotenanker"/>
        </w:rPr>
        <w:footnoteReference w:customMarkFollows="1" w:id="314"/>
        <w:t>ac</w:t>
      </w:r>
      <w:r>
        <w:rPr/>
        <w:t xml:space="preserve"> zu </w:t>
      </w:r>
      <w:r>
        <w:rPr>
          <w:smallCaps/>
          <w:color w:val="FF0000"/>
        </w:rPr>
        <w:t>JHWH</w:t>
      </w:r>
      <w:r>
        <w:rPr/>
        <w:t xml:space="preserve">, dem höchsten Gott, dem Schöpfer des Himmels und der Erde:{{field-off:bible}} </w:t>
        <w:br/>
        <w:t>[[@BibleTOBIBLE:Ge 14:23]]</w:t>
      </w:r>
      <w:r>
        <w:rPr>
          <w:b/>
        </w:rPr>
        <w:t>23</w:t>
      </w:r>
      <w:r>
        <w:rPr/>
        <w:t xml:space="preserve"> {{field-on:bible}} </w:t>
      </w:r>
      <w:r>
        <w:rPr>
          <w:color w:val="808080"/>
        </w:rPr>
        <w:t>(Weder einen Faden noch einen Sandalenriemen =)</w:t>
      </w:r>
      <w:r>
        <w:rPr/>
        <w:t xml:space="preserve"> Nicht</w:t>
      </w:r>
      <w:r>
        <w:rPr>
          <w:rStyle w:val="Funotenanker"/>
        </w:rPr>
        <w:footnoteReference w:customMarkFollows="1" w:id="315"/>
        <w:t>ad</w:t>
      </w:r>
      <w:r>
        <w:rPr/>
        <w:t xml:space="preserve"> das Geringste </w:t>
      </w:r>
      <w:r>
        <w:rPr>
          <w:b/>
          <w:color w:val="808080"/>
        </w:rPr>
        <w:t>[</w:t>
      </w:r>
      <w:r>
        <w:rPr/>
        <w:t>werde ich nehmen</w:t>
      </w:r>
      <w:r>
        <w:rPr>
          <w:b/>
          <w:color w:val="808080"/>
        </w:rPr>
        <w:t>]</w:t>
      </w:r>
      <w:r>
        <w:rPr/>
        <w:t xml:space="preserve">, und nicht werde ich nehmen von allem, was dein </w:t>
      </w:r>
      <w:r>
        <w:rPr>
          <w:b/>
          <w:color w:val="808080"/>
        </w:rPr>
        <w:t>[</w:t>
      </w:r>
      <w:r>
        <w:rPr/>
        <w:t>ist</w:t>
      </w:r>
      <w:r>
        <w:rPr>
          <w:b/>
          <w:color w:val="808080"/>
        </w:rPr>
        <w:t>]</w:t>
      </w:r>
      <w:r>
        <w:rPr/>
        <w:t xml:space="preserve">. Und du sollst nicht sagen </w:t>
      </w:r>
      <w:r>
        <w:rPr>
          <w:b/>
          <w:color w:val="808080"/>
        </w:rPr>
        <w:t>[</w:t>
      </w:r>
      <w:r>
        <w:rPr/>
        <w:t>können</w:t>
      </w:r>
      <w:r>
        <w:rPr>
          <w:b/>
          <w:color w:val="808080"/>
        </w:rPr>
        <w:t>]</w:t>
      </w:r>
      <w:r>
        <w:rPr/>
        <w:t xml:space="preserve">: Ich habe den Abram reich gemacht.{{field-off:bible}} </w:t>
        <w:br/>
        <w:t>[[@BibleTOBIBLE:Ge 14:24]]</w:t>
      </w:r>
      <w:r>
        <w:rPr>
          <w:b/>
        </w:rPr>
        <w:t>24</w:t>
      </w:r>
      <w:r>
        <w:rPr/>
        <w:t xml:space="preserve"> {{field-on:bible}}Außer</w:t>
      </w:r>
      <w:r>
        <w:rPr>
          <w:rStyle w:val="Funotenanker"/>
        </w:rPr>
        <w:footnoteReference w:customMarkFollows="1" w:id="316"/>
        <w:t>ae</w:t>
      </w:r>
      <w:r>
        <w:rPr/>
        <w:t xml:space="preserve"> nur </w:t>
      </w:r>
      <w:r>
        <w:rPr>
          <w:b/>
          <w:color w:val="808080"/>
        </w:rPr>
        <w:t>[</w:t>
      </w:r>
      <w:r>
        <w:rPr/>
        <w:t>das</w:t>
      </w:r>
      <w:r>
        <w:rPr>
          <w:b/>
          <w:color w:val="808080"/>
        </w:rPr>
        <w:t>]</w:t>
      </w:r>
      <w:r>
        <w:rPr/>
        <w:t xml:space="preserve">, was die Knechte aßen, und der </w:t>
      </w:r>
      <w:r>
        <w:rPr>
          <w:color w:val="808080"/>
        </w:rPr>
        <w:t>(Beute)</w:t>
      </w:r>
      <w:r>
        <w:rPr/>
        <w:t xml:space="preserve">Anteil der Männer, die mit mir gingen: Aner, Eschkol und Mamre: Sie sollen </w:t>
      </w:r>
      <w:r>
        <w:rPr>
          <w:color w:val="808080"/>
        </w:rPr>
        <w:t>(lass)</w:t>
      </w:r>
      <w:r>
        <w:rPr/>
        <w:t xml:space="preserve"> ihren </w:t>
      </w:r>
      <w:r>
        <w:rPr>
          <w:color w:val="808080"/>
        </w:rPr>
        <w:t>(An)</w:t>
      </w:r>
      <w:r>
        <w:rPr/>
        <w:t xml:space="preserve">Teil nehmen.{{field-off:bible}} </w:t>
      </w:r>
    </w:p>
    <w:p>
      <w:pPr>
        <w:pStyle w:val="Berschrift3"/>
        <w:rPr/>
      </w:pPr>
      <w:r>
        <w:rPr/>
        <w:t>[[@BibleTOBIBLE:Ge 15]]Kapitel 15</w:t>
      </w:r>
    </w:p>
    <w:p>
      <w:pPr>
        <w:pStyle w:val="Textkrper"/>
        <w:rPr/>
      </w:pPr>
      <w:r>
        <w:rPr/>
        <w:br/>
        <w:t>[[@BibleTOBIBLE:Ge 15:1]]</w:t>
      </w:r>
      <w:r>
        <w:rPr>
          <w:b/>
        </w:rPr>
        <w:t>1</w:t>
      </w:r>
      <w:r>
        <w:rPr/>
        <w:t xml:space="preserve"> {{field-on:bible}} </w:t>
      </w:r>
      <w:r>
        <w:rPr>
          <w:rStyle w:val="Funotenanker"/>
        </w:rPr>
        <w:footnoteReference w:customMarkFollows="1" w:id="317"/>
        <w:t>Status</w:t>
      </w:r>
      <w:r>
        <w:rPr/>
        <w:t xml:space="preserve"> </w:t>
      </w:r>
      <w:r>
        <w:rPr>
          <w:color w:val="808080"/>
        </w:rPr>
        <w:t>(Nach diesen Angelegenheiten =)</w:t>
      </w:r>
      <w:r>
        <w:rPr/>
        <w:t xml:space="preserve"> Darauf geschah das Wort </w:t>
      </w:r>
      <w:r>
        <w:rPr>
          <w:smallCaps/>
          <w:color w:val="FF0000"/>
        </w:rPr>
        <w:t>JHWH</w:t>
      </w:r>
      <w:r>
        <w:rPr/>
        <w:t xml:space="preserve">s zu Abram in einer Vision </w:t>
      </w:r>
      <w:r>
        <w:rPr>
          <w:strike/>
          <w:color w:val="808080"/>
        </w:rPr>
        <w:t>{folgendermaßen}</w:t>
      </w:r>
      <w:r>
        <w:rPr/>
        <w:t xml:space="preserve">: Fürchte dich nicht, Abram. Ich bin dein Schild. Dein Lohn ist sehr reich </w:t>
      </w:r>
      <w:r>
        <w:rPr>
          <w:rStyle w:val="Funotenanker"/>
        </w:rPr>
        <w:footnoteReference w:customMarkFollows="1" w:id="318"/>
        <w:t>a</w:t>
      </w:r>
      <w:r>
        <w:rPr/>
        <w:t xml:space="preserve">.{{field-off:bible}} </w:t>
        <w:br/>
        <w:t>[[@BibleTOBIBLE:Ge 15:2]]</w:t>
      </w:r>
      <w:r>
        <w:rPr>
          <w:b/>
        </w:rPr>
        <w:t>2</w:t>
      </w:r>
      <w:r>
        <w:rPr/>
        <w:t xml:space="preserve"> {{field-on:bible}}Da sprach Abram: Mein Herr </w:t>
      </w:r>
      <w:r>
        <w:rPr>
          <w:smallCaps/>
          <w:color w:val="FF0000"/>
        </w:rPr>
        <w:t>JHWH</w:t>
      </w:r>
      <w:r>
        <w:rPr/>
        <w:t xml:space="preserve">, was wirst du mir geben? Denn ich </w:t>
      </w:r>
      <w:r>
        <w:rPr>
          <w:color w:val="808080"/>
        </w:rPr>
        <w:t>(wandle =)</w:t>
      </w:r>
      <w:r>
        <w:rPr/>
        <w:t xml:space="preserve"> bin</w:t>
      </w:r>
      <w:r>
        <w:rPr>
          <w:rStyle w:val="Funotenanker"/>
        </w:rPr>
        <w:footnoteReference w:customMarkFollows="1" w:id="319"/>
        <w:t>b</w:t>
      </w:r>
      <w:r>
        <w:rPr/>
        <w:t xml:space="preserve"> kinderlos. Besitzer</w:t>
      </w:r>
      <w:r>
        <w:rPr>
          <w:rStyle w:val="Funotenanker"/>
        </w:rPr>
        <w:footnoteReference w:customMarkFollows="1" w:id="320"/>
        <w:t>c</w:t>
      </w:r>
      <w:r>
        <w:rPr/>
        <w:t xml:space="preserve"> meines Hauses, dieser </w:t>
      </w:r>
      <w:r>
        <w:rPr>
          <w:b/>
          <w:color w:val="808080"/>
        </w:rPr>
        <w:t>[</w:t>
      </w:r>
      <w:r>
        <w:rPr/>
        <w:t>wird sein</w:t>
      </w:r>
      <w:r>
        <w:rPr>
          <w:b/>
          <w:color w:val="808080"/>
        </w:rPr>
        <w:t>]</w:t>
      </w:r>
      <w:r>
        <w:rPr/>
        <w:t xml:space="preserve"> der Damaszener Elieser.{{field-off:bible}} </w:t>
        <w:br/>
        <w:t>[[@BibleTOBIBLE:Ge 15:3]]</w:t>
      </w:r>
      <w:r>
        <w:rPr>
          <w:b/>
        </w:rPr>
        <w:t>3</w:t>
      </w:r>
      <w:r>
        <w:rPr/>
        <w:t xml:space="preserve"> {{field-on:bible}}Da sprach Abram: Sieh, mir hast du keinen Nachkommen gegeben, und siehe!, ein „Sohn des Hauses“</w:t>
      </w:r>
      <w:r>
        <w:rPr>
          <w:rStyle w:val="Funotenanker"/>
        </w:rPr>
        <w:footnoteReference w:customMarkFollows="1" w:id="321"/>
        <w:t>d</w:t>
      </w:r>
      <w:r>
        <w:rPr/>
        <w:t xml:space="preserve"> wird mich beerben.{{field-off:bible}} </w:t>
        <w:br/>
        <w:t>[[@BibleTOBIBLE:Ge 15:4]]</w:t>
      </w:r>
      <w:r>
        <w:rPr>
          <w:b/>
        </w:rPr>
        <w:t>4</w:t>
      </w:r>
      <w:r>
        <w:rPr/>
        <w:t xml:space="preserve"> {{field-on:bible}}Und siehe!, das Wort </w:t>
      </w:r>
      <w:r>
        <w:rPr>
          <w:smallCaps/>
          <w:color w:val="FF0000"/>
        </w:rPr>
        <w:t>JHWH</w:t>
      </w:r>
      <w:r>
        <w:rPr/>
        <w:t xml:space="preserve">s </w:t>
      </w:r>
      <w:r>
        <w:rPr>
          <w:b/>
          <w:color w:val="808080"/>
        </w:rPr>
        <w:t>[</w:t>
      </w:r>
      <w:r>
        <w:rPr/>
        <w:t>geschah</w:t>
      </w:r>
      <w:r>
        <w:rPr>
          <w:b/>
          <w:color w:val="808080"/>
        </w:rPr>
        <w:t>]</w:t>
      </w:r>
      <w:r>
        <w:rPr/>
        <w:t xml:space="preserve"> zu ihm </w:t>
      </w:r>
      <w:r>
        <w:rPr>
          <w:strike/>
          <w:color w:val="808080"/>
        </w:rPr>
        <w:t>{folgendermaßen}</w:t>
      </w:r>
      <w:r>
        <w:rPr/>
        <w:t>: Dieser wird dich nicht beerben. Sondern der von dir abstammt</w:t>
      </w:r>
      <w:r>
        <w:rPr>
          <w:rStyle w:val="Funotenanker"/>
        </w:rPr>
        <w:footnoteReference w:customMarkFollows="1" w:id="322"/>
        <w:t>e</w:t>
      </w:r>
      <w:r>
        <w:rPr/>
        <w:t xml:space="preserve">, der wird dich beerben.{{field-off:bible}} </w:t>
        <w:br/>
        <w:t>[[@BibleTOBIBLE:Ge 15:5]]</w:t>
      </w:r>
      <w:r>
        <w:rPr>
          <w:b/>
        </w:rPr>
        <w:t>5</w:t>
      </w:r>
      <w:r>
        <w:rPr/>
        <w:t xml:space="preserve"> {{field-on:bible}}Und er ließ ihn nach draußen gehen und sprach: Blicke </w:t>
      </w:r>
      <w:r>
        <w:rPr>
          <w:strike/>
          <w:color w:val="808080"/>
        </w:rPr>
        <w:t>{doch}</w:t>
      </w:r>
      <w:r>
        <w:rPr/>
        <w:t xml:space="preserve"> auf zum Himmel und zähle die Sterne! Kannst du sie zählen? Und er sprach: Nein. - So wird deine Nachkommenschaft sein.{{field-off:bible}} </w:t>
        <w:br/>
        <w:t>[[@BibleTOBIBLE:Ge 15:6]]</w:t>
      </w:r>
      <w:r>
        <w:rPr>
          <w:b/>
        </w:rPr>
        <w:t>6</w:t>
      </w:r>
      <w:r>
        <w:rPr/>
        <w:t xml:space="preserve"> {{field-on:bible}}Und er traute </w:t>
      </w:r>
      <w:r>
        <w:rPr>
          <w:smallCaps/>
          <w:color w:val="FF0000"/>
        </w:rPr>
        <w:t>JHWH</w:t>
      </w:r>
      <w:r>
        <w:rPr/>
        <w:t xml:space="preserve">, und der rechnete es ihm als Gerechtigkeit an.{{field-off:bible}} </w:t>
        <w:br/>
        <w:t>[[@BibleTOBIBLE:Ge 15:7]]</w:t>
      </w:r>
      <w:r>
        <w:rPr>
          <w:b/>
        </w:rPr>
        <w:t>7</w:t>
      </w:r>
      <w:r>
        <w:rPr/>
        <w:t xml:space="preserve"> {{field-on:bible}}Und er sprach zu ihm: Ich bin </w:t>
      </w:r>
      <w:r>
        <w:rPr>
          <w:smallCaps/>
          <w:color w:val="FF0000"/>
        </w:rPr>
        <w:t>JHWH</w:t>
      </w:r>
      <w:r>
        <w:rPr/>
        <w:t xml:space="preserve">, der dich herausgeführt hat aus Ur der Kaldäer, um dir dies Land als rechtmäßigem Besitzer zu geben.{{field-off:bible}} </w:t>
        <w:br/>
        <w:t>[[@BibleTOBIBLE:Ge 15:8]]</w:t>
      </w:r>
      <w:r>
        <w:rPr>
          <w:b/>
        </w:rPr>
        <w:t>8</w:t>
      </w:r>
      <w:r>
        <w:rPr/>
        <w:t xml:space="preserve"> {{field-on:bible}}Da sprach er: Mein Herr </w:t>
      </w:r>
      <w:r>
        <w:rPr>
          <w:smallCaps/>
          <w:color w:val="FF0000"/>
        </w:rPr>
        <w:t>JHWH</w:t>
      </w:r>
      <w:r>
        <w:rPr/>
        <w:t xml:space="preserve">, woran soll </w:t>
      </w:r>
      <w:r>
        <w:rPr>
          <w:color w:val="808080"/>
        </w:rPr>
        <w:t>(werde)</w:t>
      </w:r>
      <w:r>
        <w:rPr/>
        <w:t xml:space="preserve"> ich erkennen, dass ich es besitzen werde?{{field-off:bible}} </w:t>
        <w:br/>
        <w:t>[[@BibleTOBIBLE:Ge 15:9]]</w:t>
      </w:r>
      <w:r>
        <w:rPr>
          <w:b/>
        </w:rPr>
        <w:t>9</w:t>
      </w:r>
      <w:r>
        <w:rPr/>
        <w:t xml:space="preserve"> {{field-on:bible}}Da sprach er zu ihm: bring mir eine dreijährige Färse</w:t>
      </w:r>
      <w:r>
        <w:rPr>
          <w:rStyle w:val="Funotenanker"/>
        </w:rPr>
        <w:footnoteReference w:customMarkFollows="1" w:id="323"/>
        <w:t>f</w:t>
      </w:r>
      <w:r>
        <w:rPr/>
        <w:t xml:space="preserve"> </w:t>
      </w:r>
      <w:r>
        <w:rPr>
          <w:strike/>
          <w:color w:val="808080"/>
        </w:rPr>
        <w:t>{und}</w:t>
      </w:r>
      <w:r>
        <w:rPr/>
        <w:t xml:space="preserve"> eine dreijährige Ziege </w:t>
      </w:r>
      <w:r>
        <w:rPr>
          <w:strike/>
          <w:color w:val="808080"/>
        </w:rPr>
        <w:t>{und}</w:t>
      </w:r>
      <w:r>
        <w:rPr/>
        <w:t xml:space="preserve"> einen Widder </w:t>
      </w:r>
      <w:r>
        <w:rPr>
          <w:strike/>
          <w:color w:val="808080"/>
        </w:rPr>
        <w:t>{und}</w:t>
      </w:r>
      <w:r>
        <w:rPr/>
        <w:t xml:space="preserve"> eine Turteltaube und eine Jungtaube.{{field-off:bible}} </w:t>
        <w:br/>
        <w:t>[[@BibleTOBIBLE:Ge 15:10]]</w:t>
      </w:r>
      <w:r>
        <w:rPr>
          <w:b/>
        </w:rPr>
        <w:t>10</w:t>
      </w:r>
      <w:r>
        <w:rPr/>
        <w:t xml:space="preserve"> {{field-on:bible}}Da brachte er ihm diese alle und er zerteilte sie in der Mitte und er legte jedes Teil gegenüber seinem Widerpart</w:t>
      </w:r>
      <w:r>
        <w:rPr>
          <w:rStyle w:val="Funotenanker"/>
        </w:rPr>
        <w:footnoteReference w:customMarkFollows="1" w:id="324"/>
        <w:t>g</w:t>
      </w:r>
      <w:r>
        <w:rPr/>
        <w:t xml:space="preserve">, aber die Vögel zerteilte er nicht.{{field-off:bible}} </w:t>
        <w:br/>
        <w:t>[[@BibleTOBIBLE:Ge 15:11]]</w:t>
      </w:r>
      <w:r>
        <w:rPr>
          <w:b/>
        </w:rPr>
        <w:t>11</w:t>
      </w:r>
      <w:r>
        <w:rPr/>
        <w:t xml:space="preserve"> {{field-on:bible}}Und als die Raubvögel</w:t>
      </w:r>
      <w:r>
        <w:rPr>
          <w:rStyle w:val="Funotenanker"/>
        </w:rPr>
        <w:footnoteReference w:customMarkFollows="1" w:id="325"/>
        <w:t>h</w:t>
      </w:r>
      <w:r>
        <w:rPr/>
        <w:t xml:space="preserve"> herabstießen auf die Kadaver, da verscheuchte sie Abram.{{field-off:bible}} </w:t>
        <w:br/>
        <w:t>[[@BibleTOBIBLE:Ge 15:12]]</w:t>
      </w:r>
      <w:r>
        <w:rPr>
          <w:b/>
        </w:rPr>
        <w:t>12</w:t>
      </w:r>
      <w:r>
        <w:rPr/>
        <w:t xml:space="preserve"> {{field-on:bible}}Und als die Sonne unterging </w:t>
      </w:r>
      <w:r>
        <w:rPr>
          <w:color w:val="808080"/>
        </w:rPr>
        <w:t>(am Untergehen war)</w:t>
      </w:r>
      <w:r>
        <w:rPr/>
        <w:t xml:space="preserve">, da fiel ein tiefer Schlaf auf Abram, und siehe!, ein Schrecken </w:t>
      </w:r>
      <w:r>
        <w:rPr>
          <w:b/>
          <w:color w:val="808080"/>
        </w:rPr>
        <w:t>[</w:t>
      </w:r>
      <w:r>
        <w:rPr/>
        <w:t>und</w:t>
      </w:r>
      <w:r>
        <w:rPr>
          <w:b/>
          <w:color w:val="808080"/>
        </w:rPr>
        <w:t>]</w:t>
      </w:r>
      <w:r>
        <w:rPr/>
        <w:t xml:space="preserve"> große Finsternis fielen auf ihn.{{field-off:bible}} </w:t>
        <w:br/>
        <w:t>[[@BibleTOBIBLE:Ge 15:13]]</w:t>
      </w:r>
      <w:r>
        <w:rPr>
          <w:b/>
        </w:rPr>
        <w:t>13</w:t>
      </w:r>
      <w:r>
        <w:rPr/>
        <w:t xml:space="preserve"> {{field-on:bible}}Da sprach er zu Abram: Du sollst wissen</w:t>
      </w:r>
      <w:r>
        <w:rPr>
          <w:rStyle w:val="Funotenanker"/>
        </w:rPr>
        <w:footnoteReference w:customMarkFollows="1" w:id="326"/>
        <w:t>i</w:t>
      </w:r>
      <w:r>
        <w:rPr/>
        <w:t xml:space="preserve">, dass deine Nachkommenschaft Fremdling sein wird in einem Land, das ihm nicht gehört </w:t>
      </w:r>
      <w:r>
        <w:rPr>
          <w:color w:val="808080"/>
        </w:rPr>
        <w:t>(nicht sein Land ist)</w:t>
      </w:r>
      <w:r>
        <w:rPr/>
        <w:t xml:space="preserve">. Und sie werden ihnen dienen, und sie werden von ihnen schlecht behandelt werden 400 Jahre </w:t>
      </w:r>
      <w:r>
        <w:rPr>
          <w:b/>
          <w:color w:val="808080"/>
        </w:rPr>
        <w:t>[</w:t>
      </w:r>
      <w:r>
        <w:rPr/>
        <w:t>lang</w:t>
      </w:r>
      <w:r>
        <w:rPr>
          <w:b/>
          <w:color w:val="808080"/>
        </w:rPr>
        <w:t>]</w:t>
      </w:r>
      <w:r>
        <w:rPr/>
        <w:t xml:space="preserve">.{{field-off:bible}} </w:t>
        <w:br/>
        <w:t>[[@BibleTOBIBLE:Ge 15:14]]</w:t>
      </w:r>
      <w:r>
        <w:rPr>
          <w:b/>
        </w:rPr>
        <w:t>14</w:t>
      </w:r>
      <w:r>
        <w:rPr/>
        <w:t xml:space="preserve"> {{field-on:bible}}Doch das Volk, dem sie gedient haben, strafe ich. Und hierauf werden sie ausziehen mit großen Gütern </w:t>
      </w:r>
      <w:r>
        <w:rPr>
          <w:color w:val="808080"/>
        </w:rPr>
        <w:t>(Habe, Besitz)</w:t>
      </w:r>
      <w:r>
        <w:rPr/>
        <w:t xml:space="preserve">.{{field-off:bible}} </w:t>
        <w:br/>
        <w:t>[[@BibleTOBIBLE:Ge 15:15]]</w:t>
      </w:r>
      <w:r>
        <w:rPr>
          <w:b/>
        </w:rPr>
        <w:t>15</w:t>
      </w:r>
      <w:r>
        <w:rPr/>
        <w:t xml:space="preserve"> {{field-on:bible}}Und du sollst </w:t>
      </w:r>
      <w:r>
        <w:rPr>
          <w:color w:val="808080"/>
        </w:rPr>
        <w:t>(wirst)</w:t>
      </w:r>
      <w:r>
        <w:rPr/>
        <w:t xml:space="preserve"> gehen zu deinen Vätern in Frieden. Und du wirst begraben werden in einem </w:t>
      </w:r>
      <w:r>
        <w:rPr>
          <w:color w:val="808080"/>
        </w:rPr>
        <w:t>(guten =)</w:t>
      </w:r>
      <w:r>
        <w:rPr/>
        <w:t xml:space="preserve"> hohen Alter.{{field-off:bible}} </w:t>
        <w:br/>
        <w:t>[[@BibleTOBIBLE:Ge 15:16]]</w:t>
      </w:r>
      <w:r>
        <w:rPr>
          <w:b/>
        </w:rPr>
        <w:t>16</w:t>
      </w:r>
      <w:r>
        <w:rPr/>
        <w:t xml:space="preserve"> {{field-on:bible}}Und </w:t>
      </w:r>
      <w:r>
        <w:rPr>
          <w:b/>
          <w:color w:val="808080"/>
        </w:rPr>
        <w:t>[</w:t>
      </w:r>
      <w:r>
        <w:rPr/>
        <w:t>erst</w:t>
      </w:r>
      <w:r>
        <w:rPr>
          <w:b/>
          <w:color w:val="808080"/>
        </w:rPr>
        <w:t>]</w:t>
      </w:r>
      <w:r>
        <w:rPr/>
        <w:t xml:space="preserve"> in der vierten Generation sollen </w:t>
      </w:r>
      <w:r>
        <w:rPr>
          <w:color w:val="808080"/>
        </w:rPr>
        <w:t>(werden)</w:t>
      </w:r>
      <w:r>
        <w:rPr/>
        <w:t xml:space="preserve"> sie hierher zurückkommen, denn nicht vollständig sind die Sünden der Amoriter bis jetzt.{{field-off:bible}} </w:t>
        <w:br/>
        <w:t>[[@BibleTOBIBLE:Ge 15:17]]</w:t>
      </w:r>
      <w:r>
        <w:rPr>
          <w:b/>
        </w:rPr>
        <w:t>17</w:t>
      </w:r>
      <w:r>
        <w:rPr/>
        <w:t xml:space="preserve"> {{field-on:bible}}Und als die Sonne untergegangen war, da </w:t>
      </w:r>
      <w:r>
        <w:rPr>
          <w:color w:val="808080"/>
        </w:rPr>
        <w:t>(geschah eine dichte Finsternis =)</w:t>
      </w:r>
      <w:r>
        <w:rPr/>
        <w:t xml:space="preserve"> wurde es sehr finster, und siehe!, ein rauchender Ofen und eine Feuerfackel, die ging zwischen diesen abgeschnittenen Stücken hin.{{field-off:bible}} </w:t>
        <w:br/>
        <w:t>[[@BibleTOBIBLE:Ge 15:18]]</w:t>
      </w:r>
      <w:r>
        <w:rPr>
          <w:b/>
        </w:rPr>
        <w:t>18</w:t>
      </w:r>
      <w:r>
        <w:rPr/>
        <w:t xml:space="preserve"> {{field-on:bible}}An diesem Tag schloss </w:t>
      </w:r>
      <w:r>
        <w:rPr>
          <w:smallCaps/>
          <w:color w:val="FF0000"/>
        </w:rPr>
        <w:t>JHWH</w:t>
      </w:r>
      <w:r>
        <w:rPr/>
        <w:t xml:space="preserve"> mit Abram einen Bund </w:t>
      </w:r>
      <w:r>
        <w:rPr>
          <w:strike/>
          <w:color w:val="808080"/>
        </w:rPr>
        <w:t>{sprechend}</w:t>
      </w:r>
      <w:r>
        <w:rPr/>
        <w:t xml:space="preserve">: Deinen Nachkommen habe ich dies Land gegeben vom Fluss Ägyptens bis zum großen Fluss, dem Fluss Eufrat:{{field-off:bible}} </w:t>
        <w:br/>
        <w:t>[[@BibleTOBIBLE:Ge 15:19]]</w:t>
      </w:r>
      <w:r>
        <w:rPr>
          <w:b/>
        </w:rPr>
        <w:t>19</w:t>
      </w:r>
      <w:r>
        <w:rPr/>
        <w:t xml:space="preserve"> {{field-on:bible}}Die Keniter </w:t>
      </w:r>
      <w:r>
        <w:rPr>
          <w:strike/>
          <w:color w:val="808080"/>
        </w:rPr>
        <w:t>{und}</w:t>
      </w:r>
      <w:r>
        <w:rPr/>
        <w:t xml:space="preserve"> die Kenisiter </w:t>
      </w:r>
      <w:r>
        <w:rPr>
          <w:strike/>
          <w:color w:val="808080"/>
        </w:rPr>
        <w:t>{und}</w:t>
      </w:r>
      <w:r>
        <w:rPr/>
        <w:t xml:space="preserve"> die Kadmonäer{{field-off:bible}} </w:t>
        <w:br/>
        <w:t>[[@BibleTOBIBLE:Ge 15:20]]</w:t>
      </w:r>
      <w:r>
        <w:rPr>
          <w:b/>
        </w:rPr>
        <w:t>20</w:t>
      </w:r>
      <w:r>
        <w:rPr/>
        <w:t xml:space="preserve"> {{field-on:bible}} </w:t>
      </w:r>
      <w:r>
        <w:rPr>
          <w:strike/>
          <w:color w:val="808080"/>
        </w:rPr>
        <w:t>{und}</w:t>
      </w:r>
      <w:r>
        <w:rPr/>
        <w:t xml:space="preserve"> die Hittiter </w:t>
      </w:r>
      <w:r>
        <w:rPr>
          <w:strike/>
          <w:color w:val="808080"/>
        </w:rPr>
        <w:t>{und}</w:t>
      </w:r>
      <w:r>
        <w:rPr/>
        <w:t xml:space="preserve"> die Perisiter </w:t>
      </w:r>
      <w:r>
        <w:rPr>
          <w:strike/>
          <w:color w:val="808080"/>
        </w:rPr>
        <w:t>{und}</w:t>
      </w:r>
      <w:r>
        <w:rPr/>
        <w:t xml:space="preserve"> die Refaiter{{field-off:bible}} </w:t>
        <w:br/>
        <w:t>[[@BibleTOBIBLE:Ge 15:21]]</w:t>
      </w:r>
      <w:r>
        <w:rPr>
          <w:b/>
        </w:rPr>
        <w:t>21</w:t>
      </w:r>
      <w:r>
        <w:rPr/>
        <w:t xml:space="preserve"> {{field-on:bible}} </w:t>
      </w:r>
      <w:r>
        <w:rPr>
          <w:strike/>
          <w:color w:val="808080"/>
        </w:rPr>
        <w:t>{und}</w:t>
      </w:r>
      <w:r>
        <w:rPr/>
        <w:t xml:space="preserve"> die Ammoniter </w:t>
      </w:r>
      <w:r>
        <w:rPr>
          <w:strike/>
          <w:color w:val="808080"/>
        </w:rPr>
        <w:t>{und}</w:t>
      </w:r>
      <w:r>
        <w:rPr/>
        <w:t xml:space="preserve"> die Kanaaniter </w:t>
      </w:r>
      <w:r>
        <w:rPr>
          <w:strike/>
          <w:color w:val="808080"/>
        </w:rPr>
        <w:t>{und}</w:t>
      </w:r>
      <w:r>
        <w:rPr/>
        <w:t xml:space="preserve"> die Girgasiter und die Jebusiter.{{field-off:bible}}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327"/>
        <w:t>Status</w:t>
      </w:r>
      <w:r>
        <w:rPr/>
        <w:t xml:space="preserve"> Und Sarai, die Frau Abrams, gebar nicht für ihn. Und sie hatte eine ägyptische Sklavin und </w:t>
      </w:r>
      <w:r>
        <w:rPr>
          <w:color w:val="808080"/>
        </w:rPr>
        <w:t>(ihr Name war =)</w:t>
      </w:r>
      <w:r>
        <w:rPr/>
        <w:t xml:space="preserve">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w:t>
      </w:r>
      <w:r>
        <w:rPr>
          <w:rStyle w:val="Funotenanker"/>
        </w:rPr>
        <w:footnoteReference w:customMarkFollows="1" w:id="328"/>
        <w:t>a</w:t>
      </w:r>
      <w:r>
        <w:rPr/>
        <w:t xml:space="preserve"> doch mit meiner Sklavin, vielleicht erhalte ich ein Kind durch sie. Und Abram hörte auf die Stimme Sarais.{{field-off:bible}} </w:t>
        <w:br/>
        <w:t>[[@BibleTOBIBLE:Ge 16:3]]</w:t>
      </w:r>
      <w:r>
        <w:rPr>
          <w:b/>
        </w:rPr>
        <w:t>3</w:t>
      </w:r>
      <w:r>
        <w:rPr/>
        <w:t xml:space="preserve"> {{field-on:bible}}Und Sarai, die Frau Abrams, nahm Hagar, ihre ägyptische Sklavin, am Ende von zehn Jahren, die</w:t>
      </w:r>
      <w:r>
        <w:rPr>
          <w:rStyle w:val="Funotenanker"/>
        </w:rPr>
        <w:footnoteReference w:customMarkFollows="1" w:id="329"/>
        <w:t>b</w:t>
      </w:r>
      <w:r>
        <w:rPr/>
        <w:t xml:space="preserve"> Abram im Land Kanaan gewohnt hatte. Und sie gab sie Abram, ihrem Mann, zur Frau.{{field-off:bible}} </w:t>
        <w:br/>
        <w:t>[[@BibleTOBIBLE:Ge 16:4]]</w:t>
      </w:r>
      <w:r>
        <w:rPr>
          <w:b/>
        </w:rPr>
        <w:t>4</w:t>
      </w:r>
      <w:r>
        <w:rPr/>
        <w:t xml:space="preserve"> {{field-on:bible}}Da schlief</w:t>
      </w:r>
      <w:r>
        <w:rPr>
          <w:rStyle w:val="Funotenanker"/>
        </w:rPr>
        <w:footnoteReference w:customMarkFollows="1" w:id="330"/>
        <w:t>c</w:t>
      </w:r>
      <w:r>
        <w:rPr/>
        <w:t xml:space="preserve"> er mit Hagar und sie wurde schwanger. Als sie aber bemerkte </w:t>
      </w:r>
      <w:r>
        <w:rPr>
          <w:color w:val="808080"/>
        </w:rPr>
        <w:t>(sah)</w:t>
      </w:r>
      <w:r>
        <w:rPr/>
        <w:t xml:space="preserve">, dass sie empfangen hatte, da war ihre Herrin verachtet </w:t>
      </w:r>
      <w:r>
        <w:rPr>
          <w:color w:val="808080"/>
        </w:rPr>
        <w:t>(gering geschätzt)</w:t>
      </w:r>
      <w:r>
        <w:rPr/>
        <w:t xml:space="preserve"> in ihren Augen.{{field-off:bible}} </w:t>
        <w:br/>
        <w:t>[[@BibleTOBIBLE:Ge 16:5]]</w:t>
      </w:r>
      <w:r>
        <w:rPr>
          <w:b/>
        </w:rPr>
        <w:t>5</w:t>
      </w:r>
      <w:r>
        <w:rPr/>
        <w:t xml:space="preserve"> {{field-on:bible}}Da sagte Sarai zu Abram: das mir zugefügte Leid</w:t>
      </w:r>
      <w:r>
        <w:rPr>
          <w:rStyle w:val="Funotenanker"/>
        </w:rPr>
        <w:footnoteReference w:customMarkFollows="1" w:id="331"/>
        <w:t>d</w:t>
      </w:r>
      <w:r>
        <w:rPr/>
        <w:t xml:space="preserve"> </w:t>
      </w:r>
      <w:r>
        <w:rPr>
          <w:b/>
          <w:color w:val="808080"/>
        </w:rPr>
        <w:t>[</w:t>
      </w:r>
      <w:r>
        <w:rPr/>
        <w:t>komme</w:t>
      </w:r>
      <w:r>
        <w:rPr>
          <w:b/>
          <w:color w:val="808080"/>
        </w:rPr>
        <w:t>]</w:t>
      </w:r>
      <w:r>
        <w:rPr/>
        <w:t xml:space="preserve"> über dich! Ich gab dir meine Sklavin in deinen Schoß. Doch als</w:t>
      </w:r>
      <w:r>
        <w:rPr>
          <w:rStyle w:val="Funotenanker"/>
        </w:rPr>
        <w:footnoteReference w:customMarkFollows="1" w:id="332"/>
        <w:t>e</w:t>
      </w:r>
      <w:r>
        <w:rPr/>
        <w:t xml:space="preserve"> sie sah, dass sie empfangen hatte, da wurde ich verachtet </w:t>
      </w:r>
      <w:r>
        <w:rPr>
          <w:color w:val="808080"/>
        </w:rPr>
        <w:t>(gering geschätzt)</w:t>
      </w:r>
      <w:r>
        <w:rPr/>
        <w:t xml:space="preserve"> in ihren Augen. </w:t>
      </w:r>
      <w:r>
        <w:rPr>
          <w:smallCaps/>
          <w:color w:val="FF0000"/>
        </w:rPr>
        <w:t>JHWH</w:t>
      </w:r>
      <w:r>
        <w:rPr/>
        <w:t xml:space="preserve"> möge richten</w:t>
      </w:r>
      <w:r>
        <w:rPr>
          <w:rStyle w:val="Funotenanker"/>
        </w:rPr>
        <w:footnoteReference w:customMarkFollows="1" w:id="333"/>
        <w:t>f</w:t>
      </w:r>
      <w:r>
        <w:rPr/>
        <w:t xml:space="preserve"> zwischen mir und </w:t>
      </w:r>
      <w:r>
        <w:rPr>
          <w:strike/>
          <w:color w:val="808080"/>
        </w:rPr>
        <w:t>{zwischen}</w:t>
      </w:r>
      <w:r>
        <w:rPr/>
        <w:t xml:space="preserve"> dir.{{field-off:bible}} </w:t>
        <w:br/>
        <w:t>[[@BibleTOBIBLE:Ge 16:6]]</w:t>
      </w:r>
      <w:r>
        <w:rPr>
          <w:b/>
        </w:rPr>
        <w:t>6</w:t>
      </w:r>
      <w:r>
        <w:rPr/>
        <w:t xml:space="preserve"> {{field-on:bible}}Da sagte Abram zu Sarai: Siehe, deine Magd ist in deiner Hand. Tu ihr was gut ist </w:t>
      </w:r>
      <w:r>
        <w:rPr>
          <w:color w:val="808080"/>
        </w:rPr>
        <w:t>(das Gute)</w:t>
      </w:r>
      <w:r>
        <w:rPr/>
        <w:t xml:space="preserve"> in deinen Augen. Da demütigte </w:t>
      </w:r>
      <w:r>
        <w:rPr>
          <w:color w:val="808080"/>
        </w:rPr>
        <w:t>(erniedrigte, behandelte schlecht)</w:t>
      </w:r>
      <w:r>
        <w:rPr/>
        <w:t xml:space="preserve"> Sarai sie, und sie brannte durch</w:t>
      </w:r>
      <w:r>
        <w:rPr>
          <w:rStyle w:val="Funotenanker"/>
        </w:rPr>
        <w:footnoteReference w:customMarkFollows="1" w:id="334"/>
        <w:t>g</w:t>
      </w:r>
      <w:r>
        <w:rPr/>
        <w:t xml:space="preserve"> </w:t>
      </w:r>
      <w:r>
        <w:rPr>
          <w:color w:val="808080"/>
        </w:rPr>
        <w:t>(floh)</w:t>
      </w:r>
      <w:r>
        <w:rPr/>
        <w:t xml:space="preserve"> </w:t>
      </w:r>
      <w:r>
        <w:rPr>
          <w:color w:val="808080"/>
        </w:rPr>
        <w:t>(von ihrem Angesicht =)</w:t>
      </w:r>
      <w:r>
        <w:rPr/>
        <w:t xml:space="preserve"> vor ihr.{{field-off:bible}} </w:t>
        <w:br/>
        <w:t>[[@BibleTOBIBLE:Ge 16:7]]</w:t>
      </w:r>
      <w:r>
        <w:rPr>
          <w:b/>
        </w:rPr>
        <w:t>7</w:t>
      </w:r>
      <w:r>
        <w:rPr/>
        <w:t xml:space="preserve"> {{field-on:bible}}Und der Bote </w:t>
      </w:r>
      <w:r>
        <w:rPr>
          <w:smallCaps/>
          <w:color w:val="FF0000"/>
        </w:rPr>
        <w:t>JHWH</w:t>
      </w:r>
      <w:r>
        <w:rPr/>
        <w:t xml:space="preserve">s fand sie an einem Wasserbrunnen </w:t>
      </w:r>
      <w:r>
        <w:rPr>
          <w:color w:val="808080"/>
        </w:rPr>
        <w:t>(einer Wasserquelle)</w:t>
      </w:r>
      <w:r>
        <w:rPr/>
        <w:t xml:space="preserve"> in der Wüste, am Brunnen </w:t>
      </w:r>
      <w:r>
        <w:rPr>
          <w:color w:val="808080"/>
        </w:rPr>
        <w:t>(an der Quelle)</w:t>
      </w:r>
      <w:r>
        <w:rPr/>
        <w:t xml:space="preserve"> auf dem Weg nach Schur.{{field-off:bible}} </w:t>
        <w:br/>
        <w:t>[[@BibleTOBIBLE:Ge 16:8]]</w:t>
      </w:r>
      <w:r>
        <w:rPr>
          <w:b/>
        </w:rPr>
        <w:t>8</w:t>
      </w:r>
      <w:r>
        <w:rPr/>
        <w:t xml:space="preserve"> {{field-on:bible}}Und er sprach </w:t>
      </w:r>
      <w:r>
        <w:rPr>
          <w:color w:val="808080"/>
        </w:rPr>
        <w:t>(Da sprach er)</w:t>
      </w:r>
      <w:r>
        <w:rPr/>
        <w:t xml:space="preserve">: Hagar, Magd der Sarai </w:t>
      </w:r>
      <w:r>
        <w:rPr>
          <w:color w:val="808080"/>
        </w:rPr>
        <w:t>(Sarais Magd)</w:t>
      </w:r>
      <w:r>
        <w:rPr/>
        <w:t>, woher kommst? Und wohin gehst du? Sie aber</w:t>
      </w:r>
      <w:r>
        <w:rPr>
          <w:rStyle w:val="Funotenanker"/>
        </w:rPr>
        <w:footnoteReference w:customMarkFollows="1" w:id="335"/>
        <w:t>h</w:t>
      </w:r>
      <w:r>
        <w:rPr/>
        <w:t xml:space="preserve"> sprach: </w:t>
      </w:r>
      <w:r>
        <w:rPr>
          <w:color w:val="808080"/>
        </w:rPr>
        <w:t>(Von dem Angesicht =)</w:t>
      </w:r>
      <w:r>
        <w:rPr/>
        <w:t xml:space="preserve"> Vor Sarai, meiner Herrin, bin ich durchgebrannt </w:t>
      </w:r>
      <w:r>
        <w:rPr>
          <w:color w:val="808080"/>
        </w:rPr>
        <w:t>(geflohen)</w:t>
      </w:r>
      <w:r>
        <w:rPr/>
        <w:t xml:space="preserve">.{{field-off:bible}} </w:t>
        <w:br/>
        <w:t>[[@BibleTOBIBLE:Ge 16:9]]</w:t>
      </w:r>
      <w:r>
        <w:rPr>
          <w:b/>
        </w:rPr>
        <w:t>9</w:t>
      </w:r>
      <w:r>
        <w:rPr/>
        <w:t xml:space="preserve"> {{field-on:bible}}Da sprach zu ihr der Bote </w:t>
      </w:r>
      <w:r>
        <w:rPr>
          <w:smallCaps/>
          <w:color w:val="FF0000"/>
        </w:rPr>
        <w:t>JHWH</w:t>
      </w:r>
      <w:r>
        <w:rPr/>
        <w:t xml:space="preserve">s: Kehre zurück zu deiner Herrin und beuge dich unter ihre Hände!{{field-off:bible}} </w:t>
        <w:br/>
        <w:t>[[@BibleTOBIBLE:Ge 16:10]]</w:t>
      </w:r>
      <w:r>
        <w:rPr>
          <w:b/>
        </w:rPr>
        <w:t>10</w:t>
      </w:r>
      <w:r>
        <w:rPr/>
        <w:t xml:space="preserve"> {{field-on:bible}}Und es sprach zu ihr der Bote </w:t>
      </w:r>
      <w:r>
        <w:rPr>
          <w:smallCaps/>
          <w:color w:val="FF0000"/>
        </w:rPr>
        <w:t>JHWH</w:t>
      </w:r>
      <w:r>
        <w:rPr/>
        <w:t>s: überaus zahlreich</w:t>
      </w:r>
      <w:r>
        <w:rPr>
          <w:rStyle w:val="Funotenanker"/>
        </w:rPr>
        <w:footnoteReference w:customMarkFollows="1" w:id="336"/>
        <w:t>i</w:t>
      </w:r>
      <w:r>
        <w:rPr/>
        <w:t xml:space="preserve"> werde ich deine Nachkommen machen, dass sie wegen der Menge nicht zu zählen sind.{{field-off:bible}} </w:t>
        <w:br/>
        <w:t>[[@BibleTOBIBLE:Ge 16:11]]</w:t>
      </w:r>
      <w:r>
        <w:rPr>
          <w:b/>
        </w:rPr>
        <w:t>11</w:t>
      </w:r>
      <w:r>
        <w:rPr/>
        <w:t xml:space="preserve"> {{field-on:bible}}Und es sprach zu ihr der Bote </w:t>
      </w:r>
      <w:r>
        <w:rPr>
          <w:smallCaps/>
          <w:color w:val="FF0000"/>
        </w:rPr>
        <w:t>JHWH</w:t>
      </w:r>
      <w:r>
        <w:rPr/>
        <w:t xml:space="preserve">s: </w:t>
        <w:br/>
        <w:t xml:space="preserve">Sieh! du bist schwanger und du wirst einen Sohn gebären </w:t>
        <w:br/>
        <w:t xml:space="preserve">und du sollst </w:t>
      </w:r>
      <w:r>
        <w:rPr>
          <w:color w:val="808080"/>
        </w:rPr>
        <w:t>(wirst)</w:t>
      </w:r>
      <w:r>
        <w:rPr/>
        <w:t xml:space="preserve"> ihn Ismael nennen</w:t>
      </w:r>
      <w:r>
        <w:rPr>
          <w:rStyle w:val="Funotenanker"/>
        </w:rPr>
        <w:footnoteReference w:customMarkFollows="1" w:id="337"/>
        <w:t>j</w:t>
      </w:r>
      <w:r>
        <w:rPr/>
        <w:t xml:space="preserve">, </w:t>
        <w:br/>
        <w:t xml:space="preserve">denn </w:t>
      </w:r>
      <w:r>
        <w:rPr>
          <w:smallCaps/>
          <w:color w:val="FF0000"/>
        </w:rPr>
        <w:t>JHWH</w:t>
      </w:r>
      <w:r>
        <w:rPr/>
        <w:t xml:space="preserve"> hat auf dein Leiden </w:t>
      </w:r>
      <w:r>
        <w:rPr>
          <w:color w:val="808080"/>
        </w:rPr>
        <w:t>(Elend)</w:t>
      </w:r>
      <w:r>
        <w:rPr/>
        <w:t xml:space="preserve"> gehört.</w:t>
        <w:br/>
        <w:t xml:space="preserve">{{field-off:bible}} </w:t>
        <w:br/>
        <w:t>[[@BibleTOBIBLE:Ge 16:12]]</w:t>
      </w:r>
      <w:r>
        <w:rPr>
          <w:b/>
        </w:rPr>
        <w:t>12</w:t>
      </w:r>
      <w:r>
        <w:rPr/>
        <w:t xml:space="preserve"> {{field-on:bible}} </w:t>
        <w:br/>
        <w:t>Und er wird ein Wildmensch</w:t>
      </w:r>
      <w:r>
        <w:rPr>
          <w:rStyle w:val="Funotenanker"/>
        </w:rPr>
        <w:footnoteReference w:customMarkFollows="1" w:id="338"/>
        <w:t>k</w:t>
      </w:r>
      <w:r>
        <w:rPr/>
        <w:t xml:space="preserve"> sein, </w:t>
        <w:br/>
        <w:t>seine Hand gegen alle, und aller Hände gegen ihn</w:t>
      </w:r>
      <w:r>
        <w:rPr>
          <w:rStyle w:val="Funotenanker"/>
        </w:rPr>
        <w:footnoteReference w:customMarkFollows="1" w:id="339"/>
        <w:t>l</w:t>
      </w:r>
      <w:r>
        <w:rPr/>
        <w:t xml:space="preserve">, </w:t>
        <w:br/>
        <w:t xml:space="preserve">und vor </w:t>
      </w:r>
      <w:r>
        <w:rPr>
          <w:strike/>
          <w:color w:val="808080"/>
        </w:rPr>
        <w:t>{das Gesicht}</w:t>
      </w:r>
      <w:r>
        <w:rPr/>
        <w:t xml:space="preserve"> allen seinen Brüdern</w:t>
      </w:r>
      <w:r>
        <w:rPr>
          <w:rStyle w:val="Funotenanker"/>
        </w:rPr>
        <w:footnoteReference w:customMarkFollows="1" w:id="340"/>
        <w:t>m</w:t>
      </w:r>
      <w:r>
        <w:rPr/>
        <w:t xml:space="preserve"> wird er wohnen.</w:t>
        <w:br/>
        <w:t xml:space="preserve">{{field-off:bible}} </w:t>
        <w:br/>
        <w:t>[[@BibleTOBIBLE:Ge 16:13]]</w:t>
      </w:r>
      <w:r>
        <w:rPr>
          <w:b/>
        </w:rPr>
        <w:t>13</w:t>
      </w:r>
      <w:r>
        <w:rPr/>
        <w:t xml:space="preserve"> {{field-on:bible}}Da </w:t>
      </w:r>
      <w:r>
        <w:rPr>
          <w:color w:val="808080"/>
        </w:rPr>
        <w:t>(rief =)</w:t>
      </w:r>
      <w:r>
        <w:rPr/>
        <w:t xml:space="preserve"> nannte sie den Namen </w:t>
      </w:r>
      <w:r>
        <w:rPr>
          <w:smallCaps/>
          <w:color w:val="FF0000"/>
        </w:rPr>
        <w:t>JHWH</w:t>
      </w:r>
      <w:r>
        <w:rPr/>
        <w:t>s, der</w:t>
      </w:r>
      <w:r>
        <w:rPr>
          <w:rStyle w:val="Funotenanker"/>
        </w:rPr>
        <w:footnoteReference w:customMarkFollows="1" w:id="341"/>
        <w:t>n</w:t>
      </w:r>
      <w:r>
        <w:rPr/>
        <w:t xml:space="preserve"> geredet hatte mit ihr: Du bist „El-Roi“ </w:t>
      </w:r>
      <w:r>
        <w:rPr>
          <w:color w:val="808080"/>
        </w:rPr>
        <w:t>(Der Gott, der mich sieht)</w:t>
      </w:r>
      <w:r>
        <w:rPr/>
        <w:t xml:space="preserve">. Denn sie fragte </w:t>
      </w:r>
      <w:r>
        <w:rPr>
          <w:b/>
          <w:color w:val="808080"/>
        </w:rPr>
        <w:t>[</w:t>
      </w:r>
      <w:r>
        <w:rPr/>
        <w:t>sich</w:t>
      </w:r>
      <w:r>
        <w:rPr>
          <w:b/>
          <w:color w:val="808080"/>
        </w:rPr>
        <w:t>]</w:t>
      </w:r>
      <w:r>
        <w:rPr/>
        <w:t xml:space="preserve"> </w:t>
      </w:r>
      <w:r>
        <w:rPr>
          <w:color w:val="808080"/>
        </w:rPr>
        <w:t>(sagte)</w:t>
      </w:r>
      <w:r>
        <w:rPr/>
        <w:t xml:space="preserve">: Ob ich auch hier hinter dem her gesehen habe, der mich sieht?{{field-off:bible}} </w:t>
        <w:br/>
        <w:t>[[@BibleTOBIBLE:Ge 16:14]]</w:t>
      </w:r>
      <w:r>
        <w:rPr>
          <w:b/>
        </w:rPr>
        <w:t>14</w:t>
      </w:r>
      <w:r>
        <w:rPr/>
        <w:t xml:space="preserve"> {{field-on:bible}}Darum nennt man den Brunnen „Beer-Lachaj-Roi“ </w:t>
      </w:r>
      <w:r>
        <w:rPr>
          <w:color w:val="808080"/>
        </w:rPr>
        <w:t>(Brunnen des Lebendigen, der mich sieht)</w:t>
      </w:r>
      <w:r>
        <w:rPr/>
        <w:t>. Siehe</w:t>
      </w:r>
      <w:r>
        <w:rPr>
          <w:rStyle w:val="Funotenanker"/>
        </w:rPr>
        <w:footnoteReference w:customMarkFollows="1" w:id="342"/>
        <w:t>o</w:t>
      </w:r>
      <w:r>
        <w:rPr/>
        <w:t xml:space="preserve">, er liegt zwischen Kadesch und Bered.{{field-off:bible}} </w:t>
        <w:br/>
        <w:t>[[@BibleTOBIBLE:Ge 16:15]]</w:t>
      </w:r>
      <w:r>
        <w:rPr>
          <w:b/>
        </w:rPr>
        <w:t>15</w:t>
      </w:r>
      <w:r>
        <w:rPr/>
        <w:t xml:space="preserve"> {{field-on:bible}}Und Hagar gebar dem Abram einen Sohn. Und Abram </w:t>
      </w:r>
      <w:r>
        <w:rPr>
          <w:color w:val="808080"/>
        </w:rPr>
        <w:t>(rief den Namen des Sohnes =)</w:t>
      </w:r>
      <w:r>
        <w:rPr/>
        <w:t xml:space="preserve"> nannte den Sohn, den ihm Hagar geboren hatte, Ismael.{{field-off:bible}} </w:t>
        <w:br/>
        <w:t>[[@BibleTOBIBLE:Ge 16:16]]</w:t>
      </w:r>
      <w:r>
        <w:rPr>
          <w:b/>
        </w:rPr>
        <w:t>16</w:t>
      </w:r>
      <w:r>
        <w:rPr/>
        <w:t xml:space="preserve"> {{field-on:bible}}Und Abram war 86 Jahre alt, als Hagar Ismael dem Abram gebar.{{field-off:bible}} </w:t>
      </w:r>
    </w:p>
    <w:p>
      <w:pPr>
        <w:pStyle w:val="Berschrift3"/>
        <w:rPr/>
      </w:pPr>
      <w:r>
        <w:rPr/>
        <w:t>[[@BibleTOBIBLE:Ge 17]]Kapitel 17</w:t>
      </w:r>
    </w:p>
    <w:p>
      <w:pPr>
        <w:pStyle w:val="Textkrper"/>
        <w:rPr/>
      </w:pPr>
      <w:r>
        <w:rPr/>
        <w:br/>
        <w:t>[[@BibleTOBIBLE:Ge 17:1]]</w:t>
      </w:r>
      <w:r>
        <w:rPr>
          <w:b/>
        </w:rPr>
        <w:t>1</w:t>
      </w:r>
      <w:r>
        <w:rPr/>
        <w:t xml:space="preserve"> {{field-on:bible}} </w:t>
      </w:r>
      <w:r>
        <w:rPr>
          <w:rStyle w:val="Funotenanker"/>
        </w:rPr>
        <w:footnoteReference w:customMarkFollows="1" w:id="343"/>
        <w:t>Status</w:t>
      </w:r>
      <w:r>
        <w:rPr/>
        <w:t xml:space="preserve"> Und Abram war 99 Jahre </w:t>
      </w:r>
      <w:r>
        <w:rPr>
          <w:b/>
          <w:color w:val="808080"/>
        </w:rPr>
        <w:t>[</w:t>
      </w:r>
      <w:r>
        <w:rPr/>
        <w:t>alt</w:t>
      </w:r>
      <w:r>
        <w:rPr>
          <w:b/>
          <w:color w:val="808080"/>
        </w:rPr>
        <w:t>]</w:t>
      </w:r>
      <w:r>
        <w:rPr/>
        <w:t xml:space="preserve">, da erschien </w:t>
      </w:r>
      <w:r>
        <w:rPr>
          <w:smallCaps/>
          <w:color w:val="FF0000"/>
        </w:rPr>
        <w:t>JHWH</w:t>
      </w:r>
      <w:r>
        <w:rPr/>
        <w:t xml:space="preserve"> dem Abram. Und er sprach </w:t>
      </w:r>
      <w:r>
        <w:rPr>
          <w:color w:val="808080"/>
        </w:rPr>
        <w:t>(da sprach er)</w:t>
      </w:r>
      <w:r>
        <w:rPr/>
        <w:t xml:space="preserve"> zu ihm: ich bin „El Schaddai“</w:t>
      </w:r>
      <w:r>
        <w:rPr>
          <w:rStyle w:val="Funotenanker"/>
        </w:rPr>
        <w:footnoteReference w:customMarkFollows="1" w:id="344"/>
        <w:t>a</w:t>
      </w:r>
      <w:r>
        <w:rPr/>
        <w:t xml:space="preserve"> Hab Gemeinschaft mit mir</w:t>
      </w:r>
      <w:r>
        <w:rPr>
          <w:rStyle w:val="Funotenanker"/>
        </w:rPr>
        <w:footnoteReference w:customMarkFollows="1" w:id="345"/>
        <w:t>b</w:t>
      </w:r>
      <w:r>
        <w:rPr/>
        <w:t xml:space="preserve"> und sei vollkommen </w:t>
      </w:r>
      <w:r>
        <w:rPr>
          <w:color w:val="808080"/>
        </w:rPr>
        <w:t>(fehlerfrei)</w:t>
      </w:r>
      <w:r>
        <w:rPr/>
        <w:t xml:space="preserve">.{{field-off:bible}} </w:t>
        <w:br/>
        <w:t>[[@BibleTOBIBLE:Ge 17:2]]</w:t>
      </w:r>
      <w:r>
        <w:rPr>
          <w:b/>
        </w:rPr>
        <w:t>2</w:t>
      </w:r>
      <w:r>
        <w:rPr/>
        <w:t xml:space="preserve"> {{field-on:bible}}Und ich werde festsetzen </w:t>
      </w:r>
      <w:r>
        <w:rPr>
          <w:color w:val="808080"/>
        </w:rPr>
        <w:t>(geben, schenken)</w:t>
      </w:r>
      <w:r>
        <w:rPr/>
        <w:t xml:space="preserve"> meinen Bund zwischen mir und </w:t>
      </w:r>
      <w:r>
        <w:rPr>
          <w:strike/>
          <w:color w:val="808080"/>
        </w:rPr>
        <w:t>{zwischen}</w:t>
      </w:r>
      <w:r>
        <w:rPr/>
        <w:t xml:space="preserve"> dir. Und ich werde dich zahlreich </w:t>
      </w:r>
      <w:r>
        <w:rPr>
          <w:color w:val="808080"/>
        </w:rPr>
        <w:t>(groß)</w:t>
      </w:r>
      <w:r>
        <w:rPr/>
        <w:t xml:space="preserve"> machen im höchsten Grade </w:t>
      </w:r>
      <w:r>
        <w:rPr>
          <w:color w:val="808080"/>
        </w:rPr>
        <w:t>(überaus)</w:t>
      </w:r>
      <w:r>
        <w:rPr/>
        <w:t xml:space="preserve">.{{field-off:bible}} </w:t>
        <w:br/>
        <w:t>[[@BibleTOBIBLE:Ge 17:3]]</w:t>
      </w:r>
      <w:r>
        <w:rPr>
          <w:b/>
        </w:rPr>
        <w:t>3</w:t>
      </w:r>
      <w:r>
        <w:rPr/>
        <w:t xml:space="preserve"> {{field-on:bible}}Da fiel Abram auf sein Angesicht. Da sprach Gott zu ihm </w:t>
      </w:r>
      <w:r>
        <w:rPr>
          <w:strike/>
          <w:color w:val="808080"/>
        </w:rPr>
        <w:t>{folgendermaßen}</w:t>
      </w:r>
      <w:r>
        <w:rPr/>
        <w:t xml:space="preserve">:{{field-off:bible}} </w:t>
        <w:br/>
        <w:t>[[@BibleTOBIBLE:Ge 17:4]]</w:t>
      </w:r>
      <w:r>
        <w:rPr>
          <w:b/>
        </w:rPr>
        <w:t>4</w:t>
      </w:r>
      <w:r>
        <w:rPr/>
        <w:t xml:space="preserve"> {{field-on:bible}}Ich, siehe, </w:t>
      </w:r>
      <w:r>
        <w:rPr>
          <w:b/>
          <w:color w:val="808080"/>
        </w:rPr>
        <w:t>[</w:t>
      </w:r>
      <w:r>
        <w:rPr/>
        <w:t>schließe, habe</w:t>
      </w:r>
      <w:r>
        <w:rPr>
          <w:b/>
          <w:color w:val="808080"/>
        </w:rPr>
        <w:t>]</w:t>
      </w:r>
      <w:r>
        <w:rPr/>
        <w:t xml:space="preserve"> meinen Bund mit dir</w:t>
      </w:r>
      <w:r>
        <w:rPr>
          <w:rStyle w:val="Funotenanker"/>
        </w:rPr>
        <w:footnoteReference w:customMarkFollows="1" w:id="346"/>
        <w:t>c</w:t>
      </w:r>
      <w:r>
        <w:rPr/>
        <w:t xml:space="preserve"> und du wirst zum Vater einer lärmenden Menge von Völkern.{{field-off:bible}} </w:t>
        <w:br/>
        <w:t>[[@BibleTOBIBLE:Ge 17:5]]</w:t>
      </w:r>
      <w:r>
        <w:rPr>
          <w:b/>
        </w:rPr>
        <w:t>5</w:t>
      </w:r>
      <w:r>
        <w:rPr/>
        <w:t xml:space="preserve"> {{field-on:bible}}Und dein Name soll nicht mehr „Abram“ genannt werden, sondern dein Name soll sein „Abraham“</w:t>
      </w:r>
      <w:r>
        <w:rPr>
          <w:rStyle w:val="Funotenanker"/>
        </w:rPr>
        <w:footnoteReference w:customMarkFollows="1" w:id="347"/>
        <w:t>d</w:t>
      </w:r>
      <w:r>
        <w:rPr/>
        <w:t xml:space="preserve">, denn ich habe dich zum Vater einer lärmenden Menge von Völkern gemacht.{{field-off:bible}} </w:t>
        <w:br/>
        <w:t>[[@BibleTOBIBLE:Ge 17:6]]</w:t>
      </w:r>
      <w:r>
        <w:rPr>
          <w:b/>
        </w:rPr>
        <w:t>6</w:t>
      </w:r>
      <w:r>
        <w:rPr/>
        <w:t xml:space="preserve"> {{field-on:bible}}Und ich werde dich überaus </w:t>
      </w:r>
      <w:r>
        <w:rPr>
          <w:color w:val="808080"/>
        </w:rPr>
        <w:t>(über die Maßen)</w:t>
      </w:r>
      <w:r>
        <w:rPr/>
        <w:t xml:space="preserve"> fruchtbar machen, und ich mache dich zu Völkern, und Könige werden aus dir hervorgehen.{{field-off:bible}} </w:t>
        <w:br/>
        <w:t>[[@BibleTOBIBLE:Ge 17:7]]</w:t>
      </w:r>
      <w:r>
        <w:rPr>
          <w:b/>
        </w:rPr>
        <w:t>7</w:t>
      </w:r>
      <w:r>
        <w:rPr/>
        <w:t xml:space="preserve"> {{field-on:bible}}Und ich habe meinen Bund </w:t>
      </w:r>
      <w:r>
        <w:rPr>
          <w:color w:val="808080"/>
        </w:rPr>
        <w:t>(errichtet =)</w:t>
      </w:r>
      <w:r>
        <w:rPr/>
        <w:t xml:space="preserve"> geschlossen zwischen mir und </w:t>
      </w:r>
      <w:r>
        <w:rPr>
          <w:strike/>
          <w:color w:val="808080"/>
        </w:rPr>
        <w:t>{zwischen}</w:t>
      </w:r>
      <w:r>
        <w:rPr/>
        <w:t xml:space="preserve"> dir und </w:t>
      </w:r>
      <w:r>
        <w:rPr>
          <w:strike/>
          <w:color w:val="808080"/>
        </w:rPr>
        <w:t>{zwischen}</w:t>
      </w:r>
      <w:r>
        <w:rPr/>
        <w:t xml:space="preserve"> deinen Nachkommen nach dir für ihre Nachkommenschaft</w:t>
      </w:r>
      <w:r>
        <w:rPr>
          <w:rStyle w:val="Funotenanker"/>
        </w:rPr>
        <w:footnoteReference w:customMarkFollows="1" w:id="348"/>
        <w:t>e</w:t>
      </w:r>
      <w:r>
        <w:rPr/>
        <w:t xml:space="preserve"> zu einem ewigen Bund, um dein Gott zu sein und </w:t>
      </w:r>
      <w:r>
        <w:rPr>
          <w:b/>
          <w:color w:val="808080"/>
        </w:rPr>
        <w:t>[</w:t>
      </w:r>
      <w:r>
        <w:rPr/>
        <w:t>Gott</w:t>
      </w:r>
      <w:r>
        <w:rPr>
          <w:b/>
          <w:color w:val="808080"/>
        </w:rPr>
        <w:t>]</w:t>
      </w:r>
      <w:r>
        <w:rPr/>
        <w:t xml:space="preserve"> deiner Nachkommen nach dir.{{field-off:bible}} </w:t>
        <w:br/>
        <w:t>[[@BibleTOBIBLE:Ge 17:8]]</w:t>
      </w:r>
      <w:r>
        <w:rPr>
          <w:b/>
        </w:rPr>
        <w:t>8</w:t>
      </w:r>
      <w:r>
        <w:rPr/>
        <w:t xml:space="preserve"> {{field-on:bible}}Und ich werde dir geben und deinen Nachkommen nach dir das Land </w:t>
      </w:r>
      <w:r>
        <w:rPr>
          <w:color w:val="808080"/>
        </w:rPr>
        <w:t>(deines Aufenthaltes in der Fremde =)</w:t>
      </w:r>
      <w:r>
        <w:rPr/>
        <w:t xml:space="preserve">, wo du als Fremdling lebst, das ganze Land Kanaan, zur ewigen Besitzung. Und ich werde ihr Gott sein.{{field-off:bible}} </w:t>
        <w:br/>
        <w:t>[[@BibleTOBIBLE:Ge 17:9]]</w:t>
      </w:r>
      <w:r>
        <w:rPr>
          <w:b/>
        </w:rPr>
        <w:t>9</w:t>
      </w:r>
      <w:r>
        <w:rPr/>
        <w:t xml:space="preserve"> {{field-on:bible}}Und Gott sprach zu Abraham: Und du, du sollst meinen Bund halten </w:t>
      </w:r>
      <w:r>
        <w:rPr>
          <w:color w:val="808080"/>
        </w:rPr>
        <w:t>(beobachten, beachten)</w:t>
      </w:r>
      <w:r>
        <w:rPr/>
        <w:t>; du und deine Nachkommen nach dir für ihre Nachkommenschaft</w:t>
      </w:r>
      <w:r>
        <w:rPr>
          <w:rStyle w:val="Funotenanker"/>
        </w:rPr>
        <w:footnoteReference w:customMarkFollows="1" w:id="349"/>
        <w:t>f</w:t>
      </w:r>
      <w:r>
        <w:rPr/>
        <w:t xml:space="preserve">.{{field-off:bible}} </w:t>
        <w:br/>
        <w:t>[[@BibleTOBIBLE:Ge 17:10]]</w:t>
      </w:r>
      <w:r>
        <w:rPr>
          <w:b/>
        </w:rPr>
        <w:t>10</w:t>
      </w:r>
      <w:r>
        <w:rPr/>
        <w:t xml:space="preserve"> {{field-on:bible}}Dies </w:t>
      </w:r>
      <w:r>
        <w:rPr>
          <w:b/>
          <w:color w:val="808080"/>
        </w:rPr>
        <w:t>[</w:t>
      </w:r>
      <w:r>
        <w:rPr/>
        <w:t>ist</w:t>
      </w:r>
      <w:r>
        <w:rPr>
          <w:b/>
          <w:color w:val="808080"/>
        </w:rPr>
        <w:t>]</w:t>
      </w:r>
      <w:r>
        <w:rPr/>
        <w:t xml:space="preserve"> mein Bund, den sie halten </w:t>
      </w:r>
      <w:r>
        <w:rPr>
          <w:color w:val="808080"/>
        </w:rPr>
        <w:t>(beachten, beobachten)</w:t>
      </w:r>
      <w:r>
        <w:rPr/>
        <w:t xml:space="preserve"> sollen, zwischen mir und </w:t>
      </w:r>
      <w:r>
        <w:rPr>
          <w:strike/>
          <w:color w:val="808080"/>
        </w:rPr>
        <w:t>{zwischen}</w:t>
      </w:r>
      <w:r>
        <w:rPr/>
        <w:t xml:space="preserve"> euch und </w:t>
      </w:r>
      <w:r>
        <w:rPr>
          <w:strike/>
          <w:color w:val="808080"/>
        </w:rPr>
        <w:t>{zwischen}</w:t>
      </w:r>
      <w:r>
        <w:rPr/>
        <w:t xml:space="preserve"> deinen Nachkommen nach dir: ihr sollt euch beschneiden lassen, alles </w:t>
      </w:r>
      <w:r>
        <w:rPr>
          <w:color w:val="808080"/>
        </w:rPr>
        <w:t>(männliche =)</w:t>
      </w:r>
      <w:r>
        <w:rPr/>
        <w:t xml:space="preserve">, was männlich ist.{{field-off:bible}} </w:t>
        <w:br/>
        <w:t>[[@BibleTOBIBLE:Ge 17:11]]</w:t>
      </w:r>
      <w:r>
        <w:rPr>
          <w:b/>
        </w:rPr>
        <w:t>11</w:t>
      </w:r>
      <w:r>
        <w:rPr/>
        <w:t xml:space="preserve"> {{field-on:bible}}Und ihr sollt beschneiden das Fleisch eurer Vorhaut. Und es soll geschehen zum Zeichen meines Bundes zwischen mir und </w:t>
      </w:r>
      <w:r>
        <w:rPr>
          <w:strike/>
          <w:color w:val="808080"/>
        </w:rPr>
        <w:t>{zwischen}</w:t>
      </w:r>
      <w:r>
        <w:rPr/>
        <w:t xml:space="preserve"> euch.{{field-off:bible}} </w:t>
        <w:br/>
        <w:t>[[@BibleTOBIBLE:Ge 17:12]]</w:t>
      </w:r>
      <w:r>
        <w:rPr>
          <w:b/>
        </w:rPr>
        <w:t>12</w:t>
      </w:r>
      <w:r>
        <w:rPr/>
        <w:t xml:space="preserve"> {{field-on:bible}}Ist einer</w:t>
      </w:r>
      <w:r>
        <w:rPr>
          <w:rStyle w:val="Funotenanker"/>
        </w:rPr>
        <w:footnoteReference w:customMarkFollows="1" w:id="350"/>
        <w:t>g</w:t>
      </w:r>
      <w:r>
        <w:rPr/>
        <w:t xml:space="preserve"> acht Tage alt, soll er sich beschneiden lassen, alles männliche bei euch in eurer Nachkommenschaft, </w:t>
      </w:r>
      <w:r>
        <w:rPr>
          <w:color w:val="808080"/>
        </w:rPr>
        <w:t>(im Haus Geborener =)</w:t>
      </w:r>
      <w:r>
        <w:rPr/>
        <w:t xml:space="preserve"> Haussklave und mit Geld Erworbener </w:t>
      </w:r>
      <w:r>
        <w:rPr>
          <w:b/>
          <w:color w:val="808080"/>
        </w:rPr>
        <w:t>[</w:t>
      </w:r>
      <w:r>
        <w:rPr/>
        <w:t>Sklave</w:t>
      </w:r>
      <w:r>
        <w:rPr>
          <w:b/>
          <w:color w:val="808080"/>
        </w:rPr>
        <w:t>]</w:t>
      </w:r>
      <w:r>
        <w:rPr/>
        <w:t xml:space="preserve"> von allen Fremden </w:t>
      </w:r>
      <w:r>
        <w:rPr>
          <w:color w:val="808080"/>
        </w:rPr>
        <w:t>(Ausländern)</w:t>
      </w:r>
      <w:r>
        <w:rPr/>
        <w:t xml:space="preserve">, die nicht von deiner Nachkommenschaft sind.{{field-off:bible}} </w:t>
        <w:br/>
        <w:t>[[@BibleTOBIBLE:Ge 17:13]]</w:t>
      </w:r>
      <w:r>
        <w:rPr>
          <w:b/>
        </w:rPr>
        <w:t>13</w:t>
      </w:r>
      <w:r>
        <w:rPr/>
        <w:t xml:space="preserve"> {{field-on:bible}}Undbedingt</w:t>
      </w:r>
      <w:r>
        <w:rPr>
          <w:rStyle w:val="Funotenanker"/>
        </w:rPr>
        <w:footnoteReference w:customMarkFollows="1" w:id="351"/>
        <w:t>h</w:t>
      </w:r>
      <w:r>
        <w:rPr/>
        <w:t xml:space="preserve"> beschneiden lassen soll sich </w:t>
      </w:r>
      <w:r>
        <w:rPr>
          <w:color w:val="808080"/>
        </w:rPr>
        <w:t>(der in deinem Haus Geborene =)</w:t>
      </w:r>
      <w:r>
        <w:rPr/>
        <w:t xml:space="preserve"> dein Haussklave und der mit deinem Geld Erworbene </w:t>
      </w:r>
      <w:r>
        <w:rPr>
          <w:b/>
          <w:color w:val="808080"/>
        </w:rPr>
        <w:t>[</w:t>
      </w:r>
      <w:r>
        <w:rPr/>
        <w:t>Sklave</w:t>
      </w:r>
      <w:r>
        <w:rPr>
          <w:b/>
          <w:color w:val="808080"/>
        </w:rPr>
        <w:t>]</w:t>
      </w:r>
      <w:r>
        <w:rPr/>
        <w:t>. Und es soll sein mein Bund an eurem Glied</w:t>
      </w:r>
      <w:r>
        <w:rPr>
          <w:rStyle w:val="Funotenanker"/>
        </w:rPr>
        <w:footnoteReference w:customMarkFollows="1" w:id="352"/>
        <w:t>i</w:t>
      </w:r>
      <w:r>
        <w:rPr/>
        <w:t xml:space="preserve"> ein ewiger Bund.{{field-off:bible}} </w:t>
        <w:br/>
        <w:t>[[@BibleTOBIBLE:Ge 17:14]]</w:t>
      </w:r>
      <w:r>
        <w:rPr>
          <w:b/>
        </w:rPr>
        <w:t>14</w:t>
      </w:r>
      <w:r>
        <w:rPr/>
        <w:t xml:space="preserve"> {{field-on:bible}}Und unbeschnittenes Männliches, das nicht beschneiden lässt das Fleisch seiner Vorhaut, ausgerottet werden soll jenes Wesen aus meinem Volk. Es hat meinen Bund gebrochen.{{field-off:bible}} </w:t>
        <w:br/>
        <w:t>[[@BibleTOBIBLE:Ge 17:15]]</w:t>
      </w:r>
      <w:r>
        <w:rPr>
          <w:b/>
        </w:rPr>
        <w:t>15</w:t>
      </w:r>
      <w:r>
        <w:rPr/>
        <w:t xml:space="preserve"> {{field-on:bible}}Da sprach Gott zu Abraham: Sarai, deine Frau, </w:t>
      </w:r>
      <w:r>
        <w:rPr>
          <w:color w:val="808080"/>
        </w:rPr>
        <w:t>(du sollst nicht ihren Namen rufen =)</w:t>
      </w:r>
      <w:r>
        <w:rPr/>
        <w:t xml:space="preserve"> sollst du nicht nennen „Sarai“, denn Sara</w:t>
      </w:r>
      <w:r>
        <w:rPr>
          <w:rStyle w:val="Funotenanker"/>
        </w:rPr>
        <w:footnoteReference w:customMarkFollows="1" w:id="353"/>
        <w:t>j</w:t>
      </w:r>
      <w:r>
        <w:rPr/>
        <w:t xml:space="preserve"> ist ihr Name.{{field-off:bible}} </w:t>
        <w:br/>
        <w:t>[[@BibleTOBIBLE:Ge 17:16]]</w:t>
      </w:r>
      <w:r>
        <w:rPr>
          <w:b/>
        </w:rPr>
        <w:t>16</w:t>
      </w:r>
      <w:r>
        <w:rPr/>
        <w:t xml:space="preserve"> {{field-on:bible}}Und ich werde sie segnen. Und auch von ihr werde ich dir einen Sohn geben. Und ich werde sie segnen, und sie wird Völker haben </w:t>
      </w:r>
      <w:r>
        <w:rPr>
          <w:color w:val="808080"/>
        </w:rPr>
        <w:t>(hervorbringen?)</w:t>
      </w:r>
      <w:r>
        <w:rPr/>
        <w:t xml:space="preserve">; Könige der Völker werden aus ihr hervorgehen.{{field-off:bible}} </w:t>
        <w:br/>
        <w:t>[[@BibleTOBIBLE:Ge 17:17]]</w:t>
      </w:r>
      <w:r>
        <w:rPr>
          <w:b/>
        </w:rPr>
        <w:t>17</w:t>
      </w:r>
      <w:r>
        <w:rPr/>
        <w:t xml:space="preserve"> {{field-on:bible}}Da fiel Abraham auf sein Angesicht und lachte. Und er sprach </w:t>
      </w:r>
      <w:r>
        <w:rPr>
          <w:color w:val="808080"/>
        </w:rPr>
        <w:t>(zu seinem Herzen =)</w:t>
      </w:r>
      <w:r>
        <w:rPr/>
        <w:t xml:space="preserve"> zu sich: Soll mir Hundertjährigem </w:t>
      </w:r>
      <w:r>
        <w:rPr>
          <w:b/>
          <w:color w:val="808080"/>
        </w:rPr>
        <w:t>[</w:t>
      </w:r>
      <w:r>
        <w:rPr/>
        <w:t>ein Kind</w:t>
      </w:r>
      <w:r>
        <w:rPr>
          <w:b/>
          <w:color w:val="808080"/>
        </w:rPr>
        <w:t>]</w:t>
      </w:r>
      <w:r>
        <w:rPr/>
        <w:t xml:space="preserve"> geboren werden? Und soll Sara, die Neunzigjährige, gebären?{{field-off:bible}} </w:t>
        <w:br/>
        <w:t>[[@BibleTOBIBLE:Ge 17:18]]</w:t>
      </w:r>
      <w:r>
        <w:rPr>
          <w:b/>
        </w:rPr>
        <w:t>18</w:t>
      </w:r>
      <w:r>
        <w:rPr/>
        <w:t xml:space="preserve"> {{field-on:bible}}Und Abraham sprach zu Gott: Wenn doch Ismael vor dir leben könnte!{{field-off:bible}} </w:t>
        <w:br/>
        <w:t>[[@BibleTOBIBLE:Ge 17:19]]</w:t>
      </w:r>
      <w:r>
        <w:rPr>
          <w:b/>
        </w:rPr>
        <w:t>19</w:t>
      </w:r>
      <w:r>
        <w:rPr/>
        <w:t xml:space="preserve"> {{field-on:bible}}Da sprach Gott: Nein, vielmehr: Sara, deine Frau, wird dir einen Sohn gebären. Und du sollst </w:t>
      </w:r>
      <w:r>
        <w:rPr>
          <w:color w:val="808080"/>
        </w:rPr>
        <w:t>(seinen Namen rufen =)</w:t>
      </w:r>
      <w:r>
        <w:rPr/>
        <w:t xml:space="preserve"> ihn Isaak nennen. Und ich werde meinen Bund mit ihm schließen, einen ewigen Bund mit seinem Nachkommen nach ihm.{{field-off:bible}} </w:t>
        <w:br/>
        <w:t>[[@BibleTOBIBLE:Ge 17:20]]</w:t>
      </w:r>
      <w:r>
        <w:rPr>
          <w:b/>
        </w:rPr>
        <w:t>20</w:t>
      </w:r>
      <w:r>
        <w:rPr/>
        <w:t xml:space="preserve"> {{field-on:bible}}Doch wegen Ismael habe ich dich erhört. Sieh, ich habe ihn gesegnet, und ich werde ihn fruchtbar machen und </w:t>
      </w:r>
      <w:r>
        <w:rPr>
          <w:strike/>
          <w:color w:val="808080"/>
        </w:rPr>
        <w:t>{ihn}</w:t>
      </w:r>
      <w:r>
        <w:rPr/>
        <w:t xml:space="preserve"> zahlreich </w:t>
      </w:r>
      <w:r>
        <w:rPr>
          <w:strike/>
          <w:color w:val="808080"/>
        </w:rPr>
        <w:t>{machen}</w:t>
      </w:r>
      <w:r>
        <w:rPr/>
        <w:t xml:space="preserve"> über alle Maßen </w:t>
      </w:r>
      <w:r>
        <w:rPr>
          <w:color w:val="808080"/>
        </w:rPr>
        <w:t>(überaus)</w:t>
      </w:r>
      <w:r>
        <w:rPr/>
        <w:t xml:space="preserve">. Zwölf </w:t>
      </w:r>
      <w:r>
        <w:rPr>
          <w:color w:val="808080"/>
        </w:rPr>
        <w:t>(Stammes)</w:t>
      </w:r>
      <w:r>
        <w:rPr/>
        <w:t xml:space="preserve">Fürsten wird er zeugen, und ich werde ihn zu einem großen Volk machen.{{field-off:bible}} </w:t>
        <w:br/>
        <w:t>[[@BibleTOBIBLE:Ge 17:21]]</w:t>
      </w:r>
      <w:r>
        <w:rPr>
          <w:b/>
        </w:rPr>
        <w:t>21</w:t>
      </w:r>
      <w:r>
        <w:rPr/>
        <w:t xml:space="preserve"> {{field-on:bible}}Aber meinen Bund </w:t>
      </w:r>
      <w:r>
        <w:rPr>
          <w:color w:val="808080"/>
        </w:rPr>
        <w:t>(richte ich auf =)</w:t>
      </w:r>
      <w:r>
        <w:rPr/>
        <w:t xml:space="preserve"> schließe ich mit Isaak, den dir Sara gebären wird um diese Zeit im nächsten </w:t>
      </w:r>
      <w:r>
        <w:rPr>
          <w:color w:val="808080"/>
        </w:rPr>
        <w:t>(folgenden)</w:t>
      </w:r>
      <w:r>
        <w:rPr/>
        <w:t xml:space="preserve"> Jahr.{{field-off:bible}} </w:t>
        <w:br/>
        <w:t>[[@BibleTOBIBLE:Ge 17:22]]</w:t>
      </w:r>
      <w:r>
        <w:rPr>
          <w:b/>
        </w:rPr>
        <w:t>22</w:t>
      </w:r>
      <w:r>
        <w:rPr/>
        <w:t xml:space="preserve"> {{field-on:bible}}Und er beendete </w:t>
      </w:r>
      <w:r>
        <w:rPr>
          <w:color w:val="808080"/>
        </w:rPr>
        <w:t>(zu reden =)</w:t>
      </w:r>
      <w:r>
        <w:rPr/>
        <w:t xml:space="preserve"> sein Gespräch mit ihm, und Gott stieg auf von Abraham.{{field-off:bible}} </w:t>
        <w:br/>
        <w:t>[[@BibleTOBIBLE:Ge 17:23]]</w:t>
      </w:r>
      <w:r>
        <w:rPr>
          <w:b/>
        </w:rPr>
        <w:t>23</w:t>
      </w:r>
      <w:r>
        <w:rPr/>
        <w:t xml:space="preserve"> {{field-on:bible}}Da nahm Abraham seinen Sohn Ismael und alle Haussklaven und alle von seinem Geld Erworbenen, alles Männliche unter den Menschen im Hause Abrahams. Und er beschnitt das Fleisch ihrer Vorhaut an eben diesem Tag, wie Gott ihm gesagt hatte.{{field-off:bible}} </w:t>
        <w:br/>
        <w:t>[[@BibleTOBIBLE:Ge 17:24]]</w:t>
      </w:r>
      <w:r>
        <w:rPr>
          <w:b/>
        </w:rPr>
        <w:t>24</w:t>
      </w:r>
      <w:r>
        <w:rPr/>
        <w:t xml:space="preserve"> {{field-on:bible}}Abraham war 99 Jahre </w:t>
      </w:r>
      <w:r>
        <w:rPr>
          <w:b/>
          <w:color w:val="808080"/>
        </w:rPr>
        <w:t>[</w:t>
      </w:r>
      <w:r>
        <w:rPr/>
        <w:t>alt</w:t>
      </w:r>
      <w:r>
        <w:rPr>
          <w:b/>
          <w:color w:val="808080"/>
        </w:rPr>
        <w:t>]</w:t>
      </w:r>
      <w:r>
        <w:rPr/>
        <w:t xml:space="preserve">, als er sich am Fleisch seiner Vorhaut beschneiden ließ.{{field-off:bible}} </w:t>
        <w:br/>
        <w:t>[[@BibleTOBIBLE:Ge 17:25]]</w:t>
      </w:r>
      <w:r>
        <w:rPr>
          <w:b/>
        </w:rPr>
        <w:t>25</w:t>
      </w:r>
      <w:r>
        <w:rPr/>
        <w:t xml:space="preserve"> {{field-on:bible}}Und Ismael, sein Sohn, war 13 Jahre </w:t>
      </w:r>
      <w:r>
        <w:rPr>
          <w:b/>
          <w:color w:val="808080"/>
        </w:rPr>
        <w:t>[</w:t>
      </w:r>
      <w:r>
        <w:rPr/>
        <w:t>alt</w:t>
      </w:r>
      <w:r>
        <w:rPr>
          <w:b/>
          <w:color w:val="808080"/>
        </w:rPr>
        <w:t>]</w:t>
      </w:r>
      <w:r>
        <w:rPr/>
        <w:t xml:space="preserve">, als er sich am Fleisch seiner Vorhaut beschneiden ließ.{{field-off:bible}} </w:t>
        <w:br/>
        <w:t>[[@BibleTOBIBLE:Ge 17:26]]</w:t>
      </w:r>
      <w:r>
        <w:rPr>
          <w:b/>
        </w:rPr>
        <w:t>26</w:t>
      </w:r>
      <w:r>
        <w:rPr/>
        <w:t xml:space="preserve"> {{field-on:bible}}An eben diesem Tag ließ sich Abraham beschneiden und sein Sohn Ismael.{{field-off:bible}} </w:t>
        <w:br/>
        <w:t>[[@BibleTOBIBLE:Ge 17:27]]</w:t>
      </w:r>
      <w:r>
        <w:rPr>
          <w:b/>
        </w:rPr>
        <w:t>27</w:t>
      </w:r>
      <w:r>
        <w:rPr/>
        <w:t xml:space="preserve"> {{field-on:bible}}Und alle Männer seines Hauses, Hausgeborene und für Geld Erworbene von Ausländern </w:t>
      </w:r>
      <w:r>
        <w:rPr>
          <w:color w:val="808080"/>
        </w:rPr>
        <w:t>(Fremden)</w:t>
      </w:r>
      <w:r>
        <w:rPr/>
        <w:t xml:space="preserve"> ließen sich mit </w:t>
      </w:r>
      <w:r>
        <w:rPr>
          <w:color w:val="808080"/>
        </w:rPr>
        <w:t>(von?)</w:t>
      </w:r>
      <w:r>
        <w:rPr/>
        <w:t xml:space="preserve"> ihm beschneiden.{{field-off:bible}} </w:t>
      </w:r>
    </w:p>
    <w:p>
      <w:pPr>
        <w:pStyle w:val="Berschrift3"/>
        <w:rPr/>
      </w:pPr>
      <w:r>
        <w:rPr/>
        <w:t>[[@BibleTOBIBLE:Ge 18]]Kapitel 18</w:t>
      </w:r>
    </w:p>
    <w:p>
      <w:pPr>
        <w:pStyle w:val="Textkrper"/>
        <w:rPr/>
      </w:pPr>
      <w:r>
        <w:rPr/>
        <w:br/>
        <w:t>[[@BibleTOBIBLE:Ge 18:1]]</w:t>
      </w:r>
      <w:r>
        <w:rPr>
          <w:b/>
        </w:rPr>
        <w:t>1</w:t>
      </w:r>
      <w:r>
        <w:rPr/>
        <w:t xml:space="preserve"> {{field-on:bible}} </w:t>
      </w:r>
      <w:r>
        <w:rPr>
          <w:rStyle w:val="Funotenanker"/>
        </w:rPr>
        <w:footnoteReference w:customMarkFollows="1" w:id="354"/>
        <w:t>Status</w:t>
      </w:r>
      <w:r>
        <w:rPr/>
        <w:t xml:space="preserve"> Und es erschien </w:t>
      </w:r>
      <w:r>
        <w:rPr>
          <w:color w:val="808080"/>
        </w:rPr>
        <w:t>(ließ sich sehen, wurde sichtbar)</w:t>
      </w:r>
      <w:r>
        <w:rPr/>
        <w:t xml:space="preserve"> </w:t>
      </w:r>
      <w:r>
        <w:rPr>
          <w:strike/>
          <w:color w:val="808080"/>
        </w:rPr>
        <w:t>{zu}</w:t>
      </w:r>
      <w:r>
        <w:rPr/>
        <w:t xml:space="preserve"> ihm</w:t>
      </w:r>
      <w:r>
        <w:rPr>
          <w:rStyle w:val="Funotenanker"/>
        </w:rPr>
        <w:footnoteReference w:customMarkFollows="1" w:id="355"/>
        <w:t>a</w:t>
      </w:r>
      <w:r>
        <w:rPr/>
        <w:t xml:space="preserve"> </w:t>
      </w:r>
      <w:r>
        <w:rPr>
          <w:smallCaps/>
          <w:color w:val="FF0000"/>
        </w:rPr>
        <w:t>JHWH</w:t>
      </w:r>
      <w:r>
        <w:rPr/>
        <w:t xml:space="preserve"> bei den Terebinten</w:t>
      </w:r>
      <w:r>
        <w:rPr>
          <w:rStyle w:val="Funotenanker"/>
        </w:rPr>
        <w:footnoteReference w:customMarkFollows="1" w:id="356"/>
        <w:t>b</w:t>
      </w:r>
      <w:r>
        <w:rPr/>
        <w:t xml:space="preserve"> von Mamre; während er gerade </w:t>
      </w:r>
      <w:r>
        <w:rPr>
          <w:b/>
          <w:color w:val="808080"/>
        </w:rPr>
        <w:t>[</w:t>
      </w:r>
      <w:r>
        <w:rPr/>
        <w:t>am</w:t>
      </w:r>
      <w:r>
        <w:rPr>
          <w:b/>
          <w:color w:val="808080"/>
        </w:rPr>
        <w:t>]</w:t>
      </w:r>
      <w:r>
        <w:rPr/>
        <w:t xml:space="preserve"> Eingang des Zeltes saß</w:t>
      </w:r>
      <w:r>
        <w:rPr>
          <w:rStyle w:val="Funotenanker"/>
        </w:rPr>
        <w:footnoteReference w:customMarkFollows="1" w:id="357"/>
        <w:t>c</w:t>
      </w:r>
      <w:r>
        <w:rPr/>
        <w:t>, als der Tag heiß war</w:t>
      </w:r>
      <w:r>
        <w:rPr>
          <w:rStyle w:val="Funotenanker"/>
        </w:rPr>
        <w:footnoteReference w:customMarkFollows="1" w:id="358"/>
        <w:t>d</w:t>
      </w:r>
      <w:r>
        <w:rPr/>
        <w:t xml:space="preserve">.{{field-off:bible}} </w:t>
        <w:br/>
        <w:t>[[@BibleTOBIBLE:Ge 18:2]]</w:t>
      </w:r>
      <w:r>
        <w:rPr>
          <w:b/>
        </w:rPr>
        <w:t>2</w:t>
      </w:r>
      <w:r>
        <w:rPr/>
        <w:t xml:space="preserve"> {{field-on:bible}}Und er erhob seine Augen </w:t>
      </w:r>
      <w:r>
        <w:rPr>
          <w:color w:val="808080"/>
        </w:rPr>
        <w:t>(blickte auf)</w:t>
      </w:r>
      <w:r>
        <w:rPr/>
        <w:t xml:space="preserve"> und sah, dass da</w:t>
      </w:r>
      <w:r>
        <w:rPr>
          <w:rStyle w:val="Funotenanker"/>
        </w:rPr>
        <w:footnoteReference w:customMarkFollows="1" w:id="359"/>
        <w:t>e</w:t>
      </w:r>
      <w:r>
        <w:rPr/>
        <w:t xml:space="preserve"> drei Männer vor ihm standen; und als er </w:t>
      </w:r>
      <w:r>
        <w:rPr>
          <w:b/>
          <w:color w:val="808080"/>
        </w:rPr>
        <w:t>[</w:t>
      </w:r>
      <w:r>
        <w:rPr/>
        <w:t>sie</w:t>
      </w:r>
      <w:r>
        <w:rPr>
          <w:b/>
          <w:color w:val="808080"/>
        </w:rPr>
        <w:t>]</w:t>
      </w:r>
      <w:r>
        <w:rPr/>
        <w:t xml:space="preserve"> sah, lief er</w:t>
      </w:r>
      <w:r>
        <w:rPr>
          <w:rStyle w:val="Funotenanker"/>
        </w:rPr>
        <w:footnoteReference w:customMarkFollows="1" w:id="360"/>
        <w:t>f</w:t>
      </w:r>
      <w:r>
        <w:rPr/>
        <w:t xml:space="preserve"> ihnen vom Eingang des Zeltes entgegen und warf sich nieder</w:t>
      </w:r>
      <w:r>
        <w:rPr>
          <w:rStyle w:val="Funotenanker"/>
        </w:rPr>
        <w:footnoteReference w:customMarkFollows="1" w:id="361"/>
        <w:t>g</w:t>
      </w:r>
      <w:r>
        <w:rPr/>
        <w:t xml:space="preserve"> auf die Erde.{{field-off:bible}} </w:t>
        <w:br/>
        <w:t>[[@BibleTOBIBLE:Ge 18:3]]</w:t>
      </w:r>
      <w:r>
        <w:rPr>
          <w:b/>
        </w:rPr>
        <w:t>3</w:t>
      </w:r>
      <w:r>
        <w:rPr/>
        <w:t xml:space="preserve"> {{field-on:bible}}Und er sagte: Bitte Herr</w:t>
      </w:r>
      <w:r>
        <w:rPr>
          <w:rStyle w:val="Funotenanker"/>
        </w:rPr>
        <w:footnoteReference w:customMarkFollows="1" w:id="362"/>
        <w:t>h</w:t>
      </w:r>
      <w:r>
        <w:rPr/>
        <w:t xml:space="preserve">, wenn ich Gunst </w:t>
      </w:r>
      <w:r>
        <w:rPr>
          <w:color w:val="808080"/>
        </w:rPr>
        <w:t>(Gnade, Zuneigung, Freundlichkeit)</w:t>
      </w:r>
      <w:r>
        <w:rPr/>
        <w:t xml:space="preserve"> in deinen Augen gefunden habe</w:t>
      </w:r>
      <w:r>
        <w:rPr>
          <w:rStyle w:val="Funotenanker"/>
        </w:rPr>
        <w:footnoteReference w:customMarkFollows="1" w:id="363"/>
        <w:t>i</w:t>
      </w:r>
      <w:r>
        <w:rPr/>
        <w:t xml:space="preserve">, gehe bitte nicht vorbei an deinem Diener </w:t>
      </w:r>
      <w:r>
        <w:rPr>
          <w:color w:val="808080"/>
        </w:rPr>
        <w:t>(Knecht, Sklaven)</w:t>
      </w:r>
      <w:r>
        <w:rPr/>
        <w:t xml:space="preserve">.{{field-off:bible}} </w:t>
        <w:br/>
        <w:t>[[@BibleTOBIBLE:Ge 18:4]]</w:t>
      </w:r>
      <w:r>
        <w:rPr>
          <w:b/>
        </w:rPr>
        <w:t>4</w:t>
      </w:r>
      <w:r>
        <w:rPr/>
        <w:t xml:space="preserve"> {{field-on:bible}}Lasst</w:t>
      </w:r>
      <w:r>
        <w:rPr>
          <w:rStyle w:val="Funotenanker"/>
        </w:rPr>
        <w:footnoteReference w:customMarkFollows="1" w:id="364"/>
        <w:t>j</w:t>
      </w:r>
      <w:r>
        <w:rPr/>
        <w:t xml:space="preserve"> euch doch ein wenig Wasser bringen, damit</w:t>
      </w:r>
      <w:r>
        <w:rPr>
          <w:rStyle w:val="Funotenanker"/>
        </w:rPr>
        <w:footnoteReference w:customMarkFollows="1" w:id="365"/>
        <w:t>k</w:t>
      </w:r>
      <w:r>
        <w:rPr/>
        <w:t xml:space="preserve"> ihr eure Füße waschen und euch unter den Baum legen könnt.{{field-off:bible}} </w:t>
        <w:br/>
        <w:t>[[@BibleTOBIBLE:Ge 18:5]]</w:t>
      </w:r>
      <w:r>
        <w:rPr>
          <w:b/>
        </w:rPr>
        <w:t>5</w:t>
      </w:r>
      <w:r>
        <w:rPr/>
        <w:t xml:space="preserve"> {{field-on:bible}}Und ich will einen Bissen Brot holen, damit ihr euch stärken</w:t>
      </w:r>
      <w:r>
        <w:rPr>
          <w:rStyle w:val="Funotenanker"/>
        </w:rPr>
        <w:footnoteReference w:customMarkFollows="1" w:id="366"/>
        <w:t>l</w:t>
      </w:r>
      <w:r>
        <w:rPr/>
        <w:t xml:space="preserve"> könnt; danach könnt ihr weiterziehen. Denn dazu</w:t>
      </w:r>
      <w:r>
        <w:rPr>
          <w:rStyle w:val="Funotenanker"/>
        </w:rPr>
        <w:footnoteReference w:customMarkFollows="1" w:id="367"/>
        <w:t>m</w:t>
      </w:r>
      <w:r>
        <w:rPr/>
        <w:t xml:space="preserve"> seid ihr </w:t>
      </w:r>
      <w:r>
        <w:rPr>
          <w:b/>
          <w:color w:val="808080"/>
        </w:rPr>
        <w:t>[</w:t>
      </w:r>
      <w:r>
        <w:rPr/>
        <w:t>doch</w:t>
      </w:r>
      <w:r>
        <w:rPr>
          <w:b/>
          <w:color w:val="808080"/>
        </w:rPr>
        <w:t>]</w:t>
      </w:r>
      <w:r>
        <w:rPr/>
        <w:t xml:space="preserve"> bei eurem Diener vorbeigekommen. Und sie sagten: Mach es</w:t>
      </w:r>
      <w:r>
        <w:rPr>
          <w:rStyle w:val="Funotenanker"/>
        </w:rPr>
        <w:footnoteReference w:customMarkFollows="1" w:id="368"/>
        <w:t>n</w:t>
      </w:r>
      <w:r>
        <w:rPr/>
        <w:t xml:space="preserve"> so, wie du gesagt </w:t>
      </w:r>
      <w:r>
        <w:rPr>
          <w:color w:val="808080"/>
        </w:rPr>
        <w:t>(geredet)</w:t>
      </w:r>
      <w:r>
        <w:rPr/>
        <w:t xml:space="preserve"> hast.{{field-off:bible}} </w:t>
        <w:br/>
        <w:t>[[@BibleTOBIBLE:Ge 18:6]]</w:t>
      </w:r>
      <w:r>
        <w:rPr>
          <w:b/>
        </w:rPr>
        <w:t>6</w:t>
      </w:r>
      <w:r>
        <w:rPr/>
        <w:t xml:space="preserve"> {{field-on:bible}}Da eilte Abraham ins Zelt zu Sara und sagte: Hole rasch drei Sea</w:t>
      </w:r>
      <w:r>
        <w:rPr>
          <w:rStyle w:val="Funotenanker"/>
        </w:rPr>
        <w:footnoteReference w:customMarkFollows="1" w:id="369"/>
        <w:t>o</w:t>
      </w:r>
      <w:r>
        <w:rPr/>
        <w:t xml:space="preserve"> Mehl, </w:t>
      </w:r>
      <w:r>
        <w:rPr>
          <w:b/>
          <w:color w:val="808080"/>
        </w:rPr>
        <w:t>[</w:t>
      </w:r>
      <w:r>
        <w:rPr/>
        <w:t>und zwar</w:t>
      </w:r>
      <w:r>
        <w:rPr>
          <w:b/>
          <w:color w:val="808080"/>
        </w:rPr>
        <w:t>]</w:t>
      </w:r>
      <w:r>
        <w:rPr/>
        <w:t xml:space="preserve"> feinen Weizengrieß</w:t>
      </w:r>
      <w:r>
        <w:rPr>
          <w:rStyle w:val="Funotenanker"/>
        </w:rPr>
        <w:footnoteReference w:customMarkFollows="1" w:id="370"/>
        <w:t>p</w:t>
      </w:r>
      <w:r>
        <w:rPr/>
        <w:t xml:space="preserve">, knete es und mache Brotfladen.{{field-off:bible}} </w:t>
        <w:br/>
        <w:t>[[@BibleTOBIBLE:Ge 18:7]]</w:t>
      </w:r>
      <w:r>
        <w:rPr>
          <w:b/>
        </w:rPr>
        <w:t>7</w:t>
      </w:r>
      <w:r>
        <w:rPr/>
        <w:t xml:space="preserve"> {{field-on:bible}}Auch </w:t>
      </w:r>
      <w:r>
        <w:rPr>
          <w:color w:val="808080"/>
        </w:rPr>
        <w:t>(und)</w:t>
      </w:r>
      <w:r>
        <w:rPr/>
        <w:t xml:space="preserve"> zu den Rindern lief Abraham</w:t>
      </w:r>
      <w:r>
        <w:rPr>
          <w:rStyle w:val="Funotenanker"/>
        </w:rPr>
        <w:footnoteReference w:customMarkFollows="1" w:id="371"/>
        <w:t>q</w:t>
      </w:r>
      <w:r>
        <w:rPr/>
        <w:t>, und nahm ein Rind</w:t>
      </w:r>
      <w:r>
        <w:rPr>
          <w:rStyle w:val="Funotenanker"/>
        </w:rPr>
        <w:footnoteReference w:customMarkFollows="1" w:id="372"/>
        <w:t>r</w:t>
      </w:r>
      <w:r>
        <w:rPr/>
        <w:t xml:space="preserve">, zart </w:t>
      </w:r>
      <w:r>
        <w:rPr>
          <w:color w:val="808080"/>
        </w:rPr>
        <w:t>(jung)</w:t>
      </w:r>
      <w:r>
        <w:rPr/>
        <w:t xml:space="preserve"> und gut, und gab es </w:t>
      </w:r>
      <w:r>
        <w:rPr>
          <w:strike/>
          <w:color w:val="808080"/>
        </w:rPr>
        <w:t>{zu}</w:t>
      </w:r>
      <w:r>
        <w:rPr/>
        <w:t xml:space="preserve"> dem Diener, der es</w:t>
      </w:r>
      <w:r>
        <w:rPr>
          <w:rStyle w:val="Funotenanker"/>
        </w:rPr>
        <w:footnoteReference w:customMarkFollows="1" w:id="373"/>
        <w:t>s</w:t>
      </w:r>
      <w:r>
        <w:rPr/>
        <w:t xml:space="preserve"> eilig zubereitete</w:t>
      </w:r>
      <w:r>
        <w:rPr>
          <w:rStyle w:val="Funotenanker"/>
        </w:rPr>
        <w:footnoteReference w:customMarkFollows="1" w:id="374"/>
        <w:t>t</w:t>
      </w:r>
      <w:r>
        <w:rPr/>
        <w:t xml:space="preserve">.{{field-off:bible}} </w:t>
        <w:br/>
        <w:t>[[@BibleTOBIBLE:Ge 18:8]]</w:t>
      </w:r>
      <w:r>
        <w:rPr>
          <w:b/>
        </w:rPr>
        <w:t>8</w:t>
      </w:r>
      <w:r>
        <w:rPr/>
        <w:t xml:space="preserve"> {{field-on:bible}}Und er nahm Dickmilch </w:t>
      </w:r>
      <w:r>
        <w:rPr>
          <w:color w:val="808080"/>
        </w:rPr>
        <w:t>(Butter, Rahm)</w:t>
      </w:r>
      <w:r>
        <w:rPr/>
        <w:t>, Milch und das Rind, das er hatte zubereitet lassen</w:t>
      </w:r>
      <w:r>
        <w:rPr>
          <w:rStyle w:val="Funotenanker"/>
        </w:rPr>
        <w:footnoteReference w:customMarkFollows="1" w:id="375"/>
        <w:t>u</w:t>
      </w:r>
      <w:r>
        <w:rPr/>
        <w:t xml:space="preserve">, und setzte </w:t>
      </w:r>
      <w:r>
        <w:rPr>
          <w:b/>
          <w:color w:val="808080"/>
        </w:rPr>
        <w:t>[</w:t>
      </w:r>
      <w:r>
        <w:rPr/>
        <w:t>es</w:t>
      </w:r>
      <w:r>
        <w:rPr>
          <w:b/>
          <w:color w:val="808080"/>
        </w:rPr>
        <w:t>]</w:t>
      </w:r>
      <w:r>
        <w:rPr/>
        <w:t xml:space="preserve"> ihnen vor</w:t>
      </w:r>
      <w:r>
        <w:rPr>
          <w:rStyle w:val="Funotenanker"/>
        </w:rPr>
        <w:footnoteReference w:customMarkFollows="1" w:id="376"/>
        <w:t>v</w:t>
      </w:r>
      <w:r>
        <w:rPr/>
        <w:t>; er aber stand bei ihnen unter dem Baum, während sie aßen</w:t>
      </w:r>
      <w:r>
        <w:rPr>
          <w:rStyle w:val="Funotenanker"/>
        </w:rPr>
        <w:footnoteReference w:customMarkFollows="1" w:id="377"/>
        <w:t>w</w:t>
      </w:r>
      <w:r>
        <w:rPr/>
        <w:t xml:space="preserve">.{{field-off:bible}} </w:t>
        <w:br/>
        <w:t>[[@BibleTOBIBLE:Ge 18:9]]</w:t>
      </w:r>
      <w:r>
        <w:rPr>
          <w:b/>
        </w:rPr>
        <w:t>9</w:t>
      </w:r>
      <w:r>
        <w:rPr/>
        <w:t xml:space="preserve"> {{field-on:bible}}Und sie fragten ihn </w:t>
      </w:r>
      <w:r>
        <w:rPr>
          <w:color w:val="808080"/>
        </w:rPr>
        <w:t>(sagten zu ihm)</w:t>
      </w:r>
      <w:r>
        <w:rPr/>
        <w:t xml:space="preserve">: Wo </w:t>
      </w:r>
      <w:r>
        <w:rPr>
          <w:b/>
          <w:color w:val="808080"/>
        </w:rPr>
        <w:t>[</w:t>
      </w:r>
      <w:r>
        <w:rPr/>
        <w:t>ist</w:t>
      </w:r>
      <w:r>
        <w:rPr>
          <w:b/>
          <w:color w:val="808080"/>
        </w:rPr>
        <w:t>]</w:t>
      </w:r>
      <w:r>
        <w:rPr/>
        <w:t xml:space="preserve"> deine Frau Sara? </w:t>
      </w:r>
      <w:r>
        <w:rPr>
          <w:strike/>
          <w:color w:val="808080"/>
        </w:rPr>
        <w:t>{Und}</w:t>
      </w:r>
      <w:r>
        <w:rPr/>
        <w:t xml:space="preserve"> er antwortete </w:t>
      </w:r>
      <w:r>
        <w:rPr>
          <w:color w:val="808080"/>
        </w:rPr>
        <w:t>(sagte)</w:t>
      </w:r>
      <w:r>
        <w:rPr/>
        <w:t xml:space="preserve">: Da </w:t>
      </w:r>
      <w:r>
        <w:rPr>
          <w:color w:val="808080"/>
        </w:rPr>
        <w:t>(siehe)</w:t>
      </w:r>
      <w:r>
        <w:rPr/>
        <w:t xml:space="preserve">, im Zelt.{{field-off:bible}} </w:t>
        <w:br/>
        <w:t>[[@BibleTOBIBLE:Ge 18:10]]</w:t>
      </w:r>
      <w:r>
        <w:rPr>
          <w:b/>
        </w:rPr>
        <w:t>10</w:t>
      </w:r>
      <w:r>
        <w:rPr/>
        <w:t xml:space="preserve"> {{field-on:bible}} </w:t>
      </w:r>
      <w:r>
        <w:rPr>
          <w:strike/>
          <w:color w:val="808080"/>
        </w:rPr>
        <w:t>{Und}</w:t>
      </w:r>
      <w:r>
        <w:rPr/>
        <w:t xml:space="preserve"> er sagte: Ich werde auf jeden Fall</w:t>
      </w:r>
      <w:r>
        <w:rPr>
          <w:rStyle w:val="Funotenanker"/>
        </w:rPr>
        <w:footnoteReference w:customMarkFollows="1" w:id="378"/>
        <w:t>x</w:t>
      </w:r>
      <w:r>
        <w:rPr/>
        <w:t xml:space="preserve"> zu dir zurückkehren im nächsten Jahr</w:t>
      </w:r>
      <w:r>
        <w:rPr>
          <w:rStyle w:val="Funotenanker"/>
        </w:rPr>
        <w:footnoteReference w:customMarkFollows="1" w:id="379"/>
        <w:t>y</w:t>
      </w:r>
      <w:r>
        <w:rPr/>
        <w:t xml:space="preserve">; und dann </w:t>
      </w:r>
      <w:r>
        <w:rPr>
          <w:color w:val="808080"/>
        </w:rPr>
        <w:t>(siehe)</w:t>
      </w:r>
      <w:r>
        <w:rPr/>
        <w:t xml:space="preserve"> </w:t>
      </w:r>
      <w:r>
        <w:rPr>
          <w:b/>
          <w:color w:val="808080"/>
        </w:rPr>
        <w:t>[</w:t>
      </w:r>
      <w:r>
        <w:rPr/>
        <w:t>wird</w:t>
      </w:r>
      <w:r>
        <w:rPr>
          <w:b/>
          <w:color w:val="808080"/>
        </w:rPr>
        <w:t>]</w:t>
      </w:r>
      <w:r>
        <w:rPr/>
        <w:t xml:space="preserve"> deine Frau Sara einen Sohn </w:t>
      </w:r>
      <w:r>
        <w:rPr>
          <w:b/>
          <w:color w:val="808080"/>
        </w:rPr>
        <w:t>[</w:t>
      </w:r>
      <w:r>
        <w:rPr/>
        <w:t>haben</w:t>
      </w:r>
      <w:r>
        <w:rPr>
          <w:b/>
          <w:color w:val="808080"/>
        </w:rPr>
        <w:t>]</w:t>
      </w:r>
      <w:r>
        <w:rPr/>
        <w:t xml:space="preserve"> </w:t>
      </w:r>
      <w:r>
        <w:rPr>
          <w:rStyle w:val="Funotenanker"/>
        </w:rPr>
        <w:footnoteReference w:customMarkFollows="1" w:id="380"/>
        <w:t>z</w:t>
      </w:r>
      <w:r>
        <w:rPr/>
        <w:t xml:space="preserve">. </w:t>
      </w:r>
      <w:r>
        <w:rPr>
          <w:strike/>
          <w:color w:val="808080"/>
        </w:rPr>
        <w:t>{Und}</w:t>
      </w:r>
      <w:r>
        <w:rPr/>
        <w:t xml:space="preserve"> Sara hörte </w:t>
      </w:r>
      <w:r>
        <w:rPr>
          <w:b/>
          <w:color w:val="808080"/>
        </w:rPr>
        <w:t>[</w:t>
      </w:r>
      <w:r>
        <w:rPr/>
        <w:t>am</w:t>
      </w:r>
      <w:r>
        <w:rPr>
          <w:b/>
          <w:color w:val="808080"/>
        </w:rPr>
        <w:t>]</w:t>
      </w:r>
      <w:r>
        <w:rPr/>
        <w:t xml:space="preserve"> Eingang des Zeltes </w:t>
      </w:r>
      <w:r>
        <w:rPr>
          <w:b/>
          <w:color w:val="808080"/>
        </w:rPr>
        <w:t>[</w:t>
      </w:r>
      <w:r>
        <w:rPr/>
        <w:t>zu</w:t>
      </w:r>
      <w:r>
        <w:rPr>
          <w:b/>
          <w:color w:val="808080"/>
        </w:rPr>
        <w:t>]</w:t>
      </w:r>
      <w:r>
        <w:rPr/>
        <w:t>, das hinter ihm war</w:t>
      </w:r>
      <w:r>
        <w:rPr>
          <w:rStyle w:val="Funotenanker"/>
        </w:rPr>
        <w:footnoteReference w:customMarkFollows="1" w:id="381"/>
        <w:t>aa</w:t>
      </w:r>
      <w:r>
        <w:rPr/>
        <w:t xml:space="preserve">.{{field-off:bible}} </w:t>
        <w:br/>
        <w:t>[[@BibleTOBIBLE:Ge 18:11]]</w:t>
      </w:r>
      <w:r>
        <w:rPr>
          <w:b/>
        </w:rPr>
        <w:t>11</w:t>
      </w:r>
      <w:r>
        <w:rPr/>
        <w:t xml:space="preserve"> {{field-on:bible}} </w:t>
      </w:r>
      <w:r>
        <w:rPr>
          <w:strike/>
          <w:color w:val="808080"/>
        </w:rPr>
        <w:t>{Und}</w:t>
      </w:r>
      <w:r>
        <w:rPr/>
        <w:t xml:space="preserve"> Abraham und Sara </w:t>
      </w:r>
      <w:r>
        <w:rPr>
          <w:b/>
          <w:color w:val="808080"/>
        </w:rPr>
        <w:t>[</w:t>
      </w:r>
      <w:r>
        <w:rPr/>
        <w:t>waren</w:t>
      </w:r>
      <w:r>
        <w:rPr>
          <w:b/>
          <w:color w:val="808080"/>
        </w:rPr>
        <w:t>]</w:t>
      </w:r>
      <w:r>
        <w:rPr/>
        <w:t xml:space="preserve"> alt, fortgeschritten in </w:t>
      </w:r>
      <w:r>
        <w:rPr>
          <w:b/>
          <w:color w:val="808080"/>
        </w:rPr>
        <w:t>[</w:t>
      </w:r>
      <w:r>
        <w:rPr/>
        <w:t>ihren</w:t>
      </w:r>
      <w:r>
        <w:rPr>
          <w:b/>
          <w:color w:val="808080"/>
        </w:rPr>
        <w:t>]</w:t>
      </w:r>
      <w:r>
        <w:rPr/>
        <w:t xml:space="preserve"> Tagen </w:t>
      </w:r>
      <w:r>
        <w:rPr>
          <w:color w:val="808080"/>
        </w:rPr>
        <w:t>(hochbetagt)</w:t>
      </w:r>
      <w:r>
        <w:rPr/>
        <w:t>; ein Leben</w:t>
      </w:r>
      <w:r>
        <w:rPr>
          <w:rStyle w:val="Funotenanker"/>
        </w:rPr>
        <w:footnoteReference w:customMarkFollows="1" w:id="382"/>
        <w:t>ab</w:t>
      </w:r>
      <w:r>
        <w:rPr/>
        <w:t xml:space="preserve"> wie das der Frauen hatte es für Sara nicht gegeben </w:t>
      </w:r>
      <w:r>
        <w:rPr>
          <w:color w:val="808080"/>
        </w:rPr>
        <w:t>(gab es für Sara nicht mehr)</w:t>
      </w:r>
      <w:r>
        <w:rPr/>
        <w:t xml:space="preserve"> </w:t>
      </w:r>
      <w:r>
        <w:rPr>
          <w:rStyle w:val="Funotenanker"/>
        </w:rPr>
        <w:footnoteReference w:customMarkFollows="1" w:id="383"/>
        <w:t>ac</w:t>
      </w:r>
      <w:r>
        <w:rPr/>
        <w:t xml:space="preserve">.{{field-off:bible}} </w:t>
        <w:br/>
        <w:t>[[@BibleTOBIBLE:Ge 18:12]]</w:t>
      </w:r>
      <w:r>
        <w:rPr>
          <w:b/>
        </w:rPr>
        <w:t>12</w:t>
      </w:r>
      <w:r>
        <w:rPr/>
        <w:t xml:space="preserve"> {{field-on:bible}}Da lachte Sara in ihrem Inneren</w:t>
      </w:r>
      <w:r>
        <w:rPr>
          <w:rStyle w:val="Funotenanker"/>
        </w:rPr>
        <w:footnoteReference w:customMarkFollows="1" w:id="384"/>
        <w:t>ad</w:t>
      </w:r>
      <w:r>
        <w:rPr/>
        <w:t>, indem sie dachte</w:t>
      </w:r>
      <w:r>
        <w:rPr>
          <w:rStyle w:val="Funotenanker"/>
        </w:rPr>
        <w:footnoteReference w:customMarkFollows="1" w:id="385"/>
        <w:t>ae</w:t>
      </w:r>
      <w:r>
        <w:rPr/>
        <w:t>: Nachdem ich alt geworden bin</w:t>
      </w:r>
      <w:r>
        <w:rPr>
          <w:rStyle w:val="Funotenanker"/>
        </w:rPr>
        <w:footnoteReference w:customMarkFollows="1" w:id="386"/>
        <w:t>af</w:t>
      </w:r>
      <w:r>
        <w:rPr/>
        <w:t>, soll mir Lust werden</w:t>
      </w:r>
      <w:r>
        <w:rPr>
          <w:rStyle w:val="Funotenanker"/>
        </w:rPr>
        <w:footnoteReference w:customMarkFollows="1" w:id="387"/>
        <w:t>ag</w:t>
      </w:r>
      <w:r>
        <w:rPr/>
        <w:t xml:space="preserve">?{{field-off:bible}} </w:t>
        <w:br/>
        <w:t>[[@BibleTOBIBLE:Ge 18:13]]</w:t>
      </w:r>
      <w:r>
        <w:rPr>
          <w:b/>
        </w:rPr>
        <w:t>13</w:t>
      </w:r>
      <w:r>
        <w:rPr/>
        <w:t xml:space="preserve"> {{field-on:bible}}Da sagte </w:t>
      </w:r>
      <w:r>
        <w:rPr>
          <w:smallCaps/>
          <w:color w:val="FF0000"/>
        </w:rPr>
        <w:t>JHWH</w:t>
      </w:r>
      <w:r>
        <w:rPr/>
        <w:t xml:space="preserve"> zu Abraham: Warum hat Sara denn gelacht, indem sie sagte: Werde </w:t>
      </w:r>
      <w:r>
        <w:rPr>
          <w:color w:val="808080"/>
        </w:rPr>
        <w:t>(kann)</w:t>
      </w:r>
      <w:r>
        <w:rPr/>
        <w:t xml:space="preserve"> ich denn wirklich </w:t>
      </w:r>
      <w:r>
        <w:rPr>
          <w:b/>
          <w:color w:val="808080"/>
        </w:rPr>
        <w:t>[</w:t>
      </w:r>
      <w:r>
        <w:rPr/>
        <w:t>noch</w:t>
      </w:r>
      <w:r>
        <w:rPr>
          <w:b/>
          <w:color w:val="808080"/>
        </w:rPr>
        <w:t>]</w:t>
      </w:r>
      <w:r>
        <w:rPr/>
        <w:t xml:space="preserve"> gebären, obwohl</w:t>
      </w:r>
      <w:r>
        <w:rPr>
          <w:rStyle w:val="Funotenanker"/>
        </w:rPr>
        <w:footnoteReference w:customMarkFollows="1" w:id="388"/>
        <w:t>ah</w:t>
      </w:r>
      <w:r>
        <w:rPr/>
        <w:t xml:space="preserve"> ich alt bin?{{field-off:bible}} </w:t>
        <w:br/>
        <w:t>[[@BibleTOBIBLE:Ge 18:14]]</w:t>
      </w:r>
      <w:r>
        <w:rPr>
          <w:b/>
        </w:rPr>
        <w:t>14</w:t>
      </w:r>
      <w:r>
        <w:rPr/>
        <w:t xml:space="preserve"> {{field-on:bible}}Kann </w:t>
      </w:r>
      <w:r>
        <w:rPr>
          <w:color w:val="808080"/>
        </w:rPr>
        <w:t>(wird, sollte)</w:t>
      </w:r>
      <w:r>
        <w:rPr/>
        <w:t xml:space="preserve"> etwas unmöglich </w:t>
      </w:r>
      <w:r>
        <w:rPr>
          <w:color w:val="808080"/>
        </w:rPr>
        <w:t>(wunderbar, rätselhaft, außergewöhnlich)</w:t>
      </w:r>
      <w:r>
        <w:rPr/>
        <w:t xml:space="preserve"> sein für </w:t>
      </w:r>
      <w:r>
        <w:rPr>
          <w:smallCaps/>
          <w:color w:val="FF0000"/>
        </w:rPr>
        <w:t>JHWH</w:t>
      </w:r>
      <w:r>
        <w:rPr/>
        <w:t xml:space="preserve"> </w:t>
      </w:r>
      <w:r>
        <w:rPr>
          <w:rStyle w:val="Funotenanker"/>
        </w:rPr>
        <w:footnoteReference w:customMarkFollows="1" w:id="389"/>
        <w:t>ai</w:t>
      </w:r>
      <w:r>
        <w:rPr/>
        <w:t xml:space="preserve">? Zur bestimmten </w:t>
      </w:r>
      <w:r>
        <w:rPr>
          <w:color w:val="808080"/>
        </w:rPr>
        <w:t>(vereinbarten)</w:t>
      </w:r>
      <w:r>
        <w:rPr/>
        <w:t xml:space="preserve"> Zeit werde ich zu dir zurückkehren im nächsten Jahr, dann</w:t>
      </w:r>
      <w:r>
        <w:rPr>
          <w:rStyle w:val="Funotenanker"/>
        </w:rPr>
        <w:footnoteReference w:customMarkFollows="1" w:id="390"/>
        <w:t>aj</w:t>
      </w:r>
      <w:r>
        <w:rPr/>
        <w:t xml:space="preserve"> wird Sara einen Sohn haben</w:t>
      </w:r>
      <w:r>
        <w:rPr>
          <w:rStyle w:val="Funotenanker"/>
        </w:rPr>
        <w:footnoteReference w:customMarkFollows="1" w:id="391"/>
        <w:t>ak</w:t>
      </w:r>
      <w:r>
        <w:rPr/>
        <w:t xml:space="preserve">.{{field-off:bible}} </w:t>
        <w:br/>
        <w:t>[[@BibleTOBIBLE:Ge 18:15]]</w:t>
      </w:r>
      <w:r>
        <w:rPr>
          <w:b/>
        </w:rPr>
        <w:t>15</w:t>
      </w:r>
      <w:r>
        <w:rPr/>
        <w:t xml:space="preserve"> {{field-on:bible}}Da leugnete </w:t>
      </w:r>
      <w:r>
        <w:rPr>
          <w:color w:val="808080"/>
        </w:rPr>
        <w:t>(log)</w:t>
      </w:r>
      <w:r>
        <w:rPr/>
        <w:t xml:space="preserve"> Sara, indem sie sagte: Ich habe nicht gelacht. Sie hatte nämlich Angst. </w:t>
      </w:r>
      <w:r>
        <w:rPr>
          <w:strike/>
          <w:color w:val="808080"/>
        </w:rPr>
        <w:t>{Und}</w:t>
      </w:r>
      <w:r>
        <w:rPr/>
        <w:t xml:space="preserve"> er sagte: Doch</w:t>
      </w:r>
      <w:r>
        <w:rPr>
          <w:rStyle w:val="Funotenanker"/>
        </w:rPr>
        <w:footnoteReference w:customMarkFollows="1" w:id="392"/>
        <w:t>al</w:t>
      </w:r>
      <w:r>
        <w:rPr/>
        <w:t xml:space="preserve">, du hast gelacht.{{field-off:bible}} </w:t>
        <w:br/>
        <w:t>[[@BibleTOBIBLE:Ge 18:16]]</w:t>
      </w:r>
      <w:r>
        <w:rPr>
          <w:b/>
        </w:rPr>
        <w:t>16</w:t>
      </w:r>
      <w:r>
        <w:rPr/>
        <w:t xml:space="preserve"> {{field-on:bible}}Und die Männer erhoben sich von dort und schauten hinaus gen Sodom</w:t>
      </w:r>
      <w:r>
        <w:rPr>
          <w:rStyle w:val="Funotenanker"/>
        </w:rPr>
        <w:footnoteReference w:customMarkFollows="1" w:id="393"/>
        <w:t>am</w:t>
      </w:r>
      <w:r>
        <w:rPr/>
        <w:t>; Abraham ging aber</w:t>
      </w:r>
      <w:r>
        <w:rPr>
          <w:rStyle w:val="Funotenanker"/>
        </w:rPr>
        <w:footnoteReference w:customMarkFollows="1" w:id="394"/>
        <w:t>an</w:t>
      </w:r>
      <w:r>
        <w:rPr/>
        <w:t xml:space="preserve"> mit ihnen um sie zu entlassen </w:t>
      </w:r>
      <w:r>
        <w:rPr>
          <w:color w:val="808080"/>
        </w:rPr>
        <w:t>(begleiten)</w:t>
      </w:r>
      <w:r>
        <w:rPr/>
        <w:t xml:space="preserve">.{{field-off:bible}} </w:t>
        <w:br/>
        <w:t>[[@BibleTOBIBLE:Ge 18:17]]</w:t>
      </w:r>
      <w:r>
        <w:rPr>
          <w:b/>
        </w:rPr>
        <w:t>17</w:t>
      </w:r>
      <w:r>
        <w:rPr/>
        <w:t xml:space="preserve"> {{field-on:bible}}Und </w:t>
      </w:r>
      <w:r>
        <w:rPr>
          <w:smallCaps/>
          <w:color w:val="FF0000"/>
        </w:rPr>
        <w:t>JHWH</w:t>
      </w:r>
      <w:r>
        <w:rPr/>
        <w:t xml:space="preserve"> </w:t>
      </w:r>
      <w:r>
        <w:rPr>
          <w:b/>
          <w:color w:val="808080"/>
        </w:rPr>
        <w:t>[</w:t>
      </w:r>
      <w:r>
        <w:rPr/>
        <w:t>war es, der</w:t>
      </w:r>
      <w:r>
        <w:rPr>
          <w:b/>
          <w:color w:val="808080"/>
        </w:rPr>
        <w:t>]</w:t>
      </w:r>
      <w:r>
        <w:rPr/>
        <w:t xml:space="preserve"> sagte </w:t>
      </w:r>
      <w:r>
        <w:rPr>
          <w:color w:val="808080"/>
        </w:rPr>
        <w:t>(dachte)</w:t>
      </w:r>
      <w:r>
        <w:rPr/>
        <w:t xml:space="preserve"> </w:t>
      </w:r>
      <w:r>
        <w:rPr>
          <w:rStyle w:val="Funotenanker"/>
        </w:rPr>
        <w:footnoteReference w:customMarkFollows="1" w:id="395"/>
        <w:t>ao</w:t>
      </w:r>
      <w:r>
        <w:rPr/>
        <w:t>: Bin ich einer, der vor Abraham verheimlicht</w:t>
      </w:r>
      <w:r>
        <w:rPr>
          <w:rStyle w:val="Funotenanker"/>
        </w:rPr>
        <w:footnoteReference w:customMarkFollows="1" w:id="396"/>
        <w:t>ap</w:t>
      </w:r>
      <w:r>
        <w:rPr/>
        <w:t>, was ich zu tun gedenke?</w:t>
      </w:r>
      <w:r>
        <w:rPr>
          <w:rStyle w:val="Funotenanker"/>
        </w:rPr>
        <w:footnoteReference w:customMarkFollows="1" w:id="397"/>
        <w:t>aq</w:t>
      </w:r>
      <w:r>
        <w:rPr/>
        <w:t xml:space="preserve"> {{field-off:bible}} </w:t>
        <w:br/>
        <w:t>[[@BibleTOBIBLE:Ge 18:18]]</w:t>
      </w:r>
      <w:r>
        <w:rPr>
          <w:b/>
        </w:rPr>
        <w:t>18</w:t>
      </w:r>
      <w:r>
        <w:rPr/>
        <w:t xml:space="preserve"> {{field-on:bible}}Abraham wird doch</w:t>
      </w:r>
      <w:r>
        <w:rPr>
          <w:rStyle w:val="Funotenanker"/>
        </w:rPr>
        <w:footnoteReference w:customMarkFollows="1" w:id="398"/>
        <w:t>ar</w:t>
      </w:r>
      <w:r>
        <w:rPr/>
        <w:t xml:space="preserve"> auf jeden Fall</w:t>
      </w:r>
      <w:r>
        <w:rPr>
          <w:rStyle w:val="Funotenanker"/>
        </w:rPr>
        <w:footnoteReference w:customMarkFollows="1" w:id="399"/>
        <w:t>as</w:t>
      </w:r>
      <w:r>
        <w:rPr/>
        <w:t xml:space="preserve"> zu einem großen und mächtigen </w:t>
      </w:r>
      <w:r>
        <w:rPr>
          <w:color w:val="808080"/>
        </w:rPr>
        <w:t>(starken)</w:t>
      </w:r>
      <w:r>
        <w:rPr/>
        <w:t xml:space="preserve"> Volk werden und Segen werden sich zuschreiben seinetwegen</w:t>
      </w:r>
      <w:r>
        <w:rPr>
          <w:rStyle w:val="Funotenanker"/>
        </w:rPr>
        <w:footnoteReference w:customMarkFollows="1" w:id="400"/>
        <w:t>at</w:t>
      </w:r>
      <w:r>
        <w:rPr/>
        <w:t xml:space="preserve"> alle Völker der Erde.{{field-off:bible}} </w:t>
        <w:br/>
        <w:t>[[@BibleTOBIBLE:Ge 18:19]]</w:t>
      </w:r>
      <w:r>
        <w:rPr>
          <w:b/>
        </w:rPr>
        <w:t>19</w:t>
      </w:r>
      <w:r>
        <w:rPr/>
        <w:t xml:space="preserve"> {{field-on:bible}}Denn ich habe ihn erwählt </w:t>
      </w:r>
      <w:r>
        <w:rPr>
          <w:color w:val="808080"/>
        </w:rPr>
        <w:t>(erkannt; kümmere mich um ihn; achte auf ihn)</w:t>
      </w:r>
      <w:r>
        <w:rPr/>
        <w:t xml:space="preserve">, damit er seinen Kindern </w:t>
      </w:r>
      <w:r>
        <w:rPr>
          <w:color w:val="808080"/>
        </w:rPr>
        <w:t>(Söhnen)</w:t>
      </w:r>
      <w:r>
        <w:rPr/>
        <w:t xml:space="preserve"> und seinen Angehörigen </w:t>
      </w:r>
      <w:r>
        <w:rPr>
          <w:color w:val="808080"/>
        </w:rPr>
        <w:t>(seinem Haus)</w:t>
      </w:r>
      <w:r>
        <w:rPr/>
        <w:t xml:space="preserve"> nach ihm befiehlt, den Weg </w:t>
      </w:r>
      <w:r>
        <w:rPr>
          <w:color w:val="808080"/>
        </w:rPr>
        <w:t>(die Handlungsweise, Lebensweise)</w:t>
      </w:r>
      <w:r>
        <w:rPr/>
        <w:t xml:space="preserve"> </w:t>
      </w:r>
      <w:r>
        <w:rPr>
          <w:smallCaps/>
          <w:color w:val="FF0000"/>
        </w:rPr>
        <w:t>JHWH</w:t>
      </w:r>
      <w:r>
        <w:rPr/>
        <w:t>s</w:t>
      </w:r>
      <w:r>
        <w:rPr>
          <w:rStyle w:val="Funotenanker"/>
        </w:rPr>
        <w:footnoteReference w:customMarkFollows="1" w:id="401"/>
        <w:t>au</w:t>
      </w:r>
      <w:r>
        <w:rPr/>
        <w:t xml:space="preserve"> zu bewahren </w:t>
      </w:r>
      <w:r>
        <w:rPr>
          <w:color w:val="808080"/>
        </w:rPr>
        <w:t>(hüten; beachten)</w:t>
      </w:r>
      <w:r>
        <w:rPr/>
        <w:t>, indem</w:t>
      </w:r>
      <w:r>
        <w:rPr>
          <w:rStyle w:val="Funotenanker"/>
        </w:rPr>
        <w:footnoteReference w:customMarkFollows="1" w:id="402"/>
        <w:t>av</w:t>
      </w:r>
      <w:r>
        <w:rPr/>
        <w:t xml:space="preserve"> sie gerecht </w:t>
      </w:r>
      <w:r>
        <w:rPr>
          <w:color w:val="808080"/>
        </w:rPr>
        <w:t>(richtig, wahrhaftig, aufrichtig)</w:t>
      </w:r>
      <w:r>
        <w:rPr/>
        <w:t xml:space="preserve"> und rechtmäßig </w:t>
      </w:r>
      <w:r>
        <w:rPr>
          <w:color w:val="808080"/>
        </w:rPr>
        <w:t>(gebührend)</w:t>
      </w:r>
      <w:r>
        <w:rPr/>
        <w:t xml:space="preserve"> handeln</w:t>
      </w:r>
      <w:r>
        <w:rPr>
          <w:rStyle w:val="Funotenanker"/>
        </w:rPr>
        <w:footnoteReference w:customMarkFollows="1" w:id="403"/>
        <w:t>aw</w:t>
      </w:r>
      <w:r>
        <w:rPr/>
        <w:t xml:space="preserve"> damit </w:t>
      </w:r>
      <w:r>
        <w:rPr>
          <w:smallCaps/>
          <w:color w:val="FF0000"/>
        </w:rPr>
        <w:t>JHWH</w:t>
      </w:r>
      <w:r>
        <w:rPr/>
        <w:t xml:space="preserve"> auf </w:t>
      </w:r>
      <w:r>
        <w:rPr>
          <w:color w:val="808080"/>
        </w:rPr>
        <w:t>(über)</w:t>
      </w:r>
      <w:r>
        <w:rPr/>
        <w:t xml:space="preserve"> Abraham kommen lässt </w:t>
      </w:r>
      <w:r>
        <w:rPr>
          <w:color w:val="808080"/>
        </w:rPr>
        <w:t>(bringt)</w:t>
      </w:r>
      <w:r>
        <w:rPr/>
        <w:t xml:space="preserve">, was er über ihn geredet hat </w:t>
      </w:r>
      <w:r>
        <w:rPr>
          <w:color w:val="808080"/>
        </w:rPr>
        <w:t>(ihm versprochen hat)</w:t>
      </w:r>
      <w:r>
        <w:rPr/>
        <w:t xml:space="preserve">.{{field-off:bible}} </w:t>
        <w:br/>
        <w:t>[[@BibleTOBIBLE:Ge 18:20]]</w:t>
      </w:r>
      <w:r>
        <w:rPr>
          <w:b/>
        </w:rPr>
        <w:t>20</w:t>
      </w:r>
      <w:r>
        <w:rPr/>
        <w:t xml:space="preserve"> {{field-on:bible}}Da sagte </w:t>
      </w:r>
      <w:r>
        <w:rPr>
          <w:smallCaps/>
          <w:color w:val="FF0000"/>
        </w:rPr>
        <w:t>JHWH</w:t>
      </w:r>
      <w:r>
        <w:rPr/>
        <w:t xml:space="preserve">: Das Klagegeschrei </w:t>
      </w:r>
      <w:r>
        <w:rPr>
          <w:b/>
          <w:color w:val="808080"/>
        </w:rPr>
        <w:t>[</w:t>
      </w:r>
      <w:r>
        <w:rPr/>
        <w:t>über</w:t>
      </w:r>
      <w:r>
        <w:rPr>
          <w:b/>
          <w:color w:val="808080"/>
        </w:rPr>
        <w:t>]</w:t>
      </w:r>
      <w:r>
        <w:rPr/>
        <w:t xml:space="preserve"> </w:t>
      </w:r>
      <w:r>
        <w:rPr>
          <w:rStyle w:val="Funotenanker"/>
        </w:rPr>
        <w:footnoteReference w:customMarkFollows="1" w:id="404"/>
        <w:t>ax</w:t>
      </w:r>
      <w:r>
        <w:rPr/>
        <w:t xml:space="preserve"> Sodom und Gomorra </w:t>
      </w:r>
      <w:r>
        <w:rPr>
          <w:b/>
          <w:color w:val="808080"/>
        </w:rPr>
        <w:t>[</w:t>
      </w:r>
      <w:r>
        <w:rPr/>
        <w:t>ist</w:t>
      </w:r>
      <w:r>
        <w:rPr>
          <w:b/>
          <w:color w:val="808080"/>
        </w:rPr>
        <w:t>]</w:t>
      </w:r>
      <w:r>
        <w:rPr/>
        <w:t xml:space="preserve"> in der Tat zahlreich und ihre Sünde ist in der Tat sehr schwer.{{field-off:bible}} </w:t>
        <w:br/>
        <w:t>[[@BibleTOBIBLE:Ge 18:21]]</w:t>
      </w:r>
      <w:r>
        <w:rPr>
          <w:b/>
        </w:rPr>
        <w:t>21</w:t>
      </w:r>
      <w:r>
        <w:rPr/>
        <w:t xml:space="preserve"> {{field-on:bible}}Ich will herabsteigen</w:t>
      </w:r>
      <w:r>
        <w:rPr>
          <w:rStyle w:val="Funotenanker"/>
        </w:rPr>
        <w:footnoteReference w:customMarkFollows="1" w:id="405"/>
        <w:t>ay</w:t>
      </w:r>
      <w:r>
        <w:rPr/>
        <w:t xml:space="preserve"> und sehen, ob sie entsprechend dem Klagegeschrei über sie, das zu mir kommt</w:t>
      </w:r>
      <w:r>
        <w:rPr>
          <w:rStyle w:val="Funotenanker"/>
        </w:rPr>
        <w:footnoteReference w:customMarkFollows="1" w:id="406"/>
        <w:t>az</w:t>
      </w:r>
      <w:r>
        <w:rPr/>
        <w:t>, tun, sie alle</w:t>
      </w:r>
      <w:r>
        <w:rPr>
          <w:rStyle w:val="Funotenanker"/>
        </w:rPr>
        <w:footnoteReference w:customMarkFollows="1" w:id="407"/>
        <w:t>ba</w:t>
      </w:r>
      <w:r>
        <w:rPr/>
        <w:t>; und wenn nicht, will ich es wissen</w:t>
      </w:r>
      <w:r>
        <w:rPr>
          <w:rStyle w:val="Funotenanker"/>
        </w:rPr>
        <w:footnoteReference w:customMarkFollows="1" w:id="408"/>
        <w:t>bb</w:t>
      </w:r>
      <w:r>
        <w:rPr/>
        <w:t xml:space="preserve">.{{field-off:bible}} </w:t>
        <w:br/>
        <w:t>[[@BibleTOBIBLE:Ge 18:22]]</w:t>
      </w:r>
      <w:r>
        <w:rPr>
          <w:b/>
        </w:rPr>
        <w:t>22</w:t>
      </w:r>
      <w:r>
        <w:rPr/>
        <w:t xml:space="preserve"> {{field-on:bible}}Und die </w:t>
      </w:r>
      <w:r>
        <w:rPr>
          <w:b/>
          <w:color w:val="808080"/>
        </w:rPr>
        <w:t>[</w:t>
      </w:r>
      <w:r>
        <w:rPr/>
        <w:t>zwei</w:t>
      </w:r>
      <w:r>
        <w:rPr>
          <w:b/>
          <w:color w:val="808080"/>
        </w:rPr>
        <w:t>]</w:t>
      </w:r>
      <w:r>
        <w:rPr/>
        <w:t xml:space="preserve"> Männer wandten sich von dort um </w:t>
      </w:r>
      <w:r>
        <w:rPr>
          <w:color w:val="808080"/>
        </w:rPr>
        <w:t>(ab, weg)</w:t>
      </w:r>
      <w:r>
        <w:rPr/>
        <w:t xml:space="preserve"> und gingen </w:t>
      </w:r>
      <w:r>
        <w:rPr>
          <w:b/>
          <w:color w:val="808080"/>
        </w:rPr>
        <w:t>[</w:t>
      </w:r>
      <w:r>
        <w:rPr/>
        <w:t>in Richtung</w:t>
      </w:r>
      <w:r>
        <w:rPr>
          <w:b/>
          <w:color w:val="808080"/>
        </w:rPr>
        <w:t>]</w:t>
      </w:r>
      <w:r>
        <w:rPr/>
        <w:t xml:space="preserve"> Sodom</w:t>
      </w:r>
      <w:r>
        <w:rPr>
          <w:rStyle w:val="Funotenanker"/>
        </w:rPr>
        <w:footnoteReference w:customMarkFollows="1" w:id="409"/>
        <w:t>bc</w:t>
      </w:r>
      <w:r>
        <w:rPr/>
        <w:t>; Abraham aber stand noch</w:t>
      </w:r>
      <w:r>
        <w:rPr>
          <w:rStyle w:val="Funotenanker"/>
        </w:rPr>
        <w:footnoteReference w:customMarkFollows="1" w:id="410"/>
        <w:t>bd</w:t>
      </w:r>
      <w:r>
        <w:rPr/>
        <w:t xml:space="preserve"> vor </w:t>
      </w:r>
      <w:r>
        <w:rPr>
          <w:smallCaps/>
          <w:color w:val="FF0000"/>
        </w:rPr>
        <w:t>JHWH</w:t>
      </w:r>
      <w:r>
        <w:rPr/>
        <w:t xml:space="preserve">.{{field-off:bible}} </w:t>
        <w:br/>
        <w:t>[[@BibleTOBIBLE:Ge 18:23]]</w:t>
      </w:r>
      <w:r>
        <w:rPr>
          <w:b/>
        </w:rPr>
        <w:t>23</w:t>
      </w:r>
      <w:r>
        <w:rPr/>
        <w:t xml:space="preserve"> {{field-on:bible}}Da kam Abraham näher und fragte </w:t>
      </w:r>
      <w:r>
        <w:rPr>
          <w:color w:val="808080"/>
        </w:rPr>
        <w:t>(sagte)</w:t>
      </w:r>
      <w:r>
        <w:rPr/>
        <w:t xml:space="preserve">: Wirst du etwa den Gerechten mitsamt dem Ungerechten </w:t>
      </w:r>
      <w:r>
        <w:rPr>
          <w:color w:val="808080"/>
        </w:rPr>
        <w:t>(Frevler, Gottlosen)</w:t>
      </w:r>
      <w:r>
        <w:rPr/>
        <w:t xml:space="preserve"> dahinraffen?{{field-off:bible}} </w:t>
        <w:br/>
        <w:t>[[@BibleTOBIBLE:Ge 18:24]]</w:t>
      </w:r>
      <w:r>
        <w:rPr>
          <w:b/>
        </w:rPr>
        <w:t>24</w:t>
      </w:r>
      <w:r>
        <w:rPr/>
        <w:t xml:space="preserve"> {{field-on:bible}}Vielleicht gibt es 50 Gerechte in</w:t>
      </w:r>
      <w:r>
        <w:rPr>
          <w:strike/>
          <w:color w:val="808080"/>
        </w:rPr>
        <w:t>{mitten}</w:t>
      </w:r>
      <w:r>
        <w:rPr/>
        <w:t xml:space="preserve"> der Stadt; wirst du </w:t>
      </w:r>
      <w:r>
        <w:rPr>
          <w:b/>
          <w:color w:val="808080"/>
        </w:rPr>
        <w:t>[</w:t>
      </w:r>
      <w:r>
        <w:rPr/>
        <w:t>sie</w:t>
      </w:r>
      <w:r>
        <w:rPr>
          <w:b/>
          <w:color w:val="808080"/>
        </w:rPr>
        <w:t>]</w:t>
      </w:r>
      <w:r>
        <w:rPr/>
        <w:t xml:space="preserve"> etwa dahinraffen und dem Ort nicht um der 50 Gerechten willen, die in ihm</w:t>
      </w:r>
      <w:r>
        <w:rPr>
          <w:rStyle w:val="Funotenanker"/>
        </w:rPr>
        <w:footnoteReference w:customMarkFollows="1" w:id="411"/>
        <w:t>be</w:t>
      </w:r>
      <w:r>
        <w:rPr/>
        <w:t xml:space="preserve"> </w:t>
      </w:r>
      <w:r>
        <w:rPr>
          <w:b/>
          <w:color w:val="808080"/>
        </w:rPr>
        <w:t>[</w:t>
      </w:r>
      <w:r>
        <w:rPr/>
        <w:t>sind</w:t>
      </w:r>
      <w:r>
        <w:rPr>
          <w:b/>
          <w:color w:val="808080"/>
        </w:rPr>
        <w:t>]</w:t>
      </w:r>
      <w:r>
        <w:rPr/>
        <w:t xml:space="preserve">, vergeben?{{field-off:bible}} </w:t>
        <w:br/>
        <w:t>[[@BibleTOBIBLE:Ge 18:25]]</w:t>
      </w:r>
      <w:r>
        <w:rPr>
          <w:b/>
        </w:rPr>
        <w:t>25</w:t>
      </w:r>
      <w:r>
        <w:rPr/>
        <w:t xml:space="preserve"> {{field-on:bible}}Abstand </w:t>
      </w:r>
      <w:r>
        <w:rPr>
          <w:b/>
          <w:color w:val="808080"/>
        </w:rPr>
        <w:t>[</w:t>
      </w:r>
      <w:r>
        <w:rPr/>
        <w:t>sei</w:t>
      </w:r>
      <w:r>
        <w:rPr>
          <w:b/>
          <w:color w:val="808080"/>
        </w:rPr>
        <w:t>]</w:t>
      </w:r>
      <w:r>
        <w:rPr/>
        <w:t xml:space="preserve"> dir von solchem Tun</w:t>
      </w:r>
      <w:r>
        <w:rPr>
          <w:rStyle w:val="Funotenanker"/>
        </w:rPr>
        <w:footnoteReference w:customMarkFollows="1" w:id="412"/>
        <w:t>bf</w:t>
      </w:r>
      <w:r>
        <w:rPr/>
        <w:t xml:space="preserve">, einen Gerechten mitsamt einem Ungerechten zu töten! Dann wird </w:t>
      </w:r>
      <w:r>
        <w:rPr>
          <w:strike/>
          <w:color w:val="808080"/>
        </w:rPr>
        <w:t>{wie}</w:t>
      </w:r>
      <w:r>
        <w:rPr/>
        <w:t xml:space="preserve"> der Gerechte wie der Ungerechte sein; Abstand </w:t>
      </w:r>
      <w:r>
        <w:rPr>
          <w:b/>
          <w:color w:val="808080"/>
        </w:rPr>
        <w:t>[</w:t>
      </w:r>
      <w:r>
        <w:rPr/>
        <w:t>sei</w:t>
      </w:r>
      <w:r>
        <w:rPr>
          <w:b/>
          <w:color w:val="808080"/>
        </w:rPr>
        <w:t>]</w:t>
      </w:r>
      <w:r>
        <w:rPr/>
        <w:t xml:space="preserve"> dir </w:t>
      </w:r>
      <w:r>
        <w:rPr>
          <w:b/>
          <w:color w:val="808080"/>
        </w:rPr>
        <w:t>[</w:t>
      </w:r>
      <w:r>
        <w:rPr/>
        <w:t>davon</w:t>
      </w:r>
      <w:r>
        <w:rPr>
          <w:b/>
          <w:color w:val="808080"/>
        </w:rPr>
        <w:t>]</w:t>
      </w:r>
      <w:r>
        <w:rPr/>
        <w:t>! Wird der Richter der ganzen Erde nicht Recht tun</w:t>
      </w:r>
      <w:r>
        <w:rPr>
          <w:rStyle w:val="Funotenanker"/>
        </w:rPr>
        <w:footnoteReference w:customMarkFollows="1" w:id="413"/>
        <w:t>bg</w:t>
      </w:r>
      <w:r>
        <w:rPr/>
        <w:t xml:space="preserve">?{{field-off:bible}} </w:t>
        <w:br/>
        <w:t>[[@BibleTOBIBLE:Ge 18:26]]</w:t>
      </w:r>
      <w:r>
        <w:rPr>
          <w:b/>
        </w:rPr>
        <w:t>26</w:t>
      </w:r>
      <w:r>
        <w:rPr/>
        <w:t xml:space="preserve"> {{field-on:bible}}Da sagte </w:t>
      </w:r>
      <w:r>
        <w:rPr>
          <w:smallCaps/>
          <w:color w:val="FF0000"/>
        </w:rPr>
        <w:t>JHWH</w:t>
      </w:r>
      <w:r>
        <w:rPr/>
        <w:t>: Wenn ich in Sodom 50 Gerechte inmitten der Stadt finde, dann</w:t>
      </w:r>
      <w:r>
        <w:rPr>
          <w:rStyle w:val="Funotenanker"/>
        </w:rPr>
        <w:footnoteReference w:customMarkFollows="1" w:id="414"/>
        <w:t>bh</w:t>
      </w:r>
      <w:r>
        <w:rPr/>
        <w:t xml:space="preserve"> werde ich dem ganzen Ort um ihretwillen vergeben.{{field-off:bible}} </w:t>
        <w:br/>
        <w:t>[[@BibleTOBIBLE:Ge 18:27]]</w:t>
      </w:r>
      <w:r>
        <w:rPr>
          <w:b/>
        </w:rPr>
        <w:t>27</w:t>
      </w:r>
      <w:r>
        <w:rPr/>
        <w:t xml:space="preserve"> {{field-on:bible}}Darauf hob </w:t>
      </w:r>
      <w:r>
        <w:rPr>
          <w:color w:val="808080"/>
        </w:rPr>
        <w:t>(antwortete)</w:t>
      </w:r>
      <w:r>
        <w:rPr/>
        <w:t xml:space="preserve"> Abraham an und sagte: Sieh doch, ich habe begonnen </w:t>
      </w:r>
      <w:r>
        <w:rPr>
          <w:color w:val="808080"/>
        </w:rPr>
        <w:t>(in Angriff genommen, mich entschlossen)</w:t>
      </w:r>
      <w:r>
        <w:rPr/>
        <w:t xml:space="preserve"> zum Herrn zu reden, obwohl</w:t>
      </w:r>
      <w:r>
        <w:rPr>
          <w:rStyle w:val="Funotenanker"/>
        </w:rPr>
        <w:footnoteReference w:customMarkFollows="1" w:id="415"/>
        <w:t>bi</w:t>
      </w:r>
      <w:r>
        <w:rPr/>
        <w:t xml:space="preserve"> ich Erdenstaub</w:t>
      </w:r>
      <w:r>
        <w:rPr>
          <w:rStyle w:val="Funotenanker"/>
        </w:rPr>
        <w:footnoteReference w:customMarkFollows="1" w:id="416"/>
        <w:t>bj</w:t>
      </w:r>
      <w:r>
        <w:rPr/>
        <w:t xml:space="preserve"> </w:t>
      </w:r>
      <w:r>
        <w:rPr>
          <w:b/>
          <w:color w:val="808080"/>
        </w:rPr>
        <w:t>[</w:t>
      </w:r>
      <w:r>
        <w:rPr/>
        <w:t>bin</w:t>
      </w:r>
      <w:r>
        <w:rPr>
          <w:b/>
          <w:color w:val="808080"/>
        </w:rPr>
        <w:t>]</w:t>
      </w:r>
      <w:r>
        <w:rPr/>
        <w:t xml:space="preserve">.{{field-off:bible}} </w:t>
        <w:br/>
        <w:t>[[@BibleTOBIBLE:Ge 18:28]]</w:t>
      </w:r>
      <w:r>
        <w:rPr>
          <w:b/>
        </w:rPr>
        <w:t>28</w:t>
      </w:r>
      <w:r>
        <w:rPr/>
        <w:t xml:space="preserve"> {{field-on:bible}}Vielleicht werden </w:t>
      </w:r>
      <w:r>
        <w:rPr>
          <w:b/>
          <w:color w:val="808080"/>
        </w:rPr>
        <w:t>[</w:t>
      </w:r>
      <w:r>
        <w:rPr/>
        <w:t>an</w:t>
      </w:r>
      <w:r>
        <w:rPr>
          <w:b/>
          <w:color w:val="808080"/>
        </w:rPr>
        <w:t>]</w:t>
      </w:r>
      <w:r>
        <w:rPr/>
        <w:t xml:space="preserve"> den fünfzig Gerechten fünf fehlen. Wirst du </w:t>
      </w:r>
      <w:r>
        <w:rPr>
          <w:b/>
          <w:color w:val="808080"/>
        </w:rPr>
        <w:t>[</w:t>
      </w:r>
      <w:r>
        <w:rPr/>
        <w:t>dann</w:t>
      </w:r>
      <w:r>
        <w:rPr>
          <w:b/>
          <w:color w:val="808080"/>
        </w:rPr>
        <w:t>]</w:t>
      </w:r>
      <w:r>
        <w:rPr/>
        <w:t xml:space="preserve"> wegen fünf </w:t>
      </w:r>
      <w:r>
        <w:rPr>
          <w:b/>
          <w:color w:val="808080"/>
        </w:rPr>
        <w:t>[</w:t>
      </w:r>
      <w:r>
        <w:rPr/>
        <w:t>Menschen</w:t>
      </w:r>
      <w:r>
        <w:rPr>
          <w:b/>
          <w:color w:val="808080"/>
        </w:rPr>
        <w:t>]</w:t>
      </w:r>
      <w:r>
        <w:rPr/>
        <w:t xml:space="preserve"> die ganze Stadt vernichten? </w:t>
      </w:r>
      <w:r>
        <w:rPr>
          <w:strike/>
          <w:color w:val="808080"/>
        </w:rPr>
        <w:t>{Und}</w:t>
      </w:r>
      <w:r>
        <w:rPr/>
        <w:t xml:space="preserve"> er antwortete </w:t>
      </w:r>
      <w:r>
        <w:rPr>
          <w:color w:val="808080"/>
        </w:rPr>
        <w:t>(sagte)</w:t>
      </w:r>
      <w:r>
        <w:rPr/>
        <w:t xml:space="preserve">: Ich werde </w:t>
      </w:r>
      <w:r>
        <w:rPr>
          <w:b/>
          <w:color w:val="808080"/>
        </w:rPr>
        <w:t>[</w:t>
      </w:r>
      <w:r>
        <w:rPr/>
        <w:t>sie</w:t>
      </w:r>
      <w:r>
        <w:rPr>
          <w:b/>
          <w:color w:val="808080"/>
        </w:rPr>
        <w:t>]</w:t>
      </w:r>
      <w:r>
        <w:rPr/>
        <w:t xml:space="preserve"> nicht vernichten, wenn ich dort 45 </w:t>
      </w:r>
      <w:r>
        <w:rPr>
          <w:b/>
          <w:color w:val="808080"/>
        </w:rPr>
        <w:t>[</w:t>
      </w:r>
      <w:r>
        <w:rPr/>
        <w:t>Gerechte</w:t>
      </w:r>
      <w:r>
        <w:rPr>
          <w:b/>
          <w:color w:val="808080"/>
        </w:rPr>
        <w:t>]</w:t>
      </w:r>
      <w:r>
        <w:rPr/>
        <w:t xml:space="preserve"> finde.{{field-off:bible}} </w:t>
        <w:br/>
        <w:t>[[@BibleTOBIBLE:Ge 18:29]]</w:t>
      </w:r>
      <w:r>
        <w:rPr>
          <w:b/>
        </w:rPr>
        <w:t>29</w:t>
      </w:r>
      <w:r>
        <w:rPr/>
        <w:t xml:space="preserve"> {{field-on:bible}}Und er fuhr weiterhin fort zu ihm zu reden und sagte: Vielleicht werden dort </w:t>
      </w:r>
      <w:r>
        <w:rPr>
          <w:b/>
          <w:color w:val="808080"/>
        </w:rPr>
        <w:t>[</w:t>
      </w:r>
      <w:r>
        <w:rPr/>
        <w:t>nur</w:t>
      </w:r>
      <w:r>
        <w:rPr>
          <w:b/>
          <w:color w:val="808080"/>
        </w:rPr>
        <w:t>]</w:t>
      </w:r>
      <w:r>
        <w:rPr/>
        <w:t xml:space="preserve"> vierzig gefunden. </w:t>
      </w:r>
      <w:r>
        <w:rPr>
          <w:strike/>
          <w:color w:val="808080"/>
        </w:rPr>
        <w:t>{Und}</w:t>
      </w:r>
      <w:r>
        <w:rPr/>
        <w:t xml:space="preserve"> er antwortete </w:t>
      </w:r>
      <w:r>
        <w:rPr>
          <w:color w:val="808080"/>
        </w:rPr>
        <w:t>(sagte)</w:t>
      </w:r>
      <w:r>
        <w:rPr/>
        <w:t xml:space="preserve">: Ich werde </w:t>
      </w:r>
      <w:r>
        <w:rPr>
          <w:b/>
          <w:color w:val="808080"/>
        </w:rPr>
        <w:t>[</w:t>
      </w:r>
      <w:r>
        <w:rPr/>
        <w:t>es</w:t>
      </w:r>
      <w:r>
        <w:rPr>
          <w:b/>
          <w:color w:val="808080"/>
        </w:rPr>
        <w:t>]</w:t>
      </w:r>
      <w:r>
        <w:rPr/>
        <w:t xml:space="preserve"> nicht tun</w:t>
      </w:r>
      <w:r>
        <w:rPr>
          <w:rStyle w:val="Funotenanker"/>
        </w:rPr>
        <w:footnoteReference w:customMarkFollows="1" w:id="417"/>
        <w:t>bk</w:t>
      </w:r>
      <w:r>
        <w:rPr/>
        <w:t xml:space="preserve"> um der Vierzig willen.{{field-off:bible}} </w:t>
        <w:br/>
        <w:t>[[@BibleTOBIBLE:Ge 18:30]]</w:t>
      </w:r>
      <w:r>
        <w:rPr>
          <w:b/>
        </w:rPr>
        <w:t>30</w:t>
      </w:r>
      <w:r>
        <w:rPr/>
        <w:t xml:space="preserve"> {{field-on:bible}}Da sagte </w:t>
      </w:r>
      <w:r>
        <w:rPr>
          <w:b/>
          <w:color w:val="808080"/>
        </w:rPr>
        <w:t>[</w:t>
      </w:r>
      <w:r>
        <w:rPr/>
        <w:t>Abraham</w:t>
      </w:r>
      <w:r>
        <w:rPr>
          <w:b/>
          <w:color w:val="808080"/>
        </w:rPr>
        <w:t>]</w:t>
      </w:r>
      <w:r>
        <w:rPr/>
        <w:t>: Der Herr zürne bitte nicht</w:t>
      </w:r>
      <w:r>
        <w:rPr>
          <w:rStyle w:val="Funotenanker"/>
        </w:rPr>
        <w:footnoteReference w:customMarkFollows="1" w:id="418"/>
        <w:t>bl</w:t>
      </w:r>
      <w:r>
        <w:rPr/>
        <w:t xml:space="preserve">, wenn </w:t>
      </w:r>
      <w:r>
        <w:rPr>
          <w:color w:val="808080"/>
        </w:rPr>
        <w:t>(dass)</w:t>
      </w:r>
      <w:r>
        <w:rPr/>
        <w:t xml:space="preserve"> ich </w:t>
      </w:r>
      <w:r>
        <w:rPr>
          <w:b/>
          <w:color w:val="808080"/>
        </w:rPr>
        <w:t>[</w:t>
      </w:r>
      <w:r>
        <w:rPr/>
        <w:t>wieder</w:t>
      </w:r>
      <w:r>
        <w:rPr>
          <w:b/>
          <w:color w:val="808080"/>
        </w:rPr>
        <w:t>]</w:t>
      </w:r>
      <w:r>
        <w:rPr/>
        <w:t xml:space="preserve"> rede</w:t>
      </w:r>
      <w:r>
        <w:rPr>
          <w:rStyle w:val="Funotenanker"/>
        </w:rPr>
        <w:footnoteReference w:customMarkFollows="1" w:id="419"/>
        <w:t>bm</w:t>
      </w:r>
      <w:r>
        <w:rPr/>
        <w:t xml:space="preserve">. Vielleicht werden dort </w:t>
      </w:r>
      <w:r>
        <w:rPr>
          <w:b/>
          <w:color w:val="808080"/>
        </w:rPr>
        <w:t>[</w:t>
      </w:r>
      <w:r>
        <w:rPr/>
        <w:t>nur</w:t>
      </w:r>
      <w:r>
        <w:rPr>
          <w:b/>
          <w:color w:val="808080"/>
        </w:rPr>
        <w:t>]</w:t>
      </w:r>
      <w:r>
        <w:rPr/>
        <w:t xml:space="preserve"> 30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es nicht tun, wenn ich dort </w:t>
      </w:r>
      <w:r>
        <w:rPr>
          <w:b/>
          <w:color w:val="808080"/>
        </w:rPr>
        <w:t>[</w:t>
      </w:r>
      <w:r>
        <w:rPr/>
        <w:t>nur</w:t>
      </w:r>
      <w:r>
        <w:rPr>
          <w:b/>
          <w:color w:val="808080"/>
        </w:rPr>
        <w:t>]</w:t>
      </w:r>
      <w:r>
        <w:rPr/>
        <w:t xml:space="preserve"> 30 finde.{{field-off:bible}} </w:t>
        <w:br/>
        <w:t>[[@BibleTOBIBLE:Ge 18:31]]</w:t>
      </w:r>
      <w:r>
        <w:rPr>
          <w:b/>
        </w:rPr>
        <w:t>31</w:t>
      </w:r>
      <w:r>
        <w:rPr/>
        <w:t xml:space="preserve"> {{field-on:bible}}Da sagte </w:t>
      </w:r>
      <w:r>
        <w:rPr>
          <w:b/>
          <w:color w:val="808080"/>
        </w:rPr>
        <w:t>[</w:t>
      </w:r>
      <w:r>
        <w:rPr/>
        <w:t>Abraham</w:t>
      </w:r>
      <w:r>
        <w:rPr>
          <w:b/>
          <w:color w:val="808080"/>
        </w:rPr>
        <w:t>]</w:t>
      </w:r>
      <w:r>
        <w:rPr/>
        <w:t xml:space="preserve">: Sieh doch, ich habe begonnen </w:t>
      </w:r>
      <w:r>
        <w:rPr>
          <w:color w:val="808080"/>
        </w:rPr>
        <w:t>(in Angriff genommen, mich entschlossen)</w:t>
      </w:r>
      <w:r>
        <w:rPr/>
        <w:t xml:space="preserve"> zum Herrn zu reden. Vielleicht werden dort </w:t>
      </w:r>
      <w:r>
        <w:rPr>
          <w:b/>
          <w:color w:val="808080"/>
        </w:rPr>
        <w:t>[</w:t>
      </w:r>
      <w:r>
        <w:rPr/>
        <w:t>nur</w:t>
      </w:r>
      <w:r>
        <w:rPr>
          <w:b/>
          <w:color w:val="808080"/>
        </w:rPr>
        <w:t>]</w:t>
      </w:r>
      <w:r>
        <w:rPr/>
        <w:t xml:space="preserve"> 20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20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18:32]]</w:t>
      </w:r>
      <w:r>
        <w:rPr>
          <w:b/>
        </w:rPr>
        <w:t>32</w:t>
      </w:r>
      <w:r>
        <w:rPr/>
        <w:t xml:space="preserve"> {{field-on:bible}}Da sagte </w:t>
      </w:r>
      <w:r>
        <w:rPr>
          <w:b/>
          <w:color w:val="808080"/>
        </w:rPr>
        <w:t>[</w:t>
      </w:r>
      <w:r>
        <w:rPr/>
        <w:t>Abraham</w:t>
      </w:r>
      <w:r>
        <w:rPr>
          <w:b/>
          <w:color w:val="808080"/>
        </w:rPr>
        <w:t>]</w:t>
      </w:r>
      <w:r>
        <w:rPr/>
        <w:t xml:space="preserve">: Der Herr zürne bitte nicht, wenn ich nur diesmal </w:t>
      </w:r>
      <w:r>
        <w:rPr>
          <w:b/>
          <w:color w:val="808080"/>
        </w:rPr>
        <w:t>[</w:t>
      </w:r>
      <w:r>
        <w:rPr/>
        <w:t>noch</w:t>
      </w:r>
      <w:r>
        <w:rPr>
          <w:b/>
          <w:color w:val="808080"/>
        </w:rPr>
        <w:t>]</w:t>
      </w:r>
      <w:r>
        <w:rPr/>
        <w:t xml:space="preserve"> rede. Vielleicht werden dort </w:t>
      </w:r>
      <w:r>
        <w:rPr>
          <w:b/>
          <w:color w:val="808080"/>
        </w:rPr>
        <w:t>[</w:t>
      </w:r>
      <w:r>
        <w:rPr/>
        <w:t>nur</w:t>
      </w:r>
      <w:r>
        <w:rPr>
          <w:b/>
          <w:color w:val="808080"/>
        </w:rPr>
        <w:t>]</w:t>
      </w:r>
      <w:r>
        <w:rPr/>
        <w:t xml:space="preserve"> zehn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zehn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18:33]]</w:t>
      </w:r>
      <w:r>
        <w:rPr>
          <w:b/>
        </w:rPr>
        <w:t>33</w:t>
      </w:r>
      <w:r>
        <w:rPr/>
        <w:t xml:space="preserve"> {{field-on:bible}}Und </w:t>
      </w:r>
      <w:r>
        <w:rPr>
          <w:smallCaps/>
          <w:color w:val="FF0000"/>
        </w:rPr>
        <w:t>JHWH</w:t>
      </w:r>
      <w:r>
        <w:rPr/>
        <w:t xml:space="preserve"> ging, als er alles zu Abraham geredet hattet</w:t>
      </w:r>
      <w:r>
        <w:rPr>
          <w:rStyle w:val="Funotenanker"/>
        </w:rPr>
        <w:footnoteReference w:customMarkFollows="1" w:id="420"/>
        <w:t>bn</w:t>
      </w:r>
      <w:r>
        <w:rPr/>
        <w:t xml:space="preserve">; Abraham aber kehrte zu seinem </w:t>
      </w:r>
      <w:r>
        <w:rPr>
          <w:b/>
          <w:color w:val="808080"/>
        </w:rPr>
        <w:t>[</w:t>
      </w:r>
      <w:r>
        <w:rPr/>
        <w:t>Wohn-</w:t>
      </w:r>
      <w:r>
        <w:rPr>
          <w:b/>
          <w:color w:val="808080"/>
        </w:rPr>
        <w:t>]</w:t>
      </w:r>
      <w:r>
        <w:rPr/>
        <w:t xml:space="preserve">Ort zurück.{{field-off:bible}} </w:t>
      </w:r>
    </w:p>
    <w:p>
      <w:pPr>
        <w:pStyle w:val="Berschrift3"/>
        <w:rPr/>
      </w:pPr>
      <w:r>
        <w:rPr/>
        <w:t>[[@BibleTOBIBLE:Ge 19]]Kapitel 19</w:t>
      </w:r>
    </w:p>
    <w:p>
      <w:pPr>
        <w:pStyle w:val="Textkrper"/>
        <w:rPr/>
      </w:pPr>
      <w:r>
        <w:rPr/>
        <w:br/>
        <w:t>[[@BibleTOBIBLE:Ge 19:1]]</w:t>
      </w:r>
      <w:r>
        <w:rPr>
          <w:b/>
        </w:rPr>
        <w:t>1</w:t>
      </w:r>
      <w:r>
        <w:rPr/>
        <w:t xml:space="preserve"> {{field-on:bible}} </w:t>
      </w:r>
      <w:r>
        <w:rPr>
          <w:rStyle w:val="Funotenanker"/>
        </w:rPr>
        <w:footnoteReference w:customMarkFollows="1" w:id="421"/>
        <w:t>Status</w:t>
      </w:r>
      <w:r>
        <w:rPr/>
        <w:t xml:space="preserve"> Und die Boten </w:t>
      </w:r>
      <w:r>
        <w:rPr>
          <w:color w:val="808080"/>
        </w:rPr>
        <w:t>(Engel)</w:t>
      </w:r>
      <w:r>
        <w:rPr/>
        <w:t xml:space="preserve"> kamen am Abend nach Sodom, als Lot gerade im Tor</w:t>
      </w:r>
      <w:r>
        <w:rPr>
          <w:rStyle w:val="Funotenanker"/>
        </w:rPr>
        <w:footnoteReference w:customMarkFollows="1" w:id="422"/>
        <w:t>a</w:t>
      </w:r>
      <w:r>
        <w:rPr/>
        <w:t xml:space="preserve"> Sodoms saß</w:t>
      </w:r>
      <w:r>
        <w:rPr>
          <w:rStyle w:val="Funotenanker"/>
        </w:rPr>
        <w:footnoteReference w:customMarkFollows="1" w:id="423"/>
        <w:t>b</w:t>
      </w:r>
      <w:r>
        <w:rPr/>
        <w:t xml:space="preserve">; </w:t>
      </w:r>
      <w:r>
        <w:rPr>
          <w:strike/>
          <w:color w:val="808080"/>
        </w:rPr>
        <w:t>{und}</w:t>
      </w:r>
      <w:r>
        <w:rPr/>
        <w:t xml:space="preserve"> Lot sah </w:t>
      </w:r>
      <w:r>
        <w:rPr>
          <w:b/>
          <w:color w:val="808080"/>
        </w:rPr>
        <w:t>[</w:t>
      </w:r>
      <w:r>
        <w:rPr/>
        <w:t>sie</w:t>
      </w:r>
      <w:r>
        <w:rPr>
          <w:b/>
          <w:color w:val="808080"/>
        </w:rPr>
        <w:t>]</w:t>
      </w:r>
      <w:r>
        <w:rPr/>
        <w:t xml:space="preserve">, stand auf, </w:t>
      </w:r>
      <w:r>
        <w:rPr>
          <w:b/>
          <w:color w:val="808080"/>
        </w:rPr>
        <w:t>[</w:t>
      </w:r>
      <w:r>
        <w:rPr/>
        <w:t>ging</w:t>
      </w:r>
      <w:r>
        <w:rPr>
          <w:b/>
          <w:color w:val="808080"/>
        </w:rPr>
        <w:t>]</w:t>
      </w:r>
      <w:r>
        <w:rPr/>
        <w:t xml:space="preserve"> ihnen entgegen und warf sich </w:t>
      </w:r>
      <w:r>
        <w:rPr>
          <w:b/>
          <w:color w:val="808080"/>
        </w:rPr>
        <w:t>[</w:t>
      </w:r>
      <w:r>
        <w:rPr/>
        <w:t>mit dem</w:t>
      </w:r>
      <w:r>
        <w:rPr>
          <w:b/>
          <w:color w:val="808080"/>
        </w:rPr>
        <w:t>]</w:t>
      </w:r>
      <w:r>
        <w:rPr/>
        <w:t xml:space="preserve"> Gesicht zur Erde nieder.{{field-off:bible}} </w:t>
        <w:br/>
        <w:t>[[@BibleTOBIBLE:Ge 19:2]]</w:t>
      </w:r>
      <w:r>
        <w:rPr>
          <w:b/>
        </w:rPr>
        <w:t>2</w:t>
      </w:r>
      <w:r>
        <w:rPr/>
        <w:t xml:space="preserve"> {{field-on:bible}}Und er sagte: Bitte</w:t>
      </w:r>
      <w:r>
        <w:rPr>
          <w:rStyle w:val="Funotenanker"/>
        </w:rPr>
        <w:footnoteReference w:customMarkFollows="1" w:id="424"/>
        <w:t>c</w:t>
      </w:r>
      <w:r>
        <w:rPr/>
        <w:t>, meine Herren, kommt</w:t>
      </w:r>
      <w:r>
        <w:rPr>
          <w:rStyle w:val="Funotenanker"/>
        </w:rPr>
        <w:footnoteReference w:customMarkFollows="1" w:id="425"/>
        <w:t>d</w:t>
      </w:r>
      <w:r>
        <w:rPr/>
        <w:t xml:space="preserve"> doch zum Haus eures Dieners </w:t>
      </w:r>
      <w:r>
        <w:rPr>
          <w:color w:val="808080"/>
        </w:rPr>
        <w:t>(Sklaven, Knechts)</w:t>
      </w:r>
      <w:r>
        <w:rPr/>
        <w:t xml:space="preserve">, übernachtet </w:t>
      </w:r>
      <w:r>
        <w:rPr>
          <w:b/>
          <w:color w:val="808080"/>
        </w:rPr>
        <w:t>[</w:t>
      </w:r>
      <w:r>
        <w:rPr/>
        <w:t>dort</w:t>
      </w:r>
      <w:r>
        <w:rPr>
          <w:b/>
          <w:color w:val="808080"/>
        </w:rPr>
        <w:t>]</w:t>
      </w:r>
      <w:r>
        <w:rPr/>
        <w:t xml:space="preserve"> und wascht eure Füße; dann </w:t>
      </w:r>
      <w:r>
        <w:rPr>
          <w:color w:val="808080"/>
        </w:rPr>
        <w:t>(und)</w:t>
      </w:r>
      <w:r>
        <w:rPr/>
        <w:t xml:space="preserve"> </w:t>
      </w:r>
      <w:r>
        <w:rPr>
          <w:rStyle w:val="Funotenanker"/>
        </w:rPr>
        <w:footnoteReference w:customMarkFollows="1" w:id="426"/>
        <w:t>e</w:t>
      </w:r>
      <w:r>
        <w:rPr/>
        <w:t xml:space="preserve"> könnt </w:t>
      </w:r>
      <w:r>
        <w:rPr>
          <w:color w:val="808080"/>
        </w:rPr>
        <w:t>(werdet)</w:t>
      </w:r>
      <w:r>
        <w:rPr/>
        <w:t xml:space="preserve"> ihr euch </w:t>
      </w:r>
      <w:r>
        <w:rPr>
          <w:b/>
          <w:color w:val="808080"/>
        </w:rPr>
        <w:t>[</w:t>
      </w:r>
      <w:r>
        <w:rPr/>
        <w:t>morgen</w:t>
      </w:r>
      <w:r>
        <w:rPr>
          <w:b/>
          <w:color w:val="808080"/>
        </w:rPr>
        <w:t>]</w:t>
      </w:r>
      <w:r>
        <w:rPr/>
        <w:t xml:space="preserve"> früh aufmachen und eures Weges gehen </w:t>
      </w:r>
      <w:r>
        <w:rPr>
          <w:color w:val="808080"/>
        </w:rPr>
        <w:t>(weitergehen)</w:t>
      </w:r>
      <w:r>
        <w:rPr/>
        <w:t xml:space="preserve">. Aber </w:t>
      </w:r>
      <w:r>
        <w:rPr>
          <w:color w:val="808080"/>
        </w:rPr>
        <w:t>(und)</w:t>
      </w:r>
      <w:r>
        <w:rPr/>
        <w:t xml:space="preserve"> sie sagten: Nein, sondern im Torplatz</w:t>
      </w:r>
      <w:r>
        <w:rPr>
          <w:rStyle w:val="Funotenanker"/>
        </w:rPr>
        <w:footnoteReference w:customMarkFollows="1" w:id="427"/>
        <w:t>f</w:t>
      </w:r>
      <w:r>
        <w:rPr/>
        <w:t xml:space="preserve"> werden </w:t>
      </w:r>
      <w:r>
        <w:rPr>
          <w:color w:val="808080"/>
        </w:rPr>
        <w:t>(wollen)</w:t>
      </w:r>
      <w:r>
        <w:rPr/>
        <w:t xml:space="preserve"> wir übernachten.{{field-off:bible}} </w:t>
        <w:br/>
        <w:t>[[@BibleTOBIBLE:Ge 19:3]]</w:t>
      </w:r>
      <w:r>
        <w:rPr>
          <w:b/>
        </w:rPr>
        <w:t>3</w:t>
      </w:r>
      <w:r>
        <w:rPr/>
        <w:t xml:space="preserve"> {{field-on:bible}}Da drang er sehr in sie </w:t>
      </w:r>
      <w:r>
        <w:rPr>
          <w:color w:val="808080"/>
        </w:rPr>
        <w:t>(nötigte er sie sehr)</w:t>
      </w:r>
      <w:r>
        <w:rPr/>
        <w:t xml:space="preserve">, so dass sie </w:t>
      </w:r>
      <w:r>
        <w:rPr>
          <w:b/>
          <w:color w:val="808080"/>
        </w:rPr>
        <w:t>[</w:t>
      </w:r>
      <w:r>
        <w:rPr/>
        <w:t>schließlich</w:t>
      </w:r>
      <w:r>
        <w:rPr>
          <w:b/>
          <w:color w:val="808080"/>
        </w:rPr>
        <w:t>]</w:t>
      </w:r>
      <w:r>
        <w:rPr/>
        <w:t xml:space="preserve"> zu ihm kamen</w:t>
      </w:r>
      <w:r>
        <w:rPr>
          <w:rStyle w:val="Funotenanker"/>
        </w:rPr>
        <w:footnoteReference w:customMarkFollows="1" w:id="428"/>
        <w:t>g</w:t>
      </w:r>
      <w:r>
        <w:rPr/>
        <w:t xml:space="preserve"> </w:t>
      </w:r>
      <w:r>
        <w:rPr>
          <w:color w:val="808080"/>
        </w:rPr>
        <w:t>(wichen)</w:t>
      </w:r>
      <w:r>
        <w:rPr/>
        <w:t xml:space="preserve"> und in sein Haus hineingingen; dort </w:t>
      </w:r>
      <w:r>
        <w:rPr>
          <w:color w:val="808080"/>
        </w:rPr>
        <w:t>(und)</w:t>
      </w:r>
      <w:r>
        <w:rPr/>
        <w:t xml:space="preserve"> machte er für sie ein Festmahl; außerdem</w:t>
      </w:r>
      <w:r>
        <w:rPr>
          <w:rStyle w:val="Funotenanker"/>
        </w:rPr>
        <w:footnoteReference w:customMarkFollows="1" w:id="429"/>
        <w:t>h</w:t>
      </w:r>
      <w:r>
        <w:rPr/>
        <w:t xml:space="preserve"> buk er Mazzen</w:t>
      </w:r>
      <w:r>
        <w:rPr>
          <w:rStyle w:val="Funotenanker"/>
        </w:rPr>
        <w:footnoteReference w:customMarkFollows="1" w:id="430"/>
        <w:t>i</w:t>
      </w:r>
      <w:r>
        <w:rPr/>
        <w:t xml:space="preserve"> und sie aßen.{{field-off:bible}} </w:t>
        <w:br/>
        <w:t>[[@BibleTOBIBLE:Ge 19:4]]</w:t>
      </w:r>
      <w:r>
        <w:rPr>
          <w:b/>
        </w:rPr>
        <w:t>4</w:t>
      </w:r>
      <w:r>
        <w:rPr/>
        <w:t xml:space="preserve"> {{field-on:bible}}Noch ehe sie sich schlafen legten, hatten die Männer</w:t>
      </w:r>
      <w:r>
        <w:rPr>
          <w:rStyle w:val="Funotenanker"/>
        </w:rPr>
        <w:footnoteReference w:customMarkFollows="1" w:id="431"/>
        <w:t>j</w:t>
      </w:r>
      <w:r>
        <w:rPr/>
        <w:t xml:space="preserve"> der Stadt, die Männer Sodoms, sich </w:t>
      </w:r>
      <w:r>
        <w:rPr>
          <w:b/>
          <w:color w:val="808080"/>
        </w:rPr>
        <w:t>[</w:t>
      </w:r>
      <w:r>
        <w:rPr/>
        <w:t>schon</w:t>
      </w:r>
      <w:r>
        <w:rPr>
          <w:b/>
          <w:color w:val="808080"/>
        </w:rPr>
        <w:t>]</w:t>
      </w:r>
      <w:r>
        <w:rPr/>
        <w:t xml:space="preserve"> rings gegen das Haus versammelt, vom Jungen </w:t>
      </w:r>
      <w:r>
        <w:rPr>
          <w:strike/>
          <w:color w:val="808080"/>
        </w:rPr>
        <w:t>{und}</w:t>
      </w:r>
      <w:r>
        <w:rPr/>
        <w:t xml:space="preserve"> bis zum Alten, die ganze Bevölkerung, ohne Ausnahme</w:t>
      </w:r>
      <w:r>
        <w:rPr>
          <w:rStyle w:val="Funotenanker"/>
        </w:rPr>
        <w:footnoteReference w:customMarkFollows="1" w:id="432"/>
        <w:t>k</w:t>
      </w:r>
      <w:r>
        <w:rPr/>
        <w:t xml:space="preserve">.{{field-off:bible}} </w:t>
        <w:br/>
        <w:t>[[@BibleTOBIBLE:Ge 19:5]]</w:t>
      </w:r>
      <w:r>
        <w:rPr>
          <w:b/>
        </w:rPr>
        <w:t>5</w:t>
      </w:r>
      <w:r>
        <w:rPr/>
        <w:t xml:space="preserve"> {{field-on:bible}}Und sie riefen nach Lot und fragten ihn </w:t>
      </w:r>
      <w:r>
        <w:rPr>
          <w:color w:val="808080"/>
        </w:rPr>
        <w:t>(sagten ihm)</w:t>
      </w:r>
      <w:r>
        <w:rPr/>
        <w:t xml:space="preserve">: Wo </w:t>
      </w:r>
      <w:r>
        <w:rPr>
          <w:b/>
          <w:color w:val="808080"/>
        </w:rPr>
        <w:t>[</w:t>
      </w:r>
      <w:r>
        <w:rPr/>
        <w:t>sind</w:t>
      </w:r>
      <w:r>
        <w:rPr>
          <w:b/>
          <w:color w:val="808080"/>
        </w:rPr>
        <w:t>]</w:t>
      </w:r>
      <w:r>
        <w:rPr/>
        <w:t xml:space="preserve"> die Männer, die heute Nacht</w:t>
      </w:r>
      <w:r>
        <w:rPr>
          <w:rStyle w:val="Funotenanker"/>
        </w:rPr>
        <w:footnoteReference w:customMarkFollows="1" w:id="433"/>
        <w:t>l</w:t>
      </w:r>
      <w:r>
        <w:rPr/>
        <w:t xml:space="preserve"> zu dir hineingegangen sind </w:t>
      </w:r>
      <w:r>
        <w:rPr>
          <w:color w:val="808080"/>
        </w:rPr>
        <w:t>(bei dir eingekehrt sind)</w:t>
      </w:r>
      <w:r>
        <w:rPr/>
        <w:t xml:space="preserve">? Bring sie hinaus zu uns </w:t>
      </w:r>
      <w:r>
        <w:rPr>
          <w:strike/>
          <w:color w:val="808080"/>
        </w:rPr>
        <w:t>{und}</w:t>
      </w:r>
      <w:r>
        <w:rPr/>
        <w:t xml:space="preserve"> wir werden es ihnen </w:t>
      </w:r>
      <w:r>
        <w:rPr>
          <w:b/>
          <w:color w:val="808080"/>
        </w:rPr>
        <w:t>[</w:t>
      </w:r>
      <w:r>
        <w:rPr/>
        <w:t>schon</w:t>
      </w:r>
      <w:r>
        <w:rPr>
          <w:b/>
          <w:color w:val="808080"/>
        </w:rPr>
        <w:t>]</w:t>
      </w:r>
      <w:r>
        <w:rPr/>
        <w:t xml:space="preserve"> besorgen</w:t>
      </w:r>
      <w:r>
        <w:rPr>
          <w:rStyle w:val="Funotenanker"/>
        </w:rPr>
        <w:footnoteReference w:customMarkFollows="1" w:id="434"/>
        <w:t>m</w:t>
      </w:r>
      <w:r>
        <w:rPr/>
        <w:t xml:space="preserve">.{{field-off:bible}} </w:t>
        <w:br/>
        <w:t>[[@BibleTOBIBLE:Ge 19:6]]</w:t>
      </w:r>
      <w:r>
        <w:rPr>
          <w:b/>
        </w:rPr>
        <w:t>6</w:t>
      </w:r>
      <w:r>
        <w:rPr/>
        <w:t xml:space="preserve"> {{field-on:bible}}Da ging Lot zu ihnen hinaus </w:t>
      </w:r>
      <w:r>
        <w:rPr>
          <w:b/>
          <w:color w:val="808080"/>
        </w:rPr>
        <w:t>[</w:t>
      </w:r>
      <w:r>
        <w:rPr/>
        <w:t>vor</w:t>
      </w:r>
      <w:r>
        <w:rPr>
          <w:b/>
          <w:color w:val="808080"/>
        </w:rPr>
        <w:t>]</w:t>
      </w:r>
      <w:r>
        <w:rPr/>
        <w:t xml:space="preserve"> den Eingang, aber </w:t>
      </w:r>
      <w:r>
        <w:rPr>
          <w:color w:val="808080"/>
        </w:rPr>
        <w:t>(und)</w:t>
      </w:r>
      <w:r>
        <w:rPr/>
        <w:t xml:space="preserve"> die Tür verschloss er hinter sich.</w:t>
      </w:r>
      <w:r>
        <w:rPr>
          <w:rStyle w:val="Funotenanker"/>
        </w:rPr>
        <w:footnoteReference w:customMarkFollows="1" w:id="435"/>
        <w:t>n</w:t>
      </w:r>
      <w:r>
        <w:rPr/>
        <w:t xml:space="preserve"> {{field-off:bible}} </w:t>
        <w:br/>
        <w:t>[[@BibleTOBIBLE:Ge 19:7]]</w:t>
      </w:r>
      <w:r>
        <w:rPr>
          <w:b/>
        </w:rPr>
        <w:t>7</w:t>
      </w:r>
      <w:r>
        <w:rPr/>
        <w:t xml:space="preserve"> {{field-on:bible}}Und er sagte: Tut doch nicht</w:t>
      </w:r>
      <w:r>
        <w:rPr>
          <w:b/>
          <w:color w:val="808080"/>
        </w:rPr>
        <w:t>[</w:t>
      </w:r>
      <w:r>
        <w:rPr/>
        <w:t>s</w:t>
      </w:r>
      <w:r>
        <w:rPr>
          <w:b/>
          <w:color w:val="808080"/>
        </w:rPr>
        <w:t>]</w:t>
      </w:r>
      <w:r>
        <w:rPr/>
        <w:t xml:space="preserve"> Böse</w:t>
      </w:r>
      <w:r>
        <w:rPr>
          <w:b/>
          <w:color w:val="808080"/>
        </w:rPr>
        <w:t>[</w:t>
      </w:r>
      <w:r>
        <w:rPr/>
        <w:t>s</w:t>
      </w:r>
      <w:r>
        <w:rPr>
          <w:b/>
          <w:color w:val="808080"/>
        </w:rPr>
        <w:t>]</w:t>
      </w:r>
      <w:r>
        <w:rPr/>
        <w:t xml:space="preserve"> </w:t>
      </w:r>
      <w:r>
        <w:rPr>
          <w:rStyle w:val="Funotenanker"/>
        </w:rPr>
        <w:footnoteReference w:customMarkFollows="1" w:id="436"/>
        <w:t>o</w:t>
      </w:r>
      <w:r>
        <w:rPr/>
        <w:t>, meine Brüder!</w:t>
      </w:r>
      <w:r>
        <w:rPr>
          <w:rStyle w:val="Funotenanker"/>
        </w:rPr>
        <w:footnoteReference w:customMarkFollows="1" w:id="437"/>
        <w:t>p</w:t>
      </w:r>
      <w:r>
        <w:rPr/>
        <w:t xml:space="preserve"> {{field-off:bible}} </w:t>
        <w:br/>
        <w:t>[[@BibleTOBIBLE:Ge 19:8]]</w:t>
      </w:r>
      <w:r>
        <w:rPr>
          <w:b/>
        </w:rPr>
        <w:t>8</w:t>
      </w:r>
      <w:r>
        <w:rPr/>
        <w:t xml:space="preserve"> {{field-on:bible}}Seht doch, mir </w:t>
      </w:r>
      <w:r>
        <w:rPr>
          <w:b/>
          <w:color w:val="808080"/>
        </w:rPr>
        <w:t>[</w:t>
      </w:r>
      <w:r>
        <w:rPr/>
        <w:t>gehören</w:t>
      </w:r>
      <w:r>
        <w:rPr>
          <w:b/>
          <w:color w:val="808080"/>
        </w:rPr>
        <w:t>]</w:t>
      </w:r>
      <w:r>
        <w:rPr/>
        <w:t xml:space="preserve"> zwei Töchter, die </w:t>
      </w:r>
      <w:r>
        <w:rPr>
          <w:b/>
          <w:color w:val="808080"/>
        </w:rPr>
        <w:t>[</w:t>
      </w:r>
      <w:r>
        <w:rPr/>
        <w:t>noch</w:t>
      </w:r>
      <w:r>
        <w:rPr>
          <w:b/>
          <w:color w:val="808080"/>
        </w:rPr>
        <w:t>]</w:t>
      </w:r>
      <w:r>
        <w:rPr/>
        <w:t xml:space="preserve"> keinem Mann beigewohnt</w:t>
      </w:r>
      <w:r>
        <w:rPr>
          <w:rStyle w:val="Funotenanker"/>
        </w:rPr>
        <w:footnoteReference w:customMarkFollows="1" w:id="438"/>
        <w:t>q</w:t>
      </w:r>
      <w:r>
        <w:rPr/>
        <w:t xml:space="preserve"> haben: Lasst mich doch sie zu euch hinausbringen, und tut ihnen wie </w:t>
      </w:r>
      <w:r>
        <w:rPr>
          <w:b/>
          <w:color w:val="808080"/>
        </w:rPr>
        <w:t>[</w:t>
      </w:r>
      <w:r>
        <w:rPr/>
        <w:t>es</w:t>
      </w:r>
      <w:r>
        <w:rPr>
          <w:b/>
          <w:color w:val="808080"/>
        </w:rPr>
        <w:t>]</w:t>
      </w:r>
      <w:r>
        <w:rPr/>
        <w:t xml:space="preserve"> gut in euren Augen </w:t>
      </w:r>
      <w:r>
        <w:rPr>
          <w:b/>
          <w:color w:val="808080"/>
        </w:rPr>
        <w:t>[</w:t>
      </w:r>
      <w:r>
        <w:rPr/>
        <w:t>ist</w:t>
      </w:r>
      <w:r>
        <w:rPr>
          <w:b/>
          <w:color w:val="808080"/>
        </w:rPr>
        <w:t>]</w:t>
      </w:r>
      <w:r>
        <w:rPr/>
        <w:t xml:space="preserve"> </w:t>
      </w:r>
      <w:r>
        <w:rPr>
          <w:rStyle w:val="Funotenanker"/>
        </w:rPr>
        <w:footnoteReference w:customMarkFollows="1" w:id="439"/>
        <w:t>r</w:t>
      </w:r>
      <w:r>
        <w:rPr/>
        <w:t xml:space="preserve">; nur diesen Männern mögt </w:t>
      </w:r>
      <w:r>
        <w:rPr>
          <w:color w:val="808080"/>
        </w:rPr>
        <w:t>(sollt, dürft)</w:t>
      </w:r>
      <w:r>
        <w:rPr/>
        <w:t xml:space="preserve"> ihr nichts tun, denn deshalb sind sie in den Schutz meines Hauses</w:t>
      </w:r>
      <w:r>
        <w:rPr>
          <w:rStyle w:val="Funotenanker"/>
        </w:rPr>
        <w:footnoteReference w:customMarkFollows="1" w:id="440"/>
        <w:t>s</w:t>
      </w:r>
      <w:r>
        <w:rPr/>
        <w:t xml:space="preserve"> gekommen.{{field-off:bible}} </w:t>
        <w:br/>
        <w:t>[[@BibleTOBIBLE:Ge 19:9]]</w:t>
      </w:r>
      <w:r>
        <w:rPr>
          <w:b/>
        </w:rPr>
        <w:t>9</w:t>
      </w:r>
      <w:r>
        <w:rPr/>
        <w:t xml:space="preserve"> {{field-on:bible}}Sie aber sagten: Mach, dass du wegkommst!</w:t>
      </w:r>
      <w:r>
        <w:rPr>
          <w:rStyle w:val="Funotenanker"/>
        </w:rPr>
        <w:footnoteReference w:customMarkFollows="1" w:id="441"/>
        <w:t>t</w:t>
      </w:r>
      <w:r>
        <w:rPr/>
        <w:t xml:space="preserve"> Und sie fuhren fort </w:t>
      </w:r>
      <w:r>
        <w:rPr>
          <w:color w:val="808080"/>
        </w:rPr>
        <w:t>(sagten)</w:t>
      </w:r>
      <w:r>
        <w:rPr/>
        <w:t>: Dieser Ein</w:t>
      </w:r>
      <w:r>
        <w:rPr>
          <w:b/>
          <w:color w:val="808080"/>
        </w:rPr>
        <w:t>[</w:t>
      </w:r>
      <w:r>
        <w:rPr/>
        <w:t>zeln</w:t>
      </w:r>
      <w:r>
        <w:rPr>
          <w:b/>
          <w:color w:val="808080"/>
        </w:rPr>
        <w:t>]</w:t>
      </w:r>
      <w:r>
        <w:rPr/>
        <w:t xml:space="preserve">e ist </w:t>
      </w:r>
      <w:r>
        <w:rPr>
          <w:b/>
          <w:color w:val="808080"/>
        </w:rPr>
        <w:t>[</w:t>
      </w:r>
      <w:r>
        <w:rPr/>
        <w:t>doch</w:t>
      </w:r>
      <w:r>
        <w:rPr>
          <w:b/>
          <w:color w:val="808080"/>
        </w:rPr>
        <w:t>]</w:t>
      </w:r>
      <w:r>
        <w:rPr/>
        <w:t xml:space="preserve"> gekommen </w:t>
      </w:r>
      <w:r>
        <w:rPr>
          <w:b/>
          <w:color w:val="808080"/>
        </w:rPr>
        <w:t>[</w:t>
      </w:r>
      <w:r>
        <w:rPr/>
        <w:t>um</w:t>
      </w:r>
      <w:r>
        <w:rPr>
          <w:b/>
          <w:color w:val="808080"/>
        </w:rPr>
        <w:t>]</w:t>
      </w:r>
      <w:r>
        <w:rPr/>
        <w:t xml:space="preserve"> unseren Schutz zu genießen!</w:t>
      </w:r>
      <w:r>
        <w:rPr>
          <w:rStyle w:val="Funotenanker"/>
        </w:rPr>
        <w:footnoteReference w:customMarkFollows="1" w:id="442"/>
        <w:t>u</w:t>
      </w:r>
      <w:r>
        <w:rPr/>
        <w:t xml:space="preserve"> Und nun will er in der Tat das Sagen haben.</w:t>
      </w:r>
      <w:r>
        <w:rPr>
          <w:rStyle w:val="Funotenanker"/>
        </w:rPr>
        <w:footnoteReference w:customMarkFollows="1" w:id="443"/>
        <w:t>v</w:t>
      </w:r>
      <w:r>
        <w:rPr/>
        <w:t xml:space="preserve"> Wir werden dir ihretwegen</w:t>
      </w:r>
      <w:r>
        <w:rPr>
          <w:rStyle w:val="Funotenanker"/>
        </w:rPr>
        <w:footnoteReference w:customMarkFollows="1" w:id="444"/>
        <w:t>w</w:t>
      </w:r>
      <w:r>
        <w:rPr/>
        <w:t xml:space="preserve"> übel mitspielen</w:t>
      </w:r>
      <w:r>
        <w:rPr>
          <w:rStyle w:val="Funotenanker"/>
        </w:rPr>
        <w:footnoteReference w:customMarkFollows="1" w:id="445"/>
        <w:t>x</w:t>
      </w:r>
      <w:r>
        <w:rPr/>
        <w:t xml:space="preserve">. Und sie drangen sehr gegen </w:t>
      </w:r>
      <w:r>
        <w:rPr>
          <w:color w:val="808080"/>
        </w:rPr>
        <w:t>(in)</w:t>
      </w:r>
      <w:r>
        <w:rPr/>
        <w:t xml:space="preserve"> den Mann, gegen </w:t>
      </w:r>
      <w:r>
        <w:rPr>
          <w:color w:val="808080"/>
        </w:rPr>
        <w:t>(in)</w:t>
      </w:r>
      <w:r>
        <w:rPr/>
        <w:t xml:space="preserve"> Lot, und kamen näher um die Tür aufzubrechen.{{field-off:bible}} </w:t>
        <w:br/>
        <w:t>[[@BibleTOBIBLE:Ge 19:10]]</w:t>
      </w:r>
      <w:r>
        <w:rPr>
          <w:b/>
        </w:rPr>
        <w:t>10</w:t>
      </w:r>
      <w:r>
        <w:rPr/>
        <w:t xml:space="preserve"> {{field-on:bible}}Da ergriffen die Männer </w:t>
      </w:r>
      <w:r>
        <w:rPr>
          <w:b/>
          <w:color w:val="808080"/>
        </w:rPr>
        <w:t>[</w:t>
      </w:r>
      <w:r>
        <w:rPr/>
        <w:t>Lot von drinnen</w:t>
      </w:r>
      <w:r>
        <w:rPr>
          <w:b/>
          <w:color w:val="808080"/>
        </w:rPr>
        <w:t>]</w:t>
      </w:r>
      <w:r>
        <w:rPr/>
        <w:t xml:space="preserve"> </w:t>
      </w:r>
      <w:r>
        <w:rPr>
          <w:rStyle w:val="Funotenanker"/>
        </w:rPr>
        <w:footnoteReference w:customMarkFollows="1" w:id="446"/>
        <w:t>y</w:t>
      </w:r>
      <w:r>
        <w:rPr/>
        <w:t xml:space="preserve"> und zogen </w:t>
      </w:r>
      <w:r>
        <w:rPr>
          <w:color w:val="808080"/>
        </w:rPr>
        <w:t>(brachten)</w:t>
      </w:r>
      <w:r>
        <w:rPr/>
        <w:t xml:space="preserve"> ihn </w:t>
      </w:r>
      <w:r>
        <w:rPr>
          <w:color w:val="808080"/>
        </w:rPr>
        <w:t>(Lot)</w:t>
      </w:r>
      <w:r>
        <w:rPr/>
        <w:t xml:space="preserve"> zu sich ins Haus hinein, </w:t>
      </w:r>
      <w:r>
        <w:rPr>
          <w:strike/>
          <w:color w:val="808080"/>
        </w:rPr>
        <w:t>{und}</w:t>
      </w:r>
      <w:r>
        <w:rPr/>
        <w:t xml:space="preserve"> die Tür verschlossen sie </w:t>
      </w:r>
      <w:r>
        <w:rPr>
          <w:b/>
          <w:color w:val="808080"/>
        </w:rPr>
        <w:t>[</w:t>
      </w:r>
      <w:r>
        <w:rPr/>
        <w:t>wieder</w:t>
      </w:r>
      <w:r>
        <w:rPr>
          <w:b/>
          <w:color w:val="808080"/>
        </w:rPr>
        <w:t>]</w:t>
      </w:r>
      <w:r>
        <w:rPr/>
        <w:t xml:space="preserve">.{{field-off:bible}} </w:t>
        <w:br/>
        <w:t>[[@BibleTOBIBLE:Ge 19:11]]</w:t>
      </w:r>
      <w:r>
        <w:rPr>
          <w:b/>
        </w:rPr>
        <w:t>11</w:t>
      </w:r>
      <w:r>
        <w:rPr/>
        <w:t xml:space="preserve"> {{field-on:bible}} </w:t>
      </w:r>
      <w:r>
        <w:rPr>
          <w:strike/>
          <w:color w:val="808080"/>
        </w:rPr>
        <w:t>{Und}</w:t>
      </w:r>
      <w:r>
        <w:rPr/>
        <w:t xml:space="preserve"> die Männer </w:t>
      </w:r>
      <w:r>
        <w:rPr>
          <w:strike/>
          <w:color w:val="808080"/>
        </w:rPr>
        <w:t>{die}</w:t>
      </w:r>
      <w:r>
        <w:rPr/>
        <w:t xml:space="preserve"> </w:t>
      </w:r>
      <w:r>
        <w:rPr>
          <w:b/>
          <w:color w:val="808080"/>
        </w:rPr>
        <w:t>[</w:t>
      </w:r>
      <w:r>
        <w:rPr/>
        <w:t>vor dem</w:t>
      </w:r>
      <w:r>
        <w:rPr>
          <w:b/>
          <w:color w:val="808080"/>
        </w:rPr>
        <w:t>]</w:t>
      </w:r>
      <w:r>
        <w:rPr/>
        <w:t xml:space="preserve"> Eingang des Hauses schlugen sie mit völliger Blindheit</w:t>
      </w:r>
      <w:r>
        <w:rPr>
          <w:rStyle w:val="Funotenanker"/>
        </w:rPr>
        <w:footnoteReference w:customMarkFollows="1" w:id="447"/>
        <w:t>z</w:t>
      </w:r>
      <w:r>
        <w:rPr/>
        <w:t>, von jung bis alt</w:t>
      </w:r>
      <w:r>
        <w:rPr>
          <w:rStyle w:val="Funotenanker"/>
        </w:rPr>
        <w:footnoteReference w:customMarkFollows="1" w:id="448"/>
        <w:t>aa</w:t>
      </w:r>
      <w:r>
        <w:rPr/>
        <w:t>, so dass sie’s müde wurden</w:t>
      </w:r>
      <w:r>
        <w:rPr>
          <w:rStyle w:val="Funotenanker"/>
        </w:rPr>
        <w:footnoteReference w:customMarkFollows="1" w:id="449"/>
        <w:t>ab</w:t>
      </w:r>
      <w:r>
        <w:rPr/>
        <w:t xml:space="preserve"> den Eingang zu finden.{{field-off:bible}} </w:t>
        <w:br/>
        <w:t>[[@BibleTOBIBLE:Ge 19:12]]</w:t>
      </w:r>
      <w:r>
        <w:rPr>
          <w:b/>
        </w:rPr>
        <w:t>12</w:t>
      </w:r>
      <w:r>
        <w:rPr/>
        <w:t xml:space="preserve"> {{field-on:bible}}Dann sagten die Männer zu Lot: Wer noch hier </w:t>
      </w:r>
      <w:r>
        <w:rPr>
          <w:b/>
          <w:color w:val="808080"/>
        </w:rPr>
        <w:t>[</w:t>
      </w:r>
      <w:r>
        <w:rPr/>
        <w:t>zu</w:t>
      </w:r>
      <w:r>
        <w:rPr>
          <w:b/>
          <w:color w:val="808080"/>
        </w:rPr>
        <w:t>]</w:t>
      </w:r>
      <w:r>
        <w:rPr/>
        <w:t xml:space="preserve"> dir </w:t>
      </w:r>
      <w:r>
        <w:rPr>
          <w:b/>
          <w:color w:val="808080"/>
        </w:rPr>
        <w:t>[</w:t>
      </w:r>
      <w:r>
        <w:rPr/>
        <w:t>gehört</w:t>
      </w:r>
      <w:r>
        <w:rPr>
          <w:b/>
          <w:color w:val="808080"/>
        </w:rPr>
        <w:t>]</w:t>
      </w:r>
      <w:r>
        <w:rPr/>
        <w:t xml:space="preserve">, ein Schwiegersohn, deine Söhne und deine Töchter und alles, was dir in der Stadt </w:t>
      </w:r>
      <w:r>
        <w:rPr>
          <w:b/>
          <w:color w:val="808080"/>
        </w:rPr>
        <w:t>[</w:t>
      </w:r>
      <w:r>
        <w:rPr/>
        <w:t>gehört</w:t>
      </w:r>
      <w:r>
        <w:rPr>
          <w:b/>
          <w:color w:val="808080"/>
        </w:rPr>
        <w:t>]</w:t>
      </w:r>
      <w:r>
        <w:rPr/>
        <w:t xml:space="preserve"> </w:t>
      </w:r>
      <w:r>
        <w:rPr>
          <w:rStyle w:val="Funotenanker"/>
        </w:rPr>
        <w:footnoteReference w:customMarkFollows="1" w:id="450"/>
        <w:t>ac</w:t>
      </w:r>
      <w:r>
        <w:rPr/>
        <w:t xml:space="preserve">, </w:t>
      </w:r>
      <w:r>
        <w:rPr>
          <w:b/>
          <w:color w:val="808080"/>
        </w:rPr>
        <w:t>[</w:t>
      </w:r>
      <w:r>
        <w:rPr/>
        <w:t>die</w:t>
      </w:r>
      <w:r>
        <w:rPr>
          <w:b/>
          <w:color w:val="808080"/>
        </w:rPr>
        <w:t>]</w:t>
      </w:r>
      <w:r>
        <w:rPr/>
        <w:t xml:space="preserve"> bring hinaus aus dem Ort!{{field-off:bible}} </w:t>
        <w:br/>
        <w:t>[[@BibleTOBIBLE:Ge 19:13]]</w:t>
      </w:r>
      <w:r>
        <w:rPr>
          <w:b/>
        </w:rPr>
        <w:t>13</w:t>
      </w:r>
      <w:r>
        <w:rPr/>
        <w:t xml:space="preserve"> {{field-on:bible}}Denn wir sind dabei diesen Ort zu vernichten</w:t>
      </w:r>
      <w:r>
        <w:rPr>
          <w:rStyle w:val="Funotenanker"/>
        </w:rPr>
        <w:footnoteReference w:customMarkFollows="1" w:id="451"/>
        <w:t>ad</w:t>
      </w:r>
      <w:r>
        <w:rPr/>
        <w:t xml:space="preserve">, weil die Klage über sie </w:t>
      </w:r>
      <w:r>
        <w:rPr>
          <w:color w:val="808080"/>
        </w:rPr>
        <w:t>(die Bewohner)</w:t>
      </w:r>
      <w:r>
        <w:rPr/>
        <w:t xml:space="preserve"> groß geworden ist vor </w:t>
      </w:r>
      <w:r>
        <w:rPr>
          <w:smallCaps/>
          <w:color w:val="FF0000"/>
        </w:rPr>
        <w:t>JHWH</w:t>
      </w:r>
      <w:r>
        <w:rPr/>
        <w:t xml:space="preserve"> </w:t>
      </w:r>
      <w:r>
        <w:rPr>
          <w:rStyle w:val="Funotenanker"/>
        </w:rPr>
        <w:footnoteReference w:customMarkFollows="1" w:id="452"/>
        <w:t>ae</w:t>
      </w:r>
      <w:r>
        <w:rPr/>
        <w:t xml:space="preserve">, da hat </w:t>
      </w:r>
      <w:r>
        <w:rPr>
          <w:smallCaps/>
          <w:color w:val="FF0000"/>
        </w:rPr>
        <w:t>JHWH</w:t>
      </w:r>
      <w:r>
        <w:rPr/>
        <w:t xml:space="preserve"> uns geschickt sie </w:t>
      </w:r>
      <w:r>
        <w:rPr>
          <w:color w:val="808080"/>
        </w:rPr>
        <w:t>(die Stadt)</w:t>
      </w:r>
      <w:r>
        <w:rPr/>
        <w:t xml:space="preserve"> zu vernichten.{{field-off:bible}} </w:t>
        <w:br/>
        <w:t>[[@BibleTOBIBLE:Ge 19:14]]</w:t>
      </w:r>
      <w:r>
        <w:rPr>
          <w:b/>
        </w:rPr>
        <w:t>14</w:t>
      </w:r>
      <w:r>
        <w:rPr/>
        <w:t xml:space="preserve"> {{field-on:bible}}Da ging Lot hinaus </w:t>
      </w:r>
      <w:r>
        <w:rPr>
          <w:b/>
          <w:color w:val="808080"/>
        </w:rPr>
        <w:t>[</w:t>
      </w:r>
      <w:r>
        <w:rPr/>
        <w:t>in die Stadt</w:t>
      </w:r>
      <w:r>
        <w:rPr>
          <w:b/>
          <w:color w:val="808080"/>
        </w:rPr>
        <w:t>]</w:t>
      </w:r>
      <w:r>
        <w:rPr/>
        <w:t xml:space="preserve"> und redete zu </w:t>
      </w:r>
      <w:r>
        <w:rPr>
          <w:color w:val="808080"/>
        </w:rPr>
        <w:t>(mit)</w:t>
      </w:r>
      <w:r>
        <w:rPr/>
        <w:t xml:space="preserve"> seinen Schwiegersöhnen, die seine Töchter nehmen würden </w:t>
      </w:r>
      <w:r>
        <w:rPr>
          <w:color w:val="808080"/>
        </w:rPr>
        <w:t>(sollten)</w:t>
      </w:r>
      <w:r>
        <w:rPr/>
        <w:t xml:space="preserve"> </w:t>
      </w:r>
      <w:r>
        <w:rPr>
          <w:rStyle w:val="Funotenanker"/>
        </w:rPr>
        <w:footnoteReference w:customMarkFollows="1" w:id="453"/>
        <w:t>af</w:t>
      </w:r>
      <w:r>
        <w:rPr/>
        <w:t xml:space="preserve"> und sagte: </w:t>
      </w:r>
      <w:r>
        <w:rPr>
          <w:strike/>
          <w:color w:val="808080"/>
        </w:rPr>
        <w:t>{Steht}</w:t>
      </w:r>
      <w:r>
        <w:rPr/>
        <w:t xml:space="preserve"> auf, geht hinaus aus diesem Ort, denn </w:t>
      </w:r>
      <w:r>
        <w:rPr>
          <w:smallCaps/>
          <w:color w:val="FF0000"/>
        </w:rPr>
        <w:t>JHWH</w:t>
      </w:r>
      <w:r>
        <w:rPr/>
        <w:t xml:space="preserve"> ist im Begriff die Stadt zu vernichten </w:t>
      </w:r>
      <w:r>
        <w:rPr>
          <w:rStyle w:val="Funotenanker"/>
        </w:rPr>
        <w:footnoteReference w:customMarkFollows="1" w:id="454"/>
        <w:t>ag</w:t>
      </w:r>
      <w:r>
        <w:rPr/>
        <w:t xml:space="preserve">. Da war er in den Augen seiner Schwiegersöhne wie ein Scherzender.{{field-off:bible}} </w:t>
        <w:br/>
        <w:t>[[@BibleTOBIBLE:Ge 19:15]]</w:t>
      </w:r>
      <w:r>
        <w:rPr>
          <w:b/>
        </w:rPr>
        <w:t>15</w:t>
      </w:r>
      <w:r>
        <w:rPr/>
        <w:t xml:space="preserve"> {{field-on:bible}}Als das Morgenrot aufstieg, da drängten die Boten</w:t>
      </w:r>
      <w:r>
        <w:rPr>
          <w:rStyle w:val="Funotenanker"/>
        </w:rPr>
        <w:footnoteReference w:customMarkFollows="1" w:id="455"/>
        <w:t>ah</w:t>
      </w:r>
      <w:r>
        <w:rPr/>
        <w:t xml:space="preserve"> auf </w:t>
      </w:r>
      <w:r>
        <w:rPr>
          <w:color w:val="808080"/>
        </w:rPr>
        <w:t>(in)</w:t>
      </w:r>
      <w:r>
        <w:rPr/>
        <w:t xml:space="preserve"> Lot ein: </w:t>
      </w:r>
      <w:r>
        <w:rPr>
          <w:rStyle w:val="Funotenanker"/>
        </w:rPr>
        <w:footnoteReference w:customMarkFollows="1" w:id="456"/>
        <w:t>ai</w:t>
      </w:r>
      <w:r>
        <w:rPr/>
        <w:t xml:space="preserve"> </w:t>
      </w:r>
      <w:r>
        <w:rPr>
          <w:strike/>
          <w:color w:val="808080"/>
        </w:rPr>
        <w:t>{Steh}</w:t>
      </w:r>
      <w:r>
        <w:rPr/>
        <w:t xml:space="preserve"> auf </w:t>
      </w:r>
      <w:r>
        <w:rPr>
          <w:color w:val="808080"/>
        </w:rPr>
        <w:t>(los)</w:t>
      </w:r>
      <w:r>
        <w:rPr/>
        <w:t xml:space="preserve">, nimm deine Frau und deine beiden Töchter, die sich </w:t>
      </w:r>
      <w:r>
        <w:rPr>
          <w:b/>
          <w:color w:val="808080"/>
        </w:rPr>
        <w:t>[</w:t>
      </w:r>
      <w:r>
        <w:rPr/>
        <w:t>hier</w:t>
      </w:r>
      <w:r>
        <w:rPr>
          <w:b/>
          <w:color w:val="808080"/>
        </w:rPr>
        <w:t>]</w:t>
      </w:r>
      <w:r>
        <w:rPr/>
        <w:t xml:space="preserve"> befinden, damit nicht du weggerafft wirst in der Sünde</w:t>
      </w:r>
      <w:r>
        <w:rPr>
          <w:rStyle w:val="Funotenanker"/>
        </w:rPr>
        <w:footnoteReference w:customMarkFollows="1" w:id="457"/>
        <w:t>aj</w:t>
      </w:r>
      <w:r>
        <w:rPr/>
        <w:t xml:space="preserve"> der Stadt.{{field-off:bible}} </w:t>
        <w:br/>
        <w:t>[[@BibleTOBIBLE:Ge 19:16]]</w:t>
      </w:r>
      <w:r>
        <w:rPr>
          <w:b/>
        </w:rPr>
        <w:t>16</w:t>
      </w:r>
      <w:r>
        <w:rPr/>
        <w:t xml:space="preserve"> {{field-on:bible}}Als er zögerte</w:t>
      </w:r>
      <w:r>
        <w:rPr>
          <w:rStyle w:val="Funotenanker"/>
        </w:rPr>
        <w:footnoteReference w:customMarkFollows="1" w:id="458"/>
        <w:t>ak</w:t>
      </w:r>
      <w:r>
        <w:rPr/>
        <w:t xml:space="preserve"> ergriffen die Männer seine Hand und die Hand seiner Frau und die Hand seiner zwei Töchter, weil </w:t>
      </w:r>
      <w:r>
        <w:rPr>
          <w:smallCaps/>
          <w:color w:val="FF0000"/>
        </w:rPr>
        <w:t>JHWH</w:t>
      </w:r>
      <w:r>
        <w:rPr/>
        <w:t xml:space="preserve"> Mitleid mit ihm hatte,</w:t>
      </w:r>
      <w:r>
        <w:rPr>
          <w:rStyle w:val="Funotenanker"/>
        </w:rPr>
        <w:footnoteReference w:customMarkFollows="1" w:id="459"/>
        <w:t>al</w:t>
      </w:r>
      <w:r>
        <w:rPr/>
        <w:t xml:space="preserve"> und sie führten ihn hinaus und brachten ihn </w:t>
      </w:r>
      <w:r>
        <w:rPr>
          <w:b/>
          <w:color w:val="808080"/>
        </w:rPr>
        <w:t>[</w:t>
      </w:r>
      <w:r>
        <w:rPr/>
        <w:t>zu einem Ort</w:t>
      </w:r>
      <w:r>
        <w:rPr>
          <w:b/>
          <w:color w:val="808080"/>
        </w:rPr>
        <w:t>]</w:t>
      </w:r>
      <w:r>
        <w:rPr/>
        <w:t xml:space="preserve"> außerhalb der Stadt.{{field-off:bible}} </w:t>
        <w:br/>
        <w:t>[[@BibleTOBIBLE:Ge 19:17]]</w:t>
      </w:r>
      <w:r>
        <w:rPr>
          <w:b/>
        </w:rPr>
        <w:t>17</w:t>
      </w:r>
      <w:r>
        <w:rPr/>
        <w:t xml:space="preserve"> {{field-on:bible}} </w:t>
      </w:r>
      <w:r>
        <w:rPr>
          <w:strike/>
          <w:color w:val="808080"/>
        </w:rPr>
        <w:t>{Und es geschah,}</w:t>
      </w:r>
      <w:r>
        <w:rPr/>
        <w:t xml:space="preserve"> als sie sie nach draußen hinausgeführt hatten, da sagte </w:t>
      </w:r>
      <w:r>
        <w:rPr>
          <w:b/>
          <w:color w:val="808080"/>
        </w:rPr>
        <w:t>[</w:t>
      </w:r>
      <w:r>
        <w:rPr/>
        <w:t>einer der Männer</w:t>
      </w:r>
      <w:r>
        <w:rPr>
          <w:b/>
          <w:color w:val="808080"/>
        </w:rPr>
        <w:t>]</w:t>
      </w:r>
      <w:r>
        <w:rPr/>
        <w:t xml:space="preserve"> </w:t>
      </w:r>
      <w:r>
        <w:rPr>
          <w:rStyle w:val="Funotenanker"/>
        </w:rPr>
        <w:footnoteReference w:customMarkFollows="1" w:id="460"/>
        <w:t>am</w:t>
      </w:r>
      <w:r>
        <w:rPr/>
        <w:t>: Rette dich um deines Lebens willen</w:t>
      </w:r>
      <w:r>
        <w:rPr>
          <w:rStyle w:val="Funotenanker"/>
        </w:rPr>
        <w:footnoteReference w:customMarkFollows="1" w:id="461"/>
        <w:t>an</w:t>
      </w:r>
      <w:r>
        <w:rPr/>
        <w:t xml:space="preserve">! Blicke nicht hinter dich und bleib nicht irgendwo im Umkreis </w:t>
      </w:r>
      <w:r>
        <w:rPr>
          <w:b/>
          <w:color w:val="808080"/>
        </w:rPr>
        <w:t>[</w:t>
      </w:r>
      <w:r>
        <w:rPr/>
        <w:t>der Stadt</w:t>
      </w:r>
      <w:r>
        <w:rPr>
          <w:b/>
          <w:color w:val="808080"/>
        </w:rPr>
        <w:t>]</w:t>
      </w:r>
      <w:r>
        <w:rPr/>
        <w:t xml:space="preserve"> </w:t>
      </w:r>
      <w:r>
        <w:rPr>
          <w:rStyle w:val="Funotenanker"/>
        </w:rPr>
        <w:footnoteReference w:customMarkFollows="1" w:id="462"/>
        <w:t>ao</w:t>
      </w:r>
      <w:r>
        <w:rPr/>
        <w:t xml:space="preserve"> stehen; ins Gebirge rette dich, sonst wirst du umkommen </w:t>
      </w:r>
      <w:r>
        <w:rPr>
          <w:color w:val="808080"/>
        </w:rPr>
        <w:t>(weggerafft)</w:t>
      </w:r>
      <w:r>
        <w:rPr/>
        <w:t xml:space="preserve"> </w:t>
      </w:r>
      <w:r>
        <w:rPr>
          <w:rStyle w:val="Funotenanker"/>
        </w:rPr>
        <w:footnoteReference w:customMarkFollows="1" w:id="463"/>
        <w:t>ap</w:t>
      </w:r>
      <w:r>
        <w:rPr/>
        <w:t xml:space="preserve">.{{field-off:bible}} </w:t>
        <w:br/>
        <w:t>[[@BibleTOBIBLE:Ge 19:18]]</w:t>
      </w:r>
      <w:r>
        <w:rPr>
          <w:b/>
        </w:rPr>
        <w:t>18</w:t>
      </w:r>
      <w:r>
        <w:rPr/>
        <w:t xml:space="preserve"> {{field-on:bible}}Und Lot sagte zu ihnen: Bloß nicht, bei allem Respekt!</w:t>
      </w:r>
      <w:r>
        <w:rPr>
          <w:rStyle w:val="Funotenanker"/>
        </w:rPr>
        <w:footnoteReference w:customMarkFollows="1" w:id="464"/>
        <w:t>aq</w:t>
      </w:r>
      <w:r>
        <w:rPr/>
        <w:t xml:space="preserve">!{{field-off:bible}} </w:t>
        <w:br/>
        <w:t>[[@BibleTOBIBLE:Ge 19:19]]</w:t>
      </w:r>
      <w:r>
        <w:rPr>
          <w:b/>
        </w:rPr>
        <w:t>19</w:t>
      </w:r>
      <w:r>
        <w:rPr/>
        <w:t xml:space="preserve"> {{field-on:bible}}Sieh doch, dein Knecht hat Gnade </w:t>
      </w:r>
      <w:r>
        <w:rPr>
          <w:color w:val="808080"/>
        </w:rPr>
        <w:t>(Beachtung, Gunst, Wohlwollen)</w:t>
      </w:r>
      <w:r>
        <w:rPr/>
        <w:t xml:space="preserve"> gefunden in deinen Augen und du hast mir große Güte </w:t>
      </w:r>
      <w:r>
        <w:rPr>
          <w:color w:val="808080"/>
        </w:rPr>
        <w:t>(Liebe, Treue, Solidarität)</w:t>
      </w:r>
      <w:r>
        <w:rPr/>
        <w:t xml:space="preserve"> erwiesen</w:t>
      </w:r>
      <w:r>
        <w:rPr>
          <w:rStyle w:val="Funotenanker"/>
        </w:rPr>
        <w:footnoteReference w:customMarkFollows="1" w:id="465"/>
        <w:t>ar</w:t>
      </w:r>
      <w:r>
        <w:rPr/>
        <w:t xml:space="preserve">, indem du mich </w:t>
      </w:r>
      <w:r>
        <w:rPr>
          <w:color w:val="808080"/>
        </w:rPr>
        <w:t>(meine Seele)</w:t>
      </w:r>
      <w:r>
        <w:rPr/>
        <w:t xml:space="preserve"> am leben lässt</w:t>
      </w:r>
      <w:r>
        <w:rPr>
          <w:rStyle w:val="Funotenanker"/>
        </w:rPr>
        <w:footnoteReference w:customMarkFollows="1" w:id="466"/>
        <w:t>as</w:t>
      </w:r>
      <w:r>
        <w:rPr/>
        <w:t xml:space="preserve">: aber </w:t>
      </w:r>
      <w:r>
        <w:rPr>
          <w:color w:val="808080"/>
        </w:rPr>
        <w:t>(und)</w:t>
      </w:r>
      <w:r>
        <w:rPr/>
        <w:t xml:space="preserve"> ich kann mich nicht ins Gebirge retten, sonst werde ich das Unheil nicht mehr los</w:t>
      </w:r>
      <w:r>
        <w:rPr>
          <w:rStyle w:val="Funotenanker"/>
        </w:rPr>
        <w:footnoteReference w:customMarkFollows="1" w:id="467"/>
        <w:t>at</w:t>
      </w:r>
      <w:r>
        <w:rPr/>
        <w:t xml:space="preserve">und ich werde sterben.{{field-off:bible}} </w:t>
        <w:br/>
        <w:t>[[@BibleTOBIBLE:Ge 19:20]]</w:t>
      </w:r>
      <w:r>
        <w:rPr>
          <w:b/>
        </w:rPr>
        <w:t>20</w:t>
      </w:r>
      <w:r>
        <w:rPr/>
        <w:t xml:space="preserve"> {{field-on:bible}}Siehe, diese Stadt </w:t>
      </w:r>
      <w:r>
        <w:rPr>
          <w:b/>
          <w:color w:val="808080"/>
        </w:rPr>
        <w:t>[</w:t>
      </w:r>
      <w:r>
        <w:rPr/>
        <w:t>da liegt</w:t>
      </w:r>
      <w:r>
        <w:rPr>
          <w:b/>
          <w:color w:val="808080"/>
        </w:rPr>
        <w:t>]</w:t>
      </w:r>
      <w:r>
        <w:rPr/>
        <w:t xml:space="preserve"> nahe </w:t>
      </w:r>
      <w:r>
        <w:rPr>
          <w:b/>
          <w:color w:val="808080"/>
        </w:rPr>
        <w:t>[</w:t>
      </w:r>
      <w:r>
        <w:rPr/>
        <w:t>genug</w:t>
      </w:r>
      <w:r>
        <w:rPr>
          <w:b/>
          <w:color w:val="808080"/>
        </w:rPr>
        <w:t>]</w:t>
      </w:r>
      <w:r>
        <w:rPr/>
        <w:t xml:space="preserve">, </w:t>
      </w:r>
      <w:r>
        <w:rPr>
          <w:b/>
          <w:color w:val="808080"/>
        </w:rPr>
        <w:t>[</w:t>
      </w:r>
      <w:r>
        <w:rPr/>
        <w:t>um</w:t>
      </w:r>
      <w:r>
        <w:rPr>
          <w:b/>
          <w:color w:val="808080"/>
        </w:rPr>
        <w:t>]</w:t>
      </w:r>
      <w:r>
        <w:rPr/>
        <w:t xml:space="preserve"> dorthin zu fliehen, und sie </w:t>
      </w:r>
      <w:r>
        <w:rPr>
          <w:b/>
          <w:color w:val="808080"/>
        </w:rPr>
        <w:t>[</w:t>
      </w:r>
      <w:r>
        <w:rPr/>
        <w:t>ist</w:t>
      </w:r>
      <w:r>
        <w:rPr>
          <w:b/>
          <w:color w:val="808080"/>
        </w:rPr>
        <w:t>]</w:t>
      </w:r>
      <w:r>
        <w:rPr/>
        <w:t xml:space="preserve"> klein. Lass mich doch dorthin entkommen</w:t>
      </w:r>
      <w:r>
        <w:rPr>
          <w:rStyle w:val="Funotenanker"/>
        </w:rPr>
        <w:footnoteReference w:customMarkFollows="1" w:id="468"/>
        <w:t>au</w:t>
      </w:r>
      <w:r>
        <w:rPr/>
        <w:t>, klein wie sie ist</w:t>
      </w:r>
      <w:r>
        <w:rPr>
          <w:rStyle w:val="Funotenanker"/>
        </w:rPr>
        <w:footnoteReference w:customMarkFollows="1" w:id="469"/>
        <w:t>av</w:t>
      </w:r>
      <w:r>
        <w:rPr/>
        <w:t>, dann bleibe ich am leben</w:t>
      </w:r>
      <w:r>
        <w:rPr>
          <w:rStyle w:val="Funotenanker"/>
        </w:rPr>
        <w:footnoteReference w:customMarkFollows="1" w:id="470"/>
        <w:t>aw</w:t>
      </w:r>
      <w:r>
        <w:rPr/>
        <w:t xml:space="preserve">.{{field-off:bible}} </w:t>
        <w:br/>
        <w:t>[[@BibleTOBIBLE:Ge 19:21]]</w:t>
      </w:r>
      <w:r>
        <w:rPr>
          <w:b/>
        </w:rPr>
        <w:t>21</w:t>
      </w:r>
      <w:r>
        <w:rPr/>
        <w:t xml:space="preserve"> {{field-on:bible}}Da sagte </w:t>
      </w:r>
      <w:r>
        <w:rPr>
          <w:b/>
          <w:color w:val="808080"/>
        </w:rPr>
        <w:t>[</w:t>
      </w:r>
      <w:r>
        <w:rPr/>
        <w:t>der Mann</w:t>
      </w:r>
      <w:r>
        <w:rPr>
          <w:b/>
          <w:color w:val="808080"/>
        </w:rPr>
        <w:t>]</w:t>
      </w:r>
      <w:r>
        <w:rPr/>
        <w:t xml:space="preserve"> zu ihm: Siehe, auch in dieser Sache</w:t>
      </w:r>
      <w:r>
        <w:rPr>
          <w:rStyle w:val="Funotenanker"/>
        </w:rPr>
        <w:footnoteReference w:customMarkFollows="1" w:id="471"/>
        <w:t>ax</w:t>
      </w:r>
      <w:r>
        <w:rPr/>
        <w:t>habe ich dein Angesicht erhoben</w:t>
      </w:r>
      <w:r>
        <w:rPr>
          <w:rStyle w:val="Funotenanker"/>
        </w:rPr>
        <w:footnoteReference w:customMarkFollows="1" w:id="472"/>
        <w:t>ay</w:t>
      </w:r>
      <w:r>
        <w:rPr/>
        <w:t>, so dass ich die Stadt nicht verwüsten werde</w:t>
      </w:r>
      <w:r>
        <w:rPr>
          <w:rStyle w:val="Funotenanker"/>
        </w:rPr>
        <w:footnoteReference w:customMarkFollows="1" w:id="473"/>
        <w:t>az</w:t>
      </w:r>
      <w:r>
        <w:rPr/>
        <w:t xml:space="preserve">, </w:t>
      </w:r>
      <w:r>
        <w:rPr>
          <w:b/>
          <w:color w:val="808080"/>
        </w:rPr>
        <w:t>[</w:t>
      </w:r>
      <w:r>
        <w:rPr/>
        <w:t>von</w:t>
      </w:r>
      <w:r>
        <w:rPr>
          <w:b/>
          <w:color w:val="808080"/>
        </w:rPr>
        <w:t>]</w:t>
      </w:r>
      <w:r>
        <w:rPr/>
        <w:t xml:space="preserve"> der du geredet hast.{{field-off:bible}} </w:t>
        <w:br/>
        <w:t>[[@BibleTOBIBLE:Ge 19:22]]</w:t>
      </w:r>
      <w:r>
        <w:rPr>
          <w:b/>
        </w:rPr>
        <w:t>22</w:t>
      </w:r>
      <w:r>
        <w:rPr/>
        <w:t xml:space="preserve"> {{field-on:bible}}Beeile dich dorthin zu entkommen, denn ich kann nichts</w:t>
      </w:r>
      <w:r>
        <w:rPr>
          <w:rStyle w:val="Funotenanker"/>
        </w:rPr>
        <w:footnoteReference w:customMarkFollows="1" w:id="474"/>
        <w:t>ba</w:t>
      </w:r>
      <w:r>
        <w:rPr/>
        <w:t xml:space="preserve"> tun, bis du dorthin gekommen bist</w:t>
      </w:r>
      <w:r>
        <w:rPr>
          <w:rStyle w:val="Funotenanker"/>
        </w:rPr>
        <w:footnoteReference w:customMarkFollows="1" w:id="475"/>
        <w:t>bb</w:t>
      </w:r>
      <w:r>
        <w:rPr/>
        <w:t>. Deshalb hat man</w:t>
      </w:r>
      <w:r>
        <w:rPr>
          <w:rStyle w:val="Funotenanker"/>
        </w:rPr>
        <w:footnoteReference w:customMarkFollows="1" w:id="476"/>
        <w:t>bc</w:t>
      </w:r>
      <w:r>
        <w:rPr/>
        <w:t xml:space="preserve"> die Stadt Zoar </w:t>
      </w:r>
      <w:r>
        <w:rPr>
          <w:color w:val="808080"/>
        </w:rPr>
        <w:t>(klein)</w:t>
      </w:r>
      <w:r>
        <w:rPr/>
        <w:t xml:space="preserve"> genannt</w:t>
      </w:r>
      <w:r>
        <w:rPr>
          <w:rStyle w:val="Funotenanker"/>
        </w:rPr>
        <w:footnoteReference w:customMarkFollows="1" w:id="477"/>
        <w:t>bd</w:t>
      </w:r>
      <w:r>
        <w:rPr/>
        <w:t xml:space="preserve">.{{field-off:bible}} </w:t>
        <w:br/>
        <w:t>[[@BibleTOBIBLE:Ge 19:23]]</w:t>
      </w:r>
      <w:r>
        <w:rPr>
          <w:b/>
        </w:rPr>
        <w:t>23</w:t>
      </w:r>
      <w:r>
        <w:rPr/>
        <w:t xml:space="preserve"> {{field-on:bible}}Die Sonne war über </w:t>
      </w:r>
      <w:r>
        <w:rPr>
          <w:color w:val="808080"/>
        </w:rPr>
        <w:t>(auf)</w:t>
      </w:r>
      <w:r>
        <w:rPr/>
        <w:t xml:space="preserve"> dem Land </w:t>
      </w:r>
      <w:r>
        <w:rPr>
          <w:color w:val="808080"/>
        </w:rPr>
        <w:t>(der Gegend, der Erde)</w:t>
      </w:r>
      <w:r>
        <w:rPr/>
        <w:t xml:space="preserve"> aufgegangen</w:t>
      </w:r>
      <w:r>
        <w:rPr>
          <w:rStyle w:val="Funotenanker"/>
        </w:rPr>
        <w:footnoteReference w:customMarkFollows="1" w:id="478"/>
        <w:t>be</w:t>
      </w:r>
      <w:r>
        <w:rPr/>
        <w:t>, als Lot nach Zoar</w:t>
      </w:r>
      <w:r>
        <w:rPr>
          <w:rStyle w:val="Funotenanker"/>
        </w:rPr>
        <w:footnoteReference w:customMarkFollows="1" w:id="479"/>
        <w:t>bf</w:t>
      </w:r>
      <w:r>
        <w:rPr/>
        <w:t xml:space="preserve"> kam.{{field-off:bible}} </w:t>
        <w:br/>
        <w:t>[[@BibleTOBIBLE:Ge 19:24]]</w:t>
      </w:r>
      <w:r>
        <w:rPr>
          <w:b/>
        </w:rPr>
        <w:t>24</w:t>
      </w:r>
      <w:r>
        <w:rPr/>
        <w:t xml:space="preserve"> {{field-on:bible}}Und </w:t>
      </w:r>
      <w:r>
        <w:rPr>
          <w:smallCaps/>
          <w:color w:val="FF0000"/>
        </w:rPr>
        <w:t>JHWH</w:t>
      </w:r>
      <w:r>
        <w:rPr/>
        <w:t xml:space="preserve"> ließ es regnen auf Sodom und </w:t>
      </w:r>
      <w:r>
        <w:rPr>
          <w:strike/>
          <w:color w:val="808080"/>
        </w:rPr>
        <w:t>{auf}</w:t>
      </w:r>
      <w:r>
        <w:rPr/>
        <w:t xml:space="preserve"> Gomorra, Schwefel und Feuer von</w:t>
      </w:r>
      <w:r>
        <w:rPr>
          <w:rStyle w:val="Funotenanker"/>
        </w:rPr>
        <w:footnoteReference w:customMarkFollows="1" w:id="480"/>
        <w:t>bg</w:t>
      </w:r>
      <w:r>
        <w:rPr/>
        <w:t xml:space="preserve"> </w:t>
      </w:r>
      <w:r>
        <w:rPr>
          <w:smallCaps/>
          <w:color w:val="FF0000"/>
        </w:rPr>
        <w:t>JHWH</w:t>
      </w:r>
      <w:r>
        <w:rPr/>
        <w:t xml:space="preserve"> aus dem </w:t>
      </w:r>
      <w:r>
        <w:rPr>
          <w:color w:val="808080"/>
        </w:rPr>
        <w:t>(vom)</w:t>
      </w:r>
      <w:r>
        <w:rPr/>
        <w:t xml:space="preserve"> Himmel.{{field-off:bible}} </w:t>
        <w:br/>
        <w:t>[[@BibleTOBIBLE:Ge 19:25]]</w:t>
      </w:r>
      <w:r>
        <w:rPr>
          <w:b/>
        </w:rPr>
        <w:t>25</w:t>
      </w:r>
      <w:r>
        <w:rPr/>
        <w:t xml:space="preserve"> {{field-on:bible}}Und </w:t>
      </w:r>
      <w:r>
        <w:rPr>
          <w:b/>
          <w:color w:val="808080"/>
        </w:rPr>
        <w:t>[</w:t>
      </w:r>
      <w:r>
        <w:rPr/>
        <w:t>so</w:t>
      </w:r>
      <w:r>
        <w:rPr>
          <w:b/>
          <w:color w:val="808080"/>
        </w:rPr>
        <w:t>]</w:t>
      </w:r>
      <w:r>
        <w:rPr/>
        <w:t xml:space="preserve"> verwüstete er diese Städte und den gesamten Umkreis </w:t>
      </w:r>
      <w:r>
        <w:rPr>
          <w:color w:val="808080"/>
        </w:rPr>
        <w:t>(die gesamte Umgebung)</w:t>
      </w:r>
      <w:r>
        <w:rPr/>
        <w:t xml:space="preserve"> und alle Bewohner der Städte und das Gewächs</w:t>
      </w:r>
      <w:r>
        <w:rPr>
          <w:rStyle w:val="Funotenanker"/>
        </w:rPr>
        <w:footnoteReference w:customMarkFollows="1" w:id="481"/>
        <w:t>bh</w:t>
      </w:r>
      <w:r>
        <w:rPr/>
        <w:t xml:space="preserve"> des Erdbodens </w:t>
      </w:r>
      <w:r>
        <w:rPr>
          <w:color w:val="808080"/>
        </w:rPr>
        <w:t>(Ackerlandes)</w:t>
      </w:r>
      <w:r>
        <w:rPr/>
        <w:t xml:space="preserve">.{{field-off:bible}} </w:t>
        <w:br/>
        <w:t>[[@BibleTOBIBLE:Ge 19:26]]</w:t>
      </w:r>
      <w:r>
        <w:rPr>
          <w:b/>
        </w:rPr>
        <w:t>26</w:t>
      </w:r>
      <w:r>
        <w:rPr/>
        <w:t xml:space="preserve"> {{field-on:bible}}Und seine Frau blickte hinter</w:t>
      </w:r>
      <w:r>
        <w:rPr>
          <w:rStyle w:val="Funotenanker"/>
        </w:rPr>
        <w:footnoteReference w:customMarkFollows="1" w:id="482"/>
        <w:t>bi</w:t>
      </w:r>
      <w:r>
        <w:rPr/>
        <w:t xml:space="preserve"> sich</w:t>
      </w:r>
      <w:r>
        <w:rPr>
          <w:rStyle w:val="Funotenanker"/>
        </w:rPr>
        <w:footnoteReference w:customMarkFollows="1" w:id="483"/>
        <w:t>bj</w:t>
      </w:r>
      <w:r>
        <w:rPr/>
        <w:t xml:space="preserve"> und wurde eine Salzsäule.{{field-off:bible}} </w:t>
        <w:br/>
        <w:t>[[@BibleTOBIBLE:Ge 19:27]]</w:t>
      </w:r>
      <w:r>
        <w:rPr>
          <w:b/>
        </w:rPr>
        <w:t>27</w:t>
      </w:r>
      <w:r>
        <w:rPr/>
        <w:t xml:space="preserve"> {{field-on:bible}}Und Abraham machte sich früh am Morgen zu dem Ort auf, wo er vor dem </w:t>
      </w:r>
      <w:r>
        <w:rPr>
          <w:color w:val="808080"/>
        </w:rPr>
        <w:t>(beim)</w:t>
      </w:r>
      <w:r>
        <w:rPr/>
        <w:t xml:space="preserve"> Angesicht </w:t>
      </w:r>
      <w:r>
        <w:rPr>
          <w:smallCaps/>
          <w:color w:val="FF0000"/>
        </w:rPr>
        <w:t>JHWH</w:t>
      </w:r>
      <w:r>
        <w:rPr/>
        <w:t xml:space="preserve">s gestanden hatte. </w:t>
      </w:r>
      <w:r>
        <w:rPr>
          <w:rStyle w:val="Funotenanker"/>
        </w:rPr>
        <w:footnoteReference w:customMarkFollows="1" w:id="484"/>
        <w:t>bk</w:t>
      </w:r>
      <w:r>
        <w:rPr/>
        <w:t xml:space="preserve"> {{field-off:bible}} </w:t>
        <w:br/>
        <w:t>[[@BibleTOBIBLE:Ge 19:28]]</w:t>
      </w:r>
      <w:r>
        <w:rPr>
          <w:b/>
        </w:rPr>
        <w:t>28</w:t>
      </w:r>
      <w:r>
        <w:rPr/>
        <w:t xml:space="preserve"> {{field-on:bible}}Und er schaute auf Sodom und Gomorra</w:t>
      </w:r>
      <w:r>
        <w:rPr>
          <w:rStyle w:val="Funotenanker"/>
        </w:rPr>
        <w:footnoteReference w:customMarkFollows="1" w:id="485"/>
        <w:t>bl</w:t>
      </w:r>
      <w:r>
        <w:rPr/>
        <w:t xml:space="preserve"> hinab und auf das ganze</w:t>
      </w:r>
      <w:r>
        <w:rPr>
          <w:rStyle w:val="Funotenanker"/>
        </w:rPr>
        <w:footnoteReference w:customMarkFollows="1" w:id="486"/>
        <w:t>bm</w:t>
      </w:r>
      <w:r>
        <w:rPr/>
        <w:t xml:space="preserve"> Umland</w:t>
      </w:r>
      <w:r>
        <w:rPr>
          <w:rStyle w:val="Funotenanker"/>
        </w:rPr>
        <w:footnoteReference w:customMarkFollows="1" w:id="487"/>
        <w:t>bn</w:t>
      </w:r>
      <w:r>
        <w:rPr/>
        <w:t xml:space="preserve"> und sah: </w:t>
      </w:r>
      <w:r>
        <w:rPr>
          <w:strike/>
          <w:color w:val="808080"/>
        </w:rPr>
        <w:t>{und siehe}</w:t>
      </w:r>
      <w:r>
        <w:rPr/>
        <w:t xml:space="preserve"> es stieg Rauch </w:t>
      </w:r>
      <w:r>
        <w:rPr>
          <w:color w:val="808080"/>
        </w:rPr>
        <w:t>(Qualm)</w:t>
      </w:r>
      <w:r>
        <w:rPr/>
        <w:t xml:space="preserve"> vom Land auf</w:t>
      </w:r>
      <w:r>
        <w:rPr>
          <w:rStyle w:val="Funotenanker"/>
        </w:rPr>
        <w:footnoteReference w:customMarkFollows="1" w:id="488"/>
        <w:t>bo</w:t>
      </w:r>
      <w:r>
        <w:rPr/>
        <w:t xml:space="preserve"> wie der Rauch </w:t>
      </w:r>
      <w:r>
        <w:rPr>
          <w:color w:val="808080"/>
        </w:rPr>
        <w:t>(Qualm)</w:t>
      </w:r>
      <w:r>
        <w:rPr/>
        <w:t xml:space="preserve"> eines Schmelzofens </w:t>
      </w:r>
      <w:r>
        <w:rPr>
          <w:color w:val="808080"/>
        </w:rPr>
        <w:t>(Brennofens)</w:t>
      </w:r>
      <w:r>
        <w:rPr/>
        <w:t xml:space="preserve"> </w:t>
      </w:r>
      <w:r>
        <w:rPr>
          <w:rStyle w:val="Funotenanker"/>
        </w:rPr>
        <w:footnoteReference w:customMarkFollows="1" w:id="489"/>
        <w:t>bp</w:t>
      </w:r>
      <w:r>
        <w:rPr/>
        <w:t xml:space="preserve">.{{field-off:bible}} </w:t>
        <w:br/>
        <w:t>[[@BibleTOBIBLE:Ge 19:29]]</w:t>
      </w:r>
      <w:r>
        <w:rPr>
          <w:b/>
        </w:rPr>
        <w:t>29</w:t>
      </w:r>
      <w:r>
        <w:rPr/>
        <w:t xml:space="preserve"> {{field-on:bible}}Und </w:t>
      </w:r>
      <w:r>
        <w:rPr>
          <w:strike/>
          <w:color w:val="808080"/>
        </w:rPr>
        <w:t>{es geschah}</w:t>
      </w:r>
      <w:r>
        <w:rPr/>
        <w:t xml:space="preserve"> als Gott die umliegenden Städte vernichtete</w:t>
      </w:r>
      <w:r>
        <w:rPr>
          <w:rStyle w:val="Funotenanker"/>
        </w:rPr>
        <w:footnoteReference w:customMarkFollows="1" w:id="490"/>
        <w:t>bq</w:t>
      </w:r>
      <w:r>
        <w:rPr/>
        <w:t>, da gedachte Gott Abrahams</w:t>
      </w:r>
      <w:r>
        <w:rPr>
          <w:rStyle w:val="Funotenanker"/>
        </w:rPr>
        <w:footnoteReference w:customMarkFollows="1" w:id="491"/>
        <w:t>br</w:t>
      </w:r>
      <w:r>
        <w:rPr/>
        <w:t xml:space="preserve"> und ließ Lot mitten aus </w:t>
      </w:r>
      <w:r>
        <w:rPr>
          <w:color w:val="808080"/>
        </w:rPr>
        <w:t>(aus der Mitte)</w:t>
      </w:r>
      <w:r>
        <w:rPr/>
        <w:t xml:space="preserve"> der Zerstörung ziehen</w:t>
      </w:r>
      <w:r>
        <w:rPr>
          <w:rStyle w:val="Funotenanker"/>
        </w:rPr>
        <w:footnoteReference w:customMarkFollows="1" w:id="492"/>
        <w:t>bs</w:t>
      </w:r>
      <w:r>
        <w:rPr/>
        <w:t xml:space="preserve"> als er die Städte zerstörte</w:t>
      </w:r>
      <w:r>
        <w:rPr>
          <w:rStyle w:val="Funotenanker"/>
        </w:rPr>
        <w:footnoteReference w:customMarkFollows="1" w:id="493"/>
        <w:t>bt</w:t>
      </w:r>
      <w:r>
        <w:rPr/>
        <w:t xml:space="preserve">, in denen Lot wohnte.{{field-off:bible}} </w:t>
        <w:br/>
        <w:t>[[@BibleTOBIBLE:Ge 19:30]]</w:t>
      </w:r>
      <w:r>
        <w:rPr>
          <w:b/>
        </w:rPr>
        <w:t>30</w:t>
      </w:r>
      <w:r>
        <w:rPr/>
        <w:t xml:space="preserve"> {{field-on:bible}} </w:t>
      </w:r>
      <w:r>
        <w:rPr>
          <w:strike/>
          <w:color w:val="808080"/>
        </w:rPr>
        <w:t>{Und}</w:t>
      </w:r>
      <w:r>
        <w:rPr/>
        <w:t xml:space="preserve"> Lot zog hinauf von Zoar und ließ sich </w:t>
      </w:r>
      <w:r>
        <w:rPr>
          <w:color w:val="808080"/>
        </w:rPr>
        <w:t>(wohnte)</w:t>
      </w:r>
      <w:r>
        <w:rPr/>
        <w:t xml:space="preserve"> im Gebirge nieder, und seine zwei Töchter mit ihm; denn er fürchtete sich in Zoar zu wohnen; so wohnte er</w:t>
      </w:r>
      <w:r>
        <w:rPr>
          <w:rStyle w:val="Funotenanker"/>
        </w:rPr>
        <w:footnoteReference w:customMarkFollows="1" w:id="494"/>
        <w:t>bu</w:t>
      </w:r>
      <w:r>
        <w:rPr/>
        <w:t xml:space="preserve"> in einer Höhle,</w:t>
      </w:r>
      <w:r>
        <w:rPr>
          <w:rStyle w:val="Funotenanker"/>
        </w:rPr>
        <w:footnoteReference w:customMarkFollows="1" w:id="495"/>
        <w:t>bv</w:t>
      </w:r>
      <w:r>
        <w:rPr/>
        <w:t xml:space="preserve"> er und seine zwei Töchter.{{field-off:bible}} </w:t>
        <w:br/>
        <w:t>[[@BibleTOBIBLE:Ge 19:31]]</w:t>
      </w:r>
      <w:r>
        <w:rPr>
          <w:b/>
        </w:rPr>
        <w:t>31</w:t>
      </w:r>
      <w:r>
        <w:rPr/>
        <w:t xml:space="preserve"> {{field-on:bible}}Nun sagte die ältere </w:t>
      </w:r>
      <w:r>
        <w:rPr>
          <w:b/>
          <w:color w:val="808080"/>
        </w:rPr>
        <w:t>[</w:t>
      </w:r>
      <w:r>
        <w:rPr/>
        <w:t>Tochter</w:t>
      </w:r>
      <w:r>
        <w:rPr>
          <w:b/>
          <w:color w:val="808080"/>
        </w:rPr>
        <w:t>]</w:t>
      </w:r>
      <w:r>
        <w:rPr/>
        <w:t xml:space="preserve"> zu der jüngeren</w:t>
      </w:r>
      <w:r>
        <w:rPr>
          <w:rStyle w:val="Funotenanker"/>
        </w:rPr>
        <w:footnoteReference w:customMarkFollows="1" w:id="496"/>
        <w:t>bw</w:t>
      </w:r>
      <w:r>
        <w:rPr/>
        <w:t xml:space="preserve">: „Unser Vater </w:t>
      </w:r>
      <w:r>
        <w:rPr>
          <w:b/>
          <w:color w:val="808080"/>
        </w:rPr>
        <w:t>[</w:t>
      </w:r>
      <w:r>
        <w:rPr/>
        <w:t>ist</w:t>
      </w:r>
      <w:r>
        <w:rPr>
          <w:b/>
          <w:color w:val="808080"/>
        </w:rPr>
        <w:t>]</w:t>
      </w:r>
      <w:r>
        <w:rPr/>
        <w:t xml:space="preserve"> alt und da ist kein Mann im Land um sich mit uns zu verbinden</w:t>
      </w:r>
      <w:r>
        <w:rPr>
          <w:rStyle w:val="Funotenanker"/>
        </w:rPr>
        <w:footnoteReference w:customMarkFollows="1" w:id="497"/>
        <w:t>bx</w:t>
      </w:r>
      <w:r>
        <w:rPr/>
        <w:t xml:space="preserve"> wie das in aller Welt geschieht</w:t>
      </w:r>
      <w:r>
        <w:rPr>
          <w:rStyle w:val="Funotenanker"/>
        </w:rPr>
        <w:footnoteReference w:customMarkFollows="1" w:id="498"/>
        <w:t>by</w:t>
      </w:r>
      <w:r>
        <w:rPr/>
        <w:t xml:space="preserve">.{{field-off:bible}} </w:t>
        <w:br/>
        <w:t>[[@BibleTOBIBLE:Ge 19:32]]</w:t>
      </w:r>
      <w:r>
        <w:rPr>
          <w:b/>
        </w:rPr>
        <w:t>32</w:t>
      </w:r>
      <w:r>
        <w:rPr/>
        <w:t xml:space="preserve"> {{field-on:bible}}Komm, wir machen unseren Vater betrunken</w:t>
      </w:r>
      <w:r>
        <w:rPr>
          <w:rStyle w:val="Funotenanker"/>
        </w:rPr>
        <w:footnoteReference w:customMarkFollows="1" w:id="499"/>
        <w:t>bz</w:t>
      </w:r>
      <w:r>
        <w:rPr/>
        <w:t xml:space="preserve"> um mit ihm zu schlafen </w:t>
      </w:r>
      <w:r>
        <w:rPr>
          <w:color w:val="808080"/>
        </w:rPr>
        <w:t>(liegen)</w:t>
      </w:r>
      <w:r>
        <w:rPr/>
        <w:t xml:space="preserve"> und um </w:t>
      </w:r>
      <w:r>
        <w:rPr>
          <w:b/>
          <w:color w:val="808080"/>
        </w:rPr>
        <w:t>[</w:t>
      </w:r>
      <w:r>
        <w:rPr/>
        <w:t>so</w:t>
      </w:r>
      <w:r>
        <w:rPr>
          <w:b/>
          <w:color w:val="808080"/>
        </w:rPr>
        <w:t>]</w:t>
      </w:r>
      <w:r>
        <w:rPr/>
        <w:t xml:space="preserve"> von unserem Vater Nachkommenschaft </w:t>
      </w:r>
      <w:r>
        <w:rPr>
          <w:color w:val="808080"/>
        </w:rPr>
        <w:t>(Samen)</w:t>
      </w:r>
      <w:r>
        <w:rPr/>
        <w:t xml:space="preserve"> ins Leben zu rufen.“</w:t>
      </w:r>
      <w:r>
        <w:rPr>
          <w:rStyle w:val="Funotenanker"/>
        </w:rPr>
        <w:footnoteReference w:customMarkFollows="1" w:id="500"/>
        <w:t>ca</w:t>
      </w:r>
      <w:r>
        <w:rPr/>
        <w:t xml:space="preserve"> {{field-off:bible}} </w:t>
        <w:br/>
        <w:t>[[@BibleTOBIBLE:Ge 19:33]]</w:t>
      </w:r>
      <w:r>
        <w:rPr>
          <w:b/>
        </w:rPr>
        <w:t>33</w:t>
      </w:r>
      <w:r>
        <w:rPr/>
        <w:t xml:space="preserve"> {{field-on:bible}}In jener Nacht machten sie ihren Vater betrunken; da ging die Ältere </w:t>
      </w:r>
      <w:r>
        <w:rPr>
          <w:b/>
          <w:color w:val="808080"/>
        </w:rPr>
        <w:t>[</w:t>
      </w:r>
      <w:r>
        <w:rPr/>
        <w:t>zu ihm</w:t>
      </w:r>
      <w:r>
        <w:rPr>
          <w:b/>
          <w:color w:val="808080"/>
        </w:rPr>
        <w:t>]</w:t>
      </w:r>
      <w:r>
        <w:rPr/>
        <w:t xml:space="preserve"> hinein und schlief </w:t>
      </w:r>
      <w:r>
        <w:rPr>
          <w:color w:val="808080"/>
        </w:rPr>
        <w:t>(lag)</w:t>
      </w:r>
      <w:r>
        <w:rPr/>
        <w:t xml:space="preserve"> mit ihrem Vater;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19:34]]</w:t>
      </w:r>
      <w:r>
        <w:rPr>
          <w:b/>
        </w:rPr>
        <w:t>34</w:t>
      </w:r>
      <w:r>
        <w:rPr/>
        <w:t xml:space="preserve"> {{field-on:bible}} </w:t>
      </w:r>
      <w:r>
        <w:rPr>
          <w:strike/>
          <w:color w:val="808080"/>
        </w:rPr>
        <w:t>{Und es geschah}</w:t>
      </w:r>
      <w:r>
        <w:rPr/>
        <w:t xml:space="preserve"> am folgenden Tag sagte die Ältere zur Jüngeren: „Hör zu </w:t>
      </w:r>
      <w:r>
        <w:rPr>
          <w:color w:val="808080"/>
        </w:rPr>
        <w:t>(siehe)</w:t>
      </w:r>
      <w:r>
        <w:rPr/>
        <w:t xml:space="preserve">, letzte Nacht habe ich mit meinem Vater geschlafen </w:t>
      </w:r>
      <w:r>
        <w:rPr>
          <w:color w:val="808080"/>
        </w:rPr>
        <w:t>(gelegen)</w:t>
      </w:r>
      <w:r>
        <w:rPr/>
        <w:t>. Wir werden ihn auch heute Nacht</w:t>
      </w:r>
      <w:r>
        <w:rPr>
          <w:rStyle w:val="Funotenanker"/>
        </w:rPr>
        <w:footnoteReference w:customMarkFollows="1" w:id="501"/>
        <w:t>cb</w:t>
      </w:r>
      <w:r>
        <w:rPr/>
        <w:t xml:space="preserve"> betrunken machen; </w:t>
      </w:r>
      <w:r>
        <w:rPr>
          <w:b/>
          <w:color w:val="808080"/>
        </w:rPr>
        <w:t>[</w:t>
      </w:r>
      <w:r>
        <w:rPr/>
        <w:t>dann</w:t>
      </w:r>
      <w:r>
        <w:rPr>
          <w:b/>
          <w:color w:val="808080"/>
        </w:rPr>
        <w:t>]</w:t>
      </w:r>
      <w:r>
        <w:rPr/>
        <w:t xml:space="preserve"> geh </w:t>
      </w:r>
      <w:r>
        <w:rPr>
          <w:b/>
          <w:color w:val="808080"/>
        </w:rPr>
        <w:t>[</w:t>
      </w:r>
      <w:r>
        <w:rPr/>
        <w:t>du zu ihm</w:t>
      </w:r>
      <w:r>
        <w:rPr>
          <w:b/>
          <w:color w:val="808080"/>
        </w:rPr>
        <w:t>]</w:t>
      </w:r>
      <w:r>
        <w:rPr/>
        <w:t xml:space="preserve"> hinein und schlaf </w:t>
      </w:r>
      <w:r>
        <w:rPr>
          <w:color w:val="808080"/>
        </w:rPr>
        <w:t>(lieg)</w:t>
      </w:r>
      <w:r>
        <w:rPr/>
        <w:t xml:space="preserve"> mit ihm, damit wir </w:t>
      </w:r>
      <w:r>
        <w:rPr>
          <w:b/>
          <w:color w:val="808080"/>
        </w:rPr>
        <w:t>[</w:t>
      </w:r>
      <w:r>
        <w:rPr/>
        <w:t>so</w:t>
      </w:r>
      <w:r>
        <w:rPr>
          <w:b/>
          <w:color w:val="808080"/>
        </w:rPr>
        <w:t>]</w:t>
      </w:r>
      <w:r>
        <w:rPr/>
        <w:t xml:space="preserve"> von unserem Vater Nachkommenschaft </w:t>
      </w:r>
      <w:r>
        <w:rPr>
          <w:color w:val="808080"/>
        </w:rPr>
        <w:t>(Samen)</w:t>
      </w:r>
      <w:r>
        <w:rPr/>
        <w:t xml:space="preserve"> ins Leben zu rufen.“{{field-off:bible}} </w:t>
        <w:br/>
        <w:t>[[@BibleTOBIBLE:Ge 19:35]]</w:t>
      </w:r>
      <w:r>
        <w:rPr>
          <w:b/>
        </w:rPr>
        <w:t>35</w:t>
      </w:r>
      <w:r>
        <w:rPr/>
        <w:t xml:space="preserve"> {{field-on:bible}}Und auch in jener Nacht machten sie ihren Vater betrunken; da stand die Jüngere auf</w:t>
      </w:r>
      <w:r>
        <w:rPr>
          <w:rStyle w:val="Funotenanker"/>
        </w:rPr>
        <w:footnoteReference w:customMarkFollows="1" w:id="502"/>
        <w:t>cc</w:t>
      </w:r>
      <w:r>
        <w:rPr/>
        <w:t xml:space="preserve"> und schlief mit ihm;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19:36]]</w:t>
      </w:r>
      <w:r>
        <w:rPr>
          <w:b/>
        </w:rPr>
        <w:t>36</w:t>
      </w:r>
      <w:r>
        <w:rPr/>
        <w:t xml:space="preserve"> {{field-on:bible}}Beide Töchters Lots wurden schwanger von ihrem Vater.{{field-off:bible}} </w:t>
        <w:br/>
        <w:t>[[@BibleTOBIBLE:Ge 19:37]]</w:t>
      </w:r>
      <w:r>
        <w:rPr>
          <w:b/>
        </w:rPr>
        <w:t>37</w:t>
      </w:r>
      <w:r>
        <w:rPr/>
        <w:t xml:space="preserve"> {{field-on:bible}}Die Ältere gebar einen Sohn und nannte seinen Namen Moab</w:t>
      </w:r>
      <w:r>
        <w:rPr>
          <w:rStyle w:val="Funotenanker"/>
        </w:rPr>
        <w:footnoteReference w:customMarkFollows="1" w:id="503"/>
        <w:t>cd</w:t>
      </w:r>
      <w:r>
        <w:rPr/>
        <w:t xml:space="preserve">; er ist der </w:t>
      </w:r>
      <w:r>
        <w:rPr>
          <w:b/>
          <w:color w:val="808080"/>
        </w:rPr>
        <w:t>[</w:t>
      </w:r>
      <w:r>
        <w:rPr/>
        <w:t>Stamm</w:t>
      </w:r>
      <w:r>
        <w:rPr>
          <w:b/>
          <w:color w:val="808080"/>
        </w:rPr>
        <w:t>]</w:t>
      </w:r>
      <w:r>
        <w:rPr/>
        <w:t xml:space="preserve">vater der Moabiter </w:t>
      </w:r>
      <w:r>
        <w:rPr>
          <w:color w:val="808080"/>
        </w:rPr>
        <w:t>(Moabs)</w:t>
      </w:r>
      <w:r>
        <w:rPr/>
        <w:t xml:space="preserve"> bis zum </w:t>
      </w:r>
      <w:r>
        <w:rPr>
          <w:b/>
          <w:color w:val="808080"/>
        </w:rPr>
        <w:t>[</w:t>
      </w:r>
      <w:r>
        <w:rPr/>
        <w:t>heutigen</w:t>
      </w:r>
      <w:r>
        <w:rPr>
          <w:b/>
          <w:color w:val="808080"/>
        </w:rPr>
        <w:t>]</w:t>
      </w:r>
      <w:r>
        <w:rPr/>
        <w:t xml:space="preserve"> Tag.</w:t>
      </w:r>
      <w:r>
        <w:rPr>
          <w:rStyle w:val="Funotenanker"/>
        </w:rPr>
        <w:footnoteReference w:customMarkFollows="1" w:id="504"/>
        <w:t>ce</w:t>
      </w:r>
      <w:r>
        <w:rPr/>
        <w:t xml:space="preserve"> {{field-off:bible}} </w:t>
        <w:br/>
        <w:t>[[@BibleTOBIBLE:Ge 19:38]]</w:t>
      </w:r>
      <w:r>
        <w:rPr>
          <w:b/>
        </w:rPr>
        <w:t>38</w:t>
      </w:r>
      <w:r>
        <w:rPr/>
        <w:t xml:space="preserve"> {{field-on:bible}}Auch die Jüngeregebar einen Sohn und nannte seinen Namen Ben-Ammi</w:t>
      </w:r>
      <w:r>
        <w:rPr>
          <w:rStyle w:val="Funotenanker"/>
        </w:rPr>
        <w:footnoteReference w:customMarkFollows="1" w:id="505"/>
        <w:t>cf</w:t>
      </w:r>
      <w:r>
        <w:rPr/>
        <w:t xml:space="preserve">; er ist der </w:t>
      </w:r>
      <w:r>
        <w:rPr>
          <w:b/>
          <w:color w:val="808080"/>
        </w:rPr>
        <w:t>[</w:t>
      </w:r>
      <w:r>
        <w:rPr/>
        <w:t>Stamm</w:t>
      </w:r>
      <w:r>
        <w:rPr>
          <w:b/>
          <w:color w:val="808080"/>
        </w:rPr>
        <w:t>]</w:t>
      </w:r>
      <w:r>
        <w:rPr/>
        <w:t>vater der Ammoniter</w:t>
      </w:r>
      <w:r>
        <w:rPr>
          <w:rStyle w:val="Funotenanker"/>
        </w:rPr>
        <w:footnoteReference w:customMarkFollows="1" w:id="506"/>
        <w:t>cg</w:t>
      </w:r>
      <w:r>
        <w:rPr/>
        <w:t xml:space="preserve"> bis zum </w:t>
      </w:r>
      <w:r>
        <w:rPr>
          <w:b/>
          <w:color w:val="808080"/>
        </w:rPr>
        <w:t>[</w:t>
      </w:r>
      <w:r>
        <w:rPr/>
        <w:t>heutigen</w:t>
      </w:r>
      <w:r>
        <w:rPr>
          <w:b/>
          <w:color w:val="808080"/>
        </w:rPr>
        <w:t>]</w:t>
      </w:r>
      <w:r>
        <w:rPr/>
        <w:t xml:space="preserve"> Tag.</w:t>
      </w:r>
      <w:r>
        <w:rPr>
          <w:rStyle w:val="Funotenanker"/>
        </w:rPr>
        <w:footnoteReference w:customMarkFollows="1" w:id="507"/>
        <w:t>ch</w:t>
      </w:r>
      <w:r>
        <w:rPr/>
        <w:t xml:space="preserve"> {{field-off:bible}} </w:t>
      </w:r>
    </w:p>
    <w:p>
      <w:pPr>
        <w:pStyle w:val="Berschrift3"/>
        <w:rPr/>
      </w:pPr>
      <w:r>
        <w:rPr/>
        <w:t>[[@BibleTOBIBLE:Ge 20]]Kapitel 20</w:t>
      </w:r>
    </w:p>
    <w:p>
      <w:pPr>
        <w:pStyle w:val="Textkrper"/>
        <w:rPr/>
      </w:pPr>
      <w:r>
        <w:rPr/>
        <w:br/>
        <w:t>[[@BibleTOBIBLE:Ge 20:1]]</w:t>
      </w:r>
      <w:r>
        <w:rPr>
          <w:b/>
        </w:rPr>
        <w:t>1</w:t>
      </w:r>
      <w:r>
        <w:rPr/>
        <w:t xml:space="preserve"> {{field-on:bible}} </w:t>
      </w:r>
      <w:r>
        <w:rPr>
          <w:rStyle w:val="Funotenanker"/>
        </w:rPr>
        <w:footnoteReference w:customMarkFollows="1" w:id="508"/>
        <w:t>Status</w:t>
      </w:r>
      <w:r>
        <w:rPr/>
        <w:t xml:space="preserve"> Da brach Abraham von dort auf ins Südland, und er wohnte zwischen Kadesch und </w:t>
      </w:r>
      <w:r>
        <w:rPr>
          <w:strike/>
          <w:color w:val="808080"/>
        </w:rPr>
        <w:t>{zwischen}</w:t>
      </w:r>
      <w:r>
        <w:rPr/>
        <w:t xml:space="preserve"> Sur und hielt sich als Fremdling </w:t>
      </w:r>
      <w:r>
        <w:rPr>
          <w:color w:val="808080"/>
        </w:rPr>
        <w:t>(Schutzbürger)</w:t>
      </w:r>
      <w:r>
        <w:rPr/>
        <w:t xml:space="preserve"> in Gerar auf.{{field-off:bible}} </w:t>
        <w:br/>
        <w:t>[[@BibleTOBIBLE:Ge 20:2]]</w:t>
      </w:r>
      <w:r>
        <w:rPr>
          <w:b/>
        </w:rPr>
        <w:t>2</w:t>
      </w:r>
      <w:r>
        <w:rPr/>
        <w:t xml:space="preserve"> {{field-on:bible}}Und Abraham sagte über Sara, seine Frau: Sie ist meine Schwester. Da sandte Abimelech, der Stadtfürst</w:t>
      </w:r>
      <w:r>
        <w:rPr>
          <w:rStyle w:val="Funotenanker"/>
        </w:rPr>
        <w:footnoteReference w:customMarkFollows="1" w:id="509"/>
        <w:t>a</w:t>
      </w:r>
      <w:r>
        <w:rPr/>
        <w:t xml:space="preserve"> von Gerar, und holte Sara </w:t>
      </w:r>
      <w:r>
        <w:rPr>
          <w:b/>
          <w:color w:val="808080"/>
        </w:rPr>
        <w:t>[</w:t>
      </w:r>
      <w:r>
        <w:rPr/>
        <w:t>zu sich</w:t>
      </w:r>
      <w:r>
        <w:rPr>
          <w:b/>
          <w:color w:val="808080"/>
        </w:rPr>
        <w:t>]</w:t>
      </w:r>
      <w:r>
        <w:rPr/>
        <w:t xml:space="preserve">.{{field-off:bible}} </w:t>
        <w:br/>
        <w:t>[[@BibleTOBIBLE:Ge 20:3]]</w:t>
      </w:r>
      <w:r>
        <w:rPr>
          <w:b/>
        </w:rPr>
        <w:t>3</w:t>
      </w:r>
      <w:r>
        <w:rPr/>
        <w:t xml:space="preserve"> {{field-on:bible}}Da kam Gott zu Abimelech im Traum bei Nacht und sprach zu ihm: Pass auf! Du stirbst wegen der Frau, die du dir genommen hast. Denn sie ist verheiratet</w:t>
      </w:r>
      <w:r>
        <w:rPr>
          <w:rStyle w:val="Funotenanker"/>
        </w:rPr>
        <w:footnoteReference w:customMarkFollows="1" w:id="510"/>
        <w:t>b</w:t>
      </w:r>
      <w:r>
        <w:rPr/>
        <w:t xml:space="preserve">.{{field-off:bible}} </w:t>
        <w:br/>
        <w:t>[[@BibleTOBIBLE:Ge 20:4]]</w:t>
      </w:r>
      <w:r>
        <w:rPr>
          <w:b/>
        </w:rPr>
        <w:t>4</w:t>
      </w:r>
      <w:r>
        <w:rPr/>
        <w:t xml:space="preserve"> {{field-on:bible}}Da näherte sich Abimelech ihr nicht. Und er sprach: Mein Herr</w:t>
      </w:r>
      <w:r>
        <w:rPr>
          <w:rStyle w:val="Funotenanker"/>
        </w:rPr>
        <w:footnoteReference w:customMarkFollows="1" w:id="511"/>
        <w:t>c</w:t>
      </w:r>
      <w:r>
        <w:rPr/>
        <w:t xml:space="preserve">, willst du ein Volk, noch dazu ein rechtschaffenes </w:t>
      </w:r>
      <w:r>
        <w:rPr>
          <w:color w:val="808080"/>
        </w:rPr>
        <w:t>(gerechtes)</w:t>
      </w:r>
      <w:r>
        <w:rPr/>
        <w:t xml:space="preserve">, töten?{{field-off:bible}} </w:t>
        <w:br/>
        <w:t>[[@BibleTOBIBLE:Ge 20:5]]</w:t>
      </w:r>
      <w:r>
        <w:rPr>
          <w:b/>
        </w:rPr>
        <w:t>5</w:t>
      </w:r>
      <w:r>
        <w:rPr/>
        <w:t xml:space="preserve"> {{field-on:bible}}Hat er nicht zu mir gesagt: Sie ist meine Schwester? Und sie, auch sie</w:t>
      </w:r>
      <w:r>
        <w:rPr>
          <w:rStyle w:val="Funotenanker"/>
        </w:rPr>
        <w:footnoteReference w:customMarkFollows="1" w:id="512"/>
        <w:t>d</w:t>
      </w:r>
      <w:r>
        <w:rPr/>
        <w:t xml:space="preserve"> sprach: Er ist mein Bruder. Mit arglosem Herzen und schuldloser Hand habe ich so gehandelt.{{field-off:bible}} </w:t>
        <w:br/>
        <w:t>[[@BibleTOBIBLE:Ge 20:6]]</w:t>
      </w:r>
      <w:r>
        <w:rPr>
          <w:b/>
        </w:rPr>
        <w:t>6</w:t>
      </w:r>
      <w:r>
        <w:rPr/>
        <w:t xml:space="preserve"> {{field-on:bible}}Da sprach Gott zu ihm im Traum: Auch ich habe erkannt, dass du mit arglosem Herzen so gehandelt hast, und ich will dich sogar zurückhalten, an mir zu sündigen. Darum habe ich dir nicht erlaubt, sie anzutasten </w:t>
      </w:r>
      <w:r>
        <w:rPr>
          <w:color w:val="808080"/>
        </w:rPr>
        <w:t>(zu berühren)</w:t>
      </w:r>
      <w:r>
        <w:rPr/>
        <w:t xml:space="preserve">.{{field-off:bible}} </w:t>
        <w:br/>
        <w:t>[[@BibleTOBIBLE:Ge 20:7]]</w:t>
      </w:r>
      <w:r>
        <w:rPr>
          <w:b/>
        </w:rPr>
        <w:t>7</w:t>
      </w:r>
      <w:r>
        <w:rPr/>
        <w:t xml:space="preserve"> {{field-on:bible}}Und nun: führe </w:t>
      </w:r>
      <w:r>
        <w:rPr>
          <w:color w:val="808080"/>
        </w:rPr>
        <w:t>(bringe)</w:t>
      </w:r>
      <w:r>
        <w:rPr/>
        <w:t xml:space="preserve"> zurück die Frau dieses Mannes, denn er ist ein Prophet. Und er wird für dich beten, und du sollst</w:t>
      </w:r>
      <w:r>
        <w:rPr>
          <w:rStyle w:val="Funotenanker"/>
        </w:rPr>
        <w:footnoteReference w:customMarkFollows="1" w:id="513"/>
        <w:t>e</w:t>
      </w:r>
      <w:r>
        <w:rPr/>
        <w:t xml:space="preserve"> leben. Führst </w:t>
      </w:r>
      <w:r>
        <w:rPr>
          <w:color w:val="808080"/>
        </w:rPr>
        <w:t>(bringst )</w:t>
      </w:r>
      <w:r>
        <w:rPr/>
        <w:t xml:space="preserve"> du sie aber nicht zurück, erkenne, dass du ganz gewiss</w:t>
      </w:r>
      <w:r>
        <w:rPr>
          <w:rStyle w:val="Funotenanker"/>
        </w:rPr>
        <w:footnoteReference w:customMarkFollows="1" w:id="514"/>
        <w:t>f</w:t>
      </w:r>
      <w:r>
        <w:rPr/>
        <w:t xml:space="preserve"> stirbst und alles, was dein ist.{{field-off:bible}} </w:t>
        <w:br/>
        <w:t>[[@BibleTOBIBLE:Ge 20:8]]</w:t>
      </w:r>
      <w:r>
        <w:rPr>
          <w:b/>
        </w:rPr>
        <w:t>8</w:t>
      </w:r>
      <w:r>
        <w:rPr/>
        <w:t xml:space="preserve"> {{field-on:bible}}Da stand Abimelech früh am Morgen auf und rief alle seine Knechte </w:t>
      </w:r>
      <w:r>
        <w:rPr>
          <w:color w:val="808080"/>
        </w:rPr>
        <w:t>(Diener, Sklaven)</w:t>
      </w:r>
      <w:r>
        <w:rPr/>
        <w:t xml:space="preserve"> und erzählte ihnen all diese Worte </w:t>
      </w:r>
      <w:r>
        <w:rPr>
          <w:rStyle w:val="Funotenanker"/>
        </w:rPr>
        <w:footnoteReference w:customMarkFollows="1" w:id="515"/>
        <w:t>g</w:t>
      </w:r>
      <w:r>
        <w:rPr/>
        <w:t xml:space="preserve">. Und die Männer erschreckten sehr.{{field-off:bible}} </w:t>
        <w:br/>
        <w:t>[[@BibleTOBIBLE:Ge 20:9]]</w:t>
      </w:r>
      <w:r>
        <w:rPr>
          <w:b/>
        </w:rPr>
        <w:t>9</w:t>
      </w:r>
      <w:r>
        <w:rPr/>
        <w:t xml:space="preserve"> {{field-on:bible}}Da rief Abimelech Abraham und sprach zu ihm: Warum hast du uns das </w:t>
      </w:r>
      <w:r>
        <w:rPr>
          <w:b/>
          <w:color w:val="808080"/>
        </w:rPr>
        <w:t>[</w:t>
      </w:r>
      <w:r>
        <w:rPr/>
        <w:t>an</w:t>
      </w:r>
      <w:r>
        <w:rPr>
          <w:b/>
          <w:color w:val="808080"/>
        </w:rPr>
        <w:t>]</w:t>
      </w:r>
      <w:r>
        <w:rPr/>
        <w:t xml:space="preserve">getan? Und was habe ich dir Böses getan </w:t>
      </w:r>
      <w:r>
        <w:rPr>
          <w:color w:val="808080"/>
        </w:rPr>
        <w:t>(gesündigt)</w:t>
      </w:r>
      <w:r>
        <w:rPr/>
        <w:t xml:space="preserve">, dass du über mich und meine Sippe eine so große Verfehlung </w:t>
      </w:r>
      <w:r>
        <w:rPr>
          <w:color w:val="808080"/>
        </w:rPr>
        <w:t>(Sünde)</w:t>
      </w:r>
      <w:r>
        <w:rPr/>
        <w:t xml:space="preserve"> gebracht hast? Taten, die nicht getan werden dürfen, hast du an mir getan.{{field-off:bible}} </w:t>
        <w:br/>
        <w:t>[[@BibleTOBIBLE:Ge 20:10]]</w:t>
      </w:r>
      <w:r>
        <w:rPr>
          <w:b/>
        </w:rPr>
        <w:t>10</w:t>
      </w:r>
      <w:r>
        <w:rPr/>
        <w:t xml:space="preserve"> {{field-on:bible}}Und Abimelech sprach zu Abraham: Was hast du gesehen</w:t>
      </w:r>
      <w:r>
        <w:rPr>
          <w:rStyle w:val="Funotenanker"/>
        </w:rPr>
        <w:footnoteReference w:customMarkFollows="1" w:id="516"/>
        <w:t>h</w:t>
      </w:r>
      <w:r>
        <w:rPr/>
        <w:t xml:space="preserve">, dass du diese Sache getan hast?{{field-off:bible}} </w:t>
        <w:br/>
        <w:t>[[@BibleTOBIBLE:Ge 20:11]]</w:t>
      </w:r>
      <w:r>
        <w:rPr>
          <w:b/>
        </w:rPr>
        <w:t>11</w:t>
      </w:r>
      <w:r>
        <w:rPr/>
        <w:t xml:space="preserve"> {{field-on:bible}}Und Abraham sagte: Weil ich </w:t>
      </w:r>
      <w:r>
        <w:rPr>
          <w:b/>
          <w:color w:val="808080"/>
        </w:rPr>
        <w:t>[</w:t>
      </w:r>
      <w:r>
        <w:rPr/>
        <w:t>mir</w:t>
      </w:r>
      <w:r>
        <w:rPr>
          <w:b/>
          <w:color w:val="808080"/>
        </w:rPr>
        <w:t>]</w:t>
      </w:r>
      <w:r>
        <w:rPr/>
        <w:t xml:space="preserve"> sagte: Gewiss gibt es keine Gottesfurcht </w:t>
      </w:r>
      <w:r>
        <w:rPr>
          <w:color w:val="808080"/>
        </w:rPr>
        <w:t>(Furcht Gottes)</w:t>
      </w:r>
      <w:r>
        <w:rPr/>
        <w:t xml:space="preserve"> an diesem Ort. Da werden sie mich töten wegen meiner Frau.{{field-off:bible}} </w:t>
        <w:br/>
        <w:t>[[@BibleTOBIBLE:Ge 20:12]]</w:t>
      </w:r>
      <w:r>
        <w:rPr>
          <w:b/>
        </w:rPr>
        <w:t>12</w:t>
      </w:r>
      <w:r>
        <w:rPr/>
        <w:t xml:space="preserve"> {{field-on:bible}}Und auch in Wahrheit ist sie meine Schwester. Sie ist die Tochter meines Vaters, jedoch nicht die Tochter meiner Mutter. Und sie wurde meine Frau.{{field-off:bible}} </w:t>
        <w:br/>
        <w:t>[[@BibleTOBIBLE:Ge 20:13]]</w:t>
      </w:r>
      <w:r>
        <w:rPr>
          <w:b/>
        </w:rPr>
        <w:t>13</w:t>
      </w:r>
      <w:r>
        <w:rPr/>
        <w:t xml:space="preserve"> {{field-on:bible}}Und es geschah, wie </w:t>
      </w:r>
      <w:r>
        <w:rPr>
          <w:color w:val="808080"/>
        </w:rPr>
        <w:t>(weil)</w:t>
      </w:r>
      <w:r>
        <w:rPr/>
        <w:t xml:space="preserve"> Gott mich herumirren ließ aus dem Haus meines Vaters, so sprach ich zu ihr: Das sei deine Liebe, die du mir tust: an jedem Ort, zu dem wir kommen, sag über mich: Er ist mein Bruder.{{field-off:bible}} </w:t>
        <w:br/>
        <w:t>[[@BibleTOBIBLE:Ge 20:14]]</w:t>
      </w:r>
      <w:r>
        <w:rPr>
          <w:b/>
        </w:rPr>
        <w:t>14</w:t>
      </w:r>
      <w:r>
        <w:rPr/>
        <w:t xml:space="preserve"> {{field-on:bible}}Da nahm Abimelech Kleinvieh und Rinder und Sklaven </w:t>
      </w:r>
      <w:r>
        <w:rPr>
          <w:color w:val="808080"/>
        </w:rPr>
        <w:t>(Knechte, Diener)</w:t>
      </w:r>
      <w:r>
        <w:rPr/>
        <w:t xml:space="preserve"> und Sklavinnen und gab sie Abraham. Und er führte </w:t>
      </w:r>
      <w:r>
        <w:rPr>
          <w:color w:val="808080"/>
        </w:rPr>
        <w:t>(brachte)</w:t>
      </w:r>
      <w:r>
        <w:rPr/>
        <w:t xml:space="preserve"> zu ihm Sara, seine Frau, zurück.{{field-off:bible}} </w:t>
        <w:br/>
        <w:t>[[@BibleTOBIBLE:Ge 20:15]]</w:t>
      </w:r>
      <w:r>
        <w:rPr>
          <w:b/>
        </w:rPr>
        <w:t>15</w:t>
      </w:r>
      <w:r>
        <w:rPr/>
        <w:t xml:space="preserve"> {{field-on:bible}}Da sprach Abimelech: Sieh, mein Land </w:t>
      </w:r>
      <w:r>
        <w:rPr>
          <w:b/>
          <w:color w:val="808080"/>
        </w:rPr>
        <w:t>[</w:t>
      </w:r>
      <w:r>
        <w:rPr/>
        <w:t>liegt offen</w:t>
      </w:r>
      <w:r>
        <w:rPr>
          <w:b/>
          <w:color w:val="808080"/>
        </w:rPr>
        <w:t>]</w:t>
      </w:r>
      <w:r>
        <w:rPr/>
        <w:t xml:space="preserve"> vor dir</w:t>
      </w:r>
      <w:r>
        <w:rPr>
          <w:rStyle w:val="Funotenanker"/>
        </w:rPr>
        <w:footnoteReference w:customMarkFollows="1" w:id="517"/>
        <w:t>i</w:t>
      </w:r>
      <w:r>
        <w:rPr/>
        <w:t>. Wo es dir gut scheint</w:t>
      </w:r>
      <w:r>
        <w:rPr>
          <w:rStyle w:val="Funotenanker"/>
        </w:rPr>
        <w:footnoteReference w:customMarkFollows="1" w:id="518"/>
        <w:t>j</w:t>
      </w:r>
      <w:r>
        <w:rPr/>
        <w:t xml:space="preserve">, lass dich nieder.{{field-off:bible}} </w:t>
        <w:br/>
        <w:t>[[@BibleTOBIBLE:Ge 20:16]]</w:t>
      </w:r>
      <w:r>
        <w:rPr>
          <w:b/>
        </w:rPr>
        <w:t>16</w:t>
      </w:r>
      <w:r>
        <w:rPr/>
        <w:t xml:space="preserve"> {{field-on:bible}}Und zu Sara sprach er: Sieh, ich gab 1000 </w:t>
      </w:r>
      <w:r>
        <w:rPr>
          <w:b/>
          <w:color w:val="808080"/>
        </w:rPr>
        <w:t>[</w:t>
      </w:r>
      <w:r>
        <w:rPr/>
        <w:t>Schekel</w:t>
      </w:r>
      <w:r>
        <w:rPr>
          <w:b/>
          <w:color w:val="808080"/>
        </w:rPr>
        <w:t>]</w:t>
      </w:r>
      <w:r>
        <w:rPr/>
        <w:t xml:space="preserve"> Silber deinem Bruder. Sieh, das soll für dich ein Sühnegeschenk</w:t>
      </w:r>
      <w:r>
        <w:rPr>
          <w:rStyle w:val="Funotenanker"/>
        </w:rPr>
        <w:footnoteReference w:customMarkFollows="1" w:id="519"/>
        <w:t>k</w:t>
      </w:r>
      <w:r>
        <w:rPr/>
        <w:t xml:space="preserve"> sein für alle, die bei dir sind. Und bei allen bist du </w:t>
      </w:r>
      <w:r>
        <w:rPr>
          <w:b/>
          <w:color w:val="808080"/>
        </w:rPr>
        <w:t>[</w:t>
      </w:r>
      <w:r>
        <w:rPr/>
        <w:t>dadurch</w:t>
      </w:r>
      <w:r>
        <w:rPr>
          <w:b/>
          <w:color w:val="808080"/>
        </w:rPr>
        <w:t>]</w:t>
      </w:r>
      <w:r>
        <w:rPr/>
        <w:t xml:space="preserve"> gerechtfertigt worden.{{field-off:bible}} </w:t>
        <w:br/>
        <w:t>[[@BibleTOBIBLE:Ge 20:17]]</w:t>
      </w:r>
      <w:r>
        <w:rPr>
          <w:b/>
        </w:rPr>
        <w:t>17</w:t>
      </w:r>
      <w:r>
        <w:rPr/>
        <w:t xml:space="preserve"> {{field-on:bible}}Da betete Abraham für Abimelech. Da heilte Gott Abimelech und seine Frau und seine Sklavinnen, und sie gebaren.{{field-off:bible}} </w:t>
        <w:br/>
        <w:t>[[@BibleTOBIBLE:Ge 20:18]]</w:t>
      </w:r>
      <w:r>
        <w:rPr>
          <w:b/>
        </w:rPr>
        <w:t>18</w:t>
      </w:r>
      <w:r>
        <w:rPr/>
        <w:t xml:space="preserve"> {{field-on:bible}}Denn fest verschlossen</w:t>
      </w:r>
      <w:r>
        <w:rPr>
          <w:rStyle w:val="Funotenanker"/>
        </w:rPr>
        <w:footnoteReference w:customMarkFollows="1" w:id="520"/>
        <w:t>l</w:t>
      </w:r>
      <w:r>
        <w:rPr/>
        <w:t xml:space="preserve"> hatte </w:t>
      </w:r>
      <w:r>
        <w:rPr>
          <w:smallCaps/>
          <w:color w:val="FF0000"/>
        </w:rPr>
        <w:t>JHWH</w:t>
      </w:r>
      <w:r>
        <w:rPr/>
        <w:t xml:space="preserve"> den Zugang zu jedem Mutterleib </w:t>
      </w:r>
      <w:r>
        <w:rPr>
          <w:color w:val="808080"/>
        </w:rPr>
        <w:t>(jeder Gebärmutter)</w:t>
      </w:r>
      <w:r>
        <w:rPr/>
        <w:t xml:space="preserve"> des Hauses Abimelechs wegen Saras, der Frau Abrahams.{{field-off:bible}} </w:t>
      </w:r>
    </w:p>
    <w:p>
      <w:pPr>
        <w:pStyle w:val="Berschrift3"/>
        <w:rPr/>
      </w:pPr>
      <w:r>
        <w:rPr/>
        <w:t>[[@BibleTOBIBLE:Ge 21]]Kapitel 21</w:t>
      </w:r>
    </w:p>
    <w:p>
      <w:pPr>
        <w:pStyle w:val="Textkrper"/>
        <w:rPr/>
      </w:pPr>
      <w:r>
        <w:rPr/>
        <w:br/>
        <w:t>[[@BibleTOBIBLE:Ge 21:1]]</w:t>
      </w:r>
      <w:r>
        <w:rPr>
          <w:b/>
        </w:rPr>
        <w:t>1</w:t>
      </w:r>
      <w:r>
        <w:rPr/>
        <w:t xml:space="preserve"> {{field-on:bible}} </w:t>
      </w:r>
      <w:r>
        <w:rPr>
          <w:rStyle w:val="Funotenanker"/>
        </w:rPr>
        <w:footnoteReference w:customMarkFollows="1" w:id="521"/>
        <w:t>Status</w:t>
      </w:r>
      <w:r>
        <w:rPr/>
        <w:t xml:space="preserve"> Da</w:t>
      </w:r>
      <w:r>
        <w:rPr>
          <w:rStyle w:val="Funotenanker"/>
        </w:rPr>
        <w:footnoteReference w:customMarkFollows="1" w:id="522"/>
        <w:t>a</w:t>
      </w:r>
      <w:r>
        <w:rPr/>
        <w:t xml:space="preserve"> suchte </w:t>
      </w:r>
      <w:r>
        <w:rPr>
          <w:smallCaps/>
          <w:color w:val="FF0000"/>
        </w:rPr>
        <w:t>JHWH</w:t>
      </w:r>
      <w:r>
        <w:rPr/>
        <w:t xml:space="preserve"> Sara auf, wie er gesagt hatte. Und JHWH tat für </w:t>
      </w:r>
      <w:r>
        <w:rPr>
          <w:color w:val="808080"/>
        </w:rPr>
        <w:t>(an)</w:t>
      </w:r>
      <w:r>
        <w:rPr/>
        <w:t xml:space="preserve"> Sara, wie er geredet hatte.{{field-off:bible}} </w:t>
        <w:br/>
        <w:t>[[@BibleTOBIBLE:Ge 21:2]]</w:t>
      </w:r>
      <w:r>
        <w:rPr>
          <w:b/>
        </w:rPr>
        <w:t>2</w:t>
      </w:r>
      <w:r>
        <w:rPr/>
        <w:t xml:space="preserve"> {{field-on:bible}}Da wurde sie schwanger. Und Sara gebar dem Abraham einen Sohn in seinem Greisenalter, zu der Zeit, die ihm Gott genannt hatte.{{field-off:bible}} </w:t>
        <w:br/>
        <w:t>[[@BibleTOBIBLE:Ge 21:3]]</w:t>
      </w:r>
      <w:r>
        <w:rPr>
          <w:b/>
        </w:rPr>
        <w:t>3</w:t>
      </w:r>
      <w:r>
        <w:rPr/>
        <w:t xml:space="preserve"> {{field-on:bible}}Und Abraham </w:t>
      </w:r>
      <w:r>
        <w:rPr>
          <w:color w:val="808080"/>
        </w:rPr>
        <w:t>(nannte =)</w:t>
      </w:r>
      <w:r>
        <w:rPr/>
        <w:t xml:space="preserve"> gab seinem Sohn, der ihm geboren wurde, den Sara ihm gebar, den Namen Isaak.{{field-off:bible}} </w:t>
        <w:br/>
        <w:t>[[@BibleTOBIBLE:Ge 21:4]]</w:t>
      </w:r>
      <w:r>
        <w:rPr>
          <w:b/>
        </w:rPr>
        <w:t>4</w:t>
      </w:r>
      <w:r>
        <w:rPr/>
        <w:t xml:space="preserve"> {{field-on:bible}}Und Abraham beschnitt seinen Sohn Isaak, als er acht Tage alt war, wie ihm Gott geboten hatte.{{field-off:bible}} </w:t>
        <w:br/>
        <w:t>[[@BibleTOBIBLE:Ge 21:5]]</w:t>
      </w:r>
      <w:r>
        <w:rPr>
          <w:b/>
        </w:rPr>
        <w:t>5</w:t>
      </w:r>
      <w:r>
        <w:rPr/>
        <w:t xml:space="preserve"> {{field-on:bible}}Und Abraham war hundert Jahre alt, als ihm sein Sohn Isaak geboren wurde.{{field-off:bible}} </w:t>
        <w:br/>
        <w:t>[[@BibleTOBIBLE:Ge 21:6]]</w:t>
      </w:r>
      <w:r>
        <w:rPr>
          <w:b/>
        </w:rPr>
        <w:t>6</w:t>
      </w:r>
      <w:r>
        <w:rPr/>
        <w:t xml:space="preserve"> {{field-on:bible}}Da sprach Sara: Gott hat mich zum Narren </w:t>
      </w:r>
      <w:r>
        <w:rPr>
          <w:color w:val="808080"/>
        </w:rPr>
        <w:t>(Spott, Gelächter)</w:t>
      </w:r>
      <w:r>
        <w:rPr/>
        <w:t xml:space="preserve"> gemacht; jeder, der </w:t>
      </w:r>
      <w:r>
        <w:rPr>
          <w:b/>
          <w:color w:val="808080"/>
        </w:rPr>
        <w:t>[</w:t>
      </w:r>
      <w:r>
        <w:rPr/>
        <w:t>davon</w:t>
      </w:r>
      <w:r>
        <w:rPr>
          <w:b/>
          <w:color w:val="808080"/>
        </w:rPr>
        <w:t>]</w:t>
      </w:r>
      <w:r>
        <w:rPr/>
        <w:t xml:space="preserve"> hört, wird über mich lachen.{{field-off:bible}} </w:t>
        <w:br/>
        <w:t>[[@BibleTOBIBLE:Ge 21:7]]</w:t>
      </w:r>
      <w:r>
        <w:rPr>
          <w:b/>
        </w:rPr>
        <w:t>7</w:t>
      </w:r>
      <w:r>
        <w:rPr/>
        <w:t xml:space="preserve"> {{field-on:bible}}Und sie sprach: Wer </w:t>
      </w:r>
      <w:r>
        <w:rPr>
          <w:b/>
          <w:color w:val="808080"/>
        </w:rPr>
        <w:t>[</w:t>
      </w:r>
      <w:r>
        <w:rPr/>
        <w:t>hätte</w:t>
      </w:r>
      <w:r>
        <w:rPr>
          <w:b/>
          <w:color w:val="808080"/>
        </w:rPr>
        <w:t>]</w:t>
      </w:r>
      <w:r>
        <w:rPr/>
        <w:t xml:space="preserve"> zu Abraham gesagt, Sara stillt Kinder </w:t>
      </w:r>
      <w:r>
        <w:rPr>
          <w:color w:val="808080"/>
        </w:rPr>
        <w:t>(Söhne)</w:t>
      </w:r>
      <w:r>
        <w:rPr/>
        <w:t>? Und doch</w:t>
      </w:r>
      <w:r>
        <w:rPr>
          <w:rStyle w:val="Funotenanker"/>
        </w:rPr>
        <w:footnoteReference w:customMarkFollows="1" w:id="523"/>
        <w:t>b</w:t>
      </w:r>
      <w:r>
        <w:rPr/>
        <w:t xml:space="preserve"> habe ich </w:t>
      </w:r>
      <w:r>
        <w:rPr>
          <w:b/>
          <w:color w:val="808080"/>
        </w:rPr>
        <w:t>[</w:t>
      </w:r>
      <w:r>
        <w:rPr/>
        <w:t>ihm in</w:t>
      </w:r>
      <w:r>
        <w:rPr>
          <w:b/>
          <w:color w:val="808080"/>
        </w:rPr>
        <w:t>]</w:t>
      </w:r>
      <w:r>
        <w:rPr/>
        <w:t xml:space="preserve"> seinem Greisenalter einen Sohn geboren.{{field-off:bible}} </w:t>
        <w:br/>
        <w:t>[[@BibleTOBIBLE:Ge 21:8]]</w:t>
      </w:r>
      <w:r>
        <w:rPr>
          <w:b/>
        </w:rPr>
        <w:t>8</w:t>
      </w:r>
      <w:r>
        <w:rPr/>
        <w:t xml:space="preserve"> {{field-on:bible}}Das Kind wuchs heran und wurde entwöhnt. Da </w:t>
      </w:r>
      <w:r>
        <w:rPr>
          <w:color w:val="808080"/>
        </w:rPr>
        <w:t>(machte =)</w:t>
      </w:r>
      <w:r>
        <w:rPr/>
        <w:t xml:space="preserve"> veranstaltete Abraham ein großes Gastmahl am Tag, als Isaak entwöhnt wurde.{{field-off:bible}} </w:t>
        <w:br/>
        <w:t>[[@BibleTOBIBLE:Ge 21:9]]</w:t>
      </w:r>
      <w:r>
        <w:rPr>
          <w:b/>
        </w:rPr>
        <w:t>9</w:t>
      </w:r>
      <w:r>
        <w:rPr/>
        <w:t xml:space="preserve"> {{field-on:bible}}Da sah Sara, dass der Sohn Hagars, der Ägypterin, den sie Abraham geboren hatte, gemein war </w:t>
      </w:r>
      <w:r>
        <w:rPr>
          <w:color w:val="808080"/>
        </w:rPr>
        <w:t>(Blödsinn machte)</w:t>
      </w:r>
      <w:r>
        <w:rPr/>
        <w:t xml:space="preserve"> </w:t>
      </w:r>
      <w:r>
        <w:rPr>
          <w:rStyle w:val="Funotenanker"/>
        </w:rPr>
        <w:footnoteReference w:customMarkFollows="1" w:id="524"/>
        <w:t>c</w:t>
      </w:r>
      <w:r>
        <w:rPr/>
        <w:t xml:space="preserve">.{{field-off:bible}} </w:t>
        <w:br/>
        <w:t>[[@BibleTOBIBLE:Ge 21:10]]</w:t>
      </w:r>
      <w:r>
        <w:rPr>
          <w:b/>
        </w:rPr>
        <w:t>10</w:t>
      </w:r>
      <w:r>
        <w:rPr/>
        <w:t xml:space="preserve"> {{field-on:bible}}Da sprach sie zu Abraham: Vertreibe diese Sklavin </w:t>
      </w:r>
      <w:r>
        <w:rPr>
          <w:color w:val="808080"/>
        </w:rPr>
        <w:t>(Magd)</w:t>
      </w:r>
      <w:r>
        <w:rPr/>
        <w:t xml:space="preserve"> und ihren Sohn. Denn nicht erben soll der Sohn dieser Sklavin </w:t>
      </w:r>
      <w:r>
        <w:rPr>
          <w:color w:val="808080"/>
        </w:rPr>
        <w:t>(Magd)</w:t>
      </w:r>
      <w:r>
        <w:rPr/>
        <w:t xml:space="preserve"> mit meinem Sohn, mit Isaak.{{field-off:bible}} </w:t>
        <w:br/>
        <w:t>[[@BibleTOBIBLE:Ge 21:11]]</w:t>
      </w:r>
      <w:r>
        <w:rPr>
          <w:b/>
        </w:rPr>
        <w:t>11</w:t>
      </w:r>
      <w:r>
        <w:rPr/>
        <w:t xml:space="preserve"> {{field-on:bible}}Doch Abraham missfiel die Rede sehr </w:t>
      </w:r>
      <w:r>
        <w:rPr>
          <w:strike/>
          <w:color w:val="808080"/>
        </w:rPr>
        <w:t>{in seinen Augen}</w:t>
      </w:r>
      <w:r>
        <w:rPr/>
        <w:t xml:space="preserve"> wegen seines Sohnes.{{field-off:bible}} </w:t>
        <w:br/>
        <w:t>[[@BibleTOBIBLE:Ge 21:12]]</w:t>
      </w:r>
      <w:r>
        <w:rPr>
          <w:b/>
        </w:rPr>
        <w:t>12</w:t>
      </w:r>
      <w:r>
        <w:rPr/>
        <w:t xml:space="preserve"> {{field-on:bible}}Da sprach Gott zu Abraham: </w:t>
      </w:r>
      <w:r>
        <w:rPr>
          <w:strike/>
          <w:color w:val="808080"/>
        </w:rPr>
        <w:t>{in deinen Augen =}</w:t>
      </w:r>
      <w:r>
        <w:rPr/>
        <w:t xml:space="preserve"> dir soll nicht missfallen, </w:t>
      </w:r>
      <w:r>
        <w:rPr>
          <w:strike/>
          <w:color w:val="808080"/>
        </w:rPr>
        <w:t>{alles}</w:t>
      </w:r>
      <w:r>
        <w:rPr/>
        <w:t xml:space="preserve"> was Sara zu dir über den Jungen </w:t>
      </w:r>
      <w:r>
        <w:rPr>
          <w:color w:val="808080"/>
        </w:rPr>
        <w:t>(Knaben)</w:t>
      </w:r>
      <w:r>
        <w:rPr/>
        <w:t xml:space="preserve"> und über deine Sklavin </w:t>
      </w:r>
      <w:r>
        <w:rPr>
          <w:color w:val="808080"/>
        </w:rPr>
        <w:t>(Magd)</w:t>
      </w:r>
      <w:r>
        <w:rPr/>
        <w:t xml:space="preserve"> gesagt hat. Höre auf ihre Worte </w:t>
      </w:r>
      <w:r>
        <w:rPr>
          <w:color w:val="808080"/>
        </w:rPr>
        <w:t>(Stimme)</w:t>
      </w:r>
      <w:r>
        <w:rPr/>
        <w:t xml:space="preserve">, denn nach Isaak soll deine Nachkommenschaft </w:t>
      </w:r>
      <w:r>
        <w:rPr>
          <w:color w:val="808080"/>
        </w:rPr>
        <w:t>(dein Geschlecht)</w:t>
      </w:r>
      <w:r>
        <w:rPr/>
        <w:t xml:space="preserve"> genannt werden.{{field-off:bible}} </w:t>
        <w:br/>
        <w:t>[[@BibleTOBIBLE:Ge 21:13]]</w:t>
      </w:r>
      <w:r>
        <w:rPr>
          <w:b/>
        </w:rPr>
        <w:t>13</w:t>
      </w:r>
      <w:r>
        <w:rPr/>
        <w:t xml:space="preserve"> {{field-on:bible}}Aber auch den Sohn der Sklavin </w:t>
      </w:r>
      <w:r>
        <w:rPr>
          <w:color w:val="808080"/>
        </w:rPr>
        <w:t>(Magd)</w:t>
      </w:r>
      <w:r>
        <w:rPr/>
        <w:t xml:space="preserve"> will ich zu einem Volk machen, denn er ist dein Nachkomme.{{field-off:bible}} </w:t>
        <w:br/>
        <w:t>[[@BibleTOBIBLE:Ge 21:14]]</w:t>
      </w:r>
      <w:r>
        <w:rPr>
          <w:b/>
        </w:rPr>
        <w:t>14</w:t>
      </w:r>
      <w:r>
        <w:rPr/>
        <w:t xml:space="preserve"> {{field-on:bible}}Da stand Abraham früh am Morgen auf, nahm Brot und einen Schlauch Wasser und gab ihn Hagar. Er legte es auf ihre Schulter und auch das Kind </w:t>
      </w:r>
      <w:r>
        <w:rPr>
          <w:b/>
          <w:color w:val="808080"/>
        </w:rPr>
        <w:t>[</w:t>
      </w:r>
      <w:r>
        <w:rPr/>
        <w:t>setzte er auf ihre Schulter</w:t>
      </w:r>
      <w:r>
        <w:rPr>
          <w:b/>
          <w:color w:val="808080"/>
        </w:rPr>
        <w:t>]</w:t>
      </w:r>
      <w:r>
        <w:rPr/>
        <w:t xml:space="preserve"> und schickte sie fort. Da ging sie und irrte umher in der Wüste bei Beer-Scheba.{{field-off:bible}} </w:t>
        <w:br/>
        <w:t>[[@BibleTOBIBLE:Ge 21:15]]</w:t>
      </w:r>
      <w:r>
        <w:rPr>
          <w:b/>
        </w:rPr>
        <w:t>15</w:t>
      </w:r>
      <w:r>
        <w:rPr/>
        <w:t xml:space="preserve"> {{field-on:bible}}Da ging das Wasser im Schlauch aus. Da </w:t>
      </w:r>
      <w:r>
        <w:rPr>
          <w:color w:val="808080"/>
        </w:rPr>
        <w:t>(warf =)</w:t>
      </w:r>
      <w:r>
        <w:rPr/>
        <w:t xml:space="preserve"> setzte sie das Kind ab unter einem Strauch</w:t>
      </w:r>
      <w:r>
        <w:rPr>
          <w:rStyle w:val="Funotenanker"/>
        </w:rPr>
        <w:footnoteReference w:customMarkFollows="1" w:id="525"/>
        <w:t>d</w:t>
      </w:r>
      <w:r>
        <w:rPr/>
        <w:t xml:space="preserve">.{{field-off:bible}} </w:t>
        <w:br/>
        <w:t>[[@BibleTOBIBLE:Ge 21:16]]</w:t>
      </w:r>
      <w:r>
        <w:rPr>
          <w:b/>
        </w:rPr>
        <w:t>16</w:t>
      </w:r>
      <w:r>
        <w:rPr/>
        <w:t xml:space="preserve"> {{field-on:bible}}Da ging sie und setzte sich gegenüber von ferne, einen Bogenschuss weit</w:t>
      </w:r>
      <w:r>
        <w:rPr>
          <w:rStyle w:val="Funotenanker"/>
        </w:rPr>
        <w:footnoteReference w:customMarkFollows="1" w:id="526"/>
        <w:t>e</w:t>
      </w:r>
      <w:r>
        <w:rPr/>
        <w:t xml:space="preserve"> , denn sie sprach: Ich will den Tod des Kindes nicht sehen. Und sie setzte sich </w:t>
      </w:r>
      <w:r>
        <w:rPr>
          <w:b/>
          <w:color w:val="808080"/>
        </w:rPr>
        <w:t>[</w:t>
      </w:r>
      <w:r>
        <w:rPr/>
        <w:t>ihm</w:t>
      </w:r>
      <w:r>
        <w:rPr>
          <w:b/>
          <w:color w:val="808080"/>
        </w:rPr>
        <w:t>]</w:t>
      </w:r>
      <w:r>
        <w:rPr/>
        <w:t xml:space="preserve"> gegenüber und </w:t>
      </w:r>
      <w:r>
        <w:rPr>
          <w:color w:val="808080"/>
        </w:rPr>
        <w:t>(erhob ihre Stimme =)</w:t>
      </w:r>
      <w:r>
        <w:rPr/>
        <w:t xml:space="preserve"> fing an </w:t>
      </w:r>
      <w:r>
        <w:rPr>
          <w:color w:val="808080"/>
        </w:rPr>
        <w:t>(und weinte =)</w:t>
      </w:r>
      <w:r>
        <w:rPr/>
        <w:t xml:space="preserve"> zu weinen.{{field-off:bible}} </w:t>
        <w:br/>
        <w:t>[[@BibleTOBIBLE:Ge 21:17]]</w:t>
      </w:r>
      <w:r>
        <w:rPr>
          <w:b/>
        </w:rPr>
        <w:t>17</w:t>
      </w:r>
      <w:r>
        <w:rPr/>
        <w:t xml:space="preserve"> {{field-on:bible}}Da hörte Gott die Stimme des Knaben. Da rief der Bote Gottes vom Himmel nach Hagar und sprach zu ihr: Was ist </w:t>
      </w:r>
      <w:r>
        <w:rPr>
          <w:b/>
          <w:color w:val="808080"/>
        </w:rPr>
        <w:t>[</w:t>
      </w:r>
      <w:r>
        <w:rPr/>
        <w:t>mit</w:t>
      </w:r>
      <w:r>
        <w:rPr>
          <w:b/>
          <w:color w:val="808080"/>
        </w:rPr>
        <w:t>]</w:t>
      </w:r>
      <w:r>
        <w:rPr/>
        <w:t xml:space="preserve"> dir, Hagar? Fürchte dich nicht! Denn Gott hat auf die Stimme des Jungen </w:t>
      </w:r>
      <w:r>
        <w:rPr>
          <w:color w:val="808080"/>
        </w:rPr>
        <w:t>(Knaben)</w:t>
      </w:r>
      <w:r>
        <w:rPr/>
        <w:t xml:space="preserve"> gehört, der da </w:t>
      </w:r>
      <w:r>
        <w:rPr>
          <w:b/>
          <w:color w:val="808080"/>
        </w:rPr>
        <w:t>[</w:t>
      </w:r>
      <w:r>
        <w:rPr/>
        <w:t>liegt</w:t>
      </w:r>
      <w:r>
        <w:rPr>
          <w:b/>
          <w:color w:val="808080"/>
        </w:rPr>
        <w:t>]</w:t>
      </w:r>
      <w:r>
        <w:rPr/>
        <w:t xml:space="preserve">.{{field-off:bible}} </w:t>
        <w:br/>
        <w:t>[[@BibleTOBIBLE:Ge 21:18]]</w:t>
      </w:r>
      <w:r>
        <w:rPr>
          <w:b/>
        </w:rPr>
        <w:t>18</w:t>
      </w:r>
      <w:r>
        <w:rPr/>
        <w:t xml:space="preserve"> {{field-on:bible}}Steh auf, heb den Jungen </w:t>
      </w:r>
      <w:r>
        <w:rPr>
          <w:color w:val="808080"/>
        </w:rPr>
        <w:t>(Knaben)</w:t>
      </w:r>
      <w:r>
        <w:rPr/>
        <w:t xml:space="preserve"> auf und nimm ihn bei der Hand, denn ich will ihn zu einem großen Volk machen.{{field-off:bible}} </w:t>
        <w:br/>
        <w:t>[[@BibleTOBIBLE:Ge 21:19]]</w:t>
      </w:r>
      <w:r>
        <w:rPr>
          <w:b/>
        </w:rPr>
        <w:t>19</w:t>
      </w:r>
      <w:r>
        <w:rPr/>
        <w:t xml:space="preserve"> {{field-on:bible}}Da öffnete Gott ihre Augen, und sie sah einen Brunnen </w:t>
      </w:r>
      <w:r>
        <w:rPr>
          <w:b/>
          <w:color w:val="808080"/>
        </w:rPr>
        <w:t>[</w:t>
      </w:r>
      <w:r>
        <w:rPr/>
        <w:t>mit</w:t>
      </w:r>
      <w:r>
        <w:rPr>
          <w:b/>
          <w:color w:val="808080"/>
        </w:rPr>
        <w:t>]</w:t>
      </w:r>
      <w:r>
        <w:rPr/>
        <w:t xml:space="preserve"> Wasser </w:t>
      </w:r>
      <w:r>
        <w:rPr>
          <w:color w:val="808080"/>
        </w:rPr>
        <w:t>(einen Wasserbrunnen)</w:t>
      </w:r>
      <w:r>
        <w:rPr/>
        <w:t xml:space="preserve">. Da ging sie hin und füllte den Schlauch mit Wasser und gab dem Jungen </w:t>
      </w:r>
      <w:r>
        <w:rPr>
          <w:color w:val="808080"/>
        </w:rPr>
        <w:t>(Knaben)</w:t>
      </w:r>
      <w:r>
        <w:rPr/>
        <w:t xml:space="preserve"> zu trinken.{{field-off:bible}} </w:t>
        <w:br/>
        <w:t>[[@BibleTOBIBLE:Ge 21:20]]</w:t>
      </w:r>
      <w:r>
        <w:rPr>
          <w:b/>
        </w:rPr>
        <w:t>20</w:t>
      </w:r>
      <w:r>
        <w:rPr/>
        <w:t xml:space="preserve"> {{field-on:bible}}Und Gott war mit dem Jungen </w:t>
      </w:r>
      <w:r>
        <w:rPr>
          <w:color w:val="808080"/>
        </w:rPr>
        <w:t>(Knaben)</w:t>
      </w:r>
      <w:r>
        <w:rPr/>
        <w:t xml:space="preserve">, und er wuchs heran. Und er wohnte in der Wüste und war ein Bogenschütze.{{field-off:bible}} </w:t>
        <w:br/>
        <w:t>[[@BibleTOBIBLE:Ge 21:21]]</w:t>
      </w:r>
      <w:r>
        <w:rPr>
          <w:b/>
        </w:rPr>
        <w:t>21</w:t>
      </w:r>
      <w:r>
        <w:rPr/>
        <w:t xml:space="preserve"> {{field-on:bible}}Und er wohnte in der Wüste Paran. Da nahm ihm seine Mutter eine Frau aus </w:t>
      </w:r>
      <w:r>
        <w:rPr>
          <w:strike/>
          <w:color w:val="808080"/>
        </w:rPr>
        <w:t>{dem Land}</w:t>
      </w:r>
      <w:r>
        <w:rPr/>
        <w:t xml:space="preserve"> Ägypten.{{field-off:bible}} </w:t>
        <w:br/>
        <w:t>[[@BibleTOBIBLE:Ge 21:22]]</w:t>
      </w:r>
      <w:r>
        <w:rPr>
          <w:b/>
        </w:rPr>
        <w:t>22</w:t>
      </w:r>
      <w:r>
        <w:rPr/>
        <w:t xml:space="preserve"> {{field-on:bible}}Es begab sich aber zu jener Zeit, da sprachen Abimelech und Pichol, sein Heerführer, zu Abraham </w:t>
      </w:r>
      <w:r>
        <w:rPr>
          <w:strike/>
          <w:color w:val="808080"/>
        </w:rPr>
        <w:t>{folgendermaßen}</w:t>
      </w:r>
      <w:r>
        <w:rPr/>
        <w:t xml:space="preserve">: Gott ist mit dir in allem, was du tust.{{field-off:bible}} </w:t>
        <w:br/>
        <w:t>[[@BibleTOBIBLE:Ge 21:23]]</w:t>
      </w:r>
      <w:r>
        <w:rPr>
          <w:b/>
        </w:rPr>
        <w:t>23</w:t>
      </w:r>
      <w:r>
        <w:rPr/>
        <w:t xml:space="preserve"> {{field-on:bible}}Darum schwöre mir bei diesem</w:t>
      </w:r>
      <w:r>
        <w:rPr>
          <w:rStyle w:val="Funotenanker"/>
        </w:rPr>
        <w:footnoteReference w:customMarkFollows="1" w:id="527"/>
        <w:t>f</w:t>
      </w:r>
      <w:r>
        <w:rPr/>
        <w:t xml:space="preserve"> Gott, dass du mich nicht täuschen wirst, noch meine Nachkommen, noch mein Geschlecht. Wie ich dir Gnade </w:t>
      </w:r>
      <w:r>
        <w:rPr>
          <w:color w:val="808080"/>
        </w:rPr>
        <w:t>(Gunst, Treue)</w:t>
      </w:r>
      <w:r>
        <w:rPr/>
        <w:t xml:space="preserve"> </w:t>
      </w:r>
      <w:r>
        <w:rPr>
          <w:color w:val="808080"/>
        </w:rPr>
        <w:t>(getan =)</w:t>
      </w:r>
      <w:r>
        <w:rPr/>
        <w:t xml:space="preserve"> erwiesen habe, so sollst du </w:t>
      </w:r>
      <w:r>
        <w:rPr>
          <w:b/>
          <w:color w:val="808080"/>
        </w:rPr>
        <w:t>[</w:t>
      </w:r>
      <w:r>
        <w:rPr/>
        <w:t>sie</w:t>
      </w:r>
      <w:r>
        <w:rPr>
          <w:b/>
          <w:color w:val="808080"/>
        </w:rPr>
        <w:t>]</w:t>
      </w:r>
      <w:r>
        <w:rPr/>
        <w:t xml:space="preserve"> auch mir erweisen und dem Land, in dem du dich als Fremdling aufhältst.{{field-off:bible}} </w:t>
        <w:br/>
        <w:t>[[@BibleTOBIBLE:Ge 21:24]]</w:t>
      </w:r>
      <w:r>
        <w:rPr>
          <w:b/>
        </w:rPr>
        <w:t>24</w:t>
      </w:r>
      <w:r>
        <w:rPr/>
        <w:t xml:space="preserve"> {{field-on:bible}}Da sprach Abraham: Ich schwöre.{{field-off:bible}} </w:t>
        <w:br/>
        <w:t>[[@BibleTOBIBLE:Ge 21:25]]</w:t>
      </w:r>
      <w:r>
        <w:rPr>
          <w:b/>
        </w:rPr>
        <w:t>25</w:t>
      </w:r>
      <w:r>
        <w:rPr/>
        <w:t xml:space="preserve"> {{field-on:bible}}Und Abraham zog Abimelech zur Rechenschaft wegen des Wasserbrunnens, den die Knechte Abimelechs mit Gewalt genommen hatten.{{field-off:bible}} </w:t>
        <w:br/>
        <w:t>[[@BibleTOBIBLE:Ge 21:26]]</w:t>
      </w:r>
      <w:r>
        <w:rPr>
          <w:b/>
        </w:rPr>
        <w:t>26</w:t>
      </w:r>
      <w:r>
        <w:rPr/>
        <w:t xml:space="preserve"> {{field-on:bible}}Da sprach Abimelech: Ich weiß nicht, wer </w:t>
      </w:r>
      <w:r>
        <w:rPr>
          <w:color w:val="808080"/>
        </w:rPr>
        <w:t>(diese Sache =)</w:t>
      </w:r>
      <w:r>
        <w:rPr/>
        <w:t xml:space="preserve"> das getan hat. Auch du hast sie mir nicht angezeigt </w:t>
      </w:r>
      <w:r>
        <w:rPr>
          <w:color w:val="808080"/>
        </w:rPr>
        <w:t>(gemeldet)</w:t>
      </w:r>
      <w:r>
        <w:rPr/>
        <w:t xml:space="preserve">, und ich habe nichts </w:t>
      </w:r>
      <w:r>
        <w:rPr>
          <w:b/>
          <w:color w:val="808080"/>
        </w:rPr>
        <w:t>[</w:t>
      </w:r>
      <w:r>
        <w:rPr/>
        <w:t>davon</w:t>
      </w:r>
      <w:r>
        <w:rPr>
          <w:b/>
          <w:color w:val="808080"/>
        </w:rPr>
        <w:t>]</w:t>
      </w:r>
      <w:r>
        <w:rPr/>
        <w:t xml:space="preserve"> gehört </w:t>
      </w:r>
      <w:r>
        <w:rPr>
          <w:color w:val="808080"/>
        </w:rPr>
        <w:t>(außer =)</w:t>
      </w:r>
      <w:r>
        <w:rPr/>
        <w:t xml:space="preserve"> bis heute.{{field-off:bible}} </w:t>
        <w:br/>
        <w:t>[[@BibleTOBIBLE:Ge 21:27]]</w:t>
      </w:r>
      <w:r>
        <w:rPr>
          <w:b/>
        </w:rPr>
        <w:t>27</w:t>
      </w:r>
      <w:r>
        <w:rPr/>
        <w:t xml:space="preserve"> {{field-on:bible}}Da nahm Abraham Kleinvieh</w:t>
      </w:r>
      <w:r>
        <w:rPr>
          <w:rStyle w:val="Funotenanker"/>
        </w:rPr>
        <w:footnoteReference w:customMarkFollows="1" w:id="528"/>
        <w:t>g</w:t>
      </w:r>
      <w:r>
        <w:rPr/>
        <w:t xml:space="preserve"> und Rinder und gab sie Abimelech. Und die beiden schlossen einen Bund.{{field-off:bible}} </w:t>
        <w:br/>
        <w:t>[[@BibleTOBIBLE:Ge 21:28]]</w:t>
      </w:r>
      <w:r>
        <w:rPr>
          <w:b/>
        </w:rPr>
        <w:t>28</w:t>
      </w:r>
      <w:r>
        <w:rPr/>
        <w:t xml:space="preserve"> {{field-on:bible}}Aber Abraham stellte sieben Lämmer vom Kleinvieh </w:t>
      </w:r>
      <w:r>
        <w:rPr>
          <w:color w:val="808080"/>
        </w:rPr>
        <w:t>(allein =)</w:t>
      </w:r>
      <w:r>
        <w:rPr/>
        <w:t xml:space="preserve"> für sich hin.{{field-off:bible}} </w:t>
        <w:br/>
        <w:t>[[@BibleTOBIBLE:Ge 21:29]]</w:t>
      </w:r>
      <w:r>
        <w:rPr>
          <w:b/>
        </w:rPr>
        <w:t>29</w:t>
      </w:r>
      <w:r>
        <w:rPr/>
        <w:t xml:space="preserve"> {{field-on:bible}}Da </w:t>
      </w:r>
      <w:r>
        <w:rPr>
          <w:color w:val="808080"/>
        </w:rPr>
        <w:t>(sagte =)</w:t>
      </w:r>
      <w:r>
        <w:rPr/>
        <w:t xml:space="preserve"> fragte Abimelech Abraham: Warum </w:t>
      </w:r>
      <w:r>
        <w:rPr>
          <w:b/>
          <w:color w:val="808080"/>
        </w:rPr>
        <w:t>[</w:t>
      </w:r>
      <w:r>
        <w:rPr/>
        <w:t>sind</w:t>
      </w:r>
      <w:r>
        <w:rPr>
          <w:b/>
          <w:color w:val="808080"/>
        </w:rPr>
        <w:t>]</w:t>
      </w:r>
      <w:r>
        <w:rPr/>
        <w:t xml:space="preserve"> hier diese sieben Lämmer, die du </w:t>
      </w:r>
      <w:r>
        <w:rPr>
          <w:color w:val="808080"/>
        </w:rPr>
        <w:t>(allein =)</w:t>
      </w:r>
      <w:r>
        <w:rPr/>
        <w:t xml:space="preserve"> für sich hingestellt hast</w:t>
      </w:r>
      <w:r>
        <w:rPr>
          <w:rStyle w:val="Funotenanker"/>
        </w:rPr>
        <w:footnoteReference w:customMarkFollows="1" w:id="529"/>
        <w:t>h</w:t>
      </w:r>
      <w:r>
        <w:rPr/>
        <w:t xml:space="preserve">?{{field-off:bible}} </w:t>
        <w:br/>
        <w:t>[[@BibleTOBIBLE:Ge 21:30]]</w:t>
      </w:r>
      <w:r>
        <w:rPr>
          <w:b/>
        </w:rPr>
        <w:t>30</w:t>
      </w:r>
      <w:r>
        <w:rPr/>
        <w:t xml:space="preserve"> {{field-on:bible}}Und er </w:t>
      </w:r>
      <w:r>
        <w:rPr>
          <w:color w:val="808080"/>
        </w:rPr>
        <w:t>(sprach =)</w:t>
      </w:r>
      <w:r>
        <w:rPr/>
        <w:t xml:space="preserve"> antwortete: </w:t>
      </w:r>
      <w:r>
        <w:rPr>
          <w:rStyle w:val="Funotenanker"/>
        </w:rPr>
        <w:footnoteReference w:customMarkFollows="1" w:id="530"/>
        <w:t>i</w:t>
      </w:r>
      <w:r>
        <w:rPr/>
        <w:t xml:space="preserve"> Die sieben Lämmer nimm aus meiner Hand, damit sie für mich zum </w:t>
      </w:r>
      <w:r>
        <w:rPr>
          <w:color w:val="808080"/>
        </w:rPr>
        <w:t>(Zeichen =)</w:t>
      </w:r>
      <w:r>
        <w:rPr/>
        <w:t xml:space="preserve"> Beweis </w:t>
      </w:r>
      <w:r>
        <w:rPr>
          <w:color w:val="808080"/>
        </w:rPr>
        <w:t>(sind =)</w:t>
      </w:r>
      <w:r>
        <w:rPr/>
        <w:t xml:space="preserve"> dienen, dass ich diesen Brunnen gegraben habe.{{field-off:bible}} </w:t>
        <w:br/>
        <w:t>[[@BibleTOBIBLE:Ge 21:31]]</w:t>
      </w:r>
      <w:r>
        <w:rPr>
          <w:b/>
        </w:rPr>
        <w:t>31</w:t>
      </w:r>
      <w:r>
        <w:rPr/>
        <w:t xml:space="preserve"> {{field-on:bible}}Darum nennt man diesen Ort „Schwurbrunnen“ </w:t>
      </w:r>
      <w:r>
        <w:rPr>
          <w:color w:val="808080"/>
        </w:rPr>
        <w:t>(Beerscheba)</w:t>
      </w:r>
      <w:r>
        <w:rPr/>
        <w:t xml:space="preserve">, denn dort schworen die beiden.{{field-off:bible}} </w:t>
        <w:br/>
        <w:t>[[@BibleTOBIBLE:Ge 21:32]]</w:t>
      </w:r>
      <w:r>
        <w:rPr>
          <w:b/>
        </w:rPr>
        <w:t>32</w:t>
      </w:r>
      <w:r>
        <w:rPr/>
        <w:t xml:space="preserve"> {{field-on:bible}}Und sie schlossen einen Bund am Schwurbrunnen </w:t>
      </w:r>
      <w:r>
        <w:rPr>
          <w:color w:val="808080"/>
        </w:rPr>
        <w:t>(Beerscheba)</w:t>
      </w:r>
      <w:r>
        <w:rPr/>
        <w:t xml:space="preserve">. Dann standen Abimelech und sein Heerführer Pichol auf und kehrten zurück ins Land der Philister.{{field-off:bible}} </w:t>
        <w:br/>
        <w:t>[[@BibleTOBIBLE:Ge 21:33]]</w:t>
      </w:r>
      <w:r>
        <w:rPr>
          <w:b/>
        </w:rPr>
        <w:t>33</w:t>
      </w:r>
      <w:r>
        <w:rPr/>
        <w:t xml:space="preserve"> {{field-on:bible}}Und er pflanzte eine Tamariske am Schwurbrunnen </w:t>
      </w:r>
      <w:r>
        <w:rPr>
          <w:color w:val="808080"/>
        </w:rPr>
        <w:t>(Beerscheba)</w:t>
      </w:r>
      <w:r>
        <w:rPr/>
        <w:t xml:space="preserve"> und rief dort den Namen </w:t>
      </w:r>
      <w:r>
        <w:rPr>
          <w:smallCaps/>
          <w:color w:val="FF0000"/>
        </w:rPr>
        <w:t>JHWH</w:t>
      </w:r>
      <w:r>
        <w:rPr/>
        <w:t xml:space="preserve">s an, des ewigen Gottes.{{field-off:bible}} </w:t>
        <w:br/>
        <w:t>[[@BibleTOBIBLE:Ge 21:34]]</w:t>
      </w:r>
      <w:r>
        <w:rPr>
          <w:b/>
        </w:rPr>
        <w:t>34</w:t>
      </w:r>
      <w:r>
        <w:rPr/>
        <w:t xml:space="preserve"> {{field-on:bible}}Und Abraham lebte im Land der Philister viele Jahre als Fremdling.{{field-off:bible}} </w:t>
      </w:r>
    </w:p>
    <w:p>
      <w:pPr>
        <w:pStyle w:val="Berschrift3"/>
        <w:rPr/>
      </w:pPr>
      <w:r>
        <w:rPr/>
        <w:t>[[@BibleTOBIBLE:Ge 22]]Kapitel 22</w:t>
      </w:r>
    </w:p>
    <w:p>
      <w:pPr>
        <w:pStyle w:val="Textkrper"/>
        <w:rPr/>
      </w:pPr>
      <w:r>
        <w:rPr/>
        <w:br/>
        <w:t>[[@BibleTOBIBLE:Ge 22:1]]</w:t>
      </w:r>
      <w:r>
        <w:rPr>
          <w:b/>
        </w:rPr>
        <w:t>1</w:t>
      </w:r>
      <w:r>
        <w:rPr/>
        <w:t xml:space="preserve"> {{field-on:bible}}Und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531"/>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532"/>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533"/>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534"/>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535"/>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rief </w:t>
      </w:r>
      <w:r>
        <w:rPr>
          <w:color w:val="808080"/>
        </w:rPr>
        <w:t>(schrie)</w:t>
      </w:r>
      <w:r>
        <w:rPr/>
        <w:t xml:space="preserv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536"/>
        <w:t>f</w:t>
      </w:r>
      <w:r>
        <w:rPr/>
        <w:t>.</w:t>
      </w:r>
      <w:r>
        <w:rPr>
          <w:position w:val="8"/>
          <w:sz w:val="19"/>
        </w:rPr>
        <w:t>[[ ℘ &gt;&gt; BibleTOBIBLE:2Ch 3:1]]</w:t>
      </w:r>
      <w:r>
        <w:rPr/>
        <w:t xml:space="preserve"> {{field-off:bible}} </w:t>
        <w:br/>
        <w:t>[[@BibleTOBIBLE:Ge 22:15]]</w:t>
      </w:r>
      <w:r>
        <w:rPr>
          <w:b/>
        </w:rPr>
        <w:t>15</w:t>
      </w:r>
      <w:r>
        <w:rPr/>
        <w:t xml:space="preserve"> {{field-on:bible}}Da rief </w:t>
      </w:r>
      <w:r>
        <w:rPr>
          <w:color w:val="808080"/>
        </w:rPr>
        <w:t>(schrie)</w:t>
      </w:r>
      <w:r>
        <w:rPr/>
        <w:t xml:space="preserve"> der Bote </w:t>
      </w:r>
      <w:r>
        <w:rPr>
          <w:smallCaps/>
          <w:color w:val="FF0000"/>
        </w:rPr>
        <w:t>JHWH</w:t>
      </w:r>
      <w:r>
        <w:rPr/>
        <w:t xml:space="preserve">s ihn zum zweiten Mal vom Himmel.{{field-off:bible}} </w:t>
        <w:br/>
        <w:t>[[@BibleTOBIBLE:Ge 22:16]]</w:t>
      </w:r>
      <w:r>
        <w:rPr>
          <w:b/>
        </w:rPr>
        <w:t>16</w:t>
      </w:r>
      <w:r>
        <w:rPr/>
        <w:t xml:space="preserve"> {{field-on:bible}}Und sprach: Ich schwöre</w:t>
      </w:r>
      <w:r>
        <w:rPr>
          <w:rStyle w:val="Funotenanker"/>
        </w:rPr>
        <w:footnoteReference w:customMarkFollows="1" w:id="537"/>
        <w:t>g</w:t>
      </w:r>
      <w:r>
        <w:rPr/>
        <w:t xml:space="preserve"> bei mir, Spruch </w:t>
      </w:r>
      <w:r>
        <w:rPr>
          <w:smallCaps/>
          <w:color w:val="FF0000"/>
        </w:rPr>
        <w:t>JHWH</w:t>
      </w:r>
      <w:r>
        <w:rPr/>
        <w:t>s, fürwahr!</w:t>
      </w:r>
      <w:r>
        <w:rPr>
          <w:rStyle w:val="Funotenanker"/>
        </w:rPr>
        <w:footnoteReference w:customMarkFollows="1" w:id="538"/>
        <w:t>h</w:t>
      </w:r>
      <w:r>
        <w:rPr/>
        <w:t xml:space="preserve">, weil du das getan hast und hast nicht geschont </w:t>
      </w:r>
      <w:r>
        <w:rPr>
          <w:color w:val="808080"/>
        </w:rPr>
        <w:t>(zurückgehalten)</w:t>
      </w:r>
      <w:r>
        <w:rPr/>
        <w:t xml:space="preserve"> deinen einzigen Sohn,{{field-off:bible}} </w:t>
        <w:br/>
        <w:t>[[@BibleTOBIBLE:Ge 22:17]]</w:t>
      </w:r>
      <w:r>
        <w:rPr>
          <w:b/>
        </w:rPr>
        <w:t>17</w:t>
      </w:r>
      <w:r>
        <w:rPr/>
        <w:t xml:space="preserve"> {{field-on:bible}}darum will ich segnen</w:t>
      </w:r>
      <w:r>
        <w:rPr>
          <w:rStyle w:val="Funotenanker"/>
        </w:rPr>
        <w:footnoteReference w:customMarkFollows="1" w:id="539"/>
        <w:t>i</w:t>
      </w:r>
      <w:r>
        <w:rPr/>
        <w:t xml:space="preserve"> und zahlreich machen deine Nachkommenschaft </w:t>
      </w:r>
      <w:r>
        <w:rPr>
          <w:color w:val="808080"/>
        </w:rPr>
        <w:t>(deinen Samen)</w:t>
      </w:r>
      <w:r>
        <w:rPr/>
        <w:t xml:space="preserve"> wie die Sterne am Himmel und wie der Sand, der am Saum </w:t>
      </w:r>
      <w:r>
        <w:rPr>
          <w:color w:val="808080"/>
        </w:rPr>
        <w:t>(Ufer)</w:t>
      </w:r>
      <w:r>
        <w:rPr/>
        <w:t xml:space="preserve"> des Meeres </w:t>
      </w:r>
      <w:r>
        <w:rPr>
          <w:b/>
          <w:color w:val="808080"/>
        </w:rPr>
        <w:t>[</w:t>
      </w:r>
      <w:r>
        <w:rPr/>
        <w:t>ist</w:t>
      </w:r>
      <w:r>
        <w:rPr>
          <w:b/>
          <w:color w:val="808080"/>
        </w:rPr>
        <w:t>]</w:t>
      </w:r>
      <w:r>
        <w:rPr/>
        <w:t xml:space="preserve">. Und in Besitz nehmen wird deine Nachkommenschaft </w:t>
      </w:r>
      <w:r>
        <w:rPr>
          <w:color w:val="808080"/>
        </w:rPr>
        <w:t>(dein Same)</w:t>
      </w:r>
      <w:r>
        <w:rPr/>
        <w:t xml:space="preserve"> das Tor seiner Feinde.{{field-off:bible}} </w:t>
        <w:br/>
        <w:t>[[@BibleTOBIBLE:Ge 22:18]]</w:t>
      </w:r>
      <w:r>
        <w:rPr>
          <w:b/>
        </w:rPr>
        <w:t>18</w:t>
      </w:r>
      <w:r>
        <w:rPr/>
        <w:t xml:space="preserve"> {{field-on:bible}}Und durch deine Nachkommenschaft sollen gesegnet werden</w:t>
      </w:r>
      <w:r>
        <w:rPr>
          <w:rStyle w:val="Funotenanker"/>
        </w:rPr>
        <w:footnoteReference w:customMarkFollows="1" w:id="540"/>
        <w:t>j</w:t>
      </w:r>
      <w:r>
        <w:rPr/>
        <w:t xml:space="preserve"> alle Völker der Erde dafür, dass du auf </w:t>
      </w:r>
      <w:r>
        <w:rPr>
          <w:color w:val="808080"/>
        </w:rPr>
        <w:t>(meine Stimme =)</w:t>
      </w:r>
      <w:r>
        <w:rPr/>
        <w:t xml:space="preserve"> mich gehört hast.{{field-off:bible}} </w:t>
        <w:br/>
        <w:t>[[@BibleTOBIBLE:Ge 22:19]]</w:t>
      </w:r>
      <w:r>
        <w:rPr>
          <w:b/>
        </w:rPr>
        <w:t>19</w:t>
      </w:r>
      <w:r>
        <w:rPr/>
        <w:t xml:space="preserve"> {{field-on:bible}}Da kehrte Abraham zu seinen Knechen </w:t>
      </w:r>
      <w:r>
        <w:rPr>
          <w:color w:val="808080"/>
        </w:rPr>
        <w:t>(Dienern)</w:t>
      </w:r>
      <w:r>
        <w:rPr/>
        <w:t xml:space="preserve"> zurück, und sie standen auf und gingen </w:t>
      </w:r>
      <w:r>
        <w:rPr>
          <w:color w:val="808080"/>
        </w:rPr>
        <w:t>(zogen)</w:t>
      </w:r>
      <w:r>
        <w:rPr/>
        <w:t xml:space="preserve"> gemeinsam nach Beerscheba. Und Abraham wohnte in Beerscheba.{{field-off:bible}} </w:t>
        <w:br/>
        <w:t>[[@BibleTOBIBLE:Ge 22:20]]</w:t>
      </w:r>
      <w:r>
        <w:rPr>
          <w:b/>
        </w:rPr>
        <w:t>20</w:t>
      </w:r>
      <w:r>
        <w:rPr/>
        <w:t xml:space="preserve"> {{field-on:bible}}Und es geschah nach diesen Begebenheiten, dass Abraham gemeldet wurde </w:t>
      </w:r>
      <w:r>
        <w:rPr>
          <w:strike/>
          <w:color w:val="808080"/>
        </w:rPr>
        <w:t>{folgendermaßen}</w:t>
      </w:r>
      <w:r>
        <w:rPr/>
        <w:t xml:space="preserve">: Sieh da, geboren hat auch Milka Söhne dem Nahor, deinem Bruder.{{field-off:bible}} </w:t>
        <w:br/>
        <w:t>[[@BibleTOBIBLE:Ge 22:21]]</w:t>
      </w:r>
      <w:r>
        <w:rPr>
          <w:b/>
        </w:rPr>
        <w:t>21</w:t>
      </w:r>
      <w:r>
        <w:rPr/>
        <w:t xml:space="preserve"> {{field-on:bible}}Uz, seinen Erstgeborenen, und Buz, dessen Bruder, und Kemuel, den Vater </w:t>
      </w:r>
      <w:r>
        <w:rPr>
          <w:color w:val="808080"/>
        </w:rPr>
        <w:t>(Arams =)</w:t>
      </w:r>
      <w:r>
        <w:rPr/>
        <w:t xml:space="preserve"> der Aramäer.{{field-off:bible}} </w:t>
        <w:br/>
        <w:t>[[@BibleTOBIBLE:Ge 22:22]]</w:t>
      </w:r>
      <w:r>
        <w:rPr>
          <w:b/>
        </w:rPr>
        <w:t>22</w:t>
      </w:r>
      <w:r>
        <w:rPr/>
        <w:t xml:space="preserve"> {{field-on:bible}} </w:t>
      </w:r>
      <w:r>
        <w:rPr>
          <w:strike/>
          <w:color w:val="808080"/>
        </w:rPr>
        <w:t>{Und}</w:t>
      </w:r>
      <w:r>
        <w:rPr/>
        <w:t xml:space="preserve"> Kesed und Hazo, </w:t>
      </w:r>
      <w:r>
        <w:rPr>
          <w:strike/>
          <w:color w:val="808080"/>
        </w:rPr>
        <w:t>{und}</w:t>
      </w:r>
      <w:r>
        <w:rPr/>
        <w:t xml:space="preserve"> Pildasch, </w:t>
      </w:r>
      <w:r>
        <w:rPr>
          <w:strike/>
          <w:color w:val="808080"/>
        </w:rPr>
        <w:t>{und}</w:t>
      </w:r>
      <w:r>
        <w:rPr/>
        <w:t xml:space="preserve"> Jidlaf und Betuel.{{field-off:bible}} </w:t>
        <w:br/>
        <w:t>[[@BibleTOBIBLE:Ge 22:23]]</w:t>
      </w:r>
      <w:r>
        <w:rPr>
          <w:b/>
        </w:rPr>
        <w:t>23</w:t>
      </w:r>
      <w:r>
        <w:rPr/>
        <w:t xml:space="preserve"> {{field-on:bible}}Betuel aber zeugte Rebekka. Diese acht gebar Milka dem Nahor, dem Bruder Abrahams.{{field-off:bible}} </w:t>
        <w:br/>
        <w:t>[[@BibleTOBIBLE:Ge 22:24]]</w:t>
      </w:r>
      <w:r>
        <w:rPr>
          <w:b/>
        </w:rPr>
        <w:t>24</w:t>
      </w:r>
      <w:r>
        <w:rPr/>
        <w:t xml:space="preserve"> {{field-on:bible}}Und seine Nebenfrau </w:t>
      </w:r>
      <w:r>
        <w:rPr>
          <w:color w:val="808080"/>
        </w:rPr>
        <w:t>(„Kebse“)</w:t>
      </w:r>
      <w:r>
        <w:rPr/>
        <w:t xml:space="preserve"> </w:t>
      </w:r>
      <w:r>
        <w:rPr>
          <w:color w:val="808080"/>
        </w:rPr>
        <w:t>(ihr Name war =)</w:t>
      </w:r>
      <w:r>
        <w:rPr/>
        <w:t xml:space="preserve"> hieß Reuma. Auch sie gebar Tebach, </w:t>
      </w:r>
      <w:r>
        <w:rPr>
          <w:strike/>
          <w:color w:val="808080"/>
        </w:rPr>
        <w:t>{und}</w:t>
      </w:r>
      <w:r>
        <w:rPr/>
        <w:t xml:space="preserve"> Gaham, </w:t>
      </w:r>
      <w:r>
        <w:rPr>
          <w:strike/>
          <w:color w:val="808080"/>
        </w:rPr>
        <w:t>{und}</w:t>
      </w:r>
      <w:r>
        <w:rPr/>
        <w:t xml:space="preserve"> Tahasch und Maacha.{{field-off:bible}} </w:t>
      </w:r>
    </w:p>
    <w:p>
      <w:pPr>
        <w:pStyle w:val="Berschrift3"/>
        <w:rPr/>
      </w:pPr>
      <w:r>
        <w:rPr/>
        <w:t>[[@BibleTOBIBLE:Ge 23]]Kapitel 23</w:t>
      </w:r>
    </w:p>
    <w:p>
      <w:pPr>
        <w:pStyle w:val="Textkrper"/>
        <w:rPr/>
      </w:pPr>
      <w:r>
        <w:rPr/>
        <w:br/>
        <w:t>[[@BibleTOBIBLE:Ge 23:1]]</w:t>
      </w:r>
      <w:r>
        <w:rPr>
          <w:b/>
        </w:rPr>
        <w:t>1</w:t>
      </w:r>
      <w:r>
        <w:rPr/>
        <w:t xml:space="preserve"> {{field-on:bible}}Und es </w:t>
      </w:r>
      <w:r>
        <w:rPr>
          <w:color w:val="808080"/>
        </w:rPr>
        <w:t>(war =)</w:t>
      </w:r>
      <w:r>
        <w:rPr/>
        <w:t xml:space="preserve"> währte Saras Leben 127 Jahre; </w:t>
      </w:r>
      <w:r>
        <w:rPr>
          <w:b/>
          <w:color w:val="808080"/>
        </w:rPr>
        <w:t>[</w:t>
      </w:r>
      <w:r>
        <w:rPr/>
        <w:t>das waren</w:t>
      </w:r>
      <w:r>
        <w:rPr>
          <w:b/>
          <w:color w:val="808080"/>
        </w:rPr>
        <w:t>]</w:t>
      </w:r>
      <w:r>
        <w:rPr/>
        <w:t xml:space="preserve"> die Lebensjahre Saras.{{field-off:bible}} </w:t>
        <w:br/>
        <w:t>[[@BibleTOBIBLE:Ge 23:2]]</w:t>
      </w:r>
      <w:r>
        <w:rPr>
          <w:b/>
        </w:rPr>
        <w:t>2</w:t>
      </w:r>
      <w:r>
        <w:rPr/>
        <w:t xml:space="preserve"> {{field-on:bible}}Da starb Sara in Krijat-Arba</w:t>
      </w:r>
      <w:r>
        <w:rPr>
          <w:rStyle w:val="Funotenanker"/>
        </w:rPr>
        <w:footnoteReference w:customMarkFollows="1" w:id="541"/>
        <w:t>a</w:t>
      </w:r>
      <w:r>
        <w:rPr/>
        <w:t xml:space="preserve">, das ist Hebron im Land Kanaan. Da kam Abraham, um die Totenklage für Sara zu halten und um sie zu beweinen.{{field-off:bible}} </w:t>
        <w:br/>
        <w:t>[[@BibleTOBIBLE:Ge 23:3]]</w:t>
      </w:r>
      <w:r>
        <w:rPr>
          <w:b/>
        </w:rPr>
        <w:t>3</w:t>
      </w:r>
      <w:r>
        <w:rPr/>
        <w:t xml:space="preserve"> {{field-on:bible}}Anschließend</w:t>
      </w:r>
      <w:r>
        <w:rPr>
          <w:rStyle w:val="Funotenanker"/>
        </w:rPr>
        <w:footnoteReference w:customMarkFollows="1" w:id="542"/>
        <w:t>b</w:t>
      </w:r>
      <w:r>
        <w:rPr/>
        <w:t xml:space="preserve"> erhob sich Abraham von </w:t>
      </w:r>
      <w:r>
        <w:rPr>
          <w:strike/>
          <w:color w:val="808080"/>
        </w:rPr>
        <w:t>{vom Angesicht weg}</w:t>
      </w:r>
      <w:r>
        <w:rPr/>
        <w:t xml:space="preserve"> seiner Toten und sprach zu den </w:t>
      </w:r>
      <w:r>
        <w:rPr>
          <w:color w:val="808080"/>
        </w:rPr>
        <w:t>(Söhnen Chets =)</w:t>
      </w:r>
      <w:r>
        <w:rPr/>
        <w:t xml:space="preserve"> Hetitern </w:t>
      </w:r>
      <w:r>
        <w:rPr>
          <w:strike/>
          <w:color w:val="808080"/>
        </w:rPr>
        <w:t>{folgendermaßen}</w:t>
      </w:r>
      <w:r>
        <w:rPr/>
        <w:t xml:space="preserve">:{{field-off:bible}} </w:t>
        <w:br/>
        <w:t>[[@BibleTOBIBLE:Ge 23:4]]</w:t>
      </w:r>
      <w:r>
        <w:rPr>
          <w:b/>
        </w:rPr>
        <w:t>4</w:t>
      </w:r>
      <w:r>
        <w:rPr/>
        <w:t xml:space="preserve"> {{field-on:bible}}Ein Fremdling und Beisasse</w:t>
      </w:r>
      <w:r>
        <w:rPr>
          <w:rStyle w:val="Funotenanker"/>
        </w:rPr>
        <w:footnoteReference w:customMarkFollows="1" w:id="543"/>
        <w:t>c</w:t>
      </w:r>
      <w:r>
        <w:rPr/>
        <w:t xml:space="preserve"> bin ich bei euch. Gebt mir einen Grabbesitz</w:t>
      </w:r>
      <w:r>
        <w:rPr>
          <w:rStyle w:val="Funotenanker"/>
        </w:rPr>
        <w:footnoteReference w:customMarkFollows="1" w:id="544"/>
        <w:t>d</w:t>
      </w:r>
      <w:r>
        <w:rPr/>
        <w:t xml:space="preserve"> bei euch, damit</w:t>
      </w:r>
      <w:r>
        <w:rPr>
          <w:rStyle w:val="Funotenanker"/>
        </w:rPr>
        <w:footnoteReference w:customMarkFollows="1" w:id="545"/>
        <w:t>e</w:t>
      </w:r>
      <w:r>
        <w:rPr/>
        <w:t xml:space="preserve"> ich meine Tote </w:t>
      </w:r>
      <w:r>
        <w:rPr>
          <w:strike/>
          <w:color w:val="808080"/>
        </w:rPr>
        <w:t>{von mir weg}</w:t>
      </w:r>
      <w:r>
        <w:rPr/>
        <w:t xml:space="preserve"> begrabe.{{field-off:bible}} </w:t>
        <w:br/>
        <w:t>[[@BibleTOBIBLE:Ge 23:5]]</w:t>
      </w:r>
      <w:r>
        <w:rPr>
          <w:b/>
        </w:rPr>
        <w:t>5</w:t>
      </w:r>
      <w:r>
        <w:rPr/>
        <w:t xml:space="preserve"> {{field-on:bible}}Da antworteten die </w:t>
      </w:r>
      <w:r>
        <w:rPr>
          <w:color w:val="808080"/>
        </w:rPr>
        <w:t>(Söhne Chets =)</w:t>
      </w:r>
      <w:r>
        <w:rPr/>
        <w:t xml:space="preserve"> Hetiter Abraham </w:t>
      </w:r>
      <w:r>
        <w:rPr>
          <w:strike/>
          <w:color w:val="808080"/>
        </w:rPr>
        <w:t>{folgendermaßen}</w:t>
      </w:r>
      <w:r>
        <w:rPr/>
        <w:t xml:space="preserve"> </w:t>
      </w:r>
      <w:r>
        <w:rPr>
          <w:strike/>
          <w:color w:val="808080"/>
        </w:rPr>
        <w:t>{ihm}</w:t>
      </w:r>
      <w:r>
        <w:rPr/>
        <w:t xml:space="preserve">:{{field-off:bible}} </w:t>
        <w:br/>
        <w:t>[[@BibleTOBIBLE:Ge 23:6]]</w:t>
      </w:r>
      <w:r>
        <w:rPr>
          <w:b/>
        </w:rPr>
        <w:t>6</w:t>
      </w:r>
      <w:r>
        <w:rPr/>
        <w:t xml:space="preserve"> {{field-on:bible}}Höre </w:t>
      </w:r>
      <w:r>
        <w:rPr>
          <w:color w:val="808080"/>
        </w:rPr>
        <w:t>(auf)</w:t>
      </w:r>
      <w:r>
        <w:rPr/>
        <w:t xml:space="preserve"> uns, Herr; du </w:t>
      </w:r>
      <w:r>
        <w:rPr>
          <w:b/>
          <w:color w:val="808080"/>
        </w:rPr>
        <w:t>[</w:t>
      </w:r>
      <w:r>
        <w:rPr/>
        <w:t>bist</w:t>
      </w:r>
      <w:r>
        <w:rPr>
          <w:b/>
          <w:color w:val="808080"/>
        </w:rPr>
        <w:t>]</w:t>
      </w:r>
      <w:r>
        <w:rPr/>
        <w:t xml:space="preserve"> ein Fürst Gottes unter uns </w:t>
      </w:r>
      <w:r>
        <w:rPr>
          <w:color w:val="808080"/>
        </w:rPr>
        <w:t>(in unserer Mitte)</w:t>
      </w:r>
      <w:r>
        <w:rPr/>
        <w:t xml:space="preserve">: Im besten </w:t>
      </w:r>
      <w:r>
        <w:rPr>
          <w:color w:val="808080"/>
        </w:rPr>
        <w:t>(vornehmsten)</w:t>
      </w:r>
      <w:r>
        <w:rPr/>
        <w:t xml:space="preserve"> unserer Gräber begrabe deine Tote. </w:t>
      </w:r>
      <w:r>
        <w:rPr>
          <w:color w:val="808080"/>
        </w:rPr>
        <w:t>(Jeder von uns wird sein Grab nicht vor dir zurückhalten =)</w:t>
      </w:r>
      <w:r>
        <w:rPr/>
        <w:t xml:space="preserve"> Keiner von uns wird sein Grab vor dir zurückhalten, damit</w:t>
      </w:r>
      <w:r>
        <w:rPr>
          <w:rStyle w:val="Funotenanker"/>
        </w:rPr>
        <w:footnoteReference w:customMarkFollows="1" w:id="546"/>
        <w:t>f</w:t>
      </w:r>
      <w:r>
        <w:rPr/>
        <w:t xml:space="preserve"> du deine Tote begraben kannst.{{field-off:bible}} </w:t>
        <w:br/>
        <w:t>[[@BibleTOBIBLE:Ge 23:7]]</w:t>
      </w:r>
      <w:r>
        <w:rPr>
          <w:b/>
        </w:rPr>
        <w:t>7</w:t>
      </w:r>
      <w:r>
        <w:rPr/>
        <w:t xml:space="preserve"> {{field-on:bible}}Daraufhin</w:t>
      </w:r>
      <w:r>
        <w:rPr>
          <w:rStyle w:val="Funotenanker"/>
        </w:rPr>
        <w:footnoteReference w:customMarkFollows="1" w:id="547"/>
        <w:t>g</w:t>
      </w:r>
      <w:r>
        <w:rPr/>
        <w:t xml:space="preserve"> erhob Abraham sich und verneigte sich vor den Alteingesessenen </w:t>
      </w:r>
      <w:r>
        <w:rPr>
          <w:color w:val="808080"/>
        </w:rPr>
        <w:t>(den Landbewohnern, der Landbevölkerung)</w:t>
      </w:r>
      <w:r>
        <w:rPr/>
        <w:t xml:space="preserve"> </w:t>
      </w:r>
      <w:r>
        <w:rPr>
          <w:rStyle w:val="Funotenanker"/>
        </w:rPr>
        <w:footnoteReference w:customMarkFollows="1" w:id="548"/>
        <w:t>h</w:t>
      </w:r>
      <w:r>
        <w:rPr/>
        <w:t xml:space="preserve">, den </w:t>
      </w:r>
      <w:r>
        <w:rPr>
          <w:color w:val="808080"/>
        </w:rPr>
        <w:t>(Söhnen Chets =)</w:t>
      </w:r>
      <w:r>
        <w:rPr/>
        <w:t xml:space="preserve"> Hetitern.{{field-off:bible}} </w:t>
        <w:br/>
        <w:t>[[@BibleTOBIBLE:Ge 23:8]]</w:t>
      </w:r>
      <w:r>
        <w:rPr>
          <w:b/>
        </w:rPr>
        <w:t>8</w:t>
      </w:r>
      <w:r>
        <w:rPr/>
        <w:t xml:space="preserve"> {{field-on:bible}}Dann verhandelte </w:t>
      </w:r>
      <w:r>
        <w:rPr>
          <w:color w:val="808080"/>
        </w:rPr>
        <w:t>(sprach)</w:t>
      </w:r>
      <w:r>
        <w:rPr/>
        <w:t xml:space="preserve"> er mit ihnen </w:t>
      </w:r>
      <w:r>
        <w:rPr>
          <w:strike/>
          <w:color w:val="808080"/>
        </w:rPr>
        <w:t>{folgerndermaßen}</w:t>
      </w:r>
      <w:r>
        <w:rPr/>
        <w:t xml:space="preserve">: Wenn es in eurem Sinne ist, dass ich meine Verstorbene </w:t>
      </w:r>
      <w:r>
        <w:rPr>
          <w:strike/>
          <w:color w:val="808080"/>
        </w:rPr>
        <w:t>{von mir weg}</w:t>
      </w:r>
      <w:r>
        <w:rPr/>
        <w:t xml:space="preserve"> begrabe, dann hört mich </w:t>
      </w:r>
      <w:r>
        <w:rPr>
          <w:color w:val="808080"/>
        </w:rPr>
        <w:t>(an)</w:t>
      </w:r>
      <w:r>
        <w:rPr/>
        <w:t xml:space="preserve"> und bittet für mich </w:t>
      </w:r>
      <w:r>
        <w:rPr>
          <w:color w:val="808080"/>
        </w:rPr>
        <w:t>(legt für mich Fürsprache ein bei)</w:t>
      </w:r>
      <w:r>
        <w:rPr/>
        <w:t xml:space="preserve"> Efron, dem Sohn Zohars:{{field-off:bible}} </w:t>
        <w:br/>
        <w:t>[[@BibleTOBIBLE:Ge 23:9]]</w:t>
      </w:r>
      <w:r>
        <w:rPr>
          <w:b/>
        </w:rPr>
        <w:t>9</w:t>
      </w:r>
      <w:r>
        <w:rPr/>
        <w:t xml:space="preserve"> {{field-on:bible}}Er soll </w:t>
      </w:r>
      <w:r>
        <w:rPr>
          <w:color w:val="808080"/>
        </w:rPr>
        <w:t>(möchte)</w:t>
      </w:r>
      <w:r>
        <w:rPr/>
        <w:t xml:space="preserve"> mir geben die Höhle Machpela</w:t>
      </w:r>
      <w:r>
        <w:rPr>
          <w:rStyle w:val="Funotenanker"/>
        </w:rPr>
        <w:footnoteReference w:customMarkFollows="1" w:id="549"/>
        <w:t>i</w:t>
      </w:r>
      <w:r>
        <w:rPr/>
        <w:t xml:space="preserve">, die ihm gehört, die am Rand </w:t>
      </w:r>
      <w:r>
        <w:rPr>
          <w:color w:val="808080"/>
        </w:rPr>
        <w:t>(in der Ecke)</w:t>
      </w:r>
      <w:r>
        <w:rPr/>
        <w:t xml:space="preserve"> seines Feldes </w:t>
      </w:r>
      <w:r>
        <w:rPr>
          <w:b/>
          <w:color w:val="808080"/>
        </w:rPr>
        <w:t>[</w:t>
      </w:r>
      <w:r>
        <w:rPr/>
        <w:t>liegt</w:t>
      </w:r>
      <w:r>
        <w:rPr>
          <w:b/>
          <w:color w:val="808080"/>
        </w:rPr>
        <w:t>]</w:t>
      </w:r>
      <w:r>
        <w:rPr/>
        <w:t xml:space="preserve">, für den vollen Kaufpreis </w:t>
      </w:r>
      <w:r>
        <w:rPr>
          <w:color w:val="808080"/>
        </w:rPr>
        <w:t>(Betrag)</w:t>
      </w:r>
      <w:r>
        <w:rPr/>
        <w:t xml:space="preserve"> soll </w:t>
      </w:r>
      <w:r>
        <w:rPr>
          <w:color w:val="808080"/>
        </w:rPr>
        <w:t>(möchte)</w:t>
      </w:r>
      <w:r>
        <w:rPr/>
        <w:t xml:space="preserve"> er sie mir geben, mitten unter euch </w:t>
      </w:r>
      <w:r>
        <w:rPr>
          <w:color w:val="808080"/>
        </w:rPr>
        <w:t>(in eurer Mitte)</w:t>
      </w:r>
      <w:r>
        <w:rPr/>
        <w:t xml:space="preserve"> zum Grabbesitz</w:t>
      </w:r>
      <w:r>
        <w:rPr>
          <w:rStyle w:val="Funotenanker"/>
        </w:rPr>
        <w:footnoteReference w:customMarkFollows="1" w:id="550"/>
        <w:t>j</w:t>
      </w:r>
      <w:r>
        <w:rPr/>
        <w:t xml:space="preserve">.{{field-off:bible}} </w:t>
        <w:br/>
        <w:t>[[@BibleTOBIBLE:Ge 23:10]]</w:t>
      </w:r>
      <w:r>
        <w:rPr>
          <w:b/>
        </w:rPr>
        <w:t>10</w:t>
      </w:r>
      <w:r>
        <w:rPr/>
        <w:t xml:space="preserve"> {{field-on:bible}}Efron aber saß mitten unter den </w:t>
      </w:r>
      <w:r>
        <w:rPr>
          <w:color w:val="808080"/>
        </w:rPr>
        <w:t>(inmitten der)</w:t>
      </w:r>
      <w:r>
        <w:rPr/>
        <w:t xml:space="preserve"> </w:t>
      </w:r>
      <w:r>
        <w:rPr>
          <w:color w:val="808080"/>
        </w:rPr>
        <w:t>(Söhne Chets =)</w:t>
      </w:r>
      <w:r>
        <w:rPr/>
        <w:t xml:space="preserve"> Hetitern. Da antwortete Efron, der Hetiter, Abraham vor den Ohren der </w:t>
      </w:r>
      <w:r>
        <w:rPr>
          <w:color w:val="808080"/>
        </w:rPr>
        <w:t>(Söhne Chets =)</w:t>
      </w:r>
      <w:r>
        <w:rPr/>
        <w:t xml:space="preserve"> Hetiter, vor allen, die gekommen waren</w:t>
      </w:r>
      <w:r>
        <w:rPr>
          <w:rStyle w:val="Funotenanker"/>
        </w:rPr>
        <w:footnoteReference w:customMarkFollows="1" w:id="551"/>
        <w:t>k</w:t>
      </w:r>
      <w:r>
        <w:rPr/>
        <w:t xml:space="preserve"> zum Tor</w:t>
      </w:r>
      <w:r>
        <w:rPr>
          <w:rStyle w:val="Funotenanker"/>
        </w:rPr>
        <w:footnoteReference w:customMarkFollows="1" w:id="552"/>
        <w:t>l</w:t>
      </w:r>
      <w:r>
        <w:rPr/>
        <w:t xml:space="preserve"> seiner Stadt </w:t>
      </w:r>
      <w:r>
        <w:rPr>
          <w:strike/>
          <w:color w:val="808080"/>
        </w:rPr>
        <w:t>{folgendermaßen}</w:t>
      </w:r>
      <w:r>
        <w:rPr/>
        <w:t xml:space="preserve">:{{field-off:bible}} </w:t>
        <w:br/>
        <w:t>[[@BibleTOBIBLE:Ge 23:11]]</w:t>
      </w:r>
      <w:r>
        <w:rPr>
          <w:b/>
        </w:rPr>
        <w:t>11</w:t>
      </w:r>
      <w:r>
        <w:rPr/>
        <w:t xml:space="preserve"> {{field-on:bible}}Nein, mein Herr, höre mich </w:t>
      </w:r>
      <w:r>
        <w:rPr>
          <w:color w:val="808080"/>
        </w:rPr>
        <w:t>(an, höre mir zu)</w:t>
      </w:r>
      <w:r>
        <w:rPr/>
        <w:t xml:space="preserve">: Das Feld schenke </w:t>
      </w:r>
      <w:r>
        <w:rPr>
          <w:color w:val="808080"/>
        </w:rPr>
        <w:t>(gebe)</w:t>
      </w:r>
      <w:r>
        <w:rPr/>
        <w:t xml:space="preserve"> ich dir, und die Höhle </w:t>
      </w:r>
      <w:r>
        <w:rPr>
          <w:strike/>
          <w:color w:val="808080"/>
        </w:rPr>
        <w:t>{die}</w:t>
      </w:r>
      <w:r>
        <w:rPr/>
        <w:t xml:space="preserve"> darauf </w:t>
      </w:r>
      <w:r>
        <w:rPr>
          <w:strike/>
          <w:color w:val="808080"/>
        </w:rPr>
        <w:t>{ist}</w:t>
      </w:r>
      <w:r>
        <w:rPr/>
        <w:t xml:space="preserve">, schenke </w:t>
      </w:r>
      <w:r>
        <w:rPr>
          <w:color w:val="808080"/>
        </w:rPr>
        <w:t>(gebe)</w:t>
      </w:r>
      <w:r>
        <w:rPr/>
        <w:t xml:space="preserve"> ich dir; vor den Augen </w:t>
      </w:r>
      <w:r>
        <w:rPr>
          <w:color w:val="808080"/>
        </w:rPr>
        <w:t>(der Söhne meines Volkes =)</w:t>
      </w:r>
      <w:r>
        <w:rPr/>
        <w:t xml:space="preserve"> meiner Mitbürger </w:t>
      </w:r>
      <w:r>
        <w:rPr>
          <w:color w:val="808080"/>
        </w:rPr>
        <w:t>(Volksgenossen)</w:t>
      </w:r>
      <w:r>
        <w:rPr/>
        <w:t xml:space="preserve"> schenke </w:t>
      </w:r>
      <w:r>
        <w:rPr>
          <w:color w:val="808080"/>
        </w:rPr>
        <w:t>(gebe)</w:t>
      </w:r>
      <w:r>
        <w:rPr/>
        <w:t xml:space="preserve"> ich sie dir, um deine Verstorbene zu begraben.{{field-off:bible}} </w:t>
        <w:br/>
        <w:t>[[@BibleTOBIBLE:Ge 23:12]]</w:t>
      </w:r>
      <w:r>
        <w:rPr>
          <w:b/>
        </w:rPr>
        <w:t>12</w:t>
      </w:r>
      <w:r>
        <w:rPr/>
        <w:t xml:space="preserve"> {{field-on:bible}}Daraufhin</w:t>
      </w:r>
      <w:r>
        <w:rPr>
          <w:rStyle w:val="Funotenanker"/>
        </w:rPr>
        <w:footnoteReference w:customMarkFollows="1" w:id="553"/>
        <w:t>m</w:t>
      </w:r>
      <w:r>
        <w:rPr/>
        <w:t xml:space="preserve"> verneigte sich Abraham vor den Alteingesessenen </w:t>
      </w:r>
      <w:r>
        <w:rPr>
          <w:color w:val="808080"/>
        </w:rPr>
        <w:t>(den Landbewohnern, der Landbevölkerung)</w:t>
      </w:r>
      <w:r>
        <w:rPr/>
        <w:t xml:space="preserve">.{{field-off:bible}} </w:t>
        <w:br/>
        <w:t>[[@BibleTOBIBLE:Ge 23:13]]</w:t>
      </w:r>
      <w:r>
        <w:rPr>
          <w:b/>
        </w:rPr>
        <w:t>13</w:t>
      </w:r>
      <w:r>
        <w:rPr/>
        <w:t xml:space="preserve"> {{field-on:bible}}Dann sprach er zu Efron vor den Ohren der Alteingesessenen </w:t>
      </w:r>
      <w:r>
        <w:rPr>
          <w:color w:val="808080"/>
        </w:rPr>
        <w:t>(der Landbewohner, der Landbevölkerung)</w:t>
      </w:r>
      <w:r>
        <w:rPr/>
        <w:t xml:space="preserve"> </w:t>
      </w:r>
      <w:r>
        <w:rPr>
          <w:strike/>
          <w:color w:val="808080"/>
        </w:rPr>
        <w:t>{folgendermaßen}</w:t>
      </w:r>
      <w:r>
        <w:rPr/>
        <w:t xml:space="preserve">: Ach, wenn du doch auf mich hören wolltest! Ich zahle </w:t>
      </w:r>
      <w:r>
        <w:rPr>
          <w:color w:val="808080"/>
        </w:rPr>
        <w:t>(gebe)</w:t>
      </w:r>
      <w:r>
        <w:rPr/>
        <w:t xml:space="preserve"> den Preis des Feldes; nimm ihn von mir </w:t>
      </w:r>
      <w:r>
        <w:rPr>
          <w:b/>
          <w:color w:val="808080"/>
        </w:rPr>
        <w:t>[</w:t>
      </w:r>
      <w:r>
        <w:rPr/>
        <w:t>an</w:t>
      </w:r>
      <w:r>
        <w:rPr>
          <w:b/>
          <w:color w:val="808080"/>
        </w:rPr>
        <w:t>]</w:t>
      </w:r>
      <w:r>
        <w:rPr/>
        <w:t xml:space="preserve">, dann kann </w:t>
      </w:r>
      <w:r>
        <w:rPr>
          <w:color w:val="808080"/>
        </w:rPr>
        <w:t>(werde)</w:t>
      </w:r>
      <w:r>
        <w:rPr/>
        <w:t xml:space="preserve"> ich dort meine Tote begraben.{{field-off:bible}} </w:t>
        <w:br/>
        <w:t>[[@BibleTOBIBLE:Ge 23:14]]</w:t>
      </w:r>
      <w:r>
        <w:rPr>
          <w:b/>
        </w:rPr>
        <w:t>14</w:t>
      </w:r>
      <w:r>
        <w:rPr/>
        <w:t xml:space="preserve"> {{field-on:bible}}Daraufhin antwortete Efron Abraham </w:t>
      </w:r>
      <w:r>
        <w:rPr>
          <w:strike/>
          <w:color w:val="808080"/>
        </w:rPr>
        <w:t>{folgendermaßen}</w:t>
      </w:r>
      <w:r>
        <w:rPr/>
        <w:t xml:space="preserve"> </w:t>
      </w:r>
      <w:r>
        <w:rPr>
          <w:strike/>
          <w:color w:val="808080"/>
        </w:rPr>
        <w:t>{ihm}</w:t>
      </w:r>
      <w:r>
        <w:rPr/>
        <w:t xml:space="preserve">:{{field-off:bible}} </w:t>
        <w:br/>
        <w:t>[[@BibleTOBIBLE:Ge 23:15]]</w:t>
      </w:r>
      <w:r>
        <w:rPr>
          <w:b/>
        </w:rPr>
        <w:t>15</w:t>
      </w:r>
      <w:r>
        <w:rPr/>
        <w:t xml:space="preserve"> {{field-on:bible}}Mein Herr, höre mich </w:t>
      </w:r>
      <w:r>
        <w:rPr>
          <w:color w:val="808080"/>
        </w:rPr>
        <w:t>(an)</w:t>
      </w:r>
      <w:r>
        <w:rPr/>
        <w:t xml:space="preserve">, ein </w:t>
      </w:r>
      <w:r>
        <w:rPr>
          <w:color w:val="808080"/>
        </w:rPr>
        <w:t>(Land von 400 Silberschekeln =)</w:t>
      </w:r>
      <w:r>
        <w:rPr/>
        <w:t xml:space="preserve"> Land, das 400 Silberschekel wert ist, was ist das zwischen mir und dir? </w:t>
      </w:r>
      <w:r>
        <w:rPr>
          <w:strike/>
          <w:color w:val="808080"/>
        </w:rPr>
        <w:t>{Und}</w:t>
      </w:r>
      <w:r>
        <w:rPr/>
        <w:t xml:space="preserve"> Begrabe deine Tote!{{field-off:bible}} </w:t>
        <w:br/>
        <w:t>[[@BibleTOBIBLE:Ge 23:16]]</w:t>
      </w:r>
      <w:r>
        <w:rPr>
          <w:b/>
        </w:rPr>
        <w:t>16</w:t>
      </w:r>
      <w:r>
        <w:rPr/>
        <w:t xml:space="preserve"> {{field-on:bible}}Da hörte Abraham auf Efron, und Abraham bezahlte Efron das Geld, </w:t>
      </w:r>
      <w:r>
        <w:rPr>
          <w:color w:val="808080"/>
        </w:rPr>
        <w:t>(von dem er gesprochen =)</w:t>
      </w:r>
      <w:r>
        <w:rPr/>
        <w:t xml:space="preserve"> das er verlangt hatte vor den Ohren der </w:t>
      </w:r>
      <w:r>
        <w:rPr>
          <w:color w:val="808080"/>
        </w:rPr>
        <w:t>(Söhne Chets =)</w:t>
      </w:r>
      <w:r>
        <w:rPr/>
        <w:t xml:space="preserve"> Hetiter, 400 Silberschekel </w:t>
      </w:r>
      <w:r>
        <w:rPr>
          <w:color w:val="808080"/>
        </w:rPr>
        <w:t>(, wie sie beim Kaufmann gangbar sind =)</w:t>
      </w:r>
      <w:r>
        <w:rPr/>
        <w:t xml:space="preserve"> gangbare Münze.{{field-off:bible}} </w:t>
        <w:br/>
        <w:t>[[@BibleTOBIBLE:Ge 23:17]]</w:t>
      </w:r>
      <w:r>
        <w:rPr>
          <w:b/>
        </w:rPr>
        <w:t>17</w:t>
      </w:r>
      <w:r>
        <w:rPr/>
        <w:t xml:space="preserve"> {{field-on:bible}}So fiel </w:t>
      </w:r>
      <w:r>
        <w:rPr>
          <w:color w:val="808080"/>
        </w:rPr>
        <w:t>(ging in Besitz über)</w:t>
      </w:r>
      <w:r>
        <w:rPr/>
        <w:t xml:space="preserve"> das Feld Efrons, das in </w:t>
      </w:r>
      <w:r>
        <w:rPr>
          <w:color w:val="808080"/>
        </w:rPr>
        <w:t>(bei)</w:t>
      </w:r>
      <w:r>
        <w:rPr/>
        <w:t xml:space="preserve"> Machpela </w:t>
      </w:r>
      <w:r>
        <w:rPr>
          <w:b/>
          <w:color w:val="808080"/>
        </w:rPr>
        <w:t>[</w:t>
      </w:r>
      <w:r>
        <w:rPr/>
        <w:t>ist</w:t>
      </w:r>
      <w:r>
        <w:rPr>
          <w:b/>
          <w:color w:val="808080"/>
        </w:rPr>
        <w:t>]</w:t>
      </w:r>
      <w:r>
        <w:rPr/>
        <w:t xml:space="preserve">, das gegenüber von Mamre </w:t>
      </w:r>
      <w:r>
        <w:rPr>
          <w:b/>
          <w:color w:val="808080"/>
        </w:rPr>
        <w:t>[</w:t>
      </w:r>
      <w:r>
        <w:rPr/>
        <w:t>liegt</w:t>
      </w:r>
      <w:r>
        <w:rPr>
          <w:b/>
          <w:color w:val="808080"/>
        </w:rPr>
        <w:t>]</w:t>
      </w:r>
      <w:r>
        <w:rPr/>
        <w:t xml:space="preserve">, das Feld und die Höhle, die darauf </w:t>
      </w:r>
      <w:r>
        <w:rPr>
          <w:b/>
          <w:color w:val="808080"/>
        </w:rPr>
        <w:t>[</w:t>
      </w:r>
      <w:r>
        <w:rPr/>
        <w:t>ist</w:t>
      </w:r>
      <w:r>
        <w:rPr>
          <w:b/>
          <w:color w:val="808080"/>
        </w:rPr>
        <w:t>]</w:t>
      </w:r>
      <w:r>
        <w:rPr/>
        <w:t xml:space="preserve">, und alle Bäume, die auf dem Feld </w:t>
      </w:r>
      <w:r>
        <w:rPr>
          <w:b/>
          <w:color w:val="808080"/>
        </w:rPr>
        <w:t>[</w:t>
      </w:r>
      <w:r>
        <w:rPr/>
        <w:t>wachsen</w:t>
      </w:r>
      <w:r>
        <w:rPr>
          <w:b/>
          <w:color w:val="808080"/>
        </w:rPr>
        <w:t>]</w:t>
      </w:r>
      <w:r>
        <w:rPr/>
        <w:t xml:space="preserve">, die auf seiner ganzen Grenze </w:t>
      </w:r>
      <w:r>
        <w:rPr>
          <w:color w:val="808080"/>
        </w:rPr>
        <w:t>(seinem ganzen Gebiet)</w:t>
      </w:r>
      <w:r>
        <w:rPr/>
        <w:t xml:space="preserve"> ringsum </w:t>
      </w:r>
      <w:r>
        <w:rPr>
          <w:b/>
          <w:color w:val="808080"/>
        </w:rPr>
        <w:t>[</w:t>
      </w:r>
      <w:r>
        <w:rPr/>
        <w:t>stehen</w:t>
      </w:r>
      <w:r>
        <w:rPr>
          <w:b/>
          <w:color w:val="808080"/>
        </w:rPr>
        <w:t>]</w:t>
      </w:r>
      <w:r>
        <w:rPr/>
        <w:t xml:space="preserve">,{{field-off:bible}} </w:t>
        <w:br/>
        <w:t>[[@BibleTOBIBLE:Ge 23:18]]</w:t>
      </w:r>
      <w:r>
        <w:rPr>
          <w:b/>
        </w:rPr>
        <w:t>18</w:t>
      </w:r>
      <w:r>
        <w:rPr/>
        <w:t xml:space="preserve"> {{field-on:bible}}an Abraham als Erwerb </w:t>
      </w:r>
      <w:r>
        <w:rPr>
          <w:color w:val="808080"/>
        </w:rPr>
        <w:t>(Kauf)</w:t>
      </w:r>
      <w:r>
        <w:rPr/>
        <w:t xml:space="preserve"> vor den Augen der </w:t>
      </w:r>
      <w:r>
        <w:rPr>
          <w:color w:val="808080"/>
        </w:rPr>
        <w:t>(Söhne Chets =)</w:t>
      </w:r>
      <w:r>
        <w:rPr/>
        <w:t xml:space="preserve"> Hetiter, allen die ins Tor seiner Stadt gekommen waren.{{field-off:bible}} </w:t>
        <w:br/>
        <w:t>[[@BibleTOBIBLE:Ge 23:19]]</w:t>
      </w:r>
      <w:r>
        <w:rPr>
          <w:b/>
        </w:rPr>
        <w:t>19</w:t>
      </w:r>
      <w:r>
        <w:rPr/>
        <w:t xml:space="preserve"> {{field-on:bible}}Danach </w:t>
      </w:r>
      <w:r>
        <w:rPr>
          <w:color w:val="808080"/>
        </w:rPr>
        <w:t>(hierauf)</w:t>
      </w:r>
      <w:r>
        <w:rPr/>
        <w:t xml:space="preserve"> begrub Abraham Sara, seine Frau, in der Höhle </w:t>
      </w:r>
      <w:r>
        <w:rPr>
          <w:b/>
          <w:color w:val="808080"/>
        </w:rPr>
        <w:t>[</w:t>
      </w:r>
      <w:r>
        <w:rPr/>
        <w:t>auf dem</w:t>
      </w:r>
      <w:r>
        <w:rPr>
          <w:b/>
          <w:color w:val="808080"/>
        </w:rPr>
        <w:t>]</w:t>
      </w:r>
      <w:r>
        <w:rPr/>
        <w:t xml:space="preserve"> Acker Machpela, das vor Mamre </w:t>
      </w:r>
      <w:r>
        <w:rPr>
          <w:b/>
          <w:color w:val="808080"/>
        </w:rPr>
        <w:t>[</w:t>
      </w:r>
      <w:r>
        <w:rPr/>
        <w:t>liegt</w:t>
      </w:r>
      <w:r>
        <w:rPr>
          <w:b/>
          <w:color w:val="808080"/>
        </w:rPr>
        <w:t>]</w:t>
      </w:r>
      <w:r>
        <w:rPr/>
        <w:t xml:space="preserve">, das ist Hebron, im Land Kanaan.{{field-off:bible}} </w:t>
        <w:br/>
        <w:t>[[@BibleTOBIBLE:Ge 23:20]]</w:t>
      </w:r>
      <w:r>
        <w:rPr>
          <w:b/>
        </w:rPr>
        <w:t>20</w:t>
      </w:r>
      <w:r>
        <w:rPr/>
        <w:t xml:space="preserve"> {{field-on:bible}}So fielen </w:t>
      </w:r>
      <w:r>
        <w:rPr>
          <w:color w:val="808080"/>
        </w:rPr>
        <w:t>(gingen in Besitz über)</w:t>
      </w:r>
      <w:r>
        <w:rPr/>
        <w:t xml:space="preserve"> das Feld und die Höhle auf ihm an Abraham, zum </w:t>
      </w:r>
      <w:r>
        <w:rPr>
          <w:color w:val="808080"/>
        </w:rPr>
        <w:t>(als)</w:t>
      </w:r>
      <w:r>
        <w:rPr/>
        <w:t xml:space="preserve"> Grabbesitz von den </w:t>
      </w:r>
      <w:r>
        <w:rPr>
          <w:color w:val="808080"/>
        </w:rPr>
        <w:t>(Söhnen Chets =)</w:t>
      </w:r>
      <w:r>
        <w:rPr/>
        <w:t xml:space="preserve"> Hetitern.{{field-off:bible}} </w:t>
      </w:r>
    </w:p>
    <w:p>
      <w:pPr>
        <w:pStyle w:val="Berschrift3"/>
        <w:rPr/>
      </w:pPr>
      <w:r>
        <w:rPr/>
        <w:t>[[@BibleTOBIBLE:Ge 24]]Kapitel 24</w:t>
      </w:r>
    </w:p>
    <w:p>
      <w:pPr>
        <w:pStyle w:val="Textkrper"/>
        <w:rPr/>
      </w:pPr>
      <w:r>
        <w:rPr/>
        <w:br/>
        <w:t>[[@BibleTOBIBLE:Ge 24:1]]</w:t>
      </w:r>
      <w:r>
        <w:rPr>
          <w:b/>
        </w:rPr>
        <w:t>1</w:t>
      </w:r>
      <w:r>
        <w:rPr/>
        <w:t xml:space="preserve"> {{field-on:bible}} </w:t>
      </w:r>
      <w:r>
        <w:rPr>
          <w:strike/>
          <w:color w:val="808080"/>
        </w:rPr>
        <w:t>{Und}</w:t>
      </w:r>
      <w:r>
        <w:rPr/>
        <w:t xml:space="preserve"> Abraham </w:t>
      </w:r>
      <w:r>
        <w:rPr>
          <w:b/>
          <w:color w:val="808080"/>
        </w:rPr>
        <w:t>[</w:t>
      </w:r>
      <w:r>
        <w:rPr/>
        <w:t>war</w:t>
      </w:r>
      <w:r>
        <w:rPr>
          <w:b/>
          <w:color w:val="808080"/>
        </w:rPr>
        <w:t>]</w:t>
      </w:r>
      <w:r>
        <w:rPr/>
        <w:t xml:space="preserve"> alt, hochbetagt. Und </w:t>
      </w:r>
      <w:r>
        <w:rPr>
          <w:smallCaps/>
          <w:color w:val="FF0000"/>
        </w:rPr>
        <w:t>JHWH</w:t>
      </w:r>
      <w:r>
        <w:rPr/>
        <w:t xml:space="preserve"> hatte Abraham in allem gesegnet.{{field-off:bible}} </w:t>
        <w:br/>
        <w:t>[[@BibleTOBIBLE:Ge 24:2]]</w:t>
      </w:r>
      <w:r>
        <w:rPr>
          <w:b/>
        </w:rPr>
        <w:t>2</w:t>
      </w:r>
      <w:r>
        <w:rPr/>
        <w:t xml:space="preserve"> {{field-on:bible}}Da sprach Abraham zu seinem Knecht </w:t>
      </w:r>
      <w:r>
        <w:rPr>
          <w:color w:val="808080"/>
        </w:rPr>
        <w:t>(Diener)</w:t>
      </w:r>
      <w:r>
        <w:rPr/>
        <w:t>, dem Hausältesten, der herrschte über alles, was ihm gehörte: Lege deine Hand unter meine Hüfte</w:t>
      </w:r>
      <w:r>
        <w:rPr>
          <w:rStyle w:val="Funotenanker"/>
        </w:rPr>
        <w:footnoteReference w:customMarkFollows="1" w:id="554"/>
        <w:t>a</w:t>
      </w:r>
      <w:r>
        <w:rPr/>
        <w:t xml:space="preserve">,{{field-off:bible}} </w:t>
        <w:br/>
        <w:t>[[@BibleTOBIBLE:Ge 24:3]]</w:t>
      </w:r>
      <w:r>
        <w:rPr>
          <w:b/>
        </w:rPr>
        <w:t>3</w:t>
      </w:r>
      <w:r>
        <w:rPr/>
        <w:t xml:space="preserve"> {{field-on:bible}}damit</w:t>
      </w:r>
      <w:r>
        <w:rPr>
          <w:rStyle w:val="Funotenanker"/>
        </w:rPr>
        <w:footnoteReference w:customMarkFollows="1" w:id="555"/>
        <w:t>b</w:t>
      </w:r>
      <w:r>
        <w:rPr/>
        <w:t xml:space="preserve"> ich dich schwören lasse bei </w:t>
      </w:r>
      <w:r>
        <w:rPr>
          <w:smallCaps/>
          <w:color w:val="FF0000"/>
        </w:rPr>
        <w:t>JHWH</w:t>
      </w:r>
      <w:r>
        <w:rPr/>
        <w:t xml:space="preserve">, dem Gott des Himmels und dem Gott der Erde, dass du nicht nehmen wirst eine Frau für meinen Sohn von den Töchtern der Kanaanäer, in deren Mitte ich wohne.{{field-off:bible}} </w:t>
        <w:br/>
        <w:t>[[@BibleTOBIBLE:Ge 24:4]]</w:t>
      </w:r>
      <w:r>
        <w:rPr>
          <w:b/>
        </w:rPr>
        <w:t>4</w:t>
      </w:r>
      <w:r>
        <w:rPr/>
        <w:t xml:space="preserve"> {{field-on:bible}}Sondern in mein Land und zu meiner Verwandtschaft sollst du ziehen </w:t>
      </w:r>
      <w:r>
        <w:rPr>
          <w:color w:val="808080"/>
        </w:rPr>
        <w:t>(gehen)</w:t>
      </w:r>
      <w:r>
        <w:rPr/>
        <w:t xml:space="preserve"> und eine Frau für meinen Sohn Isaak nehmen </w:t>
      </w:r>
      <w:r>
        <w:rPr>
          <w:color w:val="808080"/>
        </w:rPr>
        <w:t>(holen)</w:t>
      </w:r>
      <w:r>
        <w:rPr/>
        <w:t xml:space="preserve">.{{field-off:bible}} </w:t>
        <w:br/>
        <w:t>[[@BibleTOBIBLE:Ge 24:5]]</w:t>
      </w:r>
      <w:r>
        <w:rPr>
          <w:b/>
        </w:rPr>
        <w:t>5</w:t>
      </w:r>
      <w:r>
        <w:rPr/>
        <w:t xml:space="preserve"> {{field-on:bible}}Da sprach der Knecht </w:t>
      </w:r>
      <w:r>
        <w:rPr>
          <w:color w:val="808080"/>
        </w:rPr>
        <w:t>(Diener)</w:t>
      </w:r>
      <w:r>
        <w:rPr/>
        <w:t xml:space="preserve"> zu ihm: Vielleicht will die Frau nicht mit mir in dieses Land gehen</w:t>
      </w:r>
      <w:r>
        <w:rPr>
          <w:rStyle w:val="Funotenanker"/>
        </w:rPr>
        <w:footnoteReference w:customMarkFollows="1" w:id="556"/>
        <w:t>c</w:t>
      </w:r>
      <w:r>
        <w:rPr/>
        <w:t>. MUSS</w:t>
      </w:r>
      <w:r>
        <w:rPr>
          <w:rStyle w:val="Funotenanker"/>
        </w:rPr>
        <w:footnoteReference w:customMarkFollows="1" w:id="557"/>
        <w:t>d</w:t>
      </w:r>
      <w:r>
        <w:rPr/>
        <w:t xml:space="preserve"> ich dann deinen Sohn in das Land bringen, aus </w:t>
      </w:r>
      <w:r>
        <w:rPr>
          <w:color w:val="808080"/>
        </w:rPr>
        <w:t>(von)</w:t>
      </w:r>
      <w:r>
        <w:rPr/>
        <w:t xml:space="preserve"> dem du ausgezogen bist?{{field-off:bible}} </w:t>
        <w:br/>
        <w:t>[[@BibleTOBIBLE:Ge 24:6]]</w:t>
      </w:r>
      <w:r>
        <w:rPr>
          <w:b/>
        </w:rPr>
        <w:t>6</w:t>
      </w:r>
      <w:r>
        <w:rPr/>
        <w:t xml:space="preserve"> {{field-on:bible}}Da sprach zu ihm Abraham: Hüte dich, dass du nicht meinen Sohn dorthin zurückbringst!{{field-off:bible}} </w:t>
        <w:br/>
        <w:t>[[@BibleTOBIBLE:Ge 24:7]]</w:t>
      </w:r>
      <w:r>
        <w:rPr>
          <w:b/>
        </w:rPr>
        <w:t>7</w:t>
      </w:r>
      <w:r>
        <w:rPr/>
        <w:t xml:space="preserve"> {{field-on:bible}} </w:t>
      </w:r>
      <w:r>
        <w:rPr>
          <w:smallCaps/>
          <w:color w:val="FF0000"/>
        </w:rPr>
        <w:t>JHWH</w:t>
      </w:r>
      <w:r>
        <w:rPr/>
        <w:t xml:space="preserve">, Gott des Himmels, der mich nahm aus dem Haus meines Vaters und aus dem Land meiner Verwandtschaft, der zu mir sprach und der mir schwor </w:t>
      </w:r>
      <w:r>
        <w:rPr>
          <w:strike/>
          <w:color w:val="808080"/>
        </w:rPr>
        <w:t>{folgendermaßen}</w:t>
      </w:r>
      <w:r>
        <w:rPr/>
        <w:t xml:space="preserve">: Deiner Nachkommenschaft </w:t>
      </w:r>
      <w:r>
        <w:rPr>
          <w:color w:val="808080"/>
        </w:rPr>
        <w:t>(deinem Samen)</w:t>
      </w:r>
      <w:r>
        <w:rPr/>
        <w:t xml:space="preserve"> werde ich dieses Land geben, er wird seinen Boten </w:t>
      </w:r>
      <w:r>
        <w:rPr>
          <w:color w:val="808080"/>
        </w:rPr>
        <w:t>(Engel)</w:t>
      </w:r>
      <w:r>
        <w:rPr/>
        <w:t xml:space="preserve"> vor dir her senden, damit</w:t>
      </w:r>
      <w:r>
        <w:rPr>
          <w:rStyle w:val="Funotenanker"/>
        </w:rPr>
        <w:footnoteReference w:customMarkFollows="1" w:id="558"/>
        <w:t>e</w:t>
      </w:r>
      <w:r>
        <w:rPr/>
        <w:t xml:space="preserve"> du meinem Sohn eine Frau von dort nehmen kannst.{{field-off:bible}} </w:t>
        <w:br/>
        <w:t>[[@BibleTOBIBLE:Ge 24:8]]</w:t>
      </w:r>
      <w:r>
        <w:rPr>
          <w:b/>
        </w:rPr>
        <w:t>8</w:t>
      </w:r>
      <w:r>
        <w:rPr/>
        <w:t xml:space="preserve"> {{field-on:bible}}Wenn aber die Frau nicht mit dir kommen will, dann bist du ledig</w:t>
      </w:r>
      <w:r>
        <w:rPr>
          <w:rStyle w:val="Funotenanker"/>
        </w:rPr>
        <w:footnoteReference w:customMarkFollows="1" w:id="559"/>
        <w:t>f</w:t>
      </w:r>
      <w:r>
        <w:rPr/>
        <w:t xml:space="preserve"> dieses Eides, </w:t>
      </w:r>
      <w:r>
        <w:rPr>
          <w:b/>
          <w:color w:val="808080"/>
        </w:rPr>
        <w:t>[</w:t>
      </w:r>
      <w:r>
        <w:rPr/>
        <w:t>den du mir geschworen hast</w:t>
      </w:r>
      <w:r>
        <w:rPr>
          <w:b/>
          <w:color w:val="808080"/>
        </w:rPr>
        <w:t>]</w:t>
      </w:r>
      <w:r>
        <w:rPr/>
        <w:t xml:space="preserve"> </w:t>
      </w:r>
      <w:r>
        <w:rPr>
          <w:rStyle w:val="Funotenanker"/>
        </w:rPr>
        <w:footnoteReference w:customMarkFollows="1" w:id="560"/>
        <w:t>g</w:t>
      </w:r>
      <w:r>
        <w:rPr/>
        <w:t xml:space="preserve">. Nur bringe meinen Sohn nicht dorthin zurück.{{field-off:bible}} </w:t>
        <w:br/>
        <w:t>[[@BibleTOBIBLE:Ge 24:9]]</w:t>
      </w:r>
      <w:r>
        <w:rPr>
          <w:b/>
        </w:rPr>
        <w:t>9</w:t>
      </w:r>
      <w:r>
        <w:rPr/>
        <w:t xml:space="preserve"> {{field-on:bible}}Da legte der Knecht </w:t>
      </w:r>
      <w:r>
        <w:rPr>
          <w:color w:val="808080"/>
        </w:rPr>
        <w:t>(Diener)</w:t>
      </w:r>
      <w:r>
        <w:rPr/>
        <w:t xml:space="preserve"> seine Hand unter die Hüfte Abrahams, seines Herrn, und schwor ihm auf dieses Wort.{{field-off:bible}} </w:t>
        <w:br/>
        <w:t>[[@BibleTOBIBLE:Ge 24:10]]</w:t>
      </w:r>
      <w:r>
        <w:rPr>
          <w:b/>
        </w:rPr>
        <w:t>10</w:t>
      </w:r>
      <w:r>
        <w:rPr/>
        <w:t xml:space="preserve"> {{field-on:bible}}Dann nahm der Knecht </w:t>
      </w:r>
      <w:r>
        <w:rPr>
          <w:color w:val="808080"/>
        </w:rPr>
        <w:t>(Diener)</w:t>
      </w:r>
      <w:r>
        <w:rPr/>
        <w:t xml:space="preserve"> zehn Kamele von den Kamelen seines Herrn und zog los </w:t>
      </w:r>
      <w:r>
        <w:rPr>
          <w:color w:val="808080"/>
        </w:rPr>
        <w:t>(ging hin)</w:t>
      </w:r>
      <w:r>
        <w:rPr/>
        <w:t xml:space="preserve">, und verfügte </w:t>
      </w:r>
      <w:r>
        <w:rPr>
          <w:rStyle w:val="Funotenanker"/>
        </w:rPr>
        <w:footnoteReference w:customMarkFollows="1" w:id="561"/>
        <w:t>h</w:t>
      </w:r>
      <w:r>
        <w:rPr/>
        <w:t xml:space="preserve"> über allerhand </w:t>
      </w:r>
      <w:r>
        <w:rPr>
          <w:color w:val="808080"/>
        </w:rPr>
        <w:t>(allerlei)</w:t>
      </w:r>
      <w:r>
        <w:rPr/>
        <w:t xml:space="preserve"> Güter </w:t>
      </w:r>
      <w:r>
        <w:rPr>
          <w:color w:val="808080"/>
        </w:rPr>
        <w:t>(Kostbarkeiten)</w:t>
      </w:r>
      <w:r>
        <w:rPr/>
        <w:t xml:space="preserve"> seines Herrn. Er machte sich also</w:t>
      </w:r>
      <w:r>
        <w:rPr>
          <w:rStyle w:val="Funotenanker"/>
        </w:rPr>
        <w:footnoteReference w:customMarkFollows="1" w:id="562"/>
        <w:t>i</w:t>
      </w:r>
      <w:r>
        <w:rPr/>
        <w:t xml:space="preserve"> auf und zog </w:t>
      </w:r>
      <w:r>
        <w:rPr>
          <w:color w:val="808080"/>
        </w:rPr>
        <w:t>(ging)</w:t>
      </w:r>
      <w:r>
        <w:rPr/>
        <w:t xml:space="preserve"> nach Aram Naharaim</w:t>
      </w:r>
      <w:r>
        <w:rPr>
          <w:rStyle w:val="Funotenanker"/>
        </w:rPr>
        <w:footnoteReference w:customMarkFollows="1" w:id="563"/>
        <w:t>j</w:t>
      </w:r>
      <w:r>
        <w:rPr/>
        <w:t xml:space="preserve"> zur Stadt Nahors.{{field-off:bible}} </w:t>
        <w:br/>
        <w:t>[[@BibleTOBIBLE:Ge 24:11]]</w:t>
      </w:r>
      <w:r>
        <w:rPr>
          <w:b/>
        </w:rPr>
        <w:t>11</w:t>
      </w:r>
      <w:r>
        <w:rPr/>
        <w:t xml:space="preserve"> {{field-on:bible}}Da ließ er die Kamele knien außerhalb der Stadt an einem Wasserbrunnen zur Abendzeit, zur Zeit, wo die Frauen zum Schöpfen </w:t>
      </w:r>
      <w:r>
        <w:rPr>
          <w:color w:val="808080"/>
        </w:rPr>
        <w:t>(die Schöpferinnen)</w:t>
      </w:r>
      <w:r>
        <w:rPr/>
        <w:t xml:space="preserve"> hinausgehen.{{field-off:bible}} </w:t>
        <w:br/>
        <w:t>[[@BibleTOBIBLE:Ge 24:12]]</w:t>
      </w:r>
      <w:r>
        <w:rPr>
          <w:b/>
        </w:rPr>
        <w:t>12</w:t>
      </w:r>
      <w:r>
        <w:rPr/>
        <w:t xml:space="preserve"> {{field-on:bible}}Und er sprach: </w:t>
      </w:r>
      <w:r>
        <w:rPr>
          <w:smallCaps/>
          <w:color w:val="FF0000"/>
        </w:rPr>
        <w:t>JHWH</w:t>
      </w:r>
      <w:r>
        <w:rPr/>
        <w:t xml:space="preserve">, Gott meines Herrn Abraham, füge es bitte heute für mich und erweise Gnade </w:t>
      </w:r>
      <w:r>
        <w:rPr>
          <w:color w:val="808080"/>
        </w:rPr>
        <w:t>(Huld)</w:t>
      </w:r>
      <w:r>
        <w:rPr/>
        <w:t xml:space="preserve"> </w:t>
      </w:r>
      <w:r>
        <w:rPr>
          <w:strike/>
          <w:color w:val="808080"/>
        </w:rPr>
        <w:t>{mit}</w:t>
      </w:r>
      <w:r>
        <w:rPr/>
        <w:t xml:space="preserve"> meinem Herrn Abraham.{{field-off:bible}} </w:t>
        <w:br/>
        <w:t>[[@BibleTOBIBLE:Ge 24:13]]</w:t>
      </w:r>
      <w:r>
        <w:rPr>
          <w:b/>
        </w:rPr>
        <w:t>13</w:t>
      </w:r>
      <w:r>
        <w:rPr/>
        <w:t xml:space="preserve"> {{field-on:bible}}Sieh, ich will mich an die Wasserquelle stellen, wenn</w:t>
      </w:r>
      <w:r>
        <w:rPr>
          <w:rStyle w:val="Funotenanker"/>
        </w:rPr>
        <w:footnoteReference w:customMarkFollows="1" w:id="564"/>
        <w:t>k</w:t>
      </w:r>
      <w:r>
        <w:rPr/>
        <w:t xml:space="preserve"> die Töchter der Stadtbewohner herauskommen, um Wasser zu schöpfen.{{field-off:bible}} </w:t>
        <w:br/>
        <w:t>[[@BibleTOBIBLE:Ge 24:14]]</w:t>
      </w:r>
      <w:r>
        <w:rPr>
          <w:b/>
        </w:rPr>
        <w:t>14</w:t>
      </w:r>
      <w:r>
        <w:rPr/>
        <w:t xml:space="preserve"> {{field-on:bible}}Sollte</w:t>
      </w:r>
      <w:r>
        <w:rPr>
          <w:rStyle w:val="Funotenanker"/>
        </w:rPr>
        <w:footnoteReference w:customMarkFollows="1" w:id="565"/>
        <w:t>l</w:t>
      </w:r>
      <w:r>
        <w:rPr/>
        <w:t xml:space="preserve"> ein Mädchen, zu dem ich sage: Neige doch deinen Krug, damit</w:t>
      </w:r>
      <w:r>
        <w:rPr>
          <w:rStyle w:val="Funotenanker"/>
        </w:rPr>
        <w:footnoteReference w:customMarkFollows="1" w:id="566"/>
        <w:t>m</w:t>
      </w:r>
      <w:r>
        <w:rPr/>
        <w:t xml:space="preserve"> ich trinken kann, antworten</w:t>
      </w:r>
      <w:r>
        <w:rPr>
          <w:rStyle w:val="Funotenanker"/>
        </w:rPr>
        <w:footnoteReference w:customMarkFollows="1" w:id="567"/>
        <w:t>n</w:t>
      </w:r>
      <w:r>
        <w:rPr/>
        <w:t xml:space="preserve">: Trink! Und auch deine Kamele will </w:t>
      </w:r>
      <w:r>
        <w:rPr>
          <w:color w:val="808080"/>
        </w:rPr>
        <w:t>(werde)</w:t>
      </w:r>
      <w:r>
        <w:rPr/>
        <w:t xml:space="preserve"> ich tränken: Die hast du bestimmt für deinen Knecht, für Isaak, und durch sie </w:t>
      </w:r>
      <w:r>
        <w:rPr>
          <w:color w:val="808080"/>
        </w:rPr>
        <w:t>(daran)</w:t>
      </w:r>
      <w:r>
        <w:rPr/>
        <w:t xml:space="preserve"> werde </w:t>
      </w:r>
      <w:r>
        <w:rPr>
          <w:color w:val="808080"/>
        </w:rPr>
        <w:t>(will)</w:t>
      </w:r>
      <w:r>
        <w:rPr/>
        <w:t xml:space="preserve"> ich erkennen, dass du </w:t>
      </w:r>
      <w:r>
        <w:rPr>
          <w:strike/>
          <w:color w:val="808080"/>
        </w:rPr>
        <w:t>{mit}</w:t>
      </w:r>
      <w:r>
        <w:rPr/>
        <w:t xml:space="preserve"> meinem Herrn Gnade erwiesen hast </w:t>
      </w:r>
      <w:r>
        <w:rPr>
          <w:color w:val="808080"/>
        </w:rPr>
        <w:t>(gnädig bist)</w:t>
      </w:r>
      <w:r>
        <w:rPr/>
        <w:t xml:space="preserve">.{{field-off:bible}} </w:t>
        <w:br/>
        <w:t>[[@BibleTOBIBLE:Ge 24:15]]</w:t>
      </w:r>
      <w:r>
        <w:rPr>
          <w:b/>
        </w:rPr>
        <w:t>15</w:t>
      </w:r>
      <w:r>
        <w:rPr/>
        <w:t xml:space="preserve"> {{field-on:bible}}Und es geschah, er hatte noch nicht zuende geredet</w:t>
      </w:r>
      <w:r>
        <w:rPr>
          <w:rStyle w:val="Funotenanker"/>
        </w:rPr>
        <w:footnoteReference w:customMarkFollows="1" w:id="568"/>
        <w:t>o</w:t>
      </w:r>
      <w:r>
        <w:rPr/>
        <w:t>, sieh!, Rebekka kommt heraus</w:t>
      </w:r>
      <w:r>
        <w:rPr>
          <w:rStyle w:val="Funotenanker"/>
        </w:rPr>
        <w:footnoteReference w:customMarkFollows="1" w:id="569"/>
        <w:t>p</w:t>
      </w:r>
      <w:r>
        <w:rPr/>
        <w:t xml:space="preserve">, die geboren wurde dem Betuel, dem Sohn Milkas, der Frau Nahors, des Bruders Abrahams, </w:t>
      </w:r>
      <w:r>
        <w:rPr>
          <w:color w:val="808080"/>
        </w:rPr>
        <w:t>(und ein Krug auf ihrer Schulter =)</w:t>
      </w:r>
      <w:r>
        <w:rPr/>
        <w:t xml:space="preserve"> mit einem Krug auf der Schulter.{{field-off:bible}} </w:t>
        <w:br/>
        <w:t>[[@BibleTOBIBLE:Ge 24:16]]</w:t>
      </w:r>
      <w:r>
        <w:rPr>
          <w:b/>
        </w:rPr>
        <w:t>16</w:t>
      </w:r>
      <w:r>
        <w:rPr/>
        <w:t xml:space="preserve"> {{field-on:bible}}Und das Mädchen war sehr schön anzusehen, eine Jungfrau, und ein Mann hatte sie noch nicht erkannt</w:t>
      </w:r>
      <w:r>
        <w:rPr>
          <w:rStyle w:val="Funotenanker"/>
        </w:rPr>
        <w:footnoteReference w:customMarkFollows="1" w:id="570"/>
        <w:t>q</w:t>
      </w:r>
      <w:r>
        <w:rPr/>
        <w:t>, die stieg hinab</w:t>
      </w:r>
      <w:r>
        <w:rPr>
          <w:rStyle w:val="Funotenanker"/>
        </w:rPr>
        <w:footnoteReference w:customMarkFollows="1" w:id="571"/>
        <w:t>r</w:t>
      </w:r>
      <w:r>
        <w:rPr/>
        <w:t xml:space="preserve"> zur Quelle, füllte ihren Krug und stieg </w:t>
      </w:r>
      <w:r>
        <w:rPr>
          <w:b/>
          <w:color w:val="808080"/>
        </w:rPr>
        <w:t>[</w:t>
      </w:r>
      <w:r>
        <w:rPr/>
        <w:t>wieder</w:t>
      </w:r>
      <w:r>
        <w:rPr>
          <w:b/>
          <w:color w:val="808080"/>
        </w:rPr>
        <w:t>]</w:t>
      </w:r>
      <w:r>
        <w:rPr/>
        <w:t xml:space="preserve"> hinauf.{{field-off:bible}} </w:t>
        <w:br/>
        <w:t>[[@BibleTOBIBLE:Ge 24:17]]</w:t>
      </w:r>
      <w:r>
        <w:rPr>
          <w:b/>
        </w:rPr>
        <w:t>17</w:t>
      </w:r>
      <w:r>
        <w:rPr/>
        <w:t xml:space="preserve"> {{field-on:bible}}Da lief </w:t>
      </w:r>
      <w:r>
        <w:rPr>
          <w:color w:val="808080"/>
        </w:rPr>
        <w:t>(eilte)</w:t>
      </w:r>
      <w:r>
        <w:rPr/>
        <w:t xml:space="preserve"> der Knecht </w:t>
      </w:r>
      <w:r>
        <w:rPr>
          <w:color w:val="808080"/>
        </w:rPr>
        <w:t>(Diener)</w:t>
      </w:r>
      <w:r>
        <w:rPr/>
        <w:t xml:space="preserve"> ihr entgegen und bat </w:t>
      </w:r>
      <w:r>
        <w:rPr>
          <w:color w:val="808080"/>
        </w:rPr>
        <w:t>(sprach)</w:t>
      </w:r>
      <w:r>
        <w:rPr/>
        <w:t xml:space="preserve">: Lass mich bitte ein wenig Wasser aus deinem Krug schlürfen.{{field-off:bible}} </w:t>
        <w:br/>
        <w:t>[[@BibleTOBIBLE:Ge 24:18]]</w:t>
      </w:r>
      <w:r>
        <w:rPr>
          <w:b/>
        </w:rPr>
        <w:t>18</w:t>
      </w:r>
      <w:r>
        <w:rPr/>
        <w:t xml:space="preserve"> {{field-on:bible}}Da sprach sie: Trink, mein Herr. Sie nahm schnell den Krug herunter auf ihre Hand und ließ ihn trinken.{{field-off:bible}} </w:t>
        <w:br/>
        <w:t>[[@BibleTOBIBLE:Ge 24:19]]</w:t>
      </w:r>
      <w:r>
        <w:rPr>
          <w:b/>
        </w:rPr>
        <w:t>19</w:t>
      </w:r>
      <w:r>
        <w:rPr/>
        <w:t xml:space="preserve"> {{field-on:bible}}Nachdem</w:t>
      </w:r>
      <w:r>
        <w:rPr>
          <w:rStyle w:val="Funotenanker"/>
        </w:rPr>
        <w:footnoteReference w:customMarkFollows="1" w:id="572"/>
        <w:t>s</w:t>
      </w:r>
      <w:r>
        <w:rPr/>
        <w:t xml:space="preserve"> sie ihm genug zu trinken gegeben hatte, sagte sie: Auch deinen Kamelen will ich schöpfen, bis sie sich satt getrunken haben</w:t>
      </w:r>
      <w:r>
        <w:rPr>
          <w:rStyle w:val="Funotenanker"/>
        </w:rPr>
        <w:footnoteReference w:customMarkFollows="1" w:id="573"/>
        <w:t>t</w:t>
      </w:r>
      <w:r>
        <w:rPr/>
        <w:t xml:space="preserve">.{{field-off:bible}} </w:t>
        <w:br/>
        <w:t>[[@BibleTOBIBLE:Ge 24:20]]</w:t>
      </w:r>
      <w:r>
        <w:rPr>
          <w:b/>
        </w:rPr>
        <w:t>20</w:t>
      </w:r>
      <w:r>
        <w:rPr/>
        <w:t xml:space="preserve"> {{field-on:bible}}Da goß sie schnell ihren Krug in die Tränke und lief noch einmal zum Brunnen, um zu schöpfen, und schöpfte für alle seine Kamele.{{field-off:bible}} </w:t>
        <w:br/>
        <w:t>[[@BibleTOBIBLE:Ge 24:21]]</w:t>
      </w:r>
      <w:r>
        <w:rPr>
          <w:b/>
        </w:rPr>
        <w:t>21</w:t>
      </w:r>
      <w:r>
        <w:rPr/>
        <w:t xml:space="preserve"> {{field-on:bible}}Der Mann aber schaute ihr zu, schweigend, um zu erkennen, ob </w:t>
      </w:r>
      <w:r>
        <w:rPr>
          <w:smallCaps/>
          <w:color w:val="FF0000"/>
        </w:rPr>
        <w:t>JHWH</w:t>
      </w:r>
      <w:r>
        <w:rPr/>
        <w:t xml:space="preserve"> seinen Plan </w:t>
      </w:r>
      <w:r>
        <w:rPr>
          <w:color w:val="808080"/>
        </w:rPr>
        <w:t>(Weg, Reise)</w:t>
      </w:r>
      <w:r>
        <w:rPr/>
        <w:t xml:space="preserve"> gelingen ließ oder nicht.{{field-off:bible}} </w:t>
        <w:br/>
        <w:t>[[@BibleTOBIBLE:Ge 24:22]]</w:t>
      </w:r>
      <w:r>
        <w:rPr>
          <w:b/>
        </w:rPr>
        <w:t>22</w:t>
      </w:r>
      <w:r>
        <w:rPr/>
        <w:t xml:space="preserve"> {{field-on:bible}}Als sich aber die Kamele satt getrunken hatten</w:t>
      </w:r>
      <w:r>
        <w:rPr>
          <w:rStyle w:val="Funotenanker"/>
        </w:rPr>
        <w:footnoteReference w:customMarkFollows="1" w:id="574"/>
        <w:t>u</w:t>
      </w:r>
      <w:r>
        <w:rPr/>
        <w:t xml:space="preserve">, da nahm der Mann einen goldenen </w:t>
      </w:r>
      <w:r>
        <w:rPr>
          <w:b/>
          <w:color w:val="808080"/>
        </w:rPr>
        <w:t>[</w:t>
      </w:r>
      <w:r>
        <w:rPr/>
        <w:t>Nasen-</w:t>
      </w:r>
      <w:r>
        <w:rPr>
          <w:b/>
          <w:color w:val="808080"/>
        </w:rPr>
        <w:t>]</w:t>
      </w:r>
      <w:r>
        <w:rPr/>
        <w:t xml:space="preserve">Ring, einen Halbschekel schwer, und zwei Armspangen für ihre Hand, zehn Goldschekel schwer,{{field-off:bible}} </w:t>
        <w:br/>
        <w:t>[[@BibleTOBIBLE:Ge 24:23]]</w:t>
      </w:r>
      <w:r>
        <w:rPr>
          <w:b/>
        </w:rPr>
        <w:t>23</w:t>
      </w:r>
      <w:r>
        <w:rPr/>
        <w:t xml:space="preserve"> {{field-on:bible}}und sprach: Wessen Tochter bist du? Sag mir bitte, gibt es für uns Platz im Haus deines Vaters zum Übernachten?{{field-off:bible}} </w:t>
        <w:br/>
        <w:t>[[@BibleTOBIBLE:Ge 24:24]]</w:t>
      </w:r>
      <w:r>
        <w:rPr>
          <w:b/>
        </w:rPr>
        <w:t>24</w:t>
      </w:r>
      <w:r>
        <w:rPr/>
        <w:t xml:space="preserve"> {{field-on:bible}}Da sprach sie zu ihm: Ich bin die Tochter Betuels, der Sohn Milkas, den sie dem Nahor gebar.{{field-off:bible}} </w:t>
        <w:br/>
        <w:t>[[@BibleTOBIBLE:Ge 24:25]]</w:t>
      </w:r>
      <w:r>
        <w:rPr>
          <w:b/>
        </w:rPr>
        <w:t>25</w:t>
      </w:r>
      <w:r>
        <w:rPr/>
        <w:t xml:space="preserve"> {{field-on:bible}}Und sie sprach </w:t>
      </w:r>
      <w:r>
        <w:rPr>
          <w:b/>
          <w:color w:val="808080"/>
        </w:rPr>
        <w:t>[</w:t>
      </w:r>
      <w:r>
        <w:rPr/>
        <w:t>weiter</w:t>
      </w:r>
      <w:r>
        <w:rPr>
          <w:b/>
          <w:color w:val="808080"/>
        </w:rPr>
        <w:t>]</w:t>
      </w:r>
      <w:r>
        <w:rPr/>
        <w:t xml:space="preserve"> zu ihm: Wir haben eine Menge </w:t>
      </w:r>
      <w:r>
        <w:rPr>
          <w:color w:val="808080"/>
        </w:rPr>
        <w:t>(viel)</w:t>
      </w:r>
      <w:r>
        <w:rPr/>
        <w:t xml:space="preserve"> </w:t>
      </w:r>
      <w:r>
        <w:rPr>
          <w:strike/>
          <w:color w:val="808080"/>
        </w:rPr>
        <w:t>{sowohl}</w:t>
      </w:r>
      <w:r>
        <w:rPr/>
        <w:t xml:space="preserve"> Häcksel </w:t>
      </w:r>
      <w:r>
        <w:rPr>
          <w:strike/>
          <w:color w:val="808080"/>
        </w:rPr>
        <w:t>{als auch}</w:t>
      </w:r>
      <w:r>
        <w:rPr/>
        <w:t xml:space="preserve"> </w:t>
      </w:r>
      <w:r>
        <w:rPr>
          <w:b/>
          <w:color w:val="808080"/>
        </w:rPr>
        <w:t>[</w:t>
      </w:r>
      <w:r>
        <w:rPr/>
        <w:t>und</w:t>
      </w:r>
      <w:r>
        <w:rPr>
          <w:b/>
          <w:color w:val="808080"/>
        </w:rPr>
        <w:t>]</w:t>
      </w:r>
      <w:r>
        <w:rPr/>
        <w:t xml:space="preserve"> Futter, auch Platz zum Übernachten.{{field-off:bible}} </w:t>
        <w:br/>
        <w:t>[[@BibleTOBIBLE:Ge 24:26]]</w:t>
      </w:r>
      <w:r>
        <w:rPr>
          <w:b/>
        </w:rPr>
        <w:t>26</w:t>
      </w:r>
      <w:r>
        <w:rPr/>
        <w:t xml:space="preserve"> {{field-on:bible}}Da warf sich der Mann auf die Knie</w:t>
      </w:r>
      <w:r>
        <w:rPr>
          <w:rStyle w:val="Funotenanker"/>
        </w:rPr>
        <w:footnoteReference w:customMarkFollows="1" w:id="575"/>
        <w:t>v</w:t>
      </w:r>
      <w:r>
        <w:rPr/>
        <w:t xml:space="preserve"> und betete zu </w:t>
      </w:r>
      <w:r>
        <w:rPr>
          <w:smallCaps/>
          <w:color w:val="FF0000"/>
        </w:rPr>
        <w:t>JHWH</w:t>
      </w:r>
      <w:r>
        <w:rPr/>
        <w:t xml:space="preserve"> {{field-off:bible}} </w:t>
        <w:br/>
        <w:t>[[@BibleTOBIBLE:Ge 24:27]]</w:t>
      </w:r>
      <w:r>
        <w:rPr>
          <w:b/>
        </w:rPr>
        <w:t>27</w:t>
      </w:r>
      <w:r>
        <w:rPr/>
        <w:t xml:space="preserve"> {{field-on:bible}}und sprach: Gepriesen sei </w:t>
      </w:r>
      <w:r>
        <w:rPr>
          <w:smallCaps/>
          <w:color w:val="FF0000"/>
        </w:rPr>
        <w:t>JHWH</w:t>
      </w:r>
      <w:r>
        <w:rPr/>
        <w:t xml:space="preserve">, der Gott meines Herrn Abraham, der nicht </w:t>
      </w:r>
      <w:r>
        <w:rPr>
          <w:color w:val="808080"/>
        </w:rPr>
        <w:t>(abgelassen =)</w:t>
      </w:r>
      <w:r>
        <w:rPr/>
        <w:t xml:space="preserve"> entzogen hat seine Gnade und Treue meinem Herrn. Mich hat </w:t>
      </w:r>
      <w:r>
        <w:rPr>
          <w:smallCaps/>
          <w:color w:val="FF0000"/>
        </w:rPr>
        <w:t>JHWH</w:t>
      </w:r>
      <w:r>
        <w:rPr/>
        <w:t xml:space="preserve"> auf meinem Weg geführt </w:t>
      </w:r>
      <w:r>
        <w:rPr>
          <w:b/>
          <w:color w:val="808080"/>
        </w:rPr>
        <w:t>[</w:t>
      </w:r>
      <w:r>
        <w:rPr/>
        <w:t>ins</w:t>
      </w:r>
      <w:r>
        <w:rPr>
          <w:b/>
          <w:color w:val="808080"/>
        </w:rPr>
        <w:t>]</w:t>
      </w:r>
      <w:r>
        <w:rPr/>
        <w:t xml:space="preserve"> Haus des Bruders meines Herrn.{{field-off:bible}} </w:t>
        <w:br/>
        <w:t>[[@BibleTOBIBLE:Ge 24:28]]</w:t>
      </w:r>
      <w:r>
        <w:rPr>
          <w:b/>
        </w:rPr>
        <w:t>28</w:t>
      </w:r>
      <w:r>
        <w:rPr/>
        <w:t xml:space="preserve"> {{field-on:bible}}Da lief das Mädchen und erzählte </w:t>
      </w:r>
      <w:r>
        <w:rPr>
          <w:color w:val="808080"/>
        </w:rPr>
        <w:t>(meldete)</w:t>
      </w:r>
      <w:r>
        <w:rPr/>
        <w:t xml:space="preserve"> dem Haus ihrer Mutter diese Dinge.{{field-off:bible}} </w:t>
        <w:br/>
        <w:t>[[@BibleTOBIBLE:Ge 24:29]]</w:t>
      </w:r>
      <w:r>
        <w:rPr>
          <w:b/>
        </w:rPr>
        <w:t>29</w:t>
      </w:r>
      <w:r>
        <w:rPr/>
        <w:t xml:space="preserve"> {{field-on:bible}}Rebekka hatte aber einen Bruder, der hieß Laban. *Da lief Laban zum Mann außerhalb der Stadt*</w:t>
      </w:r>
      <w:r>
        <w:rPr>
          <w:rStyle w:val="Funotenanker"/>
        </w:rPr>
        <w:footnoteReference w:customMarkFollows="1" w:id="576"/>
        <w:t>w</w:t>
      </w:r>
      <w:r>
        <w:rPr/>
        <w:t xml:space="preserve"> {{field-off:bible}} </w:t>
        <w:br/>
        <w:t>[[@BibleTOBIBLE:Ge 24:30]]</w:t>
      </w:r>
      <w:r>
        <w:rPr>
          <w:b/>
        </w:rPr>
        <w:t>30</w:t>
      </w:r>
      <w:r>
        <w:rPr/>
        <w:t xml:space="preserve"> {{field-on:bible}}Und es geschah, als er</w:t>
      </w:r>
      <w:r>
        <w:rPr>
          <w:rStyle w:val="Funotenanker"/>
        </w:rPr>
        <w:footnoteReference w:customMarkFollows="1" w:id="577"/>
        <w:t>x</w:t>
      </w:r>
      <w:r>
        <w:rPr/>
        <w:t xml:space="preserve"> sah den </w:t>
      </w:r>
      <w:r>
        <w:rPr>
          <w:b/>
          <w:color w:val="808080"/>
        </w:rPr>
        <w:t>[</w:t>
      </w:r>
      <w:r>
        <w:rPr/>
        <w:t>Nasen-</w:t>
      </w:r>
      <w:r>
        <w:rPr>
          <w:b/>
          <w:color w:val="808080"/>
        </w:rPr>
        <w:t>]</w:t>
      </w:r>
      <w:r>
        <w:rPr/>
        <w:t xml:space="preserve">Ring und die Armspangen an den Händen seiner Schwester, und als er hörte die Worte Rebekkas, seiner Schwester </w:t>
      </w:r>
      <w:r>
        <w:rPr>
          <w:strike/>
          <w:color w:val="808080"/>
        </w:rPr>
        <w:t>{folgendermaßen}</w:t>
      </w:r>
      <w:r>
        <w:rPr/>
        <w:t>: So sprach der Mann zu mir, ** und als er kam zu dem Mann: Sieh, da steht</w:t>
      </w:r>
      <w:r>
        <w:rPr>
          <w:rStyle w:val="Funotenanker"/>
        </w:rPr>
        <w:footnoteReference w:customMarkFollows="1" w:id="578"/>
        <w:t>y</w:t>
      </w:r>
      <w:r>
        <w:rPr/>
        <w:t xml:space="preserve"> er bei den Kamelen an der Quelle.{{field-off:bible}} </w:t>
        <w:br/>
        <w:t>[[@BibleTOBIBLE:Ge 24:31]]</w:t>
      </w:r>
      <w:r>
        <w:rPr>
          <w:b/>
        </w:rPr>
        <w:t>31</w:t>
      </w:r>
      <w:r>
        <w:rPr/>
        <w:t xml:space="preserve"> {{field-on:bible}}Und er sprach: Komm </w:t>
      </w:r>
      <w:r>
        <w:rPr>
          <w:b/>
          <w:color w:val="808080"/>
        </w:rPr>
        <w:t>[</w:t>
      </w:r>
      <w:r>
        <w:rPr/>
        <w:t>herein</w:t>
      </w:r>
      <w:r>
        <w:rPr>
          <w:b/>
          <w:color w:val="808080"/>
        </w:rPr>
        <w:t>]</w:t>
      </w:r>
      <w:r>
        <w:rPr/>
        <w:t xml:space="preserve">, Gesegneter </w:t>
      </w:r>
      <w:r>
        <w:rPr>
          <w:smallCaps/>
          <w:color w:val="FF0000"/>
        </w:rPr>
        <w:t>JHWH</w:t>
      </w:r>
      <w:r>
        <w:rPr/>
        <w:t xml:space="preserve">s! Warum stehst du draußen? Ich habe das Haus aufgeräumt und Platz </w:t>
      </w:r>
      <w:r>
        <w:rPr>
          <w:b/>
          <w:color w:val="808080"/>
        </w:rPr>
        <w:t>[</w:t>
      </w:r>
      <w:r>
        <w:rPr/>
        <w:t>ist</w:t>
      </w:r>
      <w:r>
        <w:rPr>
          <w:b/>
          <w:color w:val="808080"/>
        </w:rPr>
        <w:t>]</w:t>
      </w:r>
      <w:r>
        <w:rPr/>
        <w:t xml:space="preserve"> für die Kamele.{{field-off:bible}} </w:t>
        <w:br/>
        <w:t>[[@BibleTOBIBLE:Ge 24:32]]</w:t>
      </w:r>
      <w:r>
        <w:rPr>
          <w:b/>
        </w:rPr>
        <w:t>32</w:t>
      </w:r>
      <w:r>
        <w:rPr/>
        <w:t xml:space="preserve"> {{field-on:bible}}Da kam der Mann ins Haus und </w:t>
      </w:r>
      <w:r>
        <w:rPr>
          <w:color w:val="808080"/>
        </w:rPr>
        <w:t>(band los =)</w:t>
      </w:r>
      <w:r>
        <w:rPr/>
        <w:t xml:space="preserve"> schirrte ab die Kamele und man gab Häcksel und Futter für die Kamele und Wasser, um seine Füße zu waschen und die Füße der Männer, die mit ihm waren.{{field-off:bible}} </w:t>
        <w:br/>
        <w:t>[[@BibleTOBIBLE:Ge 24:33]]</w:t>
      </w:r>
      <w:r>
        <w:rPr>
          <w:b/>
        </w:rPr>
        <w:t>33</w:t>
      </w:r>
      <w:r>
        <w:rPr/>
        <w:t xml:space="preserve"> {{field-on:bible}}Und es wurde ihm zu Essen vorgelegt, er aber sprach: Ich will </w:t>
      </w:r>
      <w:r>
        <w:rPr>
          <w:color w:val="808080"/>
        </w:rPr>
        <w:t>(werde)</w:t>
      </w:r>
      <w:r>
        <w:rPr/>
        <w:t xml:space="preserve"> nicht essen, bis ich mein Anliegen </w:t>
      </w:r>
      <w:r>
        <w:rPr>
          <w:color w:val="808080"/>
        </w:rPr>
        <w:t>(meine Sache, Rede)</w:t>
      </w:r>
      <w:r>
        <w:rPr/>
        <w:t xml:space="preserve"> vorgetragen </w:t>
      </w:r>
      <w:r>
        <w:rPr>
          <w:color w:val="808080"/>
        </w:rPr>
        <w:t>(geredet)</w:t>
      </w:r>
      <w:r>
        <w:rPr/>
        <w:t xml:space="preserve"> habe. Da sprach er</w:t>
      </w:r>
      <w:r>
        <w:rPr>
          <w:rStyle w:val="Funotenanker"/>
        </w:rPr>
        <w:footnoteReference w:customMarkFollows="1" w:id="579"/>
        <w:t>z</w:t>
      </w:r>
      <w:r>
        <w:rPr/>
        <w:t xml:space="preserve">: Rede!{{field-off:bible}} </w:t>
        <w:br/>
        <w:t>[[@BibleTOBIBLE:Ge 24:34]]</w:t>
      </w:r>
      <w:r>
        <w:rPr>
          <w:b/>
        </w:rPr>
        <w:t>34</w:t>
      </w:r>
      <w:r>
        <w:rPr/>
        <w:t xml:space="preserve"> {{field-on:bible}}Da sagte er: Ein Knecht Abrahams </w:t>
      </w:r>
      <w:r>
        <w:rPr>
          <w:b/>
          <w:color w:val="808080"/>
        </w:rPr>
        <w:t>[</w:t>
      </w:r>
      <w:r>
        <w:rPr/>
        <w:t>bin</w:t>
      </w:r>
      <w:r>
        <w:rPr>
          <w:b/>
          <w:color w:val="808080"/>
        </w:rPr>
        <w:t>]</w:t>
      </w:r>
      <w:r>
        <w:rPr/>
        <w:t xml:space="preserve"> ich.{{field-off:bible}} </w:t>
        <w:br/>
        <w:t>[[@BibleTOBIBLE:Ge 24:35]]</w:t>
      </w:r>
      <w:r>
        <w:rPr>
          <w:b/>
        </w:rPr>
        <w:t>35</w:t>
      </w:r>
      <w:r>
        <w:rPr/>
        <w:t xml:space="preserve"> {{field-on:bible}}Und </w:t>
      </w:r>
      <w:r>
        <w:rPr>
          <w:smallCaps/>
          <w:color w:val="FF0000"/>
        </w:rPr>
        <w:t>JHWH</w:t>
      </w:r>
      <w:r>
        <w:rPr/>
        <w:t xml:space="preserve"> hat meinen Herrn sehr gesegnet, so dass er groß wurde </w:t>
      </w:r>
      <w:r>
        <w:rPr>
          <w:color w:val="808080"/>
        </w:rPr>
        <w:t>(und er wurde groß)</w:t>
      </w:r>
      <w:r>
        <w:rPr/>
        <w:t xml:space="preserve">. Und er gab ihm Kleinvieh und Rinder, </w:t>
      </w:r>
      <w:r>
        <w:rPr>
          <w:strike/>
          <w:color w:val="808080"/>
        </w:rPr>
        <w:t>{und}</w:t>
      </w:r>
      <w:r>
        <w:rPr/>
        <w:t xml:space="preserve"> Silber und Gold, </w:t>
      </w:r>
      <w:r>
        <w:rPr>
          <w:strike/>
          <w:color w:val="808080"/>
        </w:rPr>
        <w:t>{und}</w:t>
      </w:r>
      <w:r>
        <w:rPr/>
        <w:t xml:space="preserve"> Knechte </w:t>
      </w:r>
      <w:r>
        <w:rPr>
          <w:color w:val="808080"/>
        </w:rPr>
        <w:t>(Diener, Sklaven)</w:t>
      </w:r>
      <w:r>
        <w:rPr/>
        <w:t xml:space="preserve"> und Sklavinnen, </w:t>
      </w:r>
      <w:r>
        <w:rPr>
          <w:strike/>
          <w:color w:val="808080"/>
        </w:rPr>
        <w:t>{und}</w:t>
      </w:r>
      <w:r>
        <w:rPr/>
        <w:t xml:space="preserve"> Kamele und Esel.{{field-off:bible}} </w:t>
        <w:br/>
        <w:t>[[@BibleTOBIBLE:Ge 24:36]]</w:t>
      </w:r>
      <w:r>
        <w:rPr>
          <w:b/>
        </w:rPr>
        <w:t>36</w:t>
      </w:r>
      <w:r>
        <w:rPr/>
        <w:t xml:space="preserve"> {{field-on:bible}}Und Sara, die Frau meines Herrn, gebar meinem Herrn einen Sohn, nachdem sie alt geworden war, und er </w:t>
      </w:r>
      <w:r>
        <w:rPr>
          <w:color w:val="808080"/>
        </w:rPr>
        <w:t>(gab =)</w:t>
      </w:r>
      <w:r>
        <w:rPr/>
        <w:t xml:space="preserve"> übergab ihm alles, was ihm gehört.{{field-off:bible}} </w:t>
        <w:br/>
        <w:t>[[@BibleTOBIBLE:Ge 24:37]]</w:t>
      </w:r>
      <w:r>
        <w:rPr>
          <w:b/>
        </w:rPr>
        <w:t>37</w:t>
      </w:r>
      <w:r>
        <w:rPr/>
        <w:t xml:space="preserve"> {{field-on:bible}}Und mein Herr ließ mich schwören </w:t>
      </w:r>
      <w:r>
        <w:rPr>
          <w:strike/>
          <w:color w:val="808080"/>
        </w:rPr>
        <w:t>{folgendermaßen}</w:t>
      </w:r>
      <w:r>
        <w:rPr/>
        <w:t xml:space="preserve">: Du sollst meinem Sohn keine Frau nehmen von den Töchtern des Kanaanäers, in dessen Land ich wohne.{{field-off:bible}} </w:t>
        <w:br/>
        <w:t>[[@BibleTOBIBLE:Ge 24:38]]</w:t>
      </w:r>
      <w:r>
        <w:rPr>
          <w:b/>
        </w:rPr>
        <w:t>38</w:t>
      </w:r>
      <w:r>
        <w:rPr/>
        <w:t xml:space="preserve"> {{field-on:bible}}Sondern</w:t>
      </w:r>
      <w:r>
        <w:rPr>
          <w:rStyle w:val="Funotenanker"/>
        </w:rPr>
        <w:footnoteReference w:customMarkFollows="1" w:id="580"/>
        <w:t>aa</w:t>
      </w:r>
      <w:r>
        <w:rPr/>
        <w:t xml:space="preserve"> du sollst </w:t>
      </w:r>
      <w:r>
        <w:rPr>
          <w:color w:val="808080"/>
        </w:rPr>
        <w:t>(wirst)</w:t>
      </w:r>
      <w:r>
        <w:rPr/>
        <w:t xml:space="preserve"> zum Haus meines Vaters gehen und zu meiner Verwandtschaft und eine meinem Sohn eine Frau nehmen.{{field-off:bible}} </w:t>
        <w:br/>
        <w:t>[[@BibleTOBIBLE:Ge 24:39]]</w:t>
      </w:r>
      <w:r>
        <w:rPr>
          <w:b/>
        </w:rPr>
        <w:t>39</w:t>
      </w:r>
      <w:r>
        <w:rPr/>
        <w:t xml:space="preserve"> {{field-on:bible}}Da sprach ich zu meinem Herrn: Vielleicht will </w:t>
      </w:r>
      <w:r>
        <w:rPr>
          <w:color w:val="808080"/>
        </w:rPr>
        <w:t>(wird)</w:t>
      </w:r>
      <w:r>
        <w:rPr/>
        <w:t xml:space="preserve"> die Frau nicht mitgehen</w:t>
      </w:r>
      <w:r>
        <w:rPr>
          <w:rStyle w:val="Funotenanker"/>
        </w:rPr>
        <w:footnoteReference w:customMarkFollows="1" w:id="581"/>
        <w:t>ab</w:t>
      </w:r>
      <w:r>
        <w:rPr/>
        <w:t xml:space="preserve">?{{field-off:bible}} </w:t>
        <w:br/>
        <w:t>[[@BibleTOBIBLE:Ge 24:40]]</w:t>
      </w:r>
      <w:r>
        <w:rPr>
          <w:b/>
        </w:rPr>
        <w:t>40</w:t>
      </w:r>
      <w:r>
        <w:rPr/>
        <w:t xml:space="preserve"> {{field-on:bible}}Da sprach er zu mir: </w:t>
      </w:r>
      <w:r>
        <w:rPr>
          <w:smallCaps/>
          <w:color w:val="FF0000"/>
        </w:rPr>
        <w:t>JHWH</w:t>
      </w:r>
      <w:r>
        <w:rPr/>
        <w:t xml:space="preserve">, vor dem ich wandelte, wird seinen Boten </w:t>
      </w:r>
      <w:r>
        <w:rPr>
          <w:color w:val="808080"/>
        </w:rPr>
        <w:t>(Engel)</w:t>
      </w:r>
      <w:r>
        <w:rPr/>
        <w:t xml:space="preserve"> mit dir senden, und er wird deinen Auftrag </w:t>
      </w:r>
      <w:r>
        <w:rPr>
          <w:color w:val="808080"/>
        </w:rPr>
        <w:t>(Weg)</w:t>
      </w:r>
      <w:r>
        <w:rPr/>
        <w:t xml:space="preserve"> gelingen lassen, so dass du meinem Sohn eine Frau nehmen kannst aus meiner Sippe und aus dem Haus meines Vaters.{{field-off:bible}} </w:t>
        <w:br/>
        <w:t>[[@BibleTOBIBLE:Ge 24:41]]</w:t>
      </w:r>
      <w:r>
        <w:rPr>
          <w:b/>
        </w:rPr>
        <w:t>41</w:t>
      </w:r>
      <w:r>
        <w:rPr/>
        <w:t xml:space="preserve"> {{field-on:bible}}Dann wirst du frei sein von meinem</w:t>
      </w:r>
      <w:r>
        <w:rPr>
          <w:rStyle w:val="Funotenanker"/>
        </w:rPr>
        <w:footnoteReference w:customMarkFollows="1" w:id="582"/>
        <w:t>ac</w:t>
      </w:r>
      <w:r>
        <w:rPr/>
        <w:t xml:space="preserve"> Eid, wenn du zu meiner Verwandtschaft kommen wirst, und wenn sie </w:t>
      </w:r>
      <w:r>
        <w:rPr>
          <w:b/>
          <w:color w:val="808080"/>
        </w:rPr>
        <w:t>[</w:t>
      </w:r>
      <w:r>
        <w:rPr/>
        <w:t>sie</w:t>
      </w:r>
      <w:r>
        <w:rPr>
          <w:b/>
          <w:color w:val="808080"/>
        </w:rPr>
        <w:t>]</w:t>
      </w:r>
      <w:r>
        <w:rPr/>
        <w:t xml:space="preserve"> dir nicht geben, dann bist du frei von meinem Eid.{{field-off:bible}} </w:t>
        <w:br/>
        <w:t>[[@BibleTOBIBLE:Ge 24:42]]</w:t>
      </w:r>
      <w:r>
        <w:rPr>
          <w:b/>
        </w:rPr>
        <w:t>42</w:t>
      </w:r>
      <w:r>
        <w:rPr/>
        <w:t xml:space="preserve"> {{field-on:bible}}So komme</w:t>
      </w:r>
      <w:r>
        <w:rPr>
          <w:rStyle w:val="Funotenanker"/>
        </w:rPr>
        <w:footnoteReference w:customMarkFollows="1" w:id="583"/>
        <w:t>ad</w:t>
      </w:r>
      <w:r>
        <w:rPr/>
        <w:t xml:space="preserve"> ich heute zum Brunnen und ich sage: </w:t>
      </w:r>
      <w:r>
        <w:rPr>
          <w:smallCaps/>
          <w:color w:val="FF0000"/>
        </w:rPr>
        <w:t>JHWH</w:t>
      </w:r>
      <w:r>
        <w:rPr/>
        <w:t xml:space="preserve">, Gott meines Herrn Abraham, bitte lass meinen Plan </w:t>
      </w:r>
      <w:r>
        <w:rPr>
          <w:color w:val="808080"/>
        </w:rPr>
        <w:t>(Weg)</w:t>
      </w:r>
      <w:r>
        <w:rPr/>
        <w:t xml:space="preserve"> gelingen</w:t>
      </w:r>
      <w:r>
        <w:rPr>
          <w:rStyle w:val="Funotenanker"/>
        </w:rPr>
        <w:footnoteReference w:customMarkFollows="1" w:id="584"/>
        <w:t>ae</w:t>
      </w:r>
      <w:r>
        <w:rPr/>
        <w:t>, den ich vor dir ausführe</w:t>
      </w:r>
      <w:r>
        <w:rPr>
          <w:rStyle w:val="Funotenanker"/>
        </w:rPr>
        <w:footnoteReference w:customMarkFollows="1" w:id="585"/>
        <w:t>af</w:t>
      </w:r>
      <w:r>
        <w:rPr/>
        <w:t xml:space="preserve">:{{field-off:bible}} </w:t>
        <w:br/>
        <w:t>[[@BibleTOBIBLE:Ge 24:43]]</w:t>
      </w:r>
      <w:r>
        <w:rPr>
          <w:b/>
        </w:rPr>
        <w:t>43</w:t>
      </w:r>
      <w:r>
        <w:rPr/>
        <w:t xml:space="preserve"> {{field-on:bible}}Sieh, ich stelle mich an die Wasserquelle. Wenn nun die junge Frau herauskommen wird, um zu schöpfen, dann werde ich zu ihr sagen: lass mich bitte ein wenig Wasser trinken aus deinem Krug.{{field-off:bible}} </w:t>
        <w:br/>
        <w:t>[[@BibleTOBIBLE:Ge 24:44]]</w:t>
      </w:r>
      <w:r>
        <w:rPr>
          <w:b/>
        </w:rPr>
        <w:t>44</w:t>
      </w:r>
      <w:r>
        <w:rPr/>
        <w:t xml:space="preserve"> {{field-on:bible}}Wenn sie dann zu mir sagen wird: </w:t>
      </w:r>
      <w:r>
        <w:rPr>
          <w:strike/>
          <w:color w:val="808080"/>
        </w:rPr>
        <w:t>{Sowohl}</w:t>
      </w:r>
      <w:r>
        <w:rPr/>
        <w:t xml:space="preserve"> du sollst trinken</w:t>
      </w:r>
      <w:r>
        <w:rPr>
          <w:rStyle w:val="Funotenanker"/>
        </w:rPr>
        <w:footnoteReference w:customMarkFollows="1" w:id="586"/>
        <w:t>ag</w:t>
      </w:r>
      <w:r>
        <w:rPr/>
        <w:t xml:space="preserve"> und </w:t>
      </w:r>
      <w:r>
        <w:rPr>
          <w:strike/>
          <w:color w:val="808080"/>
        </w:rPr>
        <w:t>{als auch}</w:t>
      </w:r>
      <w:r>
        <w:rPr/>
        <w:t xml:space="preserve"> deinen Kamelen werde ich schöpfen: </w:t>
      </w:r>
      <w:r>
        <w:rPr>
          <w:b/>
          <w:color w:val="808080"/>
        </w:rPr>
        <w:t>[</w:t>
      </w:r>
      <w:r>
        <w:rPr/>
        <w:t>dann ist</w:t>
      </w:r>
      <w:r>
        <w:rPr>
          <w:b/>
          <w:color w:val="808080"/>
        </w:rPr>
        <w:t>]</w:t>
      </w:r>
      <w:r>
        <w:rPr/>
        <w:t xml:space="preserve"> sie die Frau, die </w:t>
      </w:r>
      <w:r>
        <w:rPr>
          <w:smallCaps/>
          <w:color w:val="FF0000"/>
        </w:rPr>
        <w:t>JHWH</w:t>
      </w:r>
      <w:r>
        <w:rPr/>
        <w:t xml:space="preserve"> dem Sohn meines Herrn bestimmt hat.{{field-off:bible}} </w:t>
        <w:br/>
        <w:t>[[@BibleTOBIBLE:Ge 24:45]]</w:t>
      </w:r>
      <w:r>
        <w:rPr>
          <w:b/>
        </w:rPr>
        <w:t>45</w:t>
      </w:r>
      <w:r>
        <w:rPr/>
        <w:t xml:space="preserve"> {{field-on:bible}}Bevor ich vollende, zu </w:t>
      </w:r>
      <w:r>
        <w:rPr>
          <w:color w:val="808080"/>
        </w:rPr>
        <w:t>(meinem Herzen =)</w:t>
      </w:r>
      <w:r>
        <w:rPr/>
        <w:t xml:space="preserve"> mir selbst zu sprechen, sieh!, Rebekka kommt heraus</w:t>
      </w:r>
      <w:r>
        <w:rPr>
          <w:rStyle w:val="Funotenanker"/>
        </w:rPr>
        <w:footnoteReference w:customMarkFollows="1" w:id="587"/>
        <w:t>ah</w:t>
      </w:r>
      <w:r>
        <w:rPr/>
        <w:t xml:space="preserve">, und ihr Krug </w:t>
      </w:r>
      <w:r>
        <w:rPr>
          <w:b/>
          <w:color w:val="808080"/>
        </w:rPr>
        <w:t>[</w:t>
      </w:r>
      <w:r>
        <w:rPr/>
        <w:t>ist</w:t>
      </w:r>
      <w:r>
        <w:rPr>
          <w:b/>
          <w:color w:val="808080"/>
        </w:rPr>
        <w:t>]</w:t>
      </w:r>
      <w:r>
        <w:rPr/>
        <w:t xml:space="preserve"> auf ihrer Schulter. Dann steigt sie in den Brunnen und schöpft, und ich sage zu ihr: Lass mich bitte trinken!{{field-off:bible}} </w:t>
        <w:br/>
        <w:t>[[@BibleTOBIBLE:Ge 24:46]]</w:t>
      </w:r>
      <w:r>
        <w:rPr>
          <w:b/>
        </w:rPr>
        <w:t>46</w:t>
      </w:r>
      <w:r>
        <w:rPr/>
        <w:t xml:space="preserve"> {{field-on:bible}}Da nimmt sie schnell ihren Krug von ihrer Schulter und sagt: Trink! Und auch deine Kamele will ich trinken lassen. Und ich trinke, und auch die Kamele lässt sie trinken.{{field-off:bible}} </w:t>
        <w:br/>
        <w:t>[[@BibleTOBIBLE:Ge 24:47]]</w:t>
      </w:r>
      <w:r>
        <w:rPr>
          <w:b/>
        </w:rPr>
        <w:t>47</w:t>
      </w:r>
      <w:r>
        <w:rPr/>
        <w:t xml:space="preserve"> {{field-on:bible}}Und ich frage sie und sage: Wessen Tochter bist du? Da sagt sie: Die Tochter Betuels, Sohn Nahors, den ihm Milka geboren hat, und ich stecke den Ring durch ihre Nase und die Armspangen an ihre Hände.{{field-off:bible}} </w:t>
        <w:br/>
        <w:t>[[@BibleTOBIBLE:Ge 24:48]]</w:t>
      </w:r>
      <w:r>
        <w:rPr>
          <w:b/>
        </w:rPr>
        <w:t>48</w:t>
      </w:r>
      <w:r>
        <w:rPr/>
        <w:t xml:space="preserve"> {{field-on:bible}}Und ich werfe mich nieder und bete zu </w:t>
      </w:r>
      <w:r>
        <w:rPr>
          <w:smallCaps/>
          <w:color w:val="FF0000"/>
        </w:rPr>
        <w:t>JHWH</w:t>
      </w:r>
      <w:r>
        <w:rPr/>
        <w:t xml:space="preserve"> und ich preise JHWH, den Gott meines Herrn Abraham, der mich auf dem Weg der Treue geführt hat, um </w:t>
      </w:r>
      <w:r>
        <w:rPr>
          <w:b/>
          <w:color w:val="808080"/>
        </w:rPr>
        <w:t>[</w:t>
      </w:r>
      <w:r>
        <w:rPr/>
        <w:t>zur Frau</w:t>
      </w:r>
      <w:r>
        <w:rPr>
          <w:b/>
          <w:color w:val="808080"/>
        </w:rPr>
        <w:t>]</w:t>
      </w:r>
      <w:r>
        <w:rPr/>
        <w:t xml:space="preserve"> zu nehmen die Tochter des Bruders meines Herrn für seinen Sohn.{{field-off:bible}} </w:t>
        <w:br/>
        <w:t>[[@BibleTOBIBLE:Ge 24:49]]</w:t>
      </w:r>
      <w:r>
        <w:rPr>
          <w:b/>
        </w:rPr>
        <w:t>49</w:t>
      </w:r>
      <w:r>
        <w:rPr/>
        <w:t xml:space="preserve"> {{field-on:bible}}Und nun, wenn ihr meinem Herrn Gnade und Treue </w:t>
      </w:r>
      <w:r>
        <w:rPr>
          <w:color w:val="808080"/>
        </w:rPr>
        <w:t>(tun =)</w:t>
      </w:r>
      <w:r>
        <w:rPr/>
        <w:t xml:space="preserve"> erweisen könnt, sagt es mir; und wenn nicht, sagt es mir, und ich werde mich rechts oder links wenden.{{field-off:bible}} </w:t>
        <w:br/>
        <w:t>[[@BibleTOBIBLE:Ge 24:50]]</w:t>
      </w:r>
      <w:r>
        <w:rPr>
          <w:b/>
        </w:rPr>
        <w:t>50</w:t>
      </w:r>
      <w:r>
        <w:rPr/>
        <w:t xml:space="preserve"> {{field-on:bible}}Da antworteten Laban und Betuel und sprachen: Von </w:t>
      </w:r>
      <w:r>
        <w:rPr>
          <w:smallCaps/>
          <w:color w:val="FF0000"/>
        </w:rPr>
        <w:t>JHWH</w:t>
      </w:r>
      <w:r>
        <w:rPr/>
        <w:t xml:space="preserve"> kommt das </w:t>
      </w:r>
      <w:r>
        <w:rPr>
          <w:strike/>
          <w:color w:val="808080"/>
        </w:rPr>
        <w:t>{Wort}</w:t>
      </w:r>
      <w:r>
        <w:rPr/>
        <w:t xml:space="preserve">; wir können dir </w:t>
      </w:r>
      <w:r>
        <w:rPr>
          <w:color w:val="808080"/>
        </w:rPr>
        <w:t>(weder Böses noch Gutes =)</w:t>
      </w:r>
      <w:r>
        <w:rPr/>
        <w:t xml:space="preserve"> gar nichts </w:t>
      </w:r>
      <w:r>
        <w:rPr>
          <w:b/>
          <w:color w:val="808080"/>
        </w:rPr>
        <w:t>[</w:t>
      </w:r>
      <w:r>
        <w:rPr/>
        <w:t>dazu</w:t>
      </w:r>
      <w:r>
        <w:rPr>
          <w:b/>
          <w:color w:val="808080"/>
        </w:rPr>
        <w:t>]</w:t>
      </w:r>
      <w:r>
        <w:rPr/>
        <w:t xml:space="preserve"> sagen.{{field-off:bible}} </w:t>
        <w:br/>
        <w:t>[[@BibleTOBIBLE:Ge 24:51]]</w:t>
      </w:r>
      <w:r>
        <w:rPr>
          <w:b/>
        </w:rPr>
        <w:t>51</w:t>
      </w:r>
      <w:r>
        <w:rPr/>
        <w:t xml:space="preserve"> {{field-on:bible}}Sieh, Rebekka </w:t>
      </w:r>
      <w:r>
        <w:rPr>
          <w:b/>
          <w:color w:val="808080"/>
        </w:rPr>
        <w:t>[</w:t>
      </w:r>
      <w:r>
        <w:rPr/>
        <w:t>steht</w:t>
      </w:r>
      <w:r>
        <w:rPr>
          <w:b/>
          <w:color w:val="808080"/>
        </w:rPr>
        <w:t>]</w:t>
      </w:r>
      <w:r>
        <w:rPr/>
        <w:t xml:space="preserve"> vor dir: Nimm sie und geh, sie soll die Frau des Sohnes deines Herrn werden, wie </w:t>
      </w:r>
      <w:r>
        <w:rPr>
          <w:smallCaps/>
          <w:color w:val="FF0000"/>
        </w:rPr>
        <w:t>JHWH</w:t>
      </w:r>
      <w:r>
        <w:rPr/>
        <w:t xml:space="preserve"> gesagt hat.{{field-off:bible}} </w:t>
        <w:br/>
        <w:t>[[@BibleTOBIBLE:Ge 24:52]]</w:t>
      </w:r>
      <w:r>
        <w:rPr>
          <w:b/>
        </w:rPr>
        <w:t>52</w:t>
      </w:r>
      <w:r>
        <w:rPr/>
        <w:t xml:space="preserve"> {{field-on:bible}}Als aber der Knecht Abrahams ihre Worte gehört hatte, da warf er sich für </w:t>
      </w:r>
      <w:r>
        <w:rPr>
          <w:smallCaps/>
          <w:color w:val="FF0000"/>
        </w:rPr>
        <w:t>JHWH</w:t>
      </w:r>
      <w:r>
        <w:rPr/>
        <w:t xml:space="preserve"> zur Erde nieder.{{field-off:bible}} </w:t>
        <w:br/>
        <w:t>[[@BibleTOBIBLE:Ge 24:53]]</w:t>
      </w:r>
      <w:r>
        <w:rPr>
          <w:b/>
        </w:rPr>
        <w:t>53</w:t>
      </w:r>
      <w:r>
        <w:rPr/>
        <w:t xml:space="preserve"> {{field-on:bible}}Und der Knecht holte hervor silberne Geräte </w:t>
      </w:r>
      <w:r>
        <w:rPr>
          <w:color w:val="808080"/>
        </w:rPr>
        <w:t>(Gefäße, Geschirr)</w:t>
      </w:r>
      <w:r>
        <w:rPr/>
        <w:t xml:space="preserve"> und goldene </w:t>
      </w:r>
      <w:r>
        <w:rPr>
          <w:strike/>
          <w:color w:val="808080"/>
        </w:rPr>
        <w:t>{Geräte}</w:t>
      </w:r>
      <w:r>
        <w:rPr/>
        <w:t xml:space="preserve"> und Kleider und gab sie Rebekka, und Kostbarkeiten gab er ihrem Bruder und ihrer Mutter.{{field-off:bible}} </w:t>
        <w:br/>
        <w:t>[[@BibleTOBIBLE:Ge 24:54]]</w:t>
      </w:r>
      <w:r>
        <w:rPr>
          <w:b/>
        </w:rPr>
        <w:t>54</w:t>
      </w:r>
      <w:r>
        <w:rPr/>
        <w:t xml:space="preserve"> {{field-on:bible}}Darauf aßen und tranken sie, er und die Männer, die mit ihm waren. Nachdem sie übernachtet hatten, standen sie am Morgen auf, und er sprach: Lasst mich zu meinem Herrn gehen.{{field-off:bible}} </w:t>
        <w:br/>
        <w:t>[[@BibleTOBIBLE:Ge 24:55]]</w:t>
      </w:r>
      <w:r>
        <w:rPr>
          <w:b/>
        </w:rPr>
        <w:t>55</w:t>
      </w:r>
      <w:r>
        <w:rPr/>
        <w:t xml:space="preserve"> {{field-on:bible}}Da sprachen ihr Bruder und ihre Mutter: Das Mädchen wird bei uns bleiben </w:t>
      </w:r>
      <w:r>
        <w:rPr>
          <w:b/>
          <w:color w:val="808080"/>
        </w:rPr>
        <w:t>[</w:t>
      </w:r>
      <w:r>
        <w:rPr/>
        <w:t>einige</w:t>
      </w:r>
      <w:r>
        <w:rPr>
          <w:b/>
          <w:color w:val="808080"/>
        </w:rPr>
        <w:t>]</w:t>
      </w:r>
      <w:r>
        <w:rPr/>
        <w:t xml:space="preserve"> Tage oder zehn, danach </w:t>
      </w:r>
      <w:r>
        <w:rPr>
          <w:color w:val="808080"/>
        </w:rPr>
        <w:t>(wird =)</w:t>
      </w:r>
      <w:r>
        <w:rPr/>
        <w:t xml:space="preserve"> kann sie gehen.{{field-off:bible}} </w:t>
        <w:br/>
        <w:t>[[@BibleTOBIBLE:Ge 24:56]]</w:t>
      </w:r>
      <w:r>
        <w:rPr>
          <w:b/>
        </w:rPr>
        <w:t>56</w:t>
      </w:r>
      <w:r>
        <w:rPr/>
        <w:t xml:space="preserve"> {{field-on:bible}}Er aber sprach zu ihnen: Haltet mich nicht auf! </w:t>
      </w:r>
      <w:r>
        <w:rPr>
          <w:smallCaps/>
          <w:color w:val="FF0000"/>
        </w:rPr>
        <w:t>JHWH</w:t>
      </w:r>
      <w:r>
        <w:rPr/>
        <w:t xml:space="preserve"> hat meinen Weg gelingen lassen </w:t>
      </w:r>
      <w:r>
        <w:rPr>
          <w:color w:val="808080"/>
        </w:rPr>
        <w:t>(Gelingen gegeben)</w:t>
      </w:r>
      <w:r>
        <w:rPr/>
        <w:t xml:space="preserve">. Lasst mich gehen, dann werde ich zu meinem Herrn gehen.{{field-off:bible}} </w:t>
        <w:br/>
        <w:t>[[@BibleTOBIBLE:Ge 24:57]]</w:t>
      </w:r>
      <w:r>
        <w:rPr>
          <w:b/>
        </w:rPr>
        <w:t>57</w:t>
      </w:r>
      <w:r>
        <w:rPr/>
        <w:t xml:space="preserve"> {{field-on:bible}}Da sprachen sie: Wir wollen das Mädchen rufen und ihren Mund </w:t>
      </w:r>
      <w:r>
        <w:rPr>
          <w:color w:val="808080"/>
        </w:rPr>
        <w:t>(= sie selbst)</w:t>
      </w:r>
      <w:r>
        <w:rPr/>
        <w:t xml:space="preserve"> befragen.{{field-off:bible}} </w:t>
        <w:br/>
        <w:t>[[@BibleTOBIBLE:Ge 24:58]]</w:t>
      </w:r>
      <w:r>
        <w:rPr>
          <w:b/>
        </w:rPr>
        <w:t>58</w:t>
      </w:r>
      <w:r>
        <w:rPr/>
        <w:t xml:space="preserve"> {{field-on:bible}}Darauf riefen sie Rebekka und sprachen zu ihr: Willst du mit diesem Mann gehen? Und sie sprach: Ich will gehen.{{field-off:bible}} </w:t>
        <w:br/>
        <w:t>[[@BibleTOBIBLE:Ge 24:59]]</w:t>
      </w:r>
      <w:r>
        <w:rPr>
          <w:b/>
        </w:rPr>
        <w:t>59</w:t>
      </w:r>
      <w:r>
        <w:rPr/>
        <w:t xml:space="preserve"> {{field-on:bible}}Da ließen sie Rebekka, ihre Schwester, los </w:t>
      </w:r>
      <w:r>
        <w:rPr>
          <w:color w:val="808080"/>
        </w:rPr>
        <w:t>(gaben sie frei, entließen sie)</w:t>
      </w:r>
      <w:r>
        <w:rPr/>
        <w:t xml:space="preserve"> und ihre Amme und den Knecht Abrahams und seine Männer.{{field-off:bible}} </w:t>
        <w:br/>
        <w:t>[[@BibleTOBIBLE:Ge 24:60]]</w:t>
      </w:r>
      <w:r>
        <w:rPr>
          <w:b/>
        </w:rPr>
        <w:t>60</w:t>
      </w:r>
      <w:r>
        <w:rPr/>
        <w:t xml:space="preserve"> {{field-on:bible}}Und sie segneten Rebekka und sagten zu ihr: </w:t>
        <w:br/>
        <w:t xml:space="preserve">Unsere Schwester, du sollst werden </w:t>
        <w:br/>
        <w:t xml:space="preserve">zu vielen Tausenden </w:t>
        <w:br/>
        <w:t>und du sollst in Besitz nehmen</w:t>
        <w:br/>
        <w:t>die Tore deiner Feinde.</w:t>
        <w:br/>
        <w:t xml:space="preserve">{{field-off:bible}} </w:t>
        <w:br/>
        <w:t>[[@BibleTOBIBLE:Ge 24:61]]</w:t>
      </w:r>
      <w:r>
        <w:rPr>
          <w:b/>
        </w:rPr>
        <w:t>61</w:t>
      </w:r>
      <w:r>
        <w:rPr/>
        <w:t xml:space="preserve"> {{field-on:bible}}Da brach Rebekka auf und ihre Mägde und sie ritten auf Kamelen und folgten dem Mann. Da nahm der Knecht Rebekka und zog los </w:t>
      </w:r>
      <w:r>
        <w:rPr>
          <w:color w:val="808080"/>
        </w:rPr>
        <w:t>(ging)</w:t>
      </w:r>
      <w:r>
        <w:rPr/>
        <w:t xml:space="preserve">.{{field-off:bible}} </w:t>
        <w:br/>
        <w:t>[[@BibleTOBIBLE:Ge 24:62]]</w:t>
      </w:r>
      <w:r>
        <w:rPr>
          <w:b/>
        </w:rPr>
        <w:t>62</w:t>
      </w:r>
      <w:r>
        <w:rPr/>
        <w:t xml:space="preserve"> {{field-on:bible}}Isaak aber kam …</w:t>
      </w:r>
      <w:r>
        <w:rPr>
          <w:rStyle w:val="Funotenanker"/>
        </w:rPr>
        <w:footnoteReference w:customMarkFollows="1" w:id="588"/>
        <w:t>ai</w:t>
      </w:r>
      <w:r>
        <w:rPr/>
        <w:t xml:space="preserve"> </w:t>
      </w:r>
      <w:r>
        <w:rPr>
          <w:b/>
          <w:color w:val="808080"/>
        </w:rPr>
        <w:t>[</w:t>
      </w:r>
      <w:r>
        <w:rPr/>
        <w:t>vom</w:t>
      </w:r>
      <w:r>
        <w:rPr>
          <w:b/>
          <w:color w:val="808080"/>
        </w:rPr>
        <w:t>]</w:t>
      </w:r>
      <w:r>
        <w:rPr/>
        <w:t xml:space="preserve"> Brunnen Lachai-roi</w:t>
      </w:r>
      <w:r>
        <w:rPr>
          <w:rStyle w:val="Funotenanker"/>
        </w:rPr>
        <w:footnoteReference w:customMarkFollows="1" w:id="589"/>
        <w:t>aj</w:t>
      </w:r>
      <w:r>
        <w:rPr/>
        <w:t xml:space="preserve">, und er wohnte im Südland.{{field-off:bible}} </w:t>
        <w:br/>
        <w:t>[[@BibleTOBIBLE:Ge 24:63]]</w:t>
      </w:r>
      <w:r>
        <w:rPr>
          <w:b/>
        </w:rPr>
        <w:t>63</w:t>
      </w:r>
      <w:r>
        <w:rPr/>
        <w:t xml:space="preserve"> {{field-on:bible}}Isaak ging gerade auf das Feld um zu …</w:t>
      </w:r>
      <w:r>
        <w:rPr>
          <w:rStyle w:val="Funotenanker"/>
        </w:rPr>
        <w:footnoteReference w:customMarkFollows="1" w:id="590"/>
        <w:t>ak</w:t>
      </w:r>
      <w:r>
        <w:rPr/>
        <w:t xml:space="preserve"> gegen Abend. Als er seine Augen erhob </w:t>
      </w:r>
      <w:r>
        <w:rPr>
          <w:color w:val="808080"/>
        </w:rPr>
        <w:t>(= aufblickte)</w:t>
      </w:r>
      <w:r>
        <w:rPr/>
        <w:t xml:space="preserve">, da sah er, und sieh! Kamele kommen!{{field-off:bible}} </w:t>
        <w:br/>
        <w:t>[[@BibleTOBIBLE:Ge 24:64]]</w:t>
      </w:r>
      <w:r>
        <w:rPr>
          <w:b/>
        </w:rPr>
        <w:t>64</w:t>
      </w:r>
      <w:r>
        <w:rPr/>
        <w:t xml:space="preserve"> {{field-on:bible}}Und als Rebekka ihre Augen erhob </w:t>
      </w:r>
      <w:r>
        <w:rPr>
          <w:color w:val="808080"/>
        </w:rPr>
        <w:t>(= aufblickte)</w:t>
      </w:r>
      <w:r>
        <w:rPr/>
        <w:t xml:space="preserve">, da sah sie Isaak. Da stieg sie ab vom Kamel.{{field-off:bible}} </w:t>
        <w:br/>
        <w:t>[[@BibleTOBIBLE:Ge 24:65]]</w:t>
      </w:r>
      <w:r>
        <w:rPr>
          <w:b/>
        </w:rPr>
        <w:t>65</w:t>
      </w:r>
      <w:r>
        <w:rPr/>
        <w:t xml:space="preserve"> {{field-on:bible}}Und sie sprach zu dem Knecht </w:t>
      </w:r>
      <w:r>
        <w:rPr>
          <w:color w:val="808080"/>
        </w:rPr>
        <w:t>(Diener)</w:t>
      </w:r>
      <w:r>
        <w:rPr/>
        <w:t xml:space="preserve">: Wer ist der Mann, der da, der uns entgegen kommt auf dem Feld? Da sprach der Knecht </w:t>
      </w:r>
      <w:r>
        <w:rPr>
          <w:color w:val="808080"/>
        </w:rPr>
        <w:t>(Diener)</w:t>
      </w:r>
      <w:r>
        <w:rPr/>
        <w:t xml:space="preserve">: Das ist mein Herr. Da nahm sie den Schleier und verhüllte sich.{{field-off:bible}} </w:t>
        <w:br/>
        <w:t>[[@BibleTOBIBLE:Ge 24:66]]</w:t>
      </w:r>
      <w:r>
        <w:rPr>
          <w:b/>
        </w:rPr>
        <w:t>66</w:t>
      </w:r>
      <w:r>
        <w:rPr/>
        <w:t xml:space="preserve"> {{field-on:bible}}Der Knecht aber erzählte Isaak </w:t>
      </w:r>
      <w:r>
        <w:rPr>
          <w:color w:val="808080"/>
        </w:rPr>
        <w:t>(alle Dinge, die =)</w:t>
      </w:r>
      <w:r>
        <w:rPr/>
        <w:t xml:space="preserve"> alles, was er getan hatte.{{field-off:bible}} </w:t>
        <w:br/>
        <w:t>[[@BibleTOBIBLE:Ge 24:67]]</w:t>
      </w:r>
      <w:r>
        <w:rPr>
          <w:b/>
        </w:rPr>
        <w:t>67</w:t>
      </w:r>
      <w:r>
        <w:rPr/>
        <w:t xml:space="preserve"> {{field-on:bible}}Da führte Isaak sie in das Zelt von Sara, seiner Mutter. Und er nahm Rebekka und sie wurde seine Frau, und er liebte sie. So wurde Isaak getröstet nach </w:t>
      </w:r>
      <w:r>
        <w:rPr>
          <w:b/>
          <w:color w:val="808080"/>
        </w:rPr>
        <w:t>[</w:t>
      </w:r>
      <w:r>
        <w:rPr/>
        <w:t>dem Tode</w:t>
      </w:r>
      <w:r>
        <w:rPr>
          <w:b/>
          <w:color w:val="808080"/>
        </w:rPr>
        <w:t>]</w:t>
      </w:r>
      <w:r>
        <w:rPr/>
        <w:t xml:space="preserve"> seiner Mutter.{{field-off:bible}} </w:t>
      </w:r>
    </w:p>
    <w:p>
      <w:pPr>
        <w:pStyle w:val="Berschrift3"/>
        <w:rPr/>
      </w:pPr>
      <w:r>
        <w:rPr/>
        <w:t>[[@BibleTOBIBLE:Ge 25]]Kapitel 25</w:t>
      </w:r>
    </w:p>
    <w:p>
      <w:pPr>
        <w:pStyle w:val="Textkrper"/>
        <w:rPr/>
      </w:pPr>
      <w:r>
        <w:rPr/>
        <w:br/>
        <w:t>[[@BibleTOBIBLE:Ge 25:19]]</w:t>
      </w:r>
      <w:r>
        <w:rPr>
          <w:b/>
        </w:rPr>
        <w:t>19</w:t>
      </w:r>
      <w:r>
        <w:rPr/>
        <w:t xml:space="preserve"> {{field-on:bible}}Dies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591"/>
        <w:t>a</w:t>
      </w:r>
      <w:r>
        <w:rPr/>
        <w:t xml:space="preserve">, als er nahm </w:t>
      </w:r>
      <w:r>
        <w:rPr>
          <w:rStyle w:val="Funotenanker"/>
        </w:rPr>
        <w:footnoteReference w:customMarkFollows="1" w:id="592"/>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593"/>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594"/>
        <w:t>d</w:t>
      </w:r>
      <w:r>
        <w:rPr/>
        <w:t xml:space="preserve"> </w:t>
      </w:r>
      <w:r>
        <w:rPr>
          <w:color w:val="808080"/>
        </w:rPr>
        <w:t>(sprangen, hüpften)</w:t>
      </w:r>
      <w:r>
        <w:rPr/>
        <w:t xml:space="preserve"> </w:t>
      </w:r>
      <w:r>
        <w:rPr>
          <w:rStyle w:val="Funotenanker"/>
        </w:rPr>
        <w:footnoteReference w:customMarkFollows="1" w:id="595"/>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596"/>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597"/>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598"/>
        <w:t>h</w:t>
      </w:r>
      <w:r>
        <w:rPr/>
        <w:t xml:space="preserve"> seinen Namen Jakob </w:t>
      </w:r>
      <w:r>
        <w:rPr>
          <w:color w:val="808080"/>
        </w:rPr>
        <w:t>(man rief seinen Namen Jakob)</w:t>
      </w:r>
      <w:r>
        <w:rPr/>
        <w:t xml:space="preserve">. Isaak war sechzig Jahre alt </w:t>
      </w:r>
      <w:r>
        <w:rPr>
          <w:rStyle w:val="Funotenanker"/>
        </w:rPr>
        <w:footnoteReference w:customMarkFollows="1" w:id="599"/>
        <w:t>i</w:t>
      </w:r>
      <w:r>
        <w:rPr/>
        <w:t xml:space="preserve"> bei ihrer Geburt</w:t>
      </w:r>
      <w:r>
        <w:rPr>
          <w:rStyle w:val="Funotenanker"/>
        </w:rPr>
        <w:footnoteReference w:customMarkFollows="1" w:id="600"/>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601"/>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27]]Kapitel 27</w:t>
      </w:r>
    </w:p>
    <w:p>
      <w:pPr>
        <w:pStyle w:val="Textkrper"/>
        <w:rPr/>
      </w:pPr>
      <w:r>
        <w:rPr/>
        <w:br/>
        <w:t>[[@BibleTOBIBLE:Ge 27:1]]</w:t>
      </w:r>
      <w:r>
        <w:rPr>
          <w:b/>
        </w:rPr>
        <w:t>1</w:t>
      </w:r>
      <w:r>
        <w:rPr/>
        <w:t xml:space="preserve"> {{field-on:bible}} </w:t>
      </w:r>
      <w:r>
        <w:rPr>
          <w:color w:val="808080"/>
        </w:rPr>
        <w:t>(Und es begab sich, dass =)</w:t>
      </w:r>
      <w:r>
        <w:rPr/>
        <w:t xml:space="preserve"> Als Isaak alt </w:t>
      </w:r>
      <w:r>
        <w:rPr>
          <w:b/>
          <w:color w:val="808080"/>
        </w:rPr>
        <w:t>[</w:t>
      </w:r>
      <w:r>
        <w:rPr/>
        <w:t>geworden war</w:t>
      </w:r>
      <w:r>
        <w:rPr>
          <w:b/>
          <w:color w:val="808080"/>
        </w:rPr>
        <w:t>]</w:t>
      </w:r>
      <w:r>
        <w:rPr/>
        <w:t xml:space="preserve"> und seine Augen nachgelassen hatten, sodass er nicht mehr sehen konnte</w:t>
      </w:r>
      <w:r>
        <w:rPr>
          <w:rStyle w:val="Funotenanker"/>
        </w:rPr>
        <w:footnoteReference w:customMarkFollows="1" w:id="602"/>
        <w:t>a</w:t>
      </w:r>
      <w:r>
        <w:rPr/>
        <w:t xml:space="preserve">, rief er Esau, seinen älteren Sohn. Und er sprach zu ihm: Mein Sohn! Und er </w:t>
      </w:r>
      <w:r>
        <w:rPr>
          <w:color w:val="808080"/>
        </w:rPr>
        <w:t>(sprach =)</w:t>
      </w:r>
      <w:r>
        <w:rPr/>
        <w:t xml:space="preserve"> antwortete: Ja?</w:t>
      </w:r>
      <w:r>
        <w:rPr>
          <w:rStyle w:val="Funotenanker"/>
        </w:rPr>
        <w:footnoteReference w:customMarkFollows="1" w:id="603"/>
        <w:t>b</w:t>
      </w:r>
      <w:r>
        <w:rPr/>
        <w:t xml:space="preserve"> {{field-off:bible}} </w:t>
        <w:br/>
        <w:t>[[@BibleTOBIBLE:Ge 27:2]]</w:t>
      </w:r>
      <w:r>
        <w:rPr>
          <w:b/>
        </w:rPr>
        <w:t>2</w:t>
      </w:r>
      <w:r>
        <w:rPr/>
        <w:t xml:space="preserve"> {{field-on:bible}}Und </w:t>
      </w:r>
      <w:r>
        <w:rPr>
          <w:strike/>
          <w:color w:val="808080"/>
        </w:rPr>
        <w:t>{er}</w:t>
      </w:r>
      <w:r>
        <w:rPr/>
        <w:t xml:space="preserve"> </w:t>
      </w:r>
      <w:r>
        <w:rPr>
          <w:b/>
          <w:color w:val="808080"/>
        </w:rPr>
        <w:t>[</w:t>
      </w:r>
      <w:r>
        <w:rPr/>
        <w:t>Isaak</w:t>
      </w:r>
      <w:r>
        <w:rPr>
          <w:b/>
          <w:color w:val="808080"/>
        </w:rPr>
        <w:t>]</w:t>
      </w:r>
      <w:r>
        <w:rPr/>
        <w:t xml:space="preserve"> sprach: Du weißt</w:t>
      </w:r>
      <w:r>
        <w:rPr>
          <w:rStyle w:val="Funotenanker"/>
        </w:rPr>
        <w:footnoteReference w:customMarkFollows="1" w:id="604"/>
        <w:t>c</w:t>
      </w:r>
      <w:r>
        <w:rPr/>
        <w:t xml:space="preserve">, ich bin alt geworden. Ich weiß nicht </w:t>
      </w:r>
      <w:r>
        <w:rPr>
          <w:color w:val="808080"/>
        </w:rPr>
        <w:t>(den Tag meines Todes =)</w:t>
      </w:r>
      <w:r>
        <w:rPr/>
        <w:t xml:space="preserve">, wann ich sterben werde.{{field-off:bible}} </w:t>
        <w:br/>
        <w:t>[[@BibleTOBIBLE:Ge 27:3]]</w:t>
      </w:r>
      <w:r>
        <w:rPr>
          <w:b/>
        </w:rPr>
        <w:t>3</w:t>
      </w:r>
      <w:r>
        <w:rPr/>
        <w:t xml:space="preserve"> {{field-on:bible}}Darum nimm deine Ausrüstung, dein Wehrgehänge</w:t>
      </w:r>
      <w:r>
        <w:rPr>
          <w:rStyle w:val="Funotenanker"/>
        </w:rPr>
        <w:footnoteReference w:customMarkFollows="1" w:id="605"/>
        <w:t>d</w:t>
      </w:r>
      <w:r>
        <w:rPr/>
        <w:t xml:space="preserve"> und deinen Bogen, geh hinaus aufs Feld und </w:t>
      </w:r>
      <w:r>
        <w:rPr>
          <w:color w:val="808080"/>
        </w:rPr>
        <w:t>(jage =)</w:t>
      </w:r>
      <w:r>
        <w:rPr/>
        <w:t xml:space="preserve"> erlege mir ein Wildpret</w:t>
      </w:r>
      <w:r>
        <w:rPr>
          <w:rStyle w:val="Funotenanker"/>
        </w:rPr>
        <w:footnoteReference w:customMarkFollows="1" w:id="606"/>
        <w:t>e</w:t>
      </w:r>
      <w:r>
        <w:rPr/>
        <w:t xml:space="preserve">.{{field-off:bible}} </w:t>
        <w:br/>
        <w:t>[[@BibleTOBIBLE:Ge 27:4]]</w:t>
      </w:r>
      <w:r>
        <w:rPr>
          <w:b/>
        </w:rPr>
        <w:t>4</w:t>
      </w:r>
      <w:r>
        <w:rPr/>
        <w:t xml:space="preserve"> {{field-on:bible}}Und bereite mir einen Leckerbissen zu, wie ich es </w:t>
      </w:r>
      <w:r>
        <w:rPr>
          <w:color w:val="808080"/>
        </w:rPr>
        <w:t>(ihn?)</w:t>
      </w:r>
      <w:r>
        <w:rPr/>
        <w:t xml:space="preserve"> </w:t>
      </w:r>
      <w:r>
        <w:rPr>
          <w:rStyle w:val="Funotenanker"/>
        </w:rPr>
        <w:footnoteReference w:customMarkFollows="1" w:id="607"/>
        <w:t>f</w:t>
      </w:r>
      <w:r>
        <w:rPr/>
        <w:t xml:space="preserve"> liebe, bringe ihn mir, und ich esse</w:t>
      </w:r>
      <w:r>
        <w:rPr>
          <w:rStyle w:val="Funotenanker"/>
        </w:rPr>
        <w:footnoteReference w:customMarkFollows="1" w:id="608"/>
        <w:t>g</w:t>
      </w:r>
      <w:r>
        <w:rPr/>
        <w:t xml:space="preserve"> ihn, damit </w:t>
      </w:r>
      <w:r>
        <w:rPr>
          <w:color w:val="808080"/>
        </w:rPr>
        <w:t>(meine Seele =)</w:t>
      </w:r>
      <w:r>
        <w:rPr/>
        <w:t xml:space="preserve"> ich dich segne, bevor ich sterbe.{{field-off:bible}} </w:t>
        <w:br/>
        <w:t>[[@BibleTOBIBLE:Ge 27:5]]</w:t>
      </w:r>
      <w:r>
        <w:rPr>
          <w:b/>
        </w:rPr>
        <w:t>5</w:t>
      </w:r>
      <w:r>
        <w:rPr/>
        <w:t xml:space="preserve"> {{field-on:bible}}Aber Rebekka hörte</w:t>
      </w:r>
      <w:r>
        <w:rPr>
          <w:rStyle w:val="Funotenanker"/>
        </w:rPr>
        <w:footnoteReference w:customMarkFollows="1" w:id="609"/>
        <w:t>h</w:t>
      </w:r>
      <w:r>
        <w:rPr/>
        <w:t xml:space="preserve"> die Worte Isaaks an seinen Sohn Esau. Da ging Esau aufs Feld, um ein Wildpret zu jagen, um es zu bringen</w:t>
      </w:r>
      <w:r>
        <w:rPr>
          <w:rStyle w:val="Funotenanker"/>
        </w:rPr>
        <w:footnoteReference w:customMarkFollows="1" w:id="610"/>
        <w:t>i</w:t>
      </w:r>
      <w:r>
        <w:rPr/>
        <w:t xml:space="preserve"> {{field-off:bible}} </w:t>
        <w:br/>
        <w:t>[[@BibleTOBIBLE:Ge 27:6]]</w:t>
      </w:r>
      <w:r>
        <w:rPr>
          <w:b/>
        </w:rPr>
        <w:t>6</w:t>
      </w:r>
      <w:r>
        <w:rPr/>
        <w:t xml:space="preserve"> {{field-on:bible}}Rebekka sprach zu Jakob, ihrem Sohn </w:t>
      </w:r>
      <w:r>
        <w:rPr>
          <w:strike/>
          <w:color w:val="808080"/>
        </w:rPr>
        <w:t>{folgendermaßen}</w:t>
      </w:r>
      <w:r>
        <w:rPr/>
        <w:t xml:space="preserve">: </w:t>
      </w:r>
      <w:r>
        <w:rPr>
          <w:color w:val="808080"/>
        </w:rPr>
        <w:t>(Siehe =)</w:t>
      </w:r>
      <w:r>
        <w:rPr/>
        <w:t xml:space="preserve"> Pass auf, ich habe deinen Vater reden</w:t>
      </w:r>
      <w:r>
        <w:rPr>
          <w:rStyle w:val="Funotenanker"/>
        </w:rPr>
        <w:footnoteReference w:customMarkFollows="1" w:id="611"/>
        <w:t>j</w:t>
      </w:r>
      <w:r>
        <w:rPr/>
        <w:t xml:space="preserve"> hören zu Esau, deinen Bruder </w:t>
      </w:r>
      <w:r>
        <w:rPr>
          <w:strike/>
          <w:color w:val="808080"/>
        </w:rPr>
        <w:t>{folgendermaßen}</w:t>
      </w:r>
      <w:r>
        <w:rPr/>
        <w:t xml:space="preserve">:{{field-off:bible}} </w:t>
        <w:br/>
        <w:t>[[@BibleTOBIBLE:Ge 27:7]]</w:t>
      </w:r>
      <w:r>
        <w:rPr>
          <w:b/>
        </w:rPr>
        <w:t>7</w:t>
      </w:r>
      <w:r>
        <w:rPr/>
        <w:t xml:space="preserve"> {{field-on:bible}}Bring mir ein Wildpret und und bereite mir einen Leckerbissen zu, und ich esse ihn. Dann werde ich dich segnen vor </w:t>
      </w:r>
      <w:r>
        <w:rPr>
          <w:smallCaps/>
          <w:color w:val="FF0000"/>
        </w:rPr>
        <w:t>JHWH</w:t>
      </w:r>
      <w:r>
        <w:rPr/>
        <w:t xml:space="preserve"> vor meinem Tod.{{field-off:bible}} </w:t>
        <w:br/>
        <w:t>[[@BibleTOBIBLE:Ge 27:8]]</w:t>
      </w:r>
      <w:r>
        <w:rPr>
          <w:b/>
        </w:rPr>
        <w:t>8</w:t>
      </w:r>
      <w:r>
        <w:rPr/>
        <w:t xml:space="preserve"> {{field-on:bible}}Und nun, mein Sohn, höre auf </w:t>
      </w:r>
      <w:r>
        <w:rPr>
          <w:color w:val="808080"/>
        </w:rPr>
        <w:t>(meine Stimme =)</w:t>
      </w:r>
      <w:r>
        <w:rPr/>
        <w:t xml:space="preserve"> mich, was ich dir befehle </w:t>
      </w:r>
      <w:r>
        <w:rPr>
          <w:color w:val="808080"/>
        </w:rPr>
        <w:t>(anordne)</w:t>
      </w:r>
      <w:r>
        <w:rPr/>
        <w:t xml:space="preserve">:{{field-off:bible}} </w:t>
        <w:br/>
        <w:t>[[@BibleTOBIBLE:Ge 27:9]]</w:t>
      </w:r>
      <w:r>
        <w:rPr>
          <w:b/>
        </w:rPr>
        <w:t>9</w:t>
      </w:r>
      <w:r>
        <w:rPr/>
        <w:t xml:space="preserve"> {{field-on:bible}}Geh zum Kleinvieh und nimm dir von </w:t>
      </w:r>
      <w:r>
        <w:rPr>
          <w:color w:val="808080"/>
        </w:rPr>
        <w:t>(dort =)</w:t>
      </w:r>
      <w:r>
        <w:rPr/>
        <w:t xml:space="preserve"> der Herde zwei schöne Ziegenböckchen. Ich werde sie zu einem Leckerbissen für deinen Vater zubereiten, wie er es </w:t>
      </w:r>
      <w:r>
        <w:rPr>
          <w:color w:val="808080"/>
        </w:rPr>
        <w:t>(ihn?)</w:t>
      </w:r>
      <w:r>
        <w:rPr/>
        <w:t xml:space="preserve"> liebt.{{field-off:bible}} </w:t>
        <w:br/>
        <w:t>[[@BibleTOBIBLE:Ge 27:10]]</w:t>
      </w:r>
      <w:r>
        <w:rPr>
          <w:b/>
        </w:rPr>
        <w:t>10</w:t>
      </w:r>
      <w:r>
        <w:rPr/>
        <w:t xml:space="preserve"> {{field-on:bible}}Und du sollst </w:t>
      </w:r>
      <w:r>
        <w:rPr>
          <w:b/>
          <w:color w:val="808080"/>
        </w:rPr>
        <w:t>[</w:t>
      </w:r>
      <w:r>
        <w:rPr/>
        <w:t>ihn</w:t>
      </w:r>
      <w:r>
        <w:rPr>
          <w:b/>
          <w:color w:val="808080"/>
        </w:rPr>
        <w:t>]</w:t>
      </w:r>
      <w:r>
        <w:rPr/>
        <w:t xml:space="preserve"> deinem Vater bringen, und er wird </w:t>
      </w:r>
      <w:r>
        <w:rPr>
          <w:b/>
          <w:color w:val="808080"/>
        </w:rPr>
        <w:t>[</w:t>
      </w:r>
      <w:r>
        <w:rPr/>
        <w:t>ihn</w:t>
      </w:r>
      <w:r>
        <w:rPr>
          <w:b/>
          <w:color w:val="808080"/>
        </w:rPr>
        <w:t>]</w:t>
      </w:r>
      <w:r>
        <w:rPr/>
        <w:t xml:space="preserve"> essen, damit er dich segnet vor seinem Tod.{{field-off:bible}} </w:t>
        <w:br/>
        <w:t>[[@BibleTOBIBLE:Ge 27:11]]</w:t>
      </w:r>
      <w:r>
        <w:rPr>
          <w:b/>
        </w:rPr>
        <w:t>11</w:t>
      </w:r>
      <w:r>
        <w:rPr/>
        <w:t xml:space="preserve"> {{field-on:bible}}Da sprach Jakob zu seiner Mutter Rebekka: Sieh, mein Bruder Esau ist ein haariger Mann, aber ich bin ein glatter</w:t>
      </w:r>
      <w:r>
        <w:rPr>
          <w:rStyle w:val="Funotenanker"/>
        </w:rPr>
        <w:footnoteReference w:customMarkFollows="1" w:id="612"/>
        <w:t>k</w:t>
      </w:r>
      <w:r>
        <w:rPr/>
        <w:t xml:space="preserve"> Mann.{{field-off:bible}} </w:t>
        <w:br/>
        <w:t>[[@BibleTOBIBLE:Ge 27:12]]</w:t>
      </w:r>
      <w:r>
        <w:rPr>
          <w:b/>
        </w:rPr>
        <w:t>12</w:t>
      </w:r>
      <w:r>
        <w:rPr/>
        <w:t xml:space="preserve"> {{field-on:bible}}Vielleicht betastet mich mein Vater </w:t>
      </w:r>
      <w:r>
        <w:rPr>
          <w:color w:val="808080"/>
        </w:rPr>
        <w:t>(und ich werde in seinen Augen wie einer, der Spott treibt =)</w:t>
      </w:r>
      <w:r>
        <w:rPr/>
        <w:t xml:space="preserve"> und er glaubt, ich will ihn verspotten, und er bringt über mich Fluch und nicht Segen.{{field-off:bible}} </w:t>
        <w:br/>
        <w:t>[[@BibleTOBIBLE:Ge 27:13]]</w:t>
      </w:r>
      <w:r>
        <w:rPr>
          <w:b/>
        </w:rPr>
        <w:t>13</w:t>
      </w:r>
      <w:r>
        <w:rPr/>
        <w:t xml:space="preserve"> {{field-on:bible}}Da sprach seine Mutter zu ihm: Über mich </w:t>
      </w:r>
      <w:r>
        <w:rPr>
          <w:b/>
          <w:color w:val="808080"/>
        </w:rPr>
        <w:t>[</w:t>
      </w:r>
      <w:r>
        <w:rPr/>
        <w:t>komme</w:t>
      </w:r>
      <w:r>
        <w:rPr>
          <w:b/>
          <w:color w:val="808080"/>
        </w:rPr>
        <w:t>]</w:t>
      </w:r>
      <w:r>
        <w:rPr/>
        <w:t xml:space="preserve"> dein Fluch, mein Sohn. Doch höre auf </w:t>
      </w:r>
      <w:r>
        <w:rPr>
          <w:color w:val="808080"/>
        </w:rPr>
        <w:t>(meine Stimme =)</w:t>
      </w:r>
      <w:r>
        <w:rPr/>
        <w:t xml:space="preserve"> mich und geh, bring mir.{{field-off:bible}} </w:t>
        <w:br/>
        <w:t>[[@BibleTOBIBLE:Ge 27:14]]</w:t>
      </w:r>
      <w:r>
        <w:rPr>
          <w:b/>
        </w:rPr>
        <w:t>14</w:t>
      </w:r>
      <w:r>
        <w:rPr/>
        <w:t xml:space="preserve"> {{field-on:bible}}Da ging Jakob und nahm und brachte seiner Mutter. Und seine Mutter bereitete einen Leckerbissen zu, wie ihn </w:t>
      </w:r>
      <w:r>
        <w:rPr>
          <w:color w:val="808080"/>
        </w:rPr>
        <w:t>(es?)</w:t>
      </w:r>
      <w:r>
        <w:rPr/>
        <w:t xml:space="preserve"> sein Vater liebte.{{field-off:bible}} </w:t>
        <w:br/>
        <w:t>[[@BibleTOBIBLE:Ge 27:15]]</w:t>
      </w:r>
      <w:r>
        <w:rPr>
          <w:b/>
        </w:rPr>
        <w:t>15</w:t>
      </w:r>
      <w:r>
        <w:rPr/>
        <w:t xml:space="preserve"> {{field-on:bible}}Und Rebekka nahm die gute Kleidung ihres älteren Sohnes Esau, die bei ihr im Haus </w:t>
      </w:r>
      <w:r>
        <w:rPr>
          <w:b/>
          <w:color w:val="808080"/>
        </w:rPr>
        <w:t>[</w:t>
      </w:r>
      <w:r>
        <w:rPr/>
        <w:t>war</w:t>
      </w:r>
      <w:r>
        <w:rPr>
          <w:b/>
          <w:color w:val="808080"/>
        </w:rPr>
        <w:t>]</w:t>
      </w:r>
      <w:r>
        <w:rPr/>
        <w:t xml:space="preserve">, und bekleidete </w:t>
      </w:r>
      <w:r>
        <w:rPr>
          <w:b/>
          <w:color w:val="808080"/>
        </w:rPr>
        <w:t>[</w:t>
      </w:r>
      <w:r>
        <w:rPr/>
        <w:t>damit</w:t>
      </w:r>
      <w:r>
        <w:rPr>
          <w:b/>
          <w:color w:val="808080"/>
        </w:rPr>
        <w:t>]</w:t>
      </w:r>
      <w:r>
        <w:rPr/>
        <w:t xml:space="preserve"> ihren jüngeren Sohn Jakob.{{field-off:bible}} </w:t>
        <w:br/>
        <w:t>[[@BibleTOBIBLE:Ge 27:16]]</w:t>
      </w:r>
      <w:r>
        <w:rPr>
          <w:b/>
        </w:rPr>
        <w:t>16</w:t>
      </w:r>
      <w:r>
        <w:rPr/>
        <w:t xml:space="preserve"> {{field-on:bible}}Und die Felle der Ziegenböckchen legte sie seinen Händen an und auf seinen glatten Hals.{{field-off:bible}} </w:t>
        <w:br/>
        <w:t>[[@BibleTOBIBLE:Ge 27:17]]</w:t>
      </w:r>
      <w:r>
        <w:rPr>
          <w:b/>
        </w:rPr>
        <w:t>17</w:t>
      </w:r>
      <w:r>
        <w:rPr/>
        <w:t xml:space="preserve"> {{field-on:bible}}Und sie gab den Leckerbissen und das Brot, die sie zubereitet hatte, ihrem Sohn Jakob in die Hand.{{field-off:bible}} </w:t>
        <w:br/>
        <w:t>[[@BibleTOBIBLE:Ge 27:18]]</w:t>
      </w:r>
      <w:r>
        <w:rPr>
          <w:b/>
        </w:rPr>
        <w:t>18</w:t>
      </w:r>
      <w:r>
        <w:rPr/>
        <w:t xml:space="preserve"> {{field-on:bible}}Er ging zu seinem Vater und sprach: Mein Vater! Und er sprach: </w:t>
      </w:r>
      <w:r>
        <w:rPr>
          <w:color w:val="808080"/>
        </w:rPr>
        <w:t>(hier bin ich! =)</w:t>
      </w:r>
      <w:r>
        <w:rPr/>
        <w:t xml:space="preserve"> Ja? Wer </w:t>
      </w:r>
      <w:r>
        <w:rPr>
          <w:b/>
          <w:color w:val="808080"/>
        </w:rPr>
        <w:t>[</w:t>
      </w:r>
      <w:r>
        <w:rPr/>
        <w:t>bist</w:t>
      </w:r>
      <w:r>
        <w:rPr>
          <w:b/>
          <w:color w:val="808080"/>
        </w:rPr>
        <w:t>]</w:t>
      </w:r>
      <w:r>
        <w:rPr/>
        <w:t xml:space="preserve"> du, mein Sohn?{{field-off:bible}} </w:t>
        <w:br/>
        <w:t>[[@BibleTOBIBLE:Ge 27:19]]</w:t>
      </w:r>
      <w:r>
        <w:rPr>
          <w:b/>
        </w:rPr>
        <w:t>19</w:t>
      </w:r>
      <w:r>
        <w:rPr/>
        <w:t xml:space="preserve"> {{field-on:bible}}Jakob </w:t>
      </w:r>
      <w:r>
        <w:rPr>
          <w:color w:val="808080"/>
        </w:rPr>
        <w:t>(sprach =)</w:t>
      </w:r>
      <w:r>
        <w:rPr/>
        <w:t xml:space="preserve"> antwortete seinem Vater: Ich bin Esau, dein Erstgeborener. Ich habe getan, </w:t>
      </w:r>
      <w:r>
        <w:rPr>
          <w:color w:val="808080"/>
        </w:rPr>
        <w:t>(wie du mir gesagt =)</w:t>
      </w:r>
      <w:r>
        <w:rPr/>
        <w:t xml:space="preserve"> worum du mich gebeten hast. </w:t>
      </w:r>
      <w:r>
        <w:rPr>
          <w:color w:val="808080"/>
        </w:rPr>
        <w:t>(Steh auf =)</w:t>
      </w:r>
      <w:r>
        <w:rPr/>
        <w:t xml:space="preserve"> Komm, setz dich und iss von meinem Wildpret, damit </w:t>
      </w:r>
      <w:r>
        <w:rPr>
          <w:color w:val="808080"/>
        </w:rPr>
        <w:t>(deine Seele =)</w:t>
      </w:r>
      <w:r>
        <w:rPr/>
        <w:t xml:space="preserve"> du mich segnest.{{field-off:bible}} </w:t>
        <w:br/>
        <w:t>[[@BibleTOBIBLE:Ge 27:20]]</w:t>
      </w:r>
      <w:r>
        <w:rPr>
          <w:b/>
        </w:rPr>
        <w:t>20</w:t>
      </w:r>
      <w:r>
        <w:rPr/>
        <w:t xml:space="preserve"> {{field-on:bible}}Da sprach Isaak zu seinem Sohn: Wie hast du so schnell </w:t>
      </w:r>
      <w:r>
        <w:rPr>
          <w:b/>
          <w:color w:val="808080"/>
        </w:rPr>
        <w:t>[</w:t>
      </w:r>
      <w:r>
        <w:rPr/>
        <w:t>Wild</w:t>
      </w:r>
      <w:r>
        <w:rPr>
          <w:b/>
          <w:color w:val="808080"/>
        </w:rPr>
        <w:t>]</w:t>
      </w:r>
      <w:r>
        <w:rPr/>
        <w:t xml:space="preserve"> gefunden, mein Sohn? Er </w:t>
      </w:r>
      <w:r>
        <w:rPr>
          <w:color w:val="808080"/>
        </w:rPr>
        <w:t>(sprach =)</w:t>
      </w:r>
      <w:r>
        <w:rPr/>
        <w:t xml:space="preserve"> antwortete: </w:t>
      </w:r>
      <w:r>
        <w:rPr>
          <w:smallCaps/>
          <w:color w:val="FF0000"/>
        </w:rPr>
        <w:t>JHWH</w:t>
      </w:r>
      <w:r>
        <w:rPr/>
        <w:t xml:space="preserve">, dein Gott, hat es für mich </w:t>
      </w:r>
      <w:r>
        <w:rPr>
          <w:b/>
          <w:color w:val="808080"/>
        </w:rPr>
        <w:t>[</w:t>
      </w:r>
      <w:r>
        <w:rPr/>
        <w:t>so</w:t>
      </w:r>
      <w:r>
        <w:rPr>
          <w:b/>
          <w:color w:val="808080"/>
        </w:rPr>
        <w:t>]</w:t>
      </w:r>
      <w:r>
        <w:rPr/>
        <w:t xml:space="preserve"> gefügt.{{field-off:bible}} </w:t>
        <w:br/>
        <w:t>[[@BibleTOBIBLE:Ge 27:21]]</w:t>
      </w:r>
      <w:r>
        <w:rPr>
          <w:b/>
        </w:rPr>
        <w:t>21</w:t>
      </w:r>
      <w:r>
        <w:rPr/>
        <w:t xml:space="preserve"> {{field-on:bible}}Da sprach Isaak zu Jakob: Komm her, damit</w:t>
      </w:r>
      <w:r>
        <w:rPr>
          <w:rStyle w:val="Funotenanker"/>
        </w:rPr>
        <w:footnoteReference w:customMarkFollows="1" w:id="613"/>
        <w:t>l</w:t>
      </w:r>
      <w:r>
        <w:rPr/>
        <w:t xml:space="preserve"> ich dich betaste, mein Sohn, ob das mein Sohn Esau </w:t>
      </w:r>
      <w:r>
        <w:rPr>
          <w:b/>
          <w:color w:val="808080"/>
        </w:rPr>
        <w:t>[</w:t>
      </w:r>
      <w:r>
        <w:rPr/>
        <w:t>ist</w:t>
      </w:r>
      <w:r>
        <w:rPr>
          <w:b/>
          <w:color w:val="808080"/>
        </w:rPr>
        <w:t>]</w:t>
      </w:r>
      <w:r>
        <w:rPr/>
        <w:t xml:space="preserve"> oder nicht.{{field-off:bible}} </w:t>
        <w:br/>
        <w:t>[[@BibleTOBIBLE:Ge 27:22]]</w:t>
      </w:r>
      <w:r>
        <w:rPr>
          <w:b/>
        </w:rPr>
        <w:t>22</w:t>
      </w:r>
      <w:r>
        <w:rPr/>
        <w:t xml:space="preserve"> {{field-on:bible}}Jakob trat zu seinem Vater Isaak, und er betastete ihn. Und er sprach: Die Stimme ist die Stimme Jakobs, aber die Hände sind die Hände Esaus.{{field-off:bible}} </w:t>
        <w:br/>
        <w:t>[[@BibleTOBIBLE:Ge 27:23]]</w:t>
      </w:r>
      <w:r>
        <w:rPr>
          <w:b/>
        </w:rPr>
        <w:t>23</w:t>
      </w:r>
      <w:r>
        <w:rPr/>
        <w:t xml:space="preserve"> {{field-on:bible}}Aber er erkannte ihn nicht, denn er hatte behaarte Hände wie die Hände Esaus, seines Bruders, und er segnete ihn.{{field-off:bible}} </w:t>
        <w:br/>
        <w:t>[[@BibleTOBIBLE:Ge 27:24]]</w:t>
      </w:r>
      <w:r>
        <w:rPr>
          <w:b/>
        </w:rPr>
        <w:t>24</w:t>
      </w:r>
      <w:r>
        <w:rPr/>
        <w:t xml:space="preserve"> {{field-on:bible}}Und er </w:t>
      </w:r>
      <w:r>
        <w:rPr>
          <w:color w:val="808080"/>
        </w:rPr>
        <w:t>(sprach =)</w:t>
      </w:r>
      <w:r>
        <w:rPr/>
        <w:t xml:space="preserve"> fragte: </w:t>
      </w:r>
      <w:r>
        <w:rPr>
          <w:b/>
          <w:color w:val="808080"/>
        </w:rPr>
        <w:t>[</w:t>
      </w:r>
      <w:r>
        <w:rPr/>
        <w:t>Bist</w:t>
      </w:r>
      <w:r>
        <w:rPr>
          <w:b/>
          <w:color w:val="808080"/>
        </w:rPr>
        <w:t>]</w:t>
      </w:r>
      <w:r>
        <w:rPr/>
        <w:t xml:space="preserve"> du mein Sohn Esau? Und er </w:t>
      </w:r>
      <w:r>
        <w:rPr>
          <w:color w:val="808080"/>
        </w:rPr>
        <w:t>(sagte =)</w:t>
      </w:r>
      <w:r>
        <w:rPr/>
        <w:t xml:space="preserve"> antwortete: Ich </w:t>
      </w:r>
      <w:r>
        <w:rPr>
          <w:b/>
          <w:color w:val="808080"/>
        </w:rPr>
        <w:t>[</w:t>
      </w:r>
      <w:r>
        <w:rPr/>
        <w:t>bin es</w:t>
      </w:r>
      <w:r>
        <w:rPr>
          <w:b/>
          <w:color w:val="808080"/>
        </w:rPr>
        <w:t>]</w:t>
      </w:r>
      <w:r>
        <w:rPr/>
        <w:t xml:space="preserve">.{{field-off:bible}} </w:t>
        <w:br/>
        <w:t>[[@BibleTOBIBLE:Ge 27:25]]</w:t>
      </w:r>
      <w:r>
        <w:rPr>
          <w:b/>
        </w:rPr>
        <w:t>25</w:t>
      </w:r>
      <w:r>
        <w:rPr/>
        <w:t xml:space="preserve"> {{field-on:bible}}Und er sprach: Bringe mir, damit ich esse vom Wildpret meines Sohnes, damit </w:t>
      </w:r>
      <w:r>
        <w:rPr>
          <w:color w:val="808080"/>
        </w:rPr>
        <w:t>(meine Seele =)</w:t>
      </w:r>
      <w:r>
        <w:rPr/>
        <w:t xml:space="preserve"> ich dich segne. Und er brachte ihm, und er aß. Und er brachte ihm Wein, und er trank.{{field-off:bible}} </w:t>
        <w:br/>
        <w:t>[[@BibleTOBIBLE:Ge 27:26]]</w:t>
      </w:r>
      <w:r>
        <w:rPr>
          <w:b/>
        </w:rPr>
        <w:t>26</w:t>
      </w:r>
      <w:r>
        <w:rPr/>
        <w:t xml:space="preserve"> {{field-on:bible}}Und sein Vater Isaak sprach zu ihm: Komm her und küsse mich, mein Sohn.{{field-off:bible}} </w:t>
        <w:br/>
        <w:t>[[@BibleTOBIBLE:Ge 27:27]]</w:t>
      </w:r>
      <w:r>
        <w:rPr>
          <w:b/>
        </w:rPr>
        <w:t>27</w:t>
      </w:r>
      <w:r>
        <w:rPr/>
        <w:t xml:space="preserve"> {{field-on:bible}}Da trat Jakob zu </w:t>
      </w:r>
      <w:r>
        <w:rPr>
          <w:b/>
          <w:color w:val="808080"/>
        </w:rPr>
        <w:t>[</w:t>
      </w:r>
      <w:r>
        <w:rPr/>
        <w:t>ihm</w:t>
      </w:r>
      <w:r>
        <w:rPr>
          <w:b/>
          <w:color w:val="808080"/>
        </w:rPr>
        <w:t>]</w:t>
      </w:r>
      <w:r>
        <w:rPr/>
        <w:t xml:space="preserve"> und küsste ihn. Und er roch den Geruch seiner Kleidung und segnete ihn. Er sprach: </w:t>
        <w:br/>
        <w:t>Ich nehme wahr</w:t>
      </w:r>
      <w:r>
        <w:rPr>
          <w:rStyle w:val="Funotenanker"/>
        </w:rPr>
        <w:footnoteReference w:customMarkFollows="1" w:id="614"/>
        <w:t>m</w:t>
      </w:r>
      <w:r>
        <w:rPr/>
        <w:t xml:space="preserve"> den Geruch meines Sohnes.</w:t>
        <w:br/>
      </w:r>
      <w:r>
        <w:rPr>
          <w:b/>
          <w:color w:val="808080"/>
        </w:rPr>
        <w:t>[</w:t>
      </w:r>
      <w:r>
        <w:rPr/>
        <w:t>Er ist</w:t>
      </w:r>
      <w:r>
        <w:rPr>
          <w:b/>
          <w:color w:val="808080"/>
        </w:rPr>
        <w:t>]</w:t>
      </w:r>
      <w:r>
        <w:rPr/>
        <w:t xml:space="preserve"> wie der Geruch des Feldes,</w:t>
        <w:br/>
        <w:t xml:space="preserve">das </w:t>
      </w:r>
      <w:r>
        <w:rPr>
          <w:smallCaps/>
          <w:color w:val="FF0000"/>
        </w:rPr>
        <w:t>JHWH</w:t>
      </w:r>
      <w:r>
        <w:rPr/>
        <w:t xml:space="preserve"> gesegnet hat.</w:t>
        <w:br/>
        <w:t xml:space="preserve">{{field-off:bible}} </w:t>
        <w:br/>
        <w:t>[[@BibleTOBIBLE:Ge 27:28]]</w:t>
      </w:r>
      <w:r>
        <w:rPr>
          <w:b/>
        </w:rPr>
        <w:t>28</w:t>
      </w:r>
      <w:r>
        <w:rPr/>
        <w:t xml:space="preserve"> {{field-on:bible}} </w:t>
        <w:br/>
        <w:t>Gott gebe dir</w:t>
        <w:br/>
        <w:t>vom Tau des Himmels</w:t>
        <w:br/>
        <w:t xml:space="preserve">und </w:t>
      </w:r>
      <w:r>
        <w:rPr>
          <w:color w:val="808080"/>
        </w:rPr>
        <w:t>(von der Fettigkeit =)</w:t>
      </w:r>
      <w:r>
        <w:rPr/>
        <w:t xml:space="preserve"> vom Ertrag der Erde,</w:t>
        <w:br/>
        <w:t xml:space="preserve">und </w:t>
      </w:r>
      <w:r>
        <w:rPr>
          <w:color w:val="808080"/>
        </w:rPr>
        <w:t>(Fülle =)</w:t>
      </w:r>
      <w:r>
        <w:rPr/>
        <w:t xml:space="preserve"> viel Getreide </w:t>
      </w:r>
      <w:r>
        <w:rPr>
          <w:color w:val="808080"/>
        </w:rPr>
        <w:t>(Korn)</w:t>
      </w:r>
      <w:r>
        <w:rPr/>
        <w:t xml:space="preserve"> und Wein.</w:t>
        <w:br/>
        <w:t xml:space="preserve">{{field-off:bible}} </w:t>
        <w:br/>
        <w:t>[[@BibleTOBIBLE:Ge 27:29]]</w:t>
      </w:r>
      <w:r>
        <w:rPr>
          <w:b/>
        </w:rPr>
        <w:t>29</w:t>
      </w:r>
      <w:r>
        <w:rPr/>
        <w:t xml:space="preserve"> {{field-on:bible}} </w:t>
        <w:br/>
        <w:t>Völker sollen dir dienen</w:t>
        <w:br/>
        <w:t>und Stämme sollen sich dir beugen</w:t>
      </w:r>
      <w:r>
        <w:rPr>
          <w:rStyle w:val="Funotenanker"/>
        </w:rPr>
        <w:footnoteReference w:customMarkFollows="1" w:id="615"/>
        <w:t>n</w:t>
      </w:r>
      <w:r>
        <w:rPr/>
        <w:t>.</w:t>
        <w:br/>
        <w:t>Sei Herr über deine Brüder,</w:t>
        <w:br/>
        <w:t>und die Söhne deiner Mutter sollen sich dir beugen.</w:t>
        <w:br/>
        <w:t>Wer dich verflucht, sei verflucht,</w:t>
        <w:br/>
        <w:t>und wer dich segnet, sei gesegnet.</w:t>
        <w:br/>
        <w:t xml:space="preserve">{{field-off:bible}} </w:t>
        <w:br/>
        <w:t>[[@BibleTOBIBLE:Ge 27:30]]</w:t>
      </w:r>
      <w:r>
        <w:rPr>
          <w:b/>
        </w:rPr>
        <w:t>30</w:t>
      </w:r>
      <w:r>
        <w:rPr/>
        <w:t xml:space="preserve"> {{field-on:bible}}Und es geschah, als Isaak </w:t>
      </w:r>
      <w:r>
        <w:rPr>
          <w:color w:val="808080"/>
        </w:rPr>
        <w:t>(fertig war, Jakob zu segnen =)</w:t>
      </w:r>
      <w:r>
        <w:rPr/>
        <w:t xml:space="preserve"> den Segen für Jakob beendet hatte, da geschah es jedoch, dass Jakob schleunigst wegging</w:t>
      </w:r>
      <w:r>
        <w:rPr>
          <w:rStyle w:val="Funotenanker"/>
        </w:rPr>
        <w:footnoteReference w:customMarkFollows="1" w:id="616"/>
        <w:t>o</w:t>
      </w:r>
      <w:r>
        <w:rPr/>
        <w:t xml:space="preserve"> </w:t>
      </w:r>
      <w:r>
        <w:rPr>
          <w:color w:val="808080"/>
        </w:rPr>
        <w:t>(vom Angesicht =)</w:t>
      </w:r>
      <w:r>
        <w:rPr/>
        <w:t xml:space="preserve"> von Isaak, seinem Vater, und Esau, sein Bruder, kam von seiner Jagd.{{field-off:bible}} </w:t>
        <w:br/>
        <w:t>[[@BibleTOBIBLE:Ge 27:31]]</w:t>
      </w:r>
      <w:r>
        <w:rPr>
          <w:b/>
        </w:rPr>
        <w:t>31</w:t>
      </w:r>
      <w:r>
        <w:rPr/>
        <w:t xml:space="preserve"> {{field-on:bible}}Auch er hatte einen Leckerbissen zubereitet und brachte </w:t>
      </w:r>
      <w:r>
        <w:rPr>
          <w:b/>
          <w:color w:val="808080"/>
        </w:rPr>
        <w:t>[</w:t>
      </w:r>
      <w:r>
        <w:rPr/>
        <w:t>ihn</w:t>
      </w:r>
      <w:r>
        <w:rPr>
          <w:b/>
          <w:color w:val="808080"/>
        </w:rPr>
        <w:t>]</w:t>
      </w:r>
      <w:r>
        <w:rPr/>
        <w:t xml:space="preserve"> seinem Vater und sprach zu seinem Vater: Steh auf, mein Vater, und iss vom Wilpret deines Sohnes, damit </w:t>
      </w:r>
      <w:r>
        <w:rPr>
          <w:color w:val="808080"/>
        </w:rPr>
        <w:t>(deine Seele =)</w:t>
      </w:r>
      <w:r>
        <w:rPr/>
        <w:t xml:space="preserve"> du mich segnest.{{field-off:bible}} </w:t>
        <w:br/>
        <w:t>[[@BibleTOBIBLE:Ge 27:32]]</w:t>
      </w:r>
      <w:r>
        <w:rPr>
          <w:b/>
        </w:rPr>
        <w:t>32</w:t>
      </w:r>
      <w:r>
        <w:rPr/>
        <w:t xml:space="preserve"> {{field-on:bible}}Da </w:t>
      </w:r>
      <w:r>
        <w:rPr>
          <w:color w:val="808080"/>
        </w:rPr>
        <w:t>(sprach =)</w:t>
      </w:r>
      <w:r>
        <w:rPr/>
        <w:t xml:space="preserve"> fragte ihn Isaak, sein Vater: Wer </w:t>
      </w:r>
      <w:r>
        <w:rPr>
          <w:b/>
          <w:color w:val="808080"/>
        </w:rPr>
        <w:t>[</w:t>
      </w:r>
      <w:r>
        <w:rPr/>
        <w:t>bist</w:t>
      </w:r>
      <w:r>
        <w:rPr>
          <w:b/>
          <w:color w:val="808080"/>
        </w:rPr>
        <w:t>]</w:t>
      </w:r>
      <w:r>
        <w:rPr/>
        <w:t xml:space="preserve"> du? Und er </w:t>
      </w:r>
      <w:r>
        <w:rPr>
          <w:color w:val="808080"/>
        </w:rPr>
        <w:t>(sprach =)</w:t>
      </w:r>
      <w:r>
        <w:rPr/>
        <w:t xml:space="preserve"> antwortete: Ich bin dein erstgeborener Sohn Esau.{{field-off:bible}} </w:t>
        <w:br/>
        <w:t>[[@BibleTOBIBLE:Ge 27:33]]</w:t>
      </w:r>
      <w:r>
        <w:rPr>
          <w:b/>
        </w:rPr>
        <w:t>33</w:t>
      </w:r>
      <w:r>
        <w:rPr/>
        <w:t xml:space="preserve"> {{field-on:bible}}Da erschrak Isaak heftig</w:t>
      </w:r>
      <w:r>
        <w:rPr>
          <w:rStyle w:val="Funotenanker"/>
        </w:rPr>
        <w:footnoteReference w:customMarkFollows="1" w:id="617"/>
        <w:t>p</w:t>
      </w:r>
      <w:r>
        <w:rPr/>
        <w:t xml:space="preserve"> und </w:t>
      </w:r>
      <w:r>
        <w:rPr>
          <w:color w:val="808080"/>
        </w:rPr>
        <w:t>(sagte =)</w:t>
      </w:r>
      <w:r>
        <w:rPr/>
        <w:t xml:space="preserve"> fragte: Wer war denn das, der das Wildpret jagte und </w:t>
      </w:r>
      <w:r>
        <w:rPr>
          <w:b/>
          <w:color w:val="808080"/>
        </w:rPr>
        <w:t>[</w:t>
      </w:r>
      <w:r>
        <w:rPr/>
        <w:t>es</w:t>
      </w:r>
      <w:r>
        <w:rPr>
          <w:b/>
          <w:color w:val="808080"/>
        </w:rPr>
        <w:t>]</w:t>
      </w:r>
      <w:r>
        <w:rPr/>
        <w:t xml:space="preserve"> mir brachte, und ich aß von allem, bevor du kamst, und segnete ihn? Er wird auch gesegnet bleiben.{{field-off:bible}} </w:t>
        <w:br/>
        <w:t>[[@BibleTOBIBLE:Ge 27:34]]</w:t>
      </w:r>
      <w:r>
        <w:rPr>
          <w:b/>
        </w:rPr>
        <w:t>34</w:t>
      </w:r>
      <w:r>
        <w:rPr/>
        <w:t xml:space="preserve"> {{field-on:bible}}Als Esau </w:t>
      </w:r>
      <w:r>
        <w:rPr>
          <w:color w:val="808080"/>
        </w:rPr>
        <w:t>(die Worte seines Vaters hörte =)</w:t>
      </w:r>
      <w:r>
        <w:rPr/>
        <w:t xml:space="preserve"> hörte, was sein Vater sagte, brach er in heftiges Klagegeschrei aus, und sein Kummer war sehr groß. Und er sprach zu seinem Vater: Segne auch mich, mein Vater!{{field-off:bible}} </w:t>
        <w:br/>
        <w:t>[[@BibleTOBIBLE:Ge 27:35]]</w:t>
      </w:r>
      <w:r>
        <w:rPr>
          <w:b/>
        </w:rPr>
        <w:t>35</w:t>
      </w:r>
      <w:r>
        <w:rPr/>
        <w:t xml:space="preserve"> {{field-on:bible}}Und </w:t>
      </w:r>
      <w:r>
        <w:rPr>
          <w:b/>
          <w:color w:val="808080"/>
        </w:rPr>
        <w:t>[</w:t>
      </w:r>
      <w:r>
        <w:rPr/>
        <w:t>Isaak</w:t>
      </w:r>
      <w:r>
        <w:rPr>
          <w:b/>
          <w:color w:val="808080"/>
        </w:rPr>
        <w:t>]</w:t>
      </w:r>
      <w:r>
        <w:rPr/>
        <w:t xml:space="preserve"> sprach: Dein Bruder kam mit List </w:t>
      </w:r>
      <w:r>
        <w:rPr>
          <w:color w:val="808080"/>
        </w:rPr>
        <w:t>(Betrug, Verrat)</w:t>
      </w:r>
      <w:r>
        <w:rPr/>
        <w:t xml:space="preserve"> und </w:t>
      </w:r>
      <w:r>
        <w:rPr>
          <w:color w:val="808080"/>
        </w:rPr>
        <w:t>(nahm =)</w:t>
      </w:r>
      <w:r>
        <w:rPr/>
        <w:t xml:space="preserve"> stahl deinen Segen.{{field-off:bible}} </w:t>
        <w:br/>
        <w:t>[[@BibleTOBIBLE:Ge 27:36]]</w:t>
      </w:r>
      <w:r>
        <w:rPr>
          <w:b/>
        </w:rPr>
        <w:t>36</w:t>
      </w:r>
      <w:r>
        <w:rPr/>
        <w:t xml:space="preserve"> {{field-on:bible}}Und </w:t>
      </w:r>
      <w:r>
        <w:rPr>
          <w:b/>
          <w:color w:val="808080"/>
        </w:rPr>
        <w:t>[</w:t>
      </w:r>
      <w:r>
        <w:rPr/>
        <w:t>Esau</w:t>
      </w:r>
      <w:r>
        <w:rPr>
          <w:b/>
          <w:color w:val="808080"/>
        </w:rPr>
        <w:t>]</w:t>
      </w:r>
      <w:r>
        <w:rPr/>
        <w:t xml:space="preserve"> sprach: </w:t>
      </w:r>
      <w:r>
        <w:rPr>
          <w:color w:val="808080"/>
        </w:rPr>
        <w:t>(Wird denn sein Name genannt =)</w:t>
      </w:r>
      <w:r>
        <w:rPr/>
        <w:t xml:space="preserve"> Heißt er </w:t>
      </w:r>
      <w:r>
        <w:rPr>
          <w:b/>
          <w:color w:val="808080"/>
        </w:rPr>
        <w:t>[</w:t>
      </w:r>
      <w:r>
        <w:rPr/>
        <w:t>nicht</w:t>
      </w:r>
      <w:r>
        <w:rPr>
          <w:b/>
          <w:color w:val="808080"/>
        </w:rPr>
        <w:t>]</w:t>
      </w:r>
      <w:r>
        <w:rPr/>
        <w:t xml:space="preserve"> Jakob?</w:t>
      </w:r>
      <w:r>
        <w:rPr>
          <w:rStyle w:val="Funotenanker"/>
        </w:rPr>
        <w:footnoteReference w:customMarkFollows="1" w:id="618"/>
        <w:t>q</w:t>
      </w:r>
      <w:r>
        <w:rPr/>
        <w:t xml:space="preserve"> Und </w:t>
      </w:r>
      <w:r>
        <w:rPr>
          <w:color w:val="808080"/>
        </w:rPr>
        <w:t>(dieser =)</w:t>
      </w:r>
      <w:r>
        <w:rPr/>
        <w:t xml:space="preserve"> er hat mich zweimal hintergangen </w:t>
      </w:r>
      <w:r>
        <w:rPr>
          <w:color w:val="808080"/>
        </w:rPr>
        <w:t>(betrogen)</w:t>
      </w:r>
      <w:r>
        <w:rPr/>
        <w:t xml:space="preserve"> </w:t>
      </w:r>
      <w:r>
        <w:rPr>
          <w:rStyle w:val="Funotenanker"/>
        </w:rPr>
        <w:footnoteReference w:customMarkFollows="1" w:id="619"/>
        <w:t>r</w:t>
      </w:r>
      <w:r>
        <w:rPr/>
        <w:t xml:space="preserve">: Meine Erstgeburt hat er </w:t>
      </w:r>
      <w:r>
        <w:rPr>
          <w:color w:val="808080"/>
        </w:rPr>
        <w:t>(genommen =)</w:t>
      </w:r>
      <w:r>
        <w:rPr/>
        <w:t xml:space="preserve"> gestohlen, und </w:t>
      </w:r>
      <w:r>
        <w:rPr>
          <w:color w:val="808080"/>
        </w:rPr>
        <w:t>(siehe =)</w:t>
      </w:r>
      <w:r>
        <w:rPr/>
        <w:t xml:space="preserve"> da, jetzt </w:t>
      </w:r>
      <w:r>
        <w:rPr>
          <w:color w:val="808080"/>
        </w:rPr>
        <w:t>(nimmt =)</w:t>
      </w:r>
      <w:r>
        <w:rPr/>
        <w:t xml:space="preserve"> stiehlt er meinen Segen! Und er </w:t>
      </w:r>
      <w:r>
        <w:rPr>
          <w:color w:val="808080"/>
        </w:rPr>
        <w:t>(sprach =)</w:t>
      </w:r>
      <w:r>
        <w:rPr/>
        <w:t xml:space="preserve"> fragte: Hast du für mich keinen Segen übrig gelassen </w:t>
      </w:r>
      <w:r>
        <w:rPr>
          <w:color w:val="808080"/>
        </w:rPr>
        <w:t>(zurückbehalten)</w:t>
      </w:r>
      <w:r>
        <w:rPr/>
        <w:t xml:space="preserve">?{{field-off:bible}} </w:t>
        <w:br/>
        <w:t>[[@BibleTOBIBLE:Ge 27:37]]</w:t>
      </w:r>
      <w:r>
        <w:rPr>
          <w:b/>
        </w:rPr>
        <w:t>37</w:t>
      </w:r>
      <w:r>
        <w:rPr/>
        <w:t xml:space="preserve"> {{field-on:bible}}Isaak antwortete </w:t>
      </w:r>
      <w:r>
        <w:rPr>
          <w:strike/>
          <w:color w:val="808080"/>
        </w:rPr>
        <w:t>{und sprach zu}</w:t>
      </w:r>
      <w:r>
        <w:rPr/>
        <w:t xml:space="preserve"> Esau: Sieh mal, ich habe ihn zum Herrn über dich gemacht </w:t>
      </w:r>
      <w:r>
        <w:rPr>
          <w:color w:val="808080"/>
        </w:rPr>
        <w:t>(eingesetzt)</w:t>
      </w:r>
      <w:r>
        <w:rPr/>
        <w:t xml:space="preserve">, alle seine Brüder habe ich ihm als Diener </w:t>
      </w:r>
      <w:r>
        <w:rPr>
          <w:color w:val="808080"/>
        </w:rPr>
        <w:t>(Knechte, Sklaven)</w:t>
      </w:r>
      <w:r>
        <w:rPr/>
        <w:t xml:space="preserve"> gegeben, mit Getreide und Wein habe ich ihn versehen </w:t>
      </w:r>
      <w:r>
        <w:rPr>
          <w:color w:val="808080"/>
        </w:rPr>
        <w:t>(ausgestattet)</w:t>
      </w:r>
      <w:r>
        <w:rPr/>
        <w:t xml:space="preserve">. Was kann ich noch für dich tun, mein Sohn?{{field-off:bible}} </w:t>
        <w:br/>
        <w:t>[[@BibleTOBIBLE:Ge 27:38]]</w:t>
      </w:r>
      <w:r>
        <w:rPr>
          <w:b/>
        </w:rPr>
        <w:t>38</w:t>
      </w:r>
      <w:r>
        <w:rPr/>
        <w:t xml:space="preserve"> {{field-on:bible}}Da sprach Esau zu seinem Vater: Hast du nicht einen Segen für mich, mein Vater? Segne auch mich, mein Vater! Und Esau </w:t>
      </w:r>
      <w:r>
        <w:rPr>
          <w:color w:val="808080"/>
        </w:rPr>
        <w:t>(erhob seine Stimme und weinte =)</w:t>
      </w:r>
      <w:r>
        <w:rPr/>
        <w:t xml:space="preserve"> fing an zu weinen.{{field-off:bible}} </w:t>
        <w:br/>
        <w:t>[[@BibleTOBIBLE:Ge 27:39]]</w:t>
      </w:r>
      <w:r>
        <w:rPr>
          <w:b/>
        </w:rPr>
        <w:t>39</w:t>
      </w:r>
      <w:r>
        <w:rPr/>
        <w:t xml:space="preserve"> {{field-on:bible}}Da antwortete sein Vater Isaak </w:t>
      </w:r>
      <w:r>
        <w:rPr>
          <w:strike/>
          <w:color w:val="808080"/>
        </w:rPr>
        <w:t>{und sprach zu ihm}</w:t>
      </w:r>
      <w:r>
        <w:rPr/>
        <w:t xml:space="preserve">: </w:t>
        <w:br/>
        <w:t xml:space="preserve">Sieh, </w:t>
      </w:r>
      <w:r>
        <w:rPr>
          <w:color w:val="808080"/>
        </w:rPr>
        <w:t>(fettes Land der Erde =)</w:t>
      </w:r>
      <w:r>
        <w:rPr/>
        <w:t xml:space="preserve"> </w:t>
      </w:r>
      <w:r>
        <w:rPr>
          <w:b/>
          <w:color w:val="808080"/>
        </w:rPr>
        <w:t>[</w:t>
      </w:r>
      <w:r>
        <w:rPr/>
        <w:t>un</w:t>
      </w:r>
      <w:r>
        <w:rPr>
          <w:b/>
          <w:color w:val="808080"/>
        </w:rPr>
        <w:t>]</w:t>
      </w:r>
      <w:r>
        <w:rPr/>
        <w:t>fruchtbare Landstriche</w:t>
      </w:r>
      <w:r>
        <w:rPr>
          <w:rStyle w:val="Funotenanker"/>
        </w:rPr>
        <w:footnoteReference w:customMarkFollows="1" w:id="620"/>
        <w:t>s</w:t>
      </w:r>
      <w:r>
        <w:rPr/>
        <w:t xml:space="preserve"> </w:t>
        <w:br/>
        <w:t>werden dein Wohnsitz sein,</w:t>
        <w:br/>
        <w:t>und ohne Tau vom Himmel.</w:t>
        <w:br/>
        <w:t xml:space="preserve">{{field-off:bible}} </w:t>
        <w:br/>
        <w:t>[[@BibleTOBIBLE:Ge 27:40]]</w:t>
      </w:r>
      <w:r>
        <w:rPr>
          <w:b/>
        </w:rPr>
        <w:t>40</w:t>
      </w:r>
      <w:r>
        <w:rPr/>
        <w:t xml:space="preserve"> {{field-on:bible}} </w:t>
        <w:br/>
        <w:t>Von deinem Schwert wirst du leben</w:t>
        <w:br/>
        <w:t>und deinem Bruder wirst du dienen.</w:t>
        <w:br/>
        <w:t>Aber es soll geschehen, wenn du dich anstrengst</w:t>
      </w:r>
      <w:r>
        <w:rPr>
          <w:rStyle w:val="Funotenanker"/>
        </w:rPr>
        <w:footnoteReference w:customMarkFollows="1" w:id="621"/>
        <w:t>t</w:t>
      </w:r>
      <w:r>
        <w:rPr/>
        <w:t>,</w:t>
        <w:br/>
        <w:t>wirst du sein Joch losreißen</w:t>
        <w:br/>
        <w:t>von deinem Nacken.</w:t>
        <w:br/>
        <w:t xml:space="preserve">{{field-off:bible}} </w:t>
        <w:br/>
        <w:t>[[@BibleTOBIBLE:Ge 27:41]]</w:t>
      </w:r>
      <w:r>
        <w:rPr>
          <w:b/>
        </w:rPr>
        <w:t>41</w:t>
      </w:r>
      <w:r>
        <w:rPr/>
        <w:t xml:space="preserve"> {{field-on:bible}}Esau feindete Jakob an wegen des Segens </w:t>
      </w:r>
      <w:r>
        <w:rPr>
          <w:color w:val="808080"/>
        </w:rPr>
        <w:t>(mit dem ihn sein Vater gesegnet hatte =)</w:t>
      </w:r>
      <w:r>
        <w:rPr/>
        <w:t xml:space="preserve"> den ihm sein Vater erteilt hatte. Und Esau sprach </w:t>
      </w:r>
      <w:r>
        <w:rPr>
          <w:color w:val="808080"/>
        </w:rPr>
        <w:t>(in seinem Herzen =)</w:t>
      </w:r>
      <w:r>
        <w:rPr/>
        <w:t xml:space="preserve"> zu sich: Es nähern sich die Tage der Trauer um meinen Vater. Dann werde ich meinen Bruder Jakob töten </w:t>
      </w:r>
      <w:r>
        <w:rPr>
          <w:color w:val="808080"/>
        </w:rPr>
        <w:t>(totschlagen)</w:t>
      </w:r>
      <w:r>
        <w:rPr/>
        <w:t xml:space="preserve">.{{field-off:bible}} </w:t>
        <w:br/>
        <w:t>[[@BibleTOBIBLE:Ge 27:42]]</w:t>
      </w:r>
      <w:r>
        <w:rPr>
          <w:b/>
        </w:rPr>
        <w:t>42</w:t>
      </w:r>
      <w:r>
        <w:rPr/>
        <w:t xml:space="preserve"> {{field-on:bible}}Als Rebekka die Worte Esaus, ihres älteren Sohnes, hinterbracht wurden </w:t>
      </w:r>
      <w:r>
        <w:rPr>
          <w:color w:val="808080"/>
        </w:rPr>
        <w:t>(man hinterbrachte Rebekka Esaus ... Worte)</w:t>
      </w:r>
      <w:r>
        <w:rPr/>
        <w:t xml:space="preserve">, sandte sie und rief nach Jakob, ihrem jüngeren Sohn, und sprach zu ihm: </w:t>
      </w:r>
      <w:r>
        <w:rPr>
          <w:color w:val="808080"/>
        </w:rPr>
        <w:t>(Siehe =)</w:t>
      </w:r>
      <w:r>
        <w:rPr/>
        <w:t xml:space="preserve"> Pass auf! Dein Bruder Esau will sich an dir rächen </w:t>
      </w:r>
      <w:r>
        <w:rPr>
          <w:color w:val="808080"/>
        </w:rPr>
        <w:t>(Rache nehmen)</w:t>
      </w:r>
      <w:r>
        <w:rPr/>
        <w:t xml:space="preserve"> </w:t>
      </w:r>
      <w:r>
        <w:rPr>
          <w:rStyle w:val="Funotenanker"/>
        </w:rPr>
        <w:footnoteReference w:customMarkFollows="1" w:id="622"/>
        <w:t>u</w:t>
      </w:r>
      <w:r>
        <w:rPr/>
        <w:t xml:space="preserve">, er will dich töten.{{field-off:bible}} </w:t>
        <w:br/>
        <w:t>[[@BibleTOBIBLE:Ge 27:43]]</w:t>
      </w:r>
      <w:r>
        <w:rPr>
          <w:b/>
        </w:rPr>
        <w:t>43</w:t>
      </w:r>
      <w:r>
        <w:rPr/>
        <w:t xml:space="preserve"> {{field-on:bible}}Pass auf, mein Sohn, höre auf </w:t>
      </w:r>
      <w:r>
        <w:rPr>
          <w:color w:val="808080"/>
        </w:rPr>
        <w:t>(meine Stimme =)</w:t>
      </w:r>
      <w:r>
        <w:rPr/>
        <w:t xml:space="preserve"> mich: Mach dich auf und fliehe zu Laban, meinem Bruder, nach Haran.{{field-off:bible}} </w:t>
        <w:br/>
        <w:t>[[@BibleTOBIBLE:Ge 27:44]]</w:t>
      </w:r>
      <w:r>
        <w:rPr>
          <w:b/>
        </w:rPr>
        <w:t>44</w:t>
      </w:r>
      <w:r>
        <w:rPr/>
        <w:t xml:space="preserve"> {{field-on:bible}}Du sollst bei ihm einige Tage </w:t>
      </w:r>
      <w:r>
        <w:rPr>
          <w:color w:val="808080"/>
        </w:rPr>
        <w:t>(wohnen =)</w:t>
      </w:r>
      <w:r>
        <w:rPr/>
        <w:t xml:space="preserve"> bleiben, bis sich der Zorn deines Bruders </w:t>
      </w:r>
      <w:r>
        <w:rPr>
          <w:color w:val="808080"/>
        </w:rPr>
        <w:t>(gewendet =)</w:t>
      </w:r>
      <w:r>
        <w:rPr/>
        <w:t xml:space="preserve"> gelegt hat.{{field-off:bible}} </w:t>
        <w:br/>
        <w:t>[[@BibleTOBIBLE:Ge 27:45]]</w:t>
      </w:r>
      <w:r>
        <w:rPr>
          <w:b/>
        </w:rPr>
        <w:t>45</w:t>
      </w:r>
      <w:r>
        <w:rPr/>
        <w:t xml:space="preserve"> {{field-on:bible}}Wenn der Zorn deines Bruders sich </w:t>
      </w:r>
      <w:r>
        <w:rPr>
          <w:color w:val="808080"/>
        </w:rPr>
        <w:t>(von dir gewendet =)</w:t>
      </w:r>
      <w:r>
        <w:rPr/>
        <w:t xml:space="preserve"> gelegt hat und er vergessen hat, was du ihm angetan hast, werde ich </w:t>
      </w:r>
      <w:r>
        <w:rPr>
          <w:b/>
          <w:color w:val="808080"/>
        </w:rPr>
        <w:t>[</w:t>
      </w:r>
      <w:r>
        <w:rPr/>
        <w:t>nach dir</w:t>
      </w:r>
      <w:r>
        <w:rPr>
          <w:b/>
          <w:color w:val="808080"/>
        </w:rPr>
        <w:t>]</w:t>
      </w:r>
      <w:r>
        <w:rPr/>
        <w:t xml:space="preserve"> schicken und dich von dort holen. Warum soll ich </w:t>
      </w:r>
      <w:r>
        <w:rPr>
          <w:color w:val="808080"/>
        </w:rPr>
        <w:t>(der Kinder beraubt werden =)</w:t>
      </w:r>
      <w:r>
        <w:rPr/>
        <w:t xml:space="preserve"> euch beide verlieren</w:t>
      </w:r>
      <w:r>
        <w:rPr>
          <w:rStyle w:val="Funotenanker"/>
        </w:rPr>
        <w:footnoteReference w:customMarkFollows="1" w:id="623"/>
        <w:t>v</w:t>
      </w:r>
      <w:r>
        <w:rPr/>
        <w:t xml:space="preserve"> an einem Tag?{{field-off:bible}} </w:t>
        <w:br/>
        <w:t>[[@BibleTOBIBLE:Ge 27:46]]</w:t>
      </w:r>
      <w:r>
        <w:rPr>
          <w:b/>
        </w:rPr>
        <w:t>46</w:t>
      </w:r>
      <w:r>
        <w:rPr/>
        <w:t xml:space="preserve"> {{field-on:bible}}Und Rebekka sprach zu Isaak: Ich bin lebensüberdrüssig </w:t>
      </w:r>
      <w:r>
        <w:rPr>
          <w:color w:val="808080"/>
        </w:rPr>
        <w:t>(ekle mich vor dem Leben)</w:t>
      </w:r>
      <w:r>
        <w:rPr/>
        <w:t xml:space="preserve"> wegen der </w:t>
      </w:r>
      <w:r>
        <w:rPr>
          <w:color w:val="808080"/>
        </w:rPr>
        <w:t>(Töchter Chets =)</w:t>
      </w:r>
      <w:r>
        <w:rPr/>
        <w:t xml:space="preserve"> Hetiterinnen. Wenn Jakob eine Frau von den </w:t>
      </w:r>
      <w:r>
        <w:rPr>
          <w:color w:val="808080"/>
        </w:rPr>
        <w:t>(Töchtern Chets =)</w:t>
      </w:r>
      <w:r>
        <w:rPr/>
        <w:t xml:space="preserve"> Hetiterinnen nimmt wie jener</w:t>
      </w:r>
      <w:r>
        <w:rPr>
          <w:rStyle w:val="Funotenanker"/>
        </w:rPr>
        <w:footnoteReference w:customMarkFollows="1" w:id="624"/>
        <w:t>w</w:t>
      </w:r>
      <w:r>
        <w:rPr/>
        <w:t xml:space="preserve"> </w:t>
      </w:r>
      <w:r>
        <w:rPr>
          <w:b/>
          <w:color w:val="808080"/>
        </w:rPr>
        <w:t>[</w:t>
      </w:r>
      <w:r>
        <w:rPr/>
        <w:t>sich eine Frau</w:t>
      </w:r>
      <w:r>
        <w:rPr>
          <w:b/>
          <w:color w:val="808080"/>
        </w:rPr>
        <w:t>]</w:t>
      </w:r>
      <w:r>
        <w:rPr/>
        <w:t xml:space="preserve"> von den Töchtern des Landes </w:t>
      </w:r>
      <w:r>
        <w:rPr>
          <w:b/>
          <w:color w:val="808080"/>
        </w:rPr>
        <w:t>[</w:t>
      </w:r>
      <w:r>
        <w:rPr/>
        <w:t>nahm</w:t>
      </w:r>
      <w:r>
        <w:rPr>
          <w:b/>
          <w:color w:val="808080"/>
        </w:rPr>
        <w:t>]</w:t>
      </w:r>
      <w:r>
        <w:rPr/>
        <w:t xml:space="preserve">, was soll mir das Leben </w:t>
      </w:r>
      <w:r>
        <w:rPr>
          <w:color w:val="808080"/>
        </w:rPr>
        <w:t>(warum soll ich noch leben)</w:t>
      </w:r>
      <w:r>
        <w:rPr/>
        <w:t xml:space="preserve">?{{field-off:bible}} </w:t>
      </w:r>
    </w:p>
    <w:p>
      <w:pPr>
        <w:pStyle w:val="Berschrift3"/>
        <w:rPr/>
      </w:pPr>
      <w:r>
        <w:rPr/>
        <w:t>[[@BibleTOBIBLE:Ge 29]]Kapitel 29</w:t>
      </w:r>
    </w:p>
    <w:p>
      <w:pPr>
        <w:pStyle w:val="Textkrper"/>
        <w:rPr/>
      </w:pPr>
      <w:r>
        <w:rPr/>
        <w:br/>
        <w:t>[[@BibleTOBIBLE:Ge 29:1]]</w:t>
      </w:r>
      <w:r>
        <w:rPr>
          <w:b/>
        </w:rPr>
        <w:t>1</w:t>
      </w:r>
      <w:r>
        <w:rPr/>
        <w:t xml:space="preserve"> {{field-on:bible}}Und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r>
    </w:p>
    <w:p>
      <w:pPr>
        <w:pStyle w:val="Berschrift3"/>
        <w:rPr/>
      </w:pPr>
      <w:r>
        <w:rPr/>
        <w:t>[[@BibleTOBIBLE:Ge 32]]Kapitel 32</w:t>
      </w:r>
    </w:p>
    <w:p>
      <w:pPr>
        <w:pStyle w:val="Textkrper"/>
        <w:rPr/>
      </w:pPr>
      <w:r>
        <w:rPr/>
        <w:br/>
        <w:t>[[@BibleTOBIBLE:Ge 32:23]]</w:t>
      </w:r>
      <w:r>
        <w:rPr>
          <w:b/>
        </w:rPr>
        <w:t>23</w:t>
      </w:r>
      <w:r>
        <w:rPr/>
        <w:t xml:space="preserve"> {{field-on:bible}}Und er erhob sich in der Nacht, und nahm seine zwei Frauen </w:t>
      </w:r>
      <w:r>
        <w:rPr>
          <w:color w:val="808080"/>
        </w:rPr>
        <w:t>(Weiber)</w:t>
      </w:r>
      <w:r>
        <w:rPr/>
        <w:t xml:space="preserve"> und seine zwei Sklavinnen</w:t>
      </w:r>
      <w:r>
        <w:rPr>
          <w:rStyle w:val="Funotenanker"/>
        </w:rPr>
        <w:footnoteReference w:customMarkFollows="1" w:id="625"/>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626"/>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627"/>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628"/>
        <w:t>a</w:t>
      </w:r>
      <w:r>
        <w:rPr/>
        <w:t xml:space="preserve"> hütete</w:t>
      </w:r>
      <w:r>
        <w:rPr>
          <w:rStyle w:val="Funotenanker"/>
        </w:rPr>
        <w:footnoteReference w:customMarkFollows="1" w:id="629"/>
        <w:t>b</w:t>
      </w:r>
      <w:r>
        <w:rPr/>
        <w:t xml:space="preserve"> mit seinen Brüdern das Kleinvieh</w:t>
      </w:r>
      <w:r>
        <w:rPr>
          <w:rStyle w:val="Funotenanker"/>
        </w:rPr>
        <w:footnoteReference w:customMarkFollows="1" w:id="630"/>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631"/>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632"/>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633"/>
        <w:t>f</w:t>
      </w:r>
      <w:r>
        <w:rPr/>
        <w:t xml:space="preserve"> König über uns sein, </w:t>
      </w:r>
      <w:r>
        <w:rPr>
          <w:strike/>
          <w:color w:val="808080"/>
        </w:rPr>
        <w:t>{oder}</w:t>
      </w:r>
      <w:r>
        <w:rPr/>
        <w:t xml:space="preserve"> </w:t>
      </w:r>
      <w:r>
        <w:rPr>
          <w:rStyle w:val="Funotenanker"/>
        </w:rPr>
        <w:footnoteReference w:customMarkFollows="1" w:id="634"/>
        <w:t>g</w:t>
      </w:r>
      <w:r>
        <w:rPr/>
        <w:t xml:space="preserve"> willst du </w:t>
      </w:r>
      <w:r>
        <w:rPr>
          <w:strike/>
          <w:color w:val="808080"/>
        </w:rPr>
        <w:t>{etwa}</w:t>
      </w:r>
      <w:r>
        <w:rPr/>
        <w:t xml:space="preserve"> über uns herrschen? Und sie hassten sie ihn noch mehr</w:t>
      </w:r>
      <w:r>
        <w:rPr>
          <w:rStyle w:val="Funotenanker"/>
        </w:rPr>
        <w:footnoteReference w:customMarkFollows="1" w:id="635"/>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636"/>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637"/>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638"/>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639"/>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640"/>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641"/>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642"/>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643"/>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644"/>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645"/>
        <w:t>r</w:t>
      </w:r>
      <w:r>
        <w:rPr/>
        <w:t xml:space="preserve"> Balsam und Ladanum.</w:t>
      </w:r>
      <w:r>
        <w:rPr>
          <w:rStyle w:val="Funotenanker"/>
        </w:rPr>
        <w:footnoteReference w:customMarkFollows="1" w:id="646"/>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647"/>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648"/>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649"/>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650"/>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651"/>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652"/>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653"/>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654"/>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655"/>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656"/>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657"/>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658"/>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659"/>
        <w:t>e</w:t>
      </w:r>
      <w:r>
        <w:rPr/>
        <w:t xml:space="preserve"> und gehe mit ihr die Schwagerehe ein</w:t>
      </w:r>
      <w:r>
        <w:rPr>
          <w:rStyle w:val="Funotenanker"/>
        </w:rPr>
        <w:footnoteReference w:customMarkFollows="1" w:id="660"/>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661"/>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662"/>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663"/>
        <w:t>i</w:t>
      </w:r>
      <w:r>
        <w:rPr/>
        <w:t xml:space="preserve"> damit wir nicht zum Gespött </w:t>
      </w:r>
      <w:r>
        <w:rPr>
          <w:color w:val="808080"/>
        </w:rPr>
        <w:t>(zum Verachtung, zu Verachteten)</w:t>
      </w:r>
      <w:r>
        <w:rPr/>
        <w:t xml:space="preserve"> werden.</w:t>
      </w:r>
      <w:r>
        <w:rPr>
          <w:rStyle w:val="Funotenanker"/>
        </w:rPr>
        <w:footnoteReference w:customMarkFollows="1" w:id="664"/>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665"/>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666"/>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667"/>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668"/>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669"/>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670"/>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671"/>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672"/>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673"/>
        <w:t>d</w:t>
      </w:r>
      <w:r>
        <w:rPr/>
        <w:t xml:space="preserve"> hat zu uns einen Hebräer gebracht, damit er</w:t>
      </w:r>
      <w:r>
        <w:rPr>
          <w:rStyle w:val="Funotenanker"/>
        </w:rPr>
        <w:footnoteReference w:customMarkFollows="1" w:id="674"/>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675"/>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676"/>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677"/>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678"/>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{{field-on:bible}}Und es geschah nach diesen Ereignissen </w:t>
      </w:r>
      <w:r>
        <w:rPr>
          <w:color w:val="808080"/>
        </w:rPr>
        <w:t>(Dingen, Worten)</w:t>
      </w:r>
      <w:r>
        <w:rPr/>
        <w:t xml:space="preserve">, dass sich der Mundschenk des Königs Ägyptens und der Bäcker versündigten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679"/>
        <w:t>a</w:t>
      </w:r>
      <w:r>
        <w:rPr/>
        <w:t xml:space="preserve">.{{field-off:bible}} </w:t>
        <w:br/>
        <w:t>[[@BibleTOBIBLE:Ge 40:3]]</w:t>
      </w:r>
      <w:r>
        <w:rPr>
          <w:b/>
        </w:rPr>
        <w:t>3</w:t>
      </w:r>
      <w:r>
        <w:rPr/>
        <w:t xml:space="preserve"> {{field-on:bible}}Und er gab sie in Bewachung </w:t>
      </w:r>
      <w:r>
        <w:rPr>
          <w:color w:val="808080"/>
        </w:rPr>
        <w:t>(Aufsicht)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gab sie in Josefs Obhut, und er </w:t>
      </w:r>
      <w:r>
        <w:rPr>
          <w:color w:val="808080"/>
        </w:rPr>
        <w:t>(Josef)</w:t>
      </w:r>
      <w:r>
        <w:rPr/>
        <w:t xml:space="preserve"> bediente sie </w:t>
      </w:r>
      <w:r>
        <w:rPr>
          <w:color w:val="808080"/>
        </w:rPr>
        <w:t>(diente ihnen, kümmerte sich um sie)</w:t>
      </w:r>
      <w:r>
        <w:rPr/>
        <w:t xml:space="preserve">. Und sie waren </w:t>
      </w:r>
      <w:r>
        <w:rPr>
          <w:b/>
          <w:color w:val="808080"/>
        </w:rPr>
        <w:t>[</w:t>
      </w:r>
      <w:r>
        <w:rPr/>
        <w:t>viele</w:t>
      </w:r>
      <w:r>
        <w:rPr>
          <w:b/>
          <w:color w:val="808080"/>
        </w:rPr>
        <w:t>]</w:t>
      </w:r>
      <w:r>
        <w:rPr/>
        <w:t xml:space="preserve"> Tage in Haft.{{field-off:bible}} </w:t>
        <w:br/>
        <w:t>[[@BibleTOBIBLE:Ge 40:5]]</w:t>
      </w:r>
      <w:r>
        <w:rPr>
          <w:b/>
        </w:rPr>
        <w:t>5</w:t>
      </w:r>
      <w:r>
        <w:rPr/>
        <w:t xml:space="preserve"> {{field-on:bible}}Und es träumten beide von ihnen </w:t>
      </w:r>
      <w:r>
        <w:rPr>
          <w:color w:val="808080"/>
        </w:rPr>
        <w:t>(sie beide)</w:t>
      </w:r>
      <w:r>
        <w:rPr/>
        <w:t xml:space="preserve"> einen Traum, jeder seinen Traum, in einer einzigen Nacht, jeder gemäß der Bedeutung </w:t>
      </w:r>
      <w:r>
        <w:rPr>
          <w:color w:val="808080"/>
        </w:rPr>
        <w:t>(Interpretation, 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Haft </w:t>
      </w:r>
      <w:r>
        <w:rPr>
          <w:color w:val="808080"/>
        </w:rPr>
        <w:t>(Bewachung)</w:t>
      </w:r>
      <w:r>
        <w:rPr/>
        <w:t xml:space="preserve">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680"/>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681"/>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Zweige </w:t>
      </w:r>
      <w:r>
        <w:rPr>
          <w:color w:val="808080"/>
        </w:rPr>
        <w:t>(Sprosse)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682"/>
        <w:t>d</w:t>
      </w:r>
      <w:r>
        <w:rPr/>
        <w:t xml:space="preserve">. Ihre Büschel </w:t>
      </w:r>
      <w:r>
        <w:rPr>
          <w:color w:val="808080"/>
        </w:rPr>
        <w:t>(Bündel)</w:t>
      </w:r>
      <w:r>
        <w:rPr/>
        <w:t xml:space="preserve"> ließen Trauben reifen.{{field-off:bible}} </w:t>
      </w:r>
    </w:p>
    <w:p>
      <w:pPr>
        <w:pStyle w:val="Berschrift3"/>
        <w:rPr/>
      </w:pPr>
      <w:r>
        <w:rPr/>
        <w:t>[[@BibleTOBIBLE:Ge 42]]Kapitel 42</w:t>
      </w:r>
    </w:p>
    <w:p>
      <w:pPr>
        <w:pStyle w:val="Textkrper"/>
        <w:rPr/>
      </w:pPr>
      <w:r>
        <w:rPr/>
        <w:br/>
        <w:t>[[@BibleTOBIBLE:Ge 42:18]]</w:t>
      </w:r>
      <w:r>
        <w:rPr>
          <w:b/>
        </w:rPr>
        <w:t>18</w:t>
      </w:r>
      <w:r>
        <w:rPr/>
        <w:t xml:space="preserve"> {{field-on:bible}}Josef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44:18]]</w:t>
      </w:r>
      <w:r>
        <w:rPr>
          <w:b/>
        </w:rPr>
        <w:t>18</w:t>
      </w:r>
      <w:r>
        <w:rPr/>
        <w:t xml:space="preserve"> {{field-on:bible}}Da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683"/>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684"/>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685"/>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686"/>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687"/>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688"/>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689"/>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690"/>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691"/>
        <w:t>i</w:t>
      </w:r>
      <w:r>
        <w:rPr/>
        <w:t>, dann bringt</w:t>
      </w:r>
      <w:r>
        <w:rPr>
          <w:rStyle w:val="Funotenanker"/>
        </w:rPr>
        <w:footnoteReference w:customMarkFollows="1" w:id="692"/>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693"/>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694"/>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695"/>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696"/>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697"/>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48:14]]</w:t>
      </w:r>
      <w:r>
        <w:rPr>
          <w:b/>
        </w:rPr>
        <w:t>14</w:t>
      </w:r>
      <w:r>
        <w:rPr/>
        <w:t xml:space="preserve"> {{field-on:bible}}Und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698"/>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699"/>
        <w:t>b</w:t>
      </w:r>
      <w:r>
        <w:rPr/>
        <w:t xml:space="preserve"> an seinen Händen </w:t>
      </w:r>
      <w:r>
        <w:rPr>
          <w:color w:val="808080"/>
        </w:rPr>
        <w:t>(er überkreuzte seine Hände)</w:t>
      </w:r>
      <w:r>
        <w:rPr/>
        <w:t xml:space="preserve"> </w:t>
      </w:r>
      <w:r>
        <w:rPr>
          <w:rStyle w:val="Funotenanker"/>
        </w:rPr>
        <w:footnoteReference w:customMarkFollows="1" w:id="700"/>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50:15]]</w:t>
      </w:r>
      <w:r>
        <w:rPr>
          <w:b/>
        </w:rPr>
        <w:t>15</w:t>
      </w:r>
      <w:r>
        <w:rPr/>
        <w:t xml:space="preserve"> {{field-on:bible}}Und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701"/>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702"/>
        <w:t>Status</w:t>
      </w:r>
      <w:r>
        <w:rPr/>
        <w:t xml:space="preserve"> </w:t>
      </w:r>
      <w:r>
        <w:rPr>
          <w:strike/>
          <w:color w:val="808080"/>
        </w:rPr>
        <w:t>{Und}</w:t>
      </w:r>
      <w:r>
        <w:rPr/>
        <w:t xml:space="preserve"> Ein Mann aus dem Hause Levi ging und nahm eine Nachfahrin Levis</w:t>
      </w:r>
      <w:r>
        <w:rPr>
          <w:rStyle w:val="Funotenanker"/>
        </w:rPr>
        <w:footnoteReference w:customMarkFollows="1" w:id="703"/>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704"/>
        <w:t>b</w:t>
      </w:r>
      <w:r>
        <w:rPr/>
        <w:t xml:space="preserve"> </w:t>
      </w:r>
      <w:r>
        <w:rPr>
          <w:b/>
          <w:color w:val="808080"/>
        </w:rPr>
        <w:t>[</w:t>
      </w:r>
      <w:r>
        <w:rPr/>
        <w:t>aus</w:t>
      </w:r>
      <w:r>
        <w:rPr>
          <w:b/>
          <w:color w:val="808080"/>
        </w:rPr>
        <w:t>]</w:t>
      </w:r>
      <w:r>
        <w:rPr/>
        <w:t xml:space="preserve"> Schilf</w:t>
      </w:r>
      <w:r>
        <w:rPr>
          <w:rStyle w:val="Funotenanker"/>
        </w:rPr>
        <w:footnoteReference w:customMarkFollows="1" w:id="705"/>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706"/>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707"/>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708"/>
        <w:t>f</w:t>
      </w:r>
      <w:r>
        <w:rPr/>
        <w:t xml:space="preserve">. </w:t>
      </w:r>
      <w:r>
        <w:rPr>
          <w:strike/>
          <w:color w:val="808080"/>
        </w:rPr>
        <w:t>{und}</w:t>
      </w:r>
      <w:r>
        <w:rPr/>
        <w:t xml:space="preserve"> Sie gab ihm den Namen</w:t>
      </w:r>
      <w:r>
        <w:rPr>
          <w:rStyle w:val="Funotenanker"/>
        </w:rPr>
        <w:footnoteReference w:customMarkFollows="1" w:id="709"/>
        <w:t>g</w:t>
      </w:r>
      <w:r>
        <w:rPr/>
        <w:t xml:space="preserve"> Mose und sagte: Weil ich ihn aus dem Wasser gezogen habe!</w:t>
      </w:r>
      <w:r>
        <w:rPr>
          <w:rStyle w:val="Funotenanker"/>
        </w:rPr>
        <w:footnoteReference w:customMarkFollows="1" w:id="710"/>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711"/>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712"/>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713"/>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714"/>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715"/>
        <w:t>Status</w:t>
      </w:r>
      <w:r>
        <w:rPr/>
        <w:t xml:space="preserve"> Währenddessen </w:t>
      </w:r>
      <w:r>
        <w:rPr>
          <w:color w:val="808080"/>
        </w:rPr>
        <w:t>(und, als)</w:t>
      </w:r>
      <w:r>
        <w:rPr/>
        <w:t xml:space="preserve"> </w:t>
      </w:r>
      <w:r>
        <w:rPr>
          <w:rStyle w:val="Funotenanker"/>
        </w:rPr>
        <w:footnoteReference w:customMarkFollows="1" w:id="716"/>
        <w:t>a</w:t>
      </w:r>
      <w:r>
        <w:rPr/>
        <w:t xml:space="preserve"> hütete Mose das Kleinvieh</w:t>
      </w:r>
      <w:r>
        <w:rPr>
          <w:rStyle w:val="Funotenanker"/>
        </w:rPr>
        <w:footnoteReference w:customMarkFollows="1" w:id="717"/>
        <w:t>b</w:t>
      </w:r>
      <w:r>
        <w:rPr/>
        <w:t xml:space="preserve"> </w:t>
      </w:r>
      <w:r>
        <w:rPr>
          <w:color w:val="808080"/>
        </w:rPr>
        <w:t>(war Hirte des Kleinviehs)</w:t>
      </w:r>
      <w:r>
        <w:rPr/>
        <w:t xml:space="preserve"> </w:t>
      </w:r>
      <w:r>
        <w:rPr>
          <w:rStyle w:val="Funotenanker"/>
        </w:rPr>
        <w:footnoteReference w:customMarkFollows="1" w:id="718"/>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719"/>
        <w:t>d</w:t>
      </w:r>
      <w:r>
        <w:rPr/>
        <w:t xml:space="preserve"> aus der Mitte des Busches</w:t>
      </w:r>
      <w:r>
        <w:rPr>
          <w:rStyle w:val="Funotenanker"/>
        </w:rPr>
        <w:footnoteReference w:customMarkFollows="1" w:id="720"/>
        <w:t>e</w:t>
      </w:r>
      <w:r>
        <w:rPr/>
        <w:t xml:space="preserve">. </w:t>
      </w:r>
      <w:r>
        <w:rPr>
          <w:strike/>
          <w:color w:val="808080"/>
        </w:rPr>
        <w:t>{und}</w:t>
      </w:r>
      <w:r>
        <w:rPr/>
        <w:t xml:space="preserve"> Er sah hin - obwohl</w:t>
      </w:r>
      <w:r>
        <w:rPr>
          <w:rStyle w:val="Funotenanker"/>
        </w:rPr>
        <w:footnoteReference w:customMarkFollows="1" w:id="721"/>
        <w:t>f</w:t>
      </w:r>
      <w:r>
        <w:rPr/>
        <w:t xml:space="preserve"> der Busch mit </w:t>
      </w:r>
      <w:r>
        <w:rPr>
          <w:color w:val="808080"/>
        </w:rPr>
        <w:t>(im)</w:t>
      </w:r>
      <w:r>
        <w:rPr/>
        <w:t xml:space="preserve"> Feuer</w:t>
      </w:r>
      <w:r>
        <w:rPr>
          <w:rStyle w:val="Funotenanker"/>
        </w:rPr>
        <w:footnoteReference w:customMarkFollows="1" w:id="722"/>
        <w:t>g</w:t>
      </w:r>
      <w:r>
        <w:rPr/>
        <w:t xml:space="preserve"> brannte</w:t>
      </w:r>
      <w:r>
        <w:rPr>
          <w:rStyle w:val="Funotenanker"/>
        </w:rPr>
        <w:footnoteReference w:customMarkFollows="1" w:id="723"/>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724"/>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725"/>
        <w:t>j</w:t>
      </w:r>
      <w:r>
        <w:rPr/>
        <w:t xml:space="preserve"> diese außergewöhnliche </w:t>
      </w:r>
      <w:r>
        <w:rPr>
          <w:color w:val="808080"/>
        </w:rPr>
        <w:t>(großartige)</w:t>
      </w:r>
      <w:r>
        <w:rPr/>
        <w:t xml:space="preserve"> Erscheinung ansehen. Warum verbrennt</w:t>
      </w:r>
      <w:r>
        <w:rPr>
          <w:rStyle w:val="Funotenanker"/>
        </w:rPr>
        <w:footnoteReference w:customMarkFollows="1" w:id="726"/>
        <w:t>k</w:t>
      </w:r>
      <w:r>
        <w:rPr/>
        <w:t xml:space="preserve"> der Busch nicht?</w:t>
      </w:r>
      <w:r>
        <w:rPr>
          <w:rStyle w:val="Funotenanker"/>
        </w:rPr>
        <w:footnoteReference w:customMarkFollows="1" w:id="727"/>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728"/>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729"/>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730"/>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731"/>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732"/>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733"/>
        <w:t>r</w:t>
      </w:r>
      <w:r>
        <w:rPr/>
        <w:t xml:space="preserve"> Milch und Honig fließt</w:t>
      </w:r>
      <w:r>
        <w:rPr>
          <w:rStyle w:val="Funotenanker"/>
        </w:rPr>
        <w:footnoteReference w:customMarkFollows="1" w:id="734"/>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735"/>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736"/>
        <w:t>u</w:t>
      </w:r>
      <w:r>
        <w:rPr/>
        <w:t>.</w:t>
      </w:r>
      <w:r>
        <w:rPr>
          <w:rStyle w:val="Funotenanker"/>
        </w:rPr>
        <w:footnoteReference w:customMarkFollows="1" w:id="737"/>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738"/>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739"/>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740"/>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741"/>
        <w:t>z</w:t>
      </w:r>
      <w:r>
        <w:rPr/>
        <w:t xml:space="preserve"> Ich werde bei dir sein </w:t>
      </w:r>
      <w:r>
        <w:rPr>
          <w:color w:val="808080"/>
        </w:rPr>
        <w:t>(bin bei dir)</w:t>
      </w:r>
      <w:r>
        <w:rPr/>
        <w:t xml:space="preserve"> </w:t>
      </w:r>
      <w:r>
        <w:rPr>
          <w:rStyle w:val="Funotenanker"/>
        </w:rPr>
        <w:footnoteReference w:customMarkFollows="1" w:id="742"/>
        <w:t>aa</w:t>
      </w:r>
      <w:r>
        <w:rPr/>
        <w:t xml:space="preserve">. Und dies </w:t>
      </w:r>
      <w:r>
        <w:rPr>
          <w:b/>
          <w:color w:val="808080"/>
        </w:rPr>
        <w:t>[</w:t>
      </w:r>
      <w:r>
        <w:rPr/>
        <w:t>soll</w:t>
      </w:r>
      <w:r>
        <w:rPr>
          <w:b/>
          <w:color w:val="808080"/>
        </w:rPr>
        <w:t>]</w:t>
      </w:r>
      <w:r>
        <w:rPr/>
        <w:t xml:space="preserve"> dein</w:t>
      </w:r>
      <w:r>
        <w:rPr>
          <w:rStyle w:val="Funotenanker"/>
        </w:rPr>
        <w:footnoteReference w:customMarkFollows="1" w:id="743"/>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744"/>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745"/>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746"/>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747"/>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748"/>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749"/>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750"/>
        <w:t>ai</w:t>
      </w:r>
      <w:r>
        <w:rPr/>
        <w:t xml:space="preserve">, der Gott Abrahams, Isaaks und Jakobs </w:t>
      </w:r>
      <w:r>
        <w:rPr>
          <w:rStyle w:val="Funotenanker"/>
        </w:rPr>
        <w:footnoteReference w:customMarkFollows="1" w:id="751"/>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752"/>
        <w:t>ak</w:t>
      </w:r>
      <w:r>
        <w:rPr/>
        <w:t xml:space="preserve"> angenommen </w:t>
      </w:r>
      <w:r>
        <w:rPr>
          <w:color w:val="808080"/>
        </w:rPr>
        <w:t>(beobachtet, mich gekümmert, eingegriffen)</w:t>
      </w:r>
      <w:r>
        <w:rPr/>
        <w:t xml:space="preserve"> </w:t>
      </w:r>
      <w:r>
        <w:rPr>
          <w:rStyle w:val="Funotenanker"/>
        </w:rPr>
        <w:footnoteReference w:customMarkFollows="1" w:id="753"/>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754"/>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755"/>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756"/>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757"/>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758"/>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759"/>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760"/>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761"/>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762"/>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763"/>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764"/>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765"/>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18:21]]</w:t>
      </w:r>
      <w:r>
        <w:rPr>
          <w:b/>
        </w:rPr>
        <w:t>21</w:t>
      </w:r>
      <w:r>
        <w:rPr/>
        <w:t xml:space="preserve"> {{field-on:bible}}Du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{{field-on:bible}}Dann </w:t>
      </w:r>
      <w:r>
        <w:rPr>
          <w:color w:val="808080"/>
        </w:rPr>
        <w:t>(und)</w:t>
      </w:r>
      <w:r>
        <w:rPr/>
        <w:t xml:space="preserve"> sprach Gott alle diese Worte:</w:t>
      </w:r>
      <w:r>
        <w:rPr>
          <w:rStyle w:val="Funotenanker"/>
        </w:rPr>
        <w:footnoteReference w:customMarkFollows="1" w:id="766"/>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767"/>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768"/>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769"/>
        <w:t>d</w:t>
      </w:r>
      <w:r>
        <w:rPr/>
        <w:t xml:space="preserve"> keine anderen Götter vor </w:t>
      </w:r>
      <w:r>
        <w:rPr>
          <w:color w:val="808080"/>
        </w:rPr>
        <w:t>(neben, außer)</w:t>
      </w:r>
      <w:r>
        <w:rPr/>
        <w:t xml:space="preserve"> mir</w:t>
      </w:r>
      <w:r>
        <w:rPr>
          <w:rStyle w:val="Funotenanker"/>
        </w:rPr>
        <w:footnoteReference w:customMarkFollows="1" w:id="770"/>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771"/>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772"/>
        <w:t>g</w:t>
      </w:r>
      <w:r>
        <w:rPr/>
        <w:t xml:space="preserve"> gebrauchen </w:t>
      </w:r>
      <w:r>
        <w:rPr>
          <w:color w:val="808080"/>
        </w:rPr>
        <w:t>(aussprechen; aufheben)</w:t>
      </w:r>
      <w:r>
        <w:rPr/>
        <w:t xml:space="preserve"> </w:t>
      </w:r>
      <w:r>
        <w:rPr>
          <w:rStyle w:val="Funotenanker"/>
        </w:rPr>
        <w:footnoteReference w:customMarkFollows="1" w:id="773"/>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774"/>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775"/>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776"/>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777"/>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{{field-on:bible}}Wer einen Mann schlägt und er stirbt, der muss getötet werden</w:t>
      </w:r>
      <w:r>
        <w:rPr>
          <w:rStyle w:val="Funotenanker"/>
        </w:rPr>
        <w:footnoteReference w:customMarkFollows="1" w:id="778"/>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779"/>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780"/>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781"/>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782"/>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783"/>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5:14]]</w:t>
      </w:r>
      <w:r>
        <w:rPr>
          <w:b/>
        </w:rPr>
        <w:t>14</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784"/>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785"/>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786"/>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787"/>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788"/>
        <w:t>d</w:t>
      </w:r>
      <w:r>
        <w:rPr/>
        <w:t xml:space="preserve">!{{field-off:bible}} </w:t>
        <w:br/>
        <w:t>[[@BibleTOBIBLE:Le 18:4]]</w:t>
      </w:r>
      <w:r>
        <w:rPr>
          <w:b/>
        </w:rPr>
        <w:t>4</w:t>
      </w:r>
      <w:r>
        <w:rPr/>
        <w:t xml:space="preserve"> {{field-on:bible}}''Meine'' Verordnungen</w:t>
      </w:r>
      <w:r>
        <w:rPr>
          <w:rStyle w:val="Funotenanker"/>
        </w:rPr>
        <w:footnoteReference w:customMarkFollows="1" w:id="789"/>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790"/>
        <w:t>f</w:t>
      </w:r>
      <w:r>
        <w:rPr/>
        <w:t xml:space="preserve"> und ''meine'' Vorschriften</w:t>
      </w:r>
      <w:r>
        <w:rPr>
          <w:rStyle w:val="Funotenanker"/>
        </w:rPr>
        <w:footnoteReference w:customMarkFollows="1" w:id="791"/>
        <w:t>g</w:t>
      </w:r>
      <w:r>
        <w:rPr/>
        <w:t xml:space="preserve"> einhalten </w:t>
      </w:r>
      <w:r>
        <w:rPr>
          <w:color w:val="808080"/>
        </w:rPr>
        <w:t>(befolgen; haltet ein)</w:t>
      </w:r>
      <w:r>
        <w:rPr/>
        <w:t>, indem ihr nach ihnen lebt!</w:t>
      </w:r>
      <w:r>
        <w:rPr>
          <w:rStyle w:val="Funotenanker"/>
        </w:rPr>
        <w:footnoteReference w:customMarkFollows="1" w:id="792"/>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793"/>
        <w:t>i</w:t>
      </w:r>
      <w:r>
        <w:rPr/>
        <w:t xml:space="preserve">. </w:t>
      </w:r>
      <w:r>
        <w:rPr>
          <w:rStyle w:val="Funotenanker"/>
        </w:rPr>
        <w:footnoteReference w:customMarkFollows="1" w:id="794"/>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18:24]]</w:t>
      </w:r>
      <w:r>
        <w:rPr>
          <w:b/>
        </w:rPr>
        <w:t>24</w:t>
      </w:r>
      <w:r>
        <w:rPr/>
        <w:t xml:space="preserve"> {{field-on:bible}} </w:t>
      </w:r>
      <w:r>
        <w:rPr>
          <w:rStyle w:val="Funotenanker"/>
        </w:rPr>
        <w:footnoteReference w:customMarkFollows="1" w:id="795"/>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796"/>
        <w:t>k</w:t>
      </w:r>
      <w:r>
        <w:rPr/>
        <w:t>, die ich vor euch vertreibe</w:t>
      </w:r>
      <w:r>
        <w:rPr>
          <w:rStyle w:val="Funotenanker"/>
        </w:rPr>
        <w:footnoteReference w:customMarkFollows="1" w:id="797"/>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798"/>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799"/>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800"/>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801"/>
        <w:t>p</w:t>
      </w:r>
      <w:r>
        <w:rPr/>
        <w:t xml:space="preserve"> denen sie vor euren Augen </w:t>
      </w:r>
      <w:r>
        <w:rPr>
          <w:color w:val="808080"/>
        </w:rPr>
        <w:t>(vor eurer Ankunft; vor euch)</w:t>
      </w:r>
      <w:r>
        <w:rPr/>
        <w:t xml:space="preserve"> </w:t>
      </w:r>
      <w:r>
        <w:rPr>
          <w:rStyle w:val="Funotenanker"/>
        </w:rPr>
        <w:footnoteReference w:customMarkFollows="1" w:id="802"/>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803"/>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804"/>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805"/>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806"/>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807"/>
        <w:t>Status</w:t>
      </w:r>
      <w:r>
        <w:rPr/>
        <w:t xml:space="preserve"> Und </w:t>
      </w:r>
      <w:r>
        <w:rPr>
          <w:smallCaps/>
          <w:color w:val="FF0000"/>
        </w:rPr>
        <w:t>JHWH</w:t>
      </w:r>
      <w:r>
        <w:rPr/>
        <w:t xml:space="preserve"> sprach zu Mose am Berg Sinai </w:t>
      </w:r>
      <w:r>
        <w:rPr>
          <w:strike/>
          <w:color w:val="808080"/>
        </w:rPr>
        <w:t>{und sagte}</w:t>
      </w:r>
      <w:r>
        <w:rPr/>
        <w:t xml:space="preserve">:{{field-off:bible}} </w:t>
        <w:br/>
        <w:t>[[@BibleTOBIBLE:Le 25:2]]</w:t>
      </w:r>
      <w:r>
        <w:rPr>
          <w:b/>
        </w:rPr>
        <w:t>2</w:t>
      </w:r>
      <w:r>
        <w:rPr/>
        <w:t xml:space="preserve"> {{field-on:bible}}Sprich zu den Söhnen Israel und sage zu ihnen: Wenn ihr in das Land kommen werdet, welches ich euch geben werde, </w:t>
      </w:r>
      <w:r>
        <w:rPr>
          <w:b/>
          <w:color w:val="808080"/>
        </w:rPr>
        <w:t>[</w:t>
      </w:r>
      <w:r>
        <w:rPr/>
        <w:t>dann soll</w:t>
      </w:r>
      <w:r>
        <w:rPr>
          <w:b/>
          <w:color w:val="808080"/>
        </w:rPr>
        <w:t>]</w:t>
      </w:r>
      <w:r>
        <w:rPr/>
        <w:t xml:space="preserve"> das Land einen Sabbat ruhen für Jahwe.{{field-off:bible}} </w:t>
        <w:br/>
        <w:t>[[@BibleTOBIBLE:Le 25:3]]</w:t>
      </w:r>
      <w:r>
        <w:rPr>
          <w:b/>
        </w:rPr>
        <w:t>3</w:t>
      </w:r>
      <w:r>
        <w:rPr/>
        <w:t xml:space="preserve"> {{field-on:bible}}Sechs Jahre sollst du dein Feld besäen und sechs Jahre sollst du deinen Weinberg beschneiden und sollst seinen Ertrag einsammeln.{{field-off:bible}} </w:t>
        <w:br/>
        <w:t>[[@BibleTOBIBLE:Le 25:4]]</w:t>
      </w:r>
      <w:r>
        <w:rPr>
          <w:b/>
        </w:rPr>
        <w:t>4</w:t>
      </w:r>
      <w:r>
        <w:rPr/>
        <w:t xml:space="preserve"> {{field-on:bible}}Aber das siebente Jahr soll ein Sabbat der Ruhe für das Land sein, ein Sabbat für Jahwe. Dein Feld sollst du nicht besäen und deinen Weinberg sollst du nicht beschneiden.{{field-off:bible}} </w:t>
        <w:br/>
        <w:t>[[@BibleTOBIBLE:Le 25:5]]</w:t>
      </w:r>
      <w:r>
        <w:rPr>
          <w:b/>
        </w:rPr>
        <w:t>5</w:t>
      </w:r>
      <w:r>
        <w:rPr/>
        <w:t xml:space="preserve"> {{field-on:bible}}Was nach deiner Ernte von alleine wächst, sollst du nicht ernten und die Trauben deines unbeschnittenen Weinbergs </w:t>
      </w:r>
      <w:r>
        <w:rPr>
          <w:color w:val="808080"/>
        </w:rPr>
        <w:t>(dein Geweihter)</w:t>
      </w:r>
      <w:r>
        <w:rPr/>
        <w:t xml:space="preserve"> sollst du nicht abschneiden. Ein Jahr der Sabbatruhe soll es sein für das Land.{{field-off:bible}} </w:t>
        <w:br/>
        <w:t>[[@BibleTOBIBLE:Le 25:6]]</w:t>
      </w:r>
      <w:r>
        <w:rPr>
          <w:b/>
        </w:rPr>
        <w:t>6</w:t>
      </w:r>
      <w:r>
        <w:rPr/>
        <w:t xml:space="preserve"> {{field-on:bible}}Und was das Land während des Sabbat</w:t>
      </w:r>
      <w:r>
        <w:rPr>
          <w:b/>
          <w:color w:val="808080"/>
        </w:rPr>
        <w:t>[</w:t>
      </w:r>
      <w:r>
        <w:rPr/>
        <w:t>jahres</w:t>
      </w:r>
      <w:r>
        <w:rPr>
          <w:b/>
          <w:color w:val="808080"/>
        </w:rPr>
        <w:t>]</w:t>
      </w:r>
      <w:r>
        <w:rPr/>
        <w:t xml:space="preserve"> </w:t>
      </w:r>
      <w:r>
        <w:rPr>
          <w:b/>
          <w:color w:val="808080"/>
        </w:rPr>
        <w:t>[</w:t>
      </w:r>
      <w:r>
        <w:rPr/>
        <w:t>wachsen lässt</w:t>
      </w:r>
      <w:r>
        <w:rPr>
          <w:b/>
          <w:color w:val="808080"/>
        </w:rPr>
        <w:t>]</w:t>
      </w:r>
      <w:r>
        <w:rPr/>
        <w:t xml:space="preserve">, wird eure Nahrung sein für dich, deinen Knecht, deine Magd, deinen Tagelöhner und für deinen Beisassen, sie sind Gäste bei dir.{{field-off:bible}} </w:t>
        <w:br/>
        <w:t>[[@BibleTOBIBLE:Le 25:7]]</w:t>
      </w:r>
      <w:r>
        <w:rPr>
          <w:b/>
        </w:rPr>
        <w:t>7</w:t>
      </w:r>
      <w:r>
        <w:rPr/>
        <w:t xml:space="preserve"> {{field-on:bible}}Und für dein Vieh und die Tiere, welche in deinem Land </w:t>
      </w:r>
      <w:r>
        <w:rPr>
          <w:b/>
          <w:color w:val="808080"/>
        </w:rPr>
        <w:t>[</w:t>
      </w:r>
      <w:r>
        <w:rPr/>
        <w:t>leben</w:t>
      </w:r>
      <w:r>
        <w:rPr>
          <w:b/>
          <w:color w:val="808080"/>
        </w:rPr>
        <w:t>]</w:t>
      </w:r>
      <w:r>
        <w:rPr/>
        <w:t xml:space="preserve">, wird aller Ertrag Nahrung sein.{{field-off:bible}} </w:t>
        <w:br/>
        <w:t>[[@BibleTOBIBLE:Le 25:8]]</w:t>
      </w:r>
      <w:r>
        <w:rPr>
          <w:b/>
        </w:rPr>
        <w:t>8</w:t>
      </w:r>
      <w:r>
        <w:rPr/>
        <w:t xml:space="preserve"> {{field-on:bible}}Und du sollst für dich sieben Sabbatjahre zählen, sieben Mal sieben Jahre und die Tage von sieben Sabbatjahren werden 49 Jahre sein.{{field-off:bible}} </w:t>
        <w:br/>
        <w:t>[[@BibleTOBIBLE:Le 25:9]]</w:t>
      </w:r>
      <w:r>
        <w:rPr>
          <w:b/>
        </w:rPr>
        <w:t>9</w:t>
      </w:r>
      <w:r>
        <w:rPr/>
        <w:t xml:space="preserve"> {{field-on:bible}}Ein Signal des Schofars </w:t>
      </w:r>
      <w:r>
        <w:rPr>
          <w:color w:val="808080"/>
        </w:rPr>
        <w:t>(Widderhorn)</w:t>
      </w:r>
      <w:r>
        <w:rPr/>
        <w:t xml:space="preserve"> werdet ihr erschallen </w:t>
      </w:r>
      <w:r>
        <w:rPr>
          <w:color w:val="808080"/>
        </w:rPr>
        <w:t>(vorübergehen)</w:t>
      </w:r>
      <w:r>
        <w:rPr/>
        <w:t xml:space="preserve"> lassen am zehnten Tag des siebenten Monats; am Tag der Versöhnung werdet ihr das Schofar erschallen </w:t>
      </w:r>
      <w:r>
        <w:rPr>
          <w:color w:val="808080"/>
        </w:rPr>
        <w:t>(vorübergehen)</w:t>
      </w:r>
      <w:r>
        <w:rPr/>
        <w:t xml:space="preserve"> lassen in eurem ganzen Land.{{field-off:bible}} </w:t>
        <w:br/>
        <w:t>[[@BibleTOBIBLE:Le 25:10]]</w:t>
      </w:r>
      <w:r>
        <w:rPr>
          <w:b/>
        </w:rPr>
        <w:t>10</w:t>
      </w:r>
      <w:r>
        <w:rPr/>
        <w:t xml:space="preserve"> {{field-on:bible}}Ihr sollt das Jahr des fünfzigsten Jahres heiligen und ihr sollt Freilassung im Land ausrufen für alle Einwohner, es wird ein Jobel</w:t>
      </w:r>
      <w:r>
        <w:rPr>
          <w:b/>
          <w:color w:val="808080"/>
        </w:rPr>
        <w:t>[</w:t>
      </w:r>
      <w:r>
        <w:rPr/>
        <w:t>jahr</w:t>
      </w:r>
      <w:r>
        <w:rPr>
          <w:b/>
          <w:color w:val="808080"/>
        </w:rPr>
        <w:t>]</w:t>
      </w:r>
      <w:r>
        <w:rPr/>
        <w:t xml:space="preserve"> </w:t>
      </w:r>
      <w:r>
        <w:rPr>
          <w:color w:val="808080"/>
        </w:rPr>
        <w:t>(Widderhorn)</w:t>
      </w:r>
      <w:r>
        <w:rPr/>
        <w:t xml:space="preserve"> für euch sein. Und jeder wird seinen Besitz zurückbekommen und jeder wird zu seiner Sippe zurückkehren.{{field-off:bible}} </w:t>
        <w:br/>
        <w:t>[[@BibleTOBIBLE:Le 25:11]]</w:t>
      </w:r>
      <w:r>
        <w:rPr>
          <w:b/>
        </w:rPr>
        <w:t>11</w:t>
      </w:r>
      <w:r>
        <w:rPr/>
        <w:t xml:space="preserve"> {{field-on:bible}}Ein Jobeljahr wird dieses fünfzigste Jahr sein für euch. Du sollst nicht säen, seinen Wildwuchs nicht ernten und den unbeschnittenen Weinberg nicht ablesen,{{field-off:bible}} </w:t>
        <w:br/>
        <w:t>[[@BibleTOBIBLE:Le 25:12]]</w:t>
      </w:r>
      <w:r>
        <w:rPr>
          <w:b/>
        </w:rPr>
        <w:t>12</w:t>
      </w:r>
      <w:r>
        <w:rPr/>
        <w:t xml:space="preserve"> {{field-on:bible}}denn das Jobel</w:t>
      </w:r>
      <w:r>
        <w:rPr>
          <w:b/>
          <w:color w:val="808080"/>
        </w:rPr>
        <w:t>[</w:t>
      </w:r>
      <w:r>
        <w:rPr/>
        <w:t>jahr</w:t>
      </w:r>
      <w:r>
        <w:rPr>
          <w:b/>
          <w:color w:val="808080"/>
        </w:rPr>
        <w:t>]</w:t>
      </w:r>
      <w:r>
        <w:rPr/>
        <w:t xml:space="preserve"> </w:t>
      </w:r>
      <w:r>
        <w:rPr>
          <w:color w:val="808080"/>
        </w:rPr>
        <w:t>(Widderhorn)</w:t>
      </w:r>
      <w:r>
        <w:rPr/>
        <w:t xml:space="preserve"> soll für euch heilig sein. Vom Feld werdet ihr seinen Ertrag essen.{{field-off:bible}} </w:t>
        <w:br/>
        <w:t>[[@BibleTOBIBLE:Le 25:13]]</w:t>
      </w:r>
      <w:r>
        <w:rPr>
          <w:b/>
        </w:rPr>
        <w:t>13</w:t>
      </w:r>
      <w:r>
        <w:rPr/>
        <w:t xml:space="preserve"> {{field-on:bible}}In diesem Jobeljahr wird jeder seinen Besitz zurückbekommen.{{field-off:bible}} </w:t>
        <w:br/>
        <w:t>[[@BibleTOBIBLE:Le 25:14]]</w:t>
      </w:r>
      <w:r>
        <w:rPr>
          <w:b/>
        </w:rPr>
        <w:t>14</w:t>
      </w:r>
      <w:r>
        <w:rPr/>
        <w:t xml:space="preserve"> {{field-on:bible}}Wenn du deinem Nächsten etwas verkaufst oder du von der Hand deines Nächsten kaufst, </w:t>
      </w:r>
      <w:r>
        <w:rPr>
          <w:b/>
          <w:color w:val="808080"/>
        </w:rPr>
        <w:t>[</w:t>
      </w:r>
      <w:r>
        <w:rPr/>
        <w:t>so</w:t>
      </w:r>
      <w:r>
        <w:rPr>
          <w:b/>
          <w:color w:val="808080"/>
        </w:rPr>
        <w:t>]</w:t>
      </w:r>
      <w:r>
        <w:rPr/>
        <w:t xml:space="preserve"> soll keiner seinen Bruder benachteiligen </w:t>
      </w:r>
      <w:r>
        <w:rPr>
          <w:color w:val="808080"/>
        </w:rPr>
        <w:t>(übervorteilen)</w:t>
      </w:r>
      <w:r>
        <w:rPr/>
        <w:t xml:space="preserve">.{{field-off:bible}} </w:t>
        <w:br/>
        <w:t>[[@BibleTOBIBLE:Le 25:15]]</w:t>
      </w:r>
      <w:r>
        <w:rPr>
          <w:b/>
        </w:rPr>
        <w:t>15</w:t>
      </w:r>
      <w:r>
        <w:rPr/>
        <w:t xml:space="preserve"> {{field-on:bible}} </w:t>
      </w:r>
      <w:r>
        <w:rPr>
          <w:b/>
          <w:color w:val="808080"/>
        </w:rPr>
        <w:t>[</w:t>
      </w:r>
      <w:r>
        <w:rPr/>
        <w:t>Berechnet gemäss</w:t>
      </w:r>
      <w:r>
        <w:rPr>
          <w:b/>
          <w:color w:val="808080"/>
        </w:rPr>
        <w:t>]</w:t>
      </w:r>
      <w:r>
        <w:rPr/>
        <w:t xml:space="preserve"> der Anzahl der Jahre nach dem Jobel</w:t>
      </w:r>
      <w:r>
        <w:rPr>
          <w:b/>
          <w:color w:val="808080"/>
        </w:rPr>
        <w:t>[</w:t>
      </w:r>
      <w:r>
        <w:rPr/>
        <w:t>jahr</w:t>
      </w:r>
      <w:r>
        <w:rPr>
          <w:b/>
          <w:color w:val="808080"/>
        </w:rPr>
        <w:t>]</w:t>
      </w:r>
      <w:r>
        <w:rPr/>
        <w:t xml:space="preserve"> sollst du von deinem Nächsten kaufen und </w:t>
      </w:r>
      <w:r>
        <w:rPr>
          <w:b/>
          <w:color w:val="808080"/>
        </w:rPr>
        <w:t>[</w:t>
      </w:r>
      <w:r>
        <w:rPr/>
        <w:t>berechnet gemäss</w:t>
      </w:r>
      <w:r>
        <w:rPr>
          <w:b/>
          <w:color w:val="808080"/>
        </w:rPr>
        <w:t>]</w:t>
      </w:r>
      <w:r>
        <w:rPr/>
        <w:t xml:space="preserve"> der Anzahl der Jahreserträge soll er es dir verkaufen.{{field-off:bible}} </w:t>
        <w:br/>
        <w:t>[[@BibleTOBIBLE:Le 25:16]]</w:t>
      </w:r>
      <w:r>
        <w:rPr>
          <w:b/>
        </w:rPr>
        <w:t>16</w:t>
      </w:r>
      <w:r>
        <w:rPr/>
        <w:t xml:space="preserve"> {{field-on:bible}}Seinen Preis vergrösserst du, wenn es viele Jahre sind, seinen Preis verkleinerst du, wenn es wenige Jahre sind, denn die Anzahl der Erträge verkauft er dir.{{field-off:bible}} </w:t>
        <w:br/>
        <w:t>[[@BibleTOBIBLE:Le 25:17]]</w:t>
      </w:r>
      <w:r>
        <w:rPr>
          <w:b/>
        </w:rPr>
        <w:t>17</w:t>
      </w:r>
      <w:r>
        <w:rPr/>
        <w:t xml:space="preserve"> {{field-on:bible}}Niemand benachteilige seinen Nächsten. Fürchte dich vor deinem Gott, denn ich bin </w:t>
      </w:r>
      <w:r>
        <w:rPr>
          <w:smallCaps/>
          <w:color w:val="FF0000"/>
        </w:rPr>
        <w:t>JHWH</w:t>
      </w:r>
      <w:r>
        <w:rPr/>
        <w:t xml:space="preserve">, euer Gott.{{field-off:bible}} </w:t>
        <w:br/>
        <w:t>[[@BibleTOBIBLE:Le 25:18]]</w:t>
      </w:r>
      <w:r>
        <w:rPr>
          <w:b/>
        </w:rPr>
        <w:t>18</w:t>
      </w:r>
      <w:r>
        <w:rPr/>
        <w:t xml:space="preserve"> {{field-on:bible}}So halte dich an meine Regeln </w:t>
      </w:r>
      <w:r>
        <w:rPr>
          <w:color w:val="808080"/>
        </w:rPr>
        <w:t>(Satzung, Ordnung)</w:t>
      </w:r>
      <w:r>
        <w:rPr/>
        <w:t xml:space="preserve"> und meine Rechtsbestimmungen </w:t>
      </w:r>
      <w:r>
        <w:rPr>
          <w:color w:val="808080"/>
        </w:rPr>
        <w:t>(Gerichte, Urteile)</w:t>
      </w:r>
      <w:r>
        <w:rPr/>
        <w:t xml:space="preserve"> beachte und tue sie, </w:t>
      </w:r>
      <w:r>
        <w:rPr>
          <w:b/>
          <w:color w:val="808080"/>
        </w:rPr>
        <w:t>[</w:t>
      </w:r>
      <w:r>
        <w:rPr/>
        <w:t>dann</w:t>
      </w:r>
      <w:r>
        <w:rPr>
          <w:b/>
          <w:color w:val="808080"/>
        </w:rPr>
        <w:t>]</w:t>
      </w:r>
      <w:r>
        <w:rPr/>
        <w:t xml:space="preserve"> werdet ihr im Land wohnen in Sicherheit.{{field-off:bible}} </w:t>
        <w:br/>
        <w:t>[[@BibleTOBIBLE:Le 25:19]]</w:t>
      </w:r>
      <w:r>
        <w:rPr>
          <w:b/>
        </w:rPr>
        <w:t>19</w:t>
      </w:r>
      <w:r>
        <w:rPr/>
        <w:t xml:space="preserve"> {{field-on:bible}}Das Land wird euch seine Frucht geben, </w:t>
      </w:r>
      <w:r>
        <w:rPr>
          <w:b/>
          <w:color w:val="808080"/>
        </w:rPr>
        <w:t>[</w:t>
      </w:r>
      <w:r>
        <w:rPr/>
        <w:t>so dass</w:t>
      </w:r>
      <w:r>
        <w:rPr>
          <w:b/>
          <w:color w:val="808080"/>
        </w:rPr>
        <w:t>]</w:t>
      </w:r>
      <w:r>
        <w:rPr/>
        <w:t xml:space="preserve"> ihr im Überfluss essen werdet und in Sicherheit in ihm wohnt.{{field-off:bible}} </w:t>
        <w:br/>
        <w:t>[[@BibleTOBIBLE:Le 25:20]]</w:t>
      </w:r>
      <w:r>
        <w:rPr>
          <w:b/>
        </w:rPr>
        <w:t>20</w:t>
      </w:r>
      <w:r>
        <w:rPr/>
        <w:t xml:space="preserve"> {{field-on:bible}}Und wenn ihr sagt: „Was werden wir im siebenten Jahr essen? Siehe, wir säen nicht und unseren Ertrag sammeln wir nicht ein.“{{field-off:bible}} </w:t>
        <w:br/>
        <w:t>[[@BibleTOBIBLE:Le 25:21]]</w:t>
      </w:r>
      <w:r>
        <w:rPr>
          <w:b/>
        </w:rPr>
        <w:t>21</w:t>
      </w:r>
      <w:r>
        <w:rPr/>
        <w:t xml:space="preserve"> {{field-on:bible}}Ich werde für euch meinem Segen im sechsten Jahr befehlen, dass er einen Ertrag für drei Jahre macht.{{field-off:bible}} </w:t>
        <w:br/>
        <w:t>[[@BibleTOBIBLE:Le 25:22]]</w:t>
      </w:r>
      <w:r>
        <w:rPr>
          <w:b/>
        </w:rPr>
        <w:t>22</w:t>
      </w:r>
      <w:r>
        <w:rPr/>
        <w:t xml:space="preserve"> {{field-on:bible}}Und </w:t>
      </w:r>
      <w:r>
        <w:rPr>
          <w:b/>
          <w:color w:val="808080"/>
        </w:rPr>
        <w:t>[</w:t>
      </w:r>
      <w:r>
        <w:rPr/>
        <w:t>wenn</w:t>
      </w:r>
      <w:r>
        <w:rPr>
          <w:b/>
          <w:color w:val="808080"/>
        </w:rPr>
        <w:t>]</w:t>
      </w:r>
      <w:r>
        <w:rPr/>
        <w:t xml:space="preserve"> ihr im achten Jahr sät, werdet vom alten Ertrag essen; bis im neunten Jahr sein Ertrag kommt, werdet ihr vom alten essen.{{field-off:bible}} </w:t>
        <w:br/>
        <w:t>[[@BibleTOBIBLE:Le 25:23]]</w:t>
      </w:r>
      <w:r>
        <w:rPr>
          <w:b/>
        </w:rPr>
        <w:t>23</w:t>
      </w:r>
      <w:r>
        <w:rPr/>
        <w:t xml:space="preserve"> {{field-on:bible}}Das Land soll nicht für immer verkauft werden, denn das Land ist mein, so seid ihr denn Fremde und Beisassen bei mir.{{field-off:bible}} </w:t>
        <w:br/>
        <w:t>[[@BibleTOBIBLE:Le 25:24]]</w:t>
      </w:r>
      <w:r>
        <w:rPr>
          <w:b/>
        </w:rPr>
        <w:t>24</w:t>
      </w:r>
      <w:r>
        <w:rPr/>
        <w:t xml:space="preserve"> {{field-on:bible}}Auf euren ganzen Grundbesitz sollt ihr im Land Rückkauf </w:t>
      </w:r>
      <w:r>
        <w:rPr>
          <w:color w:val="808080"/>
        </w:rPr>
        <w:t>(Lösung)</w:t>
      </w:r>
      <w:r>
        <w:rPr/>
        <w:t xml:space="preserve"> gewähren.{{field-off:bible}} </w:t>
        <w:br/>
        <w:t>[[@BibleTOBIBLE:Le 25:25]]</w:t>
      </w:r>
      <w:r>
        <w:rPr>
          <w:b/>
        </w:rPr>
        <w:t>25</w:t>
      </w:r>
      <w:r>
        <w:rPr/>
        <w:t xml:space="preserve"> {{field-on:bible}}Wenn dein Bruder verarmt und er etwas von seinem Besitz verkauft, </w:t>
      </w:r>
      <w:r>
        <w:rPr>
          <w:b/>
          <w:color w:val="808080"/>
        </w:rPr>
        <w:t>[</w:t>
      </w:r>
      <w:r>
        <w:rPr/>
        <w:t>dann</w:t>
      </w:r>
      <w:r>
        <w:rPr>
          <w:b/>
          <w:color w:val="808080"/>
        </w:rPr>
        <w:t>]</w:t>
      </w:r>
      <w:r>
        <w:rPr/>
        <w:t xml:space="preserve"> soll als ein Löser dessen nächster Verwandter kommen und das Verkaufte seines Bruders zurückkaufen </w:t>
      </w:r>
      <w:r>
        <w:rPr>
          <w:color w:val="808080"/>
        </w:rPr>
        <w:t>(lösen)</w:t>
      </w:r>
      <w:r>
        <w:rPr/>
        <w:t xml:space="preserve">.{{field-off:bible}} </w:t>
        <w:br/>
        <w:t>[[@BibleTOBIBLE:Le 25:26]]</w:t>
      </w:r>
      <w:r>
        <w:rPr>
          <w:b/>
        </w:rPr>
        <w:t>26</w:t>
      </w:r>
      <w:r>
        <w:rPr/>
        <w:t xml:space="preserve"> {{field-on:bible}}Wenn jemand keinen Löser hat und er kann genug aufbringen </w:t>
      </w:r>
      <w:r>
        <w:rPr>
          <w:b/>
          <w:color w:val="808080"/>
        </w:rPr>
        <w:t>[</w:t>
      </w:r>
      <w:r>
        <w:rPr/>
        <w:t>w: seine Hand erreicht</w:t>
      </w:r>
      <w:r>
        <w:rPr>
          <w:b/>
          <w:color w:val="808080"/>
        </w:rPr>
        <w:t>]</w:t>
      </w:r>
      <w:r>
        <w:rPr/>
        <w:t xml:space="preserve"> und erwirbt genug für seine Auslöse,{{field-off:bible}} </w:t>
        <w:br/>
        <w:t>[[@BibleTOBIBLE:Le 25:27]]</w:t>
      </w:r>
      <w:r>
        <w:rPr>
          <w:b/>
        </w:rPr>
        <w:t>27</w:t>
      </w:r>
      <w:r>
        <w:rPr/>
        <w:t xml:space="preserve"> {{field-on:bible}} </w:t>
      </w:r>
      <w:r>
        <w:rPr>
          <w:b/>
          <w:color w:val="808080"/>
        </w:rPr>
        <w:t>[</w:t>
      </w:r>
      <w:r>
        <w:rPr/>
        <w:t>dann</w:t>
      </w:r>
      <w:r>
        <w:rPr>
          <w:b/>
          <w:color w:val="808080"/>
        </w:rPr>
        <w:t>]</w:t>
      </w:r>
      <w:r>
        <w:rPr/>
        <w:t xml:space="preserve"> soll er die Jahre seit seinem Verkauf berechnen und was noch übrig ist dem Mann zurückgeben und sein Besitz soll zurückkommt.{{field-off:bible}} </w:t>
        <w:br/>
        <w:t>[[@BibleTOBIBLE:Le 25:28]]</w:t>
      </w:r>
      <w:r>
        <w:rPr>
          <w:b/>
        </w:rPr>
        <w:t>28</w:t>
      </w:r>
      <w:r>
        <w:rPr/>
        <w:t xml:space="preserve"> {{field-on:bible}}Wenn jemand nicht genug hat </w:t>
      </w:r>
      <w:r>
        <w:rPr>
          <w:color w:val="808080"/>
        </w:rPr>
        <w:t>(in seiner Hand findet)</w:t>
      </w:r>
      <w:r>
        <w:rPr/>
        <w:t xml:space="preserve">, wird das Verkaufte in der Hand des Käufers bleiben bis zum Jobeljahr. Im Jobel soll es frei werden und wieder sein Besitz sein.{{field-off:bible}} </w:t>
        <w:br/>
        <w:t>[[@BibleTOBIBLE:Le 25:29]]</w:t>
      </w:r>
      <w:r>
        <w:rPr>
          <w:b/>
        </w:rPr>
        <w:t>29</w:t>
      </w:r>
      <w:r>
        <w:rPr/>
        <w:t xml:space="preserve"> {{field-on:bible}}Wenn jemand ein Wohnhaus in einer Stadt mit Mauern verkauft, ist es ab dem Verkauf ein Jahr möglich, es zurückzukaufen; das ist die Frist für seinen Rückkauf </w:t>
      </w:r>
      <w:r>
        <w:rPr>
          <w:color w:val="808080"/>
        </w:rPr>
        <w:t>(Lösung)</w:t>
      </w:r>
      <w:r>
        <w:rPr/>
        <w:t xml:space="preserve">.{{field-off:bible}} </w:t>
        <w:br/>
        <w:t>[[@BibleTOBIBLE:Le 25:30]]</w:t>
      </w:r>
      <w:r>
        <w:rPr>
          <w:b/>
        </w:rPr>
        <w:t>30</w:t>
      </w:r>
      <w:r>
        <w:rPr/>
        <w:t xml:space="preserve"> {{field-on:bible}}Und wenn er es nicht für sich zurückkauft bis ein volles Jahr zu Ende ist, </w:t>
      </w:r>
      <w:r>
        <w:rPr>
          <w:b/>
          <w:color w:val="808080"/>
        </w:rPr>
        <w:t>[</w:t>
      </w:r>
      <w:r>
        <w:rPr/>
        <w:t>dann</w:t>
      </w:r>
      <w:r>
        <w:rPr>
          <w:b/>
          <w:color w:val="808080"/>
        </w:rPr>
        <w:t>]</w:t>
      </w:r>
      <w:r>
        <w:rPr/>
        <w:t xml:space="preserve"> soll das Haus, welches in einer Stadt mit einer Mauer ist, für immer dem Käufer und seinen Nachkommen gehören. Im Jobel</w:t>
      </w:r>
      <w:r>
        <w:rPr>
          <w:b/>
          <w:color w:val="808080"/>
        </w:rPr>
        <w:t>[</w:t>
      </w:r>
      <w:r>
        <w:rPr/>
        <w:t>jahr</w:t>
      </w:r>
      <w:r>
        <w:rPr>
          <w:b/>
          <w:color w:val="808080"/>
        </w:rPr>
        <w:t>]</w:t>
      </w:r>
      <w:r>
        <w:rPr/>
        <w:t xml:space="preserve"> wird es nicht frei werden.{{field-off:bible}} </w:t>
        <w:br/>
        <w:t>[[@BibleTOBIBLE:Le 25:31]]</w:t>
      </w:r>
      <w:r>
        <w:rPr>
          <w:b/>
        </w:rPr>
        <w:t>31</w:t>
      </w:r>
      <w:r>
        <w:rPr/>
        <w:t xml:space="preserve"> {{field-on:bible}}Aber die Häuser der Dörfer, welche keine Mauer um sich herum haben, sollen wie das Feld des Landes behandelt </w:t>
      </w:r>
      <w:r>
        <w:rPr>
          <w:color w:val="808080"/>
        </w:rPr>
        <w:t>(gedacht)</w:t>
      </w:r>
      <w:r>
        <w:rPr/>
        <w:t xml:space="preserve"> werden; es soll ein Rückkauf </w:t>
      </w:r>
      <w:r>
        <w:rPr>
          <w:color w:val="808080"/>
        </w:rPr>
        <w:t>(Lösung)</w:t>
      </w:r>
      <w:r>
        <w:rPr/>
        <w:t xml:space="preserve"> möglich sein und im Jobel</w:t>
      </w:r>
      <w:r>
        <w:rPr>
          <w:b/>
          <w:color w:val="808080"/>
        </w:rPr>
        <w:t>[</w:t>
      </w:r>
      <w:r>
        <w:rPr/>
        <w:t>jahr</w:t>
      </w:r>
      <w:r>
        <w:rPr>
          <w:b/>
          <w:color w:val="808080"/>
        </w:rPr>
        <w:t>]</w:t>
      </w:r>
      <w:r>
        <w:rPr/>
        <w:t xml:space="preserve"> soll es frei werden.{{field-off:bible}} </w:t>
        <w:br/>
        <w:t>[[@BibleTOBIBLE:Le 25:32]]</w:t>
      </w:r>
      <w:r>
        <w:rPr>
          <w:b/>
        </w:rPr>
        <w:t>32</w:t>
      </w:r>
      <w:r>
        <w:rPr/>
        <w:t xml:space="preserve"> {{field-on:bible}} </w:t>
      </w:r>
      <w:r>
        <w:rPr>
          <w:b/>
          <w:color w:val="808080"/>
        </w:rPr>
        <w:t>[</w:t>
      </w:r>
      <w:r>
        <w:rPr/>
        <w:t>Es gilt für</w:t>
      </w:r>
      <w:r>
        <w:rPr>
          <w:b/>
          <w:color w:val="808080"/>
        </w:rPr>
        <w:t>]</w:t>
      </w:r>
      <w:r>
        <w:rPr/>
        <w:t xml:space="preserve"> die Städte der Leviten: Die Häuser der Städte sind ihr Besitz, ein Rückkauf soll immer möglich sein.{{field-off:bible}} </w:t>
        <w:br/>
        <w:t>[[@BibleTOBIBLE:Le 25:33]]</w:t>
      </w:r>
      <w:r>
        <w:rPr>
          <w:b/>
        </w:rPr>
        <w:t>33</w:t>
      </w:r>
      <w:r>
        <w:rPr/>
        <w:t xml:space="preserve"> {{field-on:bible}}Und zwar so: Einer von den Leviten soll es lösen oder das verkaufte Haus und die Stadt sollen im Jobel als sein Besitz frei werden. Denn die Häuser in den Levitenstädten, sie sind ihr Besitz mitten unter den Söhnen Israels.{{field-off:bible}} </w:t>
        <w:br/>
        <w:t>[[@BibleTOBIBLE:Le 25:34]]</w:t>
      </w:r>
      <w:r>
        <w:rPr>
          <w:b/>
        </w:rPr>
        <w:t>34</w:t>
      </w:r>
      <w:r>
        <w:rPr/>
        <w:t xml:space="preserve"> {{field-on:bible}}Und das Feld der Weide </w:t>
      </w:r>
      <w:r>
        <w:rPr>
          <w:b/>
          <w:color w:val="808080"/>
        </w:rPr>
        <w:t>[</w:t>
      </w:r>
      <w:r>
        <w:rPr/>
        <w:t>um</w:t>
      </w:r>
      <w:r>
        <w:rPr>
          <w:b/>
          <w:color w:val="808080"/>
        </w:rPr>
        <w:t>]</w:t>
      </w:r>
      <w:r>
        <w:rPr/>
        <w:t xml:space="preserve"> ihre Städte soll nicht verkauft werden, denn es ist ihr ewiger Besitz.{{field-off:bible}} </w:t>
        <w:br/>
        <w:t>[[@BibleTOBIBLE:Le 25:35]]</w:t>
      </w:r>
      <w:r>
        <w:rPr>
          <w:b/>
        </w:rPr>
        <w:t>35</w:t>
      </w:r>
      <w:r>
        <w:rPr/>
        <w:t xml:space="preserve"> {{field-on:bible}}Und wenn dein Bruder verarmt und er neben dir ins Schleudern kommt </w:t>
      </w:r>
      <w:r>
        <w:rPr>
          <w:color w:val="808080"/>
        </w:rPr>
        <w:t>(seine Hand wankt)</w:t>
      </w:r>
      <w:r>
        <w:rPr/>
        <w:t xml:space="preserve">, </w:t>
      </w:r>
      <w:r>
        <w:rPr>
          <w:b/>
          <w:color w:val="808080"/>
        </w:rPr>
        <w:t>[</w:t>
      </w:r>
      <w:r>
        <w:rPr/>
        <w:t>dann</w:t>
      </w:r>
      <w:r>
        <w:rPr>
          <w:b/>
          <w:color w:val="808080"/>
        </w:rPr>
        <w:t>]</w:t>
      </w:r>
      <w:r>
        <w:rPr/>
        <w:t xml:space="preserve"> stärke ihn, </w:t>
      </w:r>
      <w:r>
        <w:rPr>
          <w:b/>
          <w:color w:val="808080"/>
        </w:rPr>
        <w:t>[</w:t>
      </w:r>
      <w:r>
        <w:rPr/>
        <w:t>sonst</w:t>
      </w:r>
      <w:r>
        <w:rPr>
          <w:b/>
          <w:color w:val="808080"/>
        </w:rPr>
        <w:t>]</w:t>
      </w:r>
      <w:r>
        <w:rPr/>
        <w:t xml:space="preserve"> lebt er wie ein Fremder und Beisasse bei dir.{{field-off:bible}} </w:t>
        <w:br/>
        <w:t>[[@BibleTOBIBLE:Le 25:36]]</w:t>
      </w:r>
      <w:r>
        <w:rPr>
          <w:b/>
        </w:rPr>
        <w:t>36</w:t>
      </w:r>
      <w:r>
        <w:rPr/>
        <w:t xml:space="preserve"> {{field-on:bible}}Nimm weder Zins noch Wucher von ihm und fürchte dich vor deinem Gott, damit dein Bruder bei dir leben kann.{{field-off:bible}} </w:t>
        <w:br/>
        <w:t>[[@BibleTOBIBLE:Le 25:37]]</w:t>
      </w:r>
      <w:r>
        <w:rPr>
          <w:b/>
        </w:rPr>
        <w:t>37</w:t>
      </w:r>
      <w:r>
        <w:rPr/>
        <w:t xml:space="preserve"> {{field-on:bible}}Dein Geld </w:t>
      </w:r>
      <w:r>
        <w:rPr>
          <w:color w:val="808080"/>
        </w:rPr>
        <w:t>(Silber)</w:t>
      </w:r>
      <w:r>
        <w:rPr/>
        <w:t xml:space="preserve"> gib ihm nicht für Zins und für Wucher gib ihm nicht dein Essen.{{field-off:bible}} </w:t>
        <w:br/>
        <w:t>[[@BibleTOBIBLE:Le 25:38]]</w:t>
      </w:r>
      <w:r>
        <w:rPr>
          <w:b/>
        </w:rPr>
        <w:t>38</w:t>
      </w:r>
      <w:r>
        <w:rPr/>
        <w:t xml:space="preserve"> {{field-on:bible}}Ich bin </w:t>
      </w:r>
      <w:r>
        <w:rPr>
          <w:smallCaps/>
          <w:color w:val="FF0000"/>
        </w:rPr>
        <w:t>JHWH</w:t>
      </w:r>
      <w:r>
        <w:rPr/>
        <w:t xml:space="preserve">, dein Gott, der euch aus dem Land Ägypten herausgebracht hat, um euch das Land Kanan zu geben, damit ich euer Gott sei.{{field-off:bible}} </w:t>
        <w:br/>
        <w:t>[[@BibleTOBIBLE:Le 25:39]]</w:t>
      </w:r>
      <w:r>
        <w:rPr>
          <w:b/>
        </w:rPr>
        <w:t>39</w:t>
      </w:r>
      <w:r>
        <w:rPr/>
        <w:t xml:space="preserve"> {{field-on:bible}}Und wenn dein Bruder bei dir verarmt und sich dir verkauft, </w:t>
      </w:r>
      <w:r>
        <w:rPr>
          <w:b/>
          <w:color w:val="808080"/>
        </w:rPr>
        <w:t>[</w:t>
      </w:r>
      <w:r>
        <w:rPr/>
        <w:t>dann</w:t>
      </w:r>
      <w:r>
        <w:rPr>
          <w:b/>
          <w:color w:val="808080"/>
        </w:rPr>
        <w:t>]</w:t>
      </w:r>
      <w:r>
        <w:rPr/>
        <w:t xml:space="preserve"> soll er bei dir nicht in Knechtschaft </w:t>
      </w:r>
      <w:r>
        <w:rPr>
          <w:b/>
          <w:color w:val="808080"/>
        </w:rPr>
        <w:t>[</w:t>
      </w:r>
      <w:r>
        <w:rPr/>
        <w:t>als</w:t>
      </w:r>
      <w:r>
        <w:rPr>
          <w:b/>
          <w:color w:val="808080"/>
        </w:rPr>
        <w:t>]</w:t>
      </w:r>
      <w:r>
        <w:rPr/>
        <w:t xml:space="preserve"> Sklave arbeiten </w:t>
      </w:r>
      <w:r>
        <w:rPr>
          <w:color w:val="808080"/>
        </w:rPr>
        <w:t>(dienen)</w:t>
      </w:r>
      <w:r>
        <w:rPr/>
        <w:t xml:space="preserve">,{{field-off:bible}} </w:t>
        <w:br/>
        <w:t>[[@BibleTOBIBLE:Le 25:40]]</w:t>
      </w:r>
      <w:r>
        <w:rPr>
          <w:b/>
        </w:rPr>
        <w:t>40</w:t>
      </w:r>
      <w:r>
        <w:rPr/>
        <w:t xml:space="preserve"> {{field-on:bible}} </w:t>
      </w:r>
      <w:r>
        <w:rPr>
          <w:b/>
          <w:color w:val="808080"/>
        </w:rPr>
        <w:t>[</w:t>
      </w:r>
      <w:r>
        <w:rPr/>
        <w:t>sondern</w:t>
      </w:r>
      <w:r>
        <w:rPr>
          <w:b/>
          <w:color w:val="808080"/>
        </w:rPr>
        <w:t>]</w:t>
      </w:r>
      <w:r>
        <w:rPr/>
        <w:t xml:space="preserve"> wie ein Tagelöhner, wie ein Beisasse soll er bei dir sein; bis zum Jobeljahr soll er bei dir arbeiten </w:t>
      </w:r>
      <w:r>
        <w:rPr>
          <w:color w:val="808080"/>
        </w:rPr>
        <w:t>(dienen)</w:t>
      </w:r>
      <w:r>
        <w:rPr/>
        <w:t xml:space="preserve">.{{field-off:bible}} </w:t>
        <w:br/>
        <w:t>[[@BibleTOBIBLE:Le 25:41]]</w:t>
      </w:r>
      <w:r>
        <w:rPr>
          <w:b/>
        </w:rPr>
        <w:t>41</w:t>
      </w:r>
      <w:r>
        <w:rPr/>
        <w:t xml:space="preserve"> {{field-on:bible}} </w:t>
      </w:r>
      <w:r>
        <w:rPr>
          <w:b/>
          <w:color w:val="808080"/>
        </w:rPr>
        <w:t>[</w:t>
      </w:r>
      <w:r>
        <w:rPr/>
        <w:t>Dann</w:t>
      </w:r>
      <w:r>
        <w:rPr>
          <w:b/>
          <w:color w:val="808080"/>
        </w:rPr>
        <w:t>]</w:t>
      </w:r>
      <w:r>
        <w:rPr/>
        <w:t xml:space="preserve"> ist er frei von dir, er und seine Kinder mit ihm. Und er kehrt zu seiner Sippe zurück und kommt wieder zum Besitz seiner Väter.{{field-off:bible}} </w:t>
        <w:br/>
        <w:t>[[@BibleTOBIBLE:Le 25:42]]</w:t>
      </w:r>
      <w:r>
        <w:rPr>
          <w:b/>
        </w:rPr>
        <w:t>42</w:t>
      </w:r>
      <w:r>
        <w:rPr/>
        <w:t xml:space="preserve"> {{field-on:bible}}Meine Knechte sind sie, die ich befreit habe aus dem Land Ägypten. Sie sollen nicht als Sklaven verkauft werden.{{field-off:bible}} </w:t>
        <w:br/>
        <w:t>[[@BibleTOBIBLE:Le 25:43]]</w:t>
      </w:r>
      <w:r>
        <w:rPr>
          <w:b/>
        </w:rPr>
        <w:t>43</w:t>
      </w:r>
      <w:r>
        <w:rPr/>
        <w:t xml:space="preserve"> {{field-on:bible}}Du sollst nicht grausam </w:t>
      </w:r>
      <w:r>
        <w:rPr>
          <w:color w:val="808080"/>
        </w:rPr>
        <w:t>(Gewalt, Härte)</w:t>
      </w:r>
      <w:r>
        <w:rPr/>
        <w:t xml:space="preserve"> über sie herrschen, </w:t>
      </w:r>
      <w:r>
        <w:rPr>
          <w:b/>
          <w:color w:val="808080"/>
        </w:rPr>
        <w:t>[</w:t>
      </w:r>
      <w:r>
        <w:rPr/>
        <w:t>sondern</w:t>
      </w:r>
      <w:r>
        <w:rPr>
          <w:b/>
          <w:color w:val="808080"/>
        </w:rPr>
        <w:t>]</w:t>
      </w:r>
      <w:r>
        <w:rPr/>
        <w:t xml:space="preserve"> fürchte dich vor deinem Gott.{{field-off:bible}} </w:t>
        <w:br/>
        <w:t>[[@BibleTOBIBLE:Le 25:44]]</w:t>
      </w:r>
      <w:r>
        <w:rPr>
          <w:b/>
        </w:rPr>
        <w:t>44</w:t>
      </w:r>
      <w:r>
        <w:rPr/>
        <w:t xml:space="preserve"> {{field-on:bible}} </w:t>
      </w:r>
      <w:r>
        <w:rPr>
          <w:b/>
          <w:color w:val="808080"/>
        </w:rPr>
        <w:t>[</w:t>
      </w:r>
      <w:r>
        <w:rPr/>
        <w:t>Bezüglich</w:t>
      </w:r>
      <w:r>
        <w:rPr>
          <w:b/>
          <w:color w:val="808080"/>
        </w:rPr>
        <w:t>]</w:t>
      </w:r>
      <w:r>
        <w:rPr/>
        <w:t xml:space="preserve"> deines Knechts und deiner Magd: Von den Völkern, die rings um dich her </w:t>
      </w:r>
      <w:r>
        <w:rPr>
          <w:b/>
          <w:color w:val="808080"/>
        </w:rPr>
        <w:t>[</w:t>
      </w:r>
      <w:r>
        <w:rPr/>
        <w:t>leben</w:t>
      </w:r>
      <w:r>
        <w:rPr>
          <w:b/>
          <w:color w:val="808080"/>
        </w:rPr>
        <w:t>]</w:t>
      </w:r>
      <w:r>
        <w:rPr/>
        <w:t xml:space="preserve">, darfst du Knecht und Magd kaufen.{{field-off:bible}} </w:t>
        <w:br/>
        <w:t>[[@BibleTOBIBLE:Le 25:45]]</w:t>
      </w:r>
      <w:r>
        <w:rPr>
          <w:b/>
        </w:rPr>
        <w:t>45</w:t>
      </w:r>
      <w:r>
        <w:rPr/>
        <w:t xml:space="preserve"> {{field-on:bible}}Und auch von den Söhnen der bei euch wohnenden Beisassen dürft ihr kaufen und von ihrer Sippe, die bei euch ist, die in eurem Land gezeugt wurden. Sie werden euer Besitz{{field-off:bible}} </w:t>
        <w:br/>
        <w:t>[[@BibleTOBIBLE:Le 25:46]]</w:t>
      </w:r>
      <w:r>
        <w:rPr>
          <w:b/>
        </w:rPr>
        <w:t>46</w:t>
      </w:r>
      <w:r>
        <w:rPr/>
        <w:t xml:space="preserve"> {{field-on:bible}}und ihr könnt sie euren Kindern nach euch vererben, sie mögen euch für immer dienen. Von euren Brüdern, den Söhnen Israels, soll keiner grausam </w:t>
      </w:r>
      <w:r>
        <w:rPr>
          <w:color w:val="808080"/>
        </w:rPr>
        <w:t>(Gewalt, Härte)</w:t>
      </w:r>
      <w:r>
        <w:rPr/>
        <w:t xml:space="preserve"> über seinen Bruder herrschen.{{field-off:bible}} </w:t>
        <w:br/>
        <w:t>[[@BibleTOBIBLE:Le 25:47]]</w:t>
      </w:r>
      <w:r>
        <w:rPr>
          <w:b/>
        </w:rPr>
        <w:t>47</w:t>
      </w:r>
      <w:r>
        <w:rPr/>
        <w:t xml:space="preserve"> {{field-on:bible}}Und wenn die Hand eines Fremden oder eines Beisassen bei dir etwas erreicht, dein Bruder </w:t>
      </w:r>
      <w:r>
        <w:rPr>
          <w:b/>
          <w:color w:val="808080"/>
        </w:rPr>
        <w:t>[</w:t>
      </w:r>
      <w:r>
        <w:rPr/>
        <w:t>aber</w:t>
      </w:r>
      <w:r>
        <w:rPr>
          <w:b/>
          <w:color w:val="808080"/>
        </w:rPr>
        <w:t>]</w:t>
      </w:r>
      <w:r>
        <w:rPr/>
        <w:t xml:space="preserve"> verarmt und er sich einem Fremden, einem Beisassen oder einem Mitglied von dessen Sippe verkauft,{{field-off:bible}} </w:t>
        <w:br/>
        <w:t>[[@BibleTOBIBLE:Le 25:48]]</w:t>
      </w:r>
      <w:r>
        <w:rPr>
          <w:b/>
        </w:rPr>
        <w:t>48</w:t>
      </w:r>
      <w:r>
        <w:rPr/>
        <w:t xml:space="preserve"> {{field-on:bible}}dann soll, nachdem er sich verkauft hat, die Möglichkeit des Freikaufs </w:t>
      </w:r>
      <w:r>
        <w:rPr>
          <w:color w:val="808080"/>
        </w:rPr>
        <w:t>(Lösung)</w:t>
      </w:r>
      <w:r>
        <w:rPr/>
        <w:t xml:space="preserve"> bestehen. Einer seiner Brüder soll ihn freikaufen{{field-off:bible}} </w:t>
        <w:br/>
        <w:t>[[@BibleTOBIBLE:Le 25:49]]</w:t>
      </w:r>
      <w:r>
        <w:rPr>
          <w:b/>
        </w:rPr>
        <w:t>49</w:t>
      </w:r>
      <w:r>
        <w:rPr/>
        <w:t xml:space="preserve"> {{field-on:bible}}oder sein Onkel oder der Sohn seines Onkels sollen ihn lösen oder sein eigenes Fleisch und Blut </w:t>
      </w:r>
      <w:r>
        <w:rPr>
          <w:color w:val="808080"/>
        </w:rPr>
        <w:t>(Fleisch von seinem Fleisch)</w:t>
      </w:r>
      <w:r>
        <w:rPr/>
        <w:t xml:space="preserve">, einer von seiner Sippe soll ihn lösen oder </w:t>
      </w:r>
      <w:r>
        <w:rPr>
          <w:b/>
          <w:color w:val="808080"/>
        </w:rPr>
        <w:t>[</w:t>
      </w:r>
      <w:r>
        <w:rPr/>
        <w:t>wenn</w:t>
      </w:r>
      <w:r>
        <w:rPr>
          <w:b/>
          <w:color w:val="808080"/>
        </w:rPr>
        <w:t>]</w:t>
      </w:r>
      <w:r>
        <w:rPr/>
        <w:t xml:space="preserve"> er selbst so viel aufbringen kann </w:t>
      </w:r>
      <w:r>
        <w:rPr>
          <w:color w:val="808080"/>
        </w:rPr>
        <w:t>(seine Hand etwas erreicht)</w:t>
      </w:r>
      <w:r>
        <w:rPr/>
        <w:t xml:space="preserve">, </w:t>
      </w:r>
      <w:r>
        <w:rPr>
          <w:b/>
          <w:color w:val="808080"/>
        </w:rPr>
        <w:t>[</w:t>
      </w:r>
      <w:r>
        <w:rPr/>
        <w:t>dann</w:t>
      </w:r>
      <w:r>
        <w:rPr>
          <w:b/>
          <w:color w:val="808080"/>
        </w:rPr>
        <w:t>]</w:t>
      </w:r>
      <w:r>
        <w:rPr/>
        <w:t xml:space="preserve"> soll er sich selbst lösen.{{field-off:bible}} </w:t>
        <w:br/>
        <w:t>[[@BibleTOBIBLE:Le 25:50]]</w:t>
      </w:r>
      <w:r>
        <w:rPr>
          <w:b/>
        </w:rPr>
        <w:t>50</w:t>
      </w:r>
      <w:r>
        <w:rPr/>
        <w:t xml:space="preserve"> {{field-on:bible}}Und er soll mit seinem Käufer rechnen vom Jahr seines Verkaufs an bis zum Jobeljahr. Sein Verkaufspreis soll nach der Anzahl Jahre berechnet werden, als wäre er die ganze Zeit sein Tagelöhner gewesen.{{field-off:bible}} </w:t>
        <w:br/>
        <w:t>[[@BibleTOBIBLE:Le 25:51]]</w:t>
      </w:r>
      <w:r>
        <w:rPr>
          <w:b/>
        </w:rPr>
        <w:t>51</w:t>
      </w:r>
      <w:r>
        <w:rPr/>
        <w:t xml:space="preserve"> {{field-on:bible}}Wenn es noch viele Jahre sind, soll er ihnen entsprechend sein Kaufgeld für seine Lösung zurückgeben.{{field-off:bible}} </w:t>
        <w:br/>
        <w:t>[[@BibleTOBIBLE:Le 25:52]]</w:t>
      </w:r>
      <w:r>
        <w:rPr>
          <w:b/>
        </w:rPr>
        <w:t>52</w:t>
      </w:r>
      <w:r>
        <w:rPr/>
        <w:t xml:space="preserve"> {{field-on:bible}}Wenn </w:t>
      </w:r>
      <w:r>
        <w:rPr>
          <w:b/>
          <w:color w:val="808080"/>
        </w:rPr>
        <w:t>[</w:t>
      </w:r>
      <w:r>
        <w:rPr/>
        <w:t>aber</w:t>
      </w:r>
      <w:r>
        <w:rPr>
          <w:b/>
          <w:color w:val="808080"/>
        </w:rPr>
        <w:t>]</w:t>
      </w:r>
      <w:r>
        <w:rPr/>
        <w:t xml:space="preserve"> nur wenige Jahre übrig sind bis zum Jobeljahr, so soll er sie berechnen und entsprechend seiner Jahre bis zu seiner Lösung soll er </w:t>
      </w:r>
      <w:r>
        <w:rPr>
          <w:b/>
          <w:color w:val="808080"/>
        </w:rPr>
        <w:t>[</w:t>
      </w:r>
      <w:r>
        <w:rPr/>
        <w:t>das Geld</w:t>
      </w:r>
      <w:r>
        <w:rPr>
          <w:b/>
          <w:color w:val="808080"/>
        </w:rPr>
        <w:t>]</w:t>
      </w:r>
      <w:r>
        <w:rPr/>
        <w:t xml:space="preserve"> zurückgeben.{{field-off:bible}} </w:t>
        <w:br/>
        <w:t>[[@BibleTOBIBLE:Le 25:53]]</w:t>
      </w:r>
      <w:r>
        <w:rPr>
          <w:b/>
        </w:rPr>
        <w:t>53</w:t>
      </w:r>
      <w:r>
        <w:rPr/>
        <w:t xml:space="preserve"> {{field-on:bible}}Wie ein Tagelöhner soll er von Jahr zu Jahr bei ihm sein. Er soll nicht mit Härte über ihn herrschen vor deinen Augen.{{field-off:bible}} </w:t>
        <w:br/>
        <w:t>[[@BibleTOBIBLE:Le 25:54]]</w:t>
      </w:r>
      <w:r>
        <w:rPr>
          <w:b/>
        </w:rPr>
        <w:t>54</w:t>
      </w:r>
      <w:r>
        <w:rPr/>
        <w:t xml:space="preserve"> {{field-on:bible}}Wenn er nicht durch eine dieser Möglichkeiten gelöst wird, wird er im Jobeljahr frei, er und seine Kinder.{{field-off:bible}} </w:t>
        <w:br/>
        <w:t>[[@BibleTOBIBLE:Le 25:55]]</w:t>
      </w:r>
      <w:r>
        <w:rPr>
          <w:b/>
        </w:rPr>
        <w:t>55</w:t>
      </w:r>
      <w:r>
        <w:rPr/>
        <w:t xml:space="preserve"> {{field-on:bible}}Denn mir gehören die Söhne Israels als Knechte, meine Knechte sind sie, sie, die ich befreit habe aus dem Land Ägypten. Ich bin </w:t>
      </w:r>
      <w:r>
        <w:rPr>
          <w:smallCaps/>
          <w:color w:val="FF0000"/>
        </w:rPr>
        <w:t>JHWH</w:t>
      </w:r>
      <w:r>
        <w:rPr/>
        <w:t xml:space="preserve">, euer Gott.{{field-off:bible}} </w:t>
      </w:r>
    </w:p>
    <w:p>
      <w:pPr>
        <w:pStyle w:val="Berschrift3"/>
        <w:rPr/>
      </w:pPr>
      <w:r>
        <w:rPr/>
        <w:t>[[@BibleTOBIBLE:Le 26]]Kapitel 26</w:t>
      </w:r>
    </w:p>
    <w:p>
      <w:pPr>
        <w:pStyle w:val="Textkrper"/>
        <w:rPr/>
      </w:pPr>
      <w:r>
        <w:rPr/>
        <w:br/>
        <w:t>[[@BibleTOBIBLE:Le 26:25]]</w:t>
      </w:r>
      <w:r>
        <w:rPr>
          <w:b/>
        </w:rPr>
        <w:t>25</w:t>
      </w:r>
      <w:r>
        <w:rPr/>
        <w:t xml:space="preserve"> {{field-on:bible}}Und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14:20]]</w:t>
      </w:r>
      <w:r>
        <w:rPr>
          <w:b/>
        </w:rPr>
        <w:t>20</w:t>
      </w:r>
      <w:r>
        <w:rPr/>
        <w:t xml:space="preserve"> {{field-on:bible}}Und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16:20]]</w:t>
      </w:r>
      <w:r>
        <w:rPr>
          <w:b/>
        </w:rPr>
        <w:t>20</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18:25]]</w:t>
      </w:r>
      <w:r>
        <w:rPr>
          <w:b/>
        </w:rPr>
        <w:t>25</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20:7]]</w:t>
      </w:r>
      <w:r>
        <w:rPr>
          <w:b/>
        </w:rPr>
        <w:t>7</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21:4]]</w:t>
      </w:r>
      <w:r>
        <w:rPr>
          <w:b/>
        </w:rPr>
        <w:t>4</w:t>
      </w:r>
      <w:r>
        <w:rPr/>
        <w:t xml:space="preserve"> {{field-on:bible}}Und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808"/>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809"/>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22:21]]</w:t>
      </w:r>
      <w:r>
        <w:rPr>
          <w:b/>
        </w:rPr>
        <w:t>21</w:t>
      </w:r>
      <w:r>
        <w:rPr/>
        <w:t xml:space="preserve"> {{field-on:bible}}Und Bileam stand auf</w:t>
      </w:r>
      <w:r>
        <w:rPr>
          <w:rStyle w:val="Funotenanker"/>
        </w:rPr>
        <w:footnoteReference w:customMarkFollows="1" w:id="810"/>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811"/>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812"/>
        <w:t>c</w:t>
      </w:r>
      <w:r>
        <w:rPr/>
        <w:t xml:space="preserve"> entbrannte</w:t>
      </w:r>
      <w:r>
        <w:rPr>
          <w:rStyle w:val="Funotenanker"/>
        </w:rPr>
        <w:footnoteReference w:customMarkFollows="1" w:id="813"/>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814"/>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815"/>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816"/>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817"/>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18"/>
        <w:t>i</w:t>
      </w:r>
      <w:r>
        <w:rPr/>
        <w:t xml:space="preserve">, in seiner Hand. Und die Eselin bog ab </w:t>
      </w:r>
      <w:r>
        <w:rPr>
          <w:color w:val="808080"/>
        </w:rPr>
        <w:t>(wich ab)</w:t>
      </w:r>
      <w:r>
        <w:rPr/>
        <w:t xml:space="preserve"> </w:t>
      </w:r>
      <w:r>
        <w:rPr>
          <w:rStyle w:val="Funotenanker"/>
        </w:rPr>
        <w:footnoteReference w:customMarkFollows="1" w:id="819"/>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820"/>
        <w:t>k</w:t>
      </w:r>
      <w:r>
        <w:rPr/>
        <w:t xml:space="preserve"> die Eselin um sie zu lenken </w:t>
      </w:r>
      <w:r>
        <w:rPr>
          <w:color w:val="808080"/>
        </w:rPr>
        <w:t>(führen)</w:t>
      </w:r>
      <w:r>
        <w:rPr/>
        <w:t xml:space="preserve"> </w:t>
      </w:r>
      <w:r>
        <w:rPr>
          <w:rStyle w:val="Funotenanker"/>
        </w:rPr>
        <w:footnoteReference w:customMarkFollows="1" w:id="821"/>
        <w:t>l</w:t>
      </w:r>
      <w:r>
        <w:rPr/>
        <w:t xml:space="preserve"> </w:t>
      </w:r>
      <w:r>
        <w:rPr>
          <w:b/>
          <w:color w:val="808080"/>
        </w:rPr>
        <w:t>[</w:t>
      </w:r>
      <w:r>
        <w:rPr/>
        <w:t>zurück</w:t>
      </w:r>
      <w:r>
        <w:rPr>
          <w:b/>
          <w:color w:val="808080"/>
        </w:rPr>
        <w:t>]</w:t>
      </w:r>
      <w:r>
        <w:rPr/>
        <w:t xml:space="preserve"> auf den Weg</w:t>
      </w:r>
      <w:r>
        <w:rPr>
          <w:rStyle w:val="Funotenanker"/>
        </w:rPr>
        <w:footnoteReference w:customMarkFollows="1" w:id="822"/>
        <w:t>m</w:t>
      </w:r>
      <w:r>
        <w:rPr/>
        <w:t xml:space="preserve">.{{field-off:bible}} </w:t>
        <w:br/>
        <w:t>[[@BibleTOBIBLE:Nu 22:31]]</w:t>
      </w:r>
      <w:r>
        <w:rPr>
          <w:b/>
        </w:rPr>
        <w:t>31</w:t>
      </w:r>
      <w:r>
        <w:rPr/>
        <w:t xml:space="preserve"> {{field-on:bible}}Und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823"/>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824"/>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25"/>
        <w:t>p</w:t>
      </w:r>
      <w:r>
        <w:rPr/>
        <w:t>, in seiner Hand. Und er verneigte sich</w:t>
      </w:r>
      <w:r>
        <w:rPr>
          <w:rStyle w:val="Funotenanker"/>
        </w:rPr>
        <w:footnoteReference w:customMarkFollows="1" w:id="826"/>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827"/>
        <w:t>r</w:t>
      </w:r>
      <w:r>
        <w:rPr/>
        <w:t xml:space="preserve"> auf seine Nase</w:t>
      </w:r>
      <w:r>
        <w:rPr>
          <w:rStyle w:val="Funotenanker"/>
        </w:rPr>
        <w:footnoteReference w:customMarkFollows="1" w:id="828"/>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829"/>
        <w:t>t</w:t>
      </w:r>
      <w:r>
        <w:rPr/>
        <w:t xml:space="preserve"> deine Eselin nun</w:t>
      </w:r>
      <w:r>
        <w:rPr>
          <w:rStyle w:val="Funotenanker"/>
        </w:rPr>
        <w:footnoteReference w:customMarkFollows="1" w:id="830"/>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831"/>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832"/>
        <w:t>w</w:t>
      </w:r>
      <w:r>
        <w:rPr/>
        <w:t xml:space="preserve">, denn der Weg war übereilt </w:t>
      </w:r>
      <w:r>
        <w:rPr>
          <w:color w:val="808080"/>
        </w:rPr>
        <w:t>(überstürzt)</w:t>
      </w:r>
      <w:r>
        <w:rPr/>
        <w:t xml:space="preserve"> </w:t>
      </w:r>
      <w:r>
        <w:rPr>
          <w:rStyle w:val="Funotenanker"/>
        </w:rPr>
        <w:footnoteReference w:customMarkFollows="1" w:id="833"/>
        <w:t>x</w:t>
      </w:r>
      <w:r>
        <w:rPr/>
        <w:t xml:space="preserve"> verglichen zu mir </w:t>
      </w:r>
      <w:r>
        <w:rPr>
          <w:color w:val="808080"/>
        </w:rPr>
        <w:t>(mir gegenüber, vor mir)</w:t>
      </w:r>
      <w:r>
        <w:rPr/>
        <w:t xml:space="preserve"> </w:t>
      </w:r>
      <w:r>
        <w:rPr>
          <w:rStyle w:val="Funotenanker"/>
        </w:rPr>
        <w:footnoteReference w:customMarkFollows="1" w:id="834"/>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835"/>
        <w:t>z</w:t>
      </w:r>
      <w:r>
        <w:rPr/>
        <w:t xml:space="preserve"> abgebogen wäre vor mir, dann hätte ich jetzt sogar </w:t>
      </w:r>
      <w:r>
        <w:rPr>
          <w:color w:val="808080"/>
        </w:rPr>
        <w:t>(ja, auch)</w:t>
      </w:r>
      <w:r>
        <w:rPr/>
        <w:t xml:space="preserve"> dich getötet und sie</w:t>
      </w:r>
      <w:r>
        <w:rPr>
          <w:rStyle w:val="Funotenanker"/>
        </w:rPr>
        <w:footnoteReference w:customMarkFollows="1" w:id="836"/>
        <w:t>aa</w:t>
      </w:r>
      <w:r>
        <w:rPr/>
        <w:t xml:space="preserve"> leben lassen</w:t>
      </w:r>
      <w:r>
        <w:rPr>
          <w:rStyle w:val="Funotenanker"/>
        </w:rPr>
        <w:footnoteReference w:customMarkFollows="1" w:id="837"/>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838"/>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26:52]]</w:t>
      </w:r>
      <w:r>
        <w:rPr>
          <w:b/>
        </w:rPr>
        <w:t>52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33:50]]</w:t>
      </w:r>
      <w:r>
        <w:rPr>
          <w:b/>
        </w:rPr>
        <w:t>50</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839"/>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840"/>
        <w:t>b</w:t>
      </w:r>
      <w:r>
        <w:rPr/>
        <w:t>, und übt sie ein</w:t>
      </w:r>
      <w:r>
        <w:rPr>
          <w:rStyle w:val="Funotenanker"/>
        </w:rPr>
        <w:footnoteReference w:customMarkFollows="1" w:id="841"/>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842"/>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843"/>
        <w:t>e</w:t>
      </w:r>
      <w:r>
        <w:rPr/>
        <w:t xml:space="preserve">.{{field-off:bible}} </w:t>
        <w:br/>
        <w:t>[[@BibleTOBIBLE:Dt 5:8]]</w:t>
      </w:r>
      <w:r>
        <w:rPr>
          <w:b/>
        </w:rPr>
        <w:t>8</w:t>
      </w:r>
      <w:r>
        <w:rPr/>
        <w:t xml:space="preserve"> {{field-on:bible}}Nicht machst du dir</w:t>
      </w:r>
      <w:r>
        <w:rPr>
          <w:rStyle w:val="Funotenanker"/>
        </w:rPr>
        <w:footnoteReference w:customMarkFollows="1" w:id="844"/>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845"/>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846"/>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847"/>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848"/>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849"/>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850"/>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851"/>
        <w:t>a</w:t>
      </w:r>
      <w:r>
        <w:rPr/>
        <w:t>, indem</w:t>
      </w:r>
      <w:r>
        <w:rPr>
          <w:rStyle w:val="Funotenanker"/>
        </w:rPr>
        <w:footnoteReference w:customMarkFollows="1" w:id="852"/>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853"/>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854"/>
        <w:t>d</w:t>
      </w:r>
      <w:r>
        <w:rPr/>
        <w:t xml:space="preserve"> deine Tage lange währen </w:t>
      </w:r>
      <w:r>
        <w:rPr>
          <w:color w:val="808080"/>
        </w:rPr>
        <w:t>(du lange lebst)</w:t>
      </w:r>
      <w:r>
        <w:rPr/>
        <w:t xml:space="preserve"> </w:t>
      </w:r>
      <w:r>
        <w:rPr>
          <w:rStyle w:val="Funotenanker"/>
        </w:rPr>
        <w:footnoteReference w:customMarkFollows="1" w:id="855"/>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856"/>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857"/>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858"/>
        <w:t>h</w:t>
      </w:r>
      <w:r>
        <w:rPr/>
        <w:t xml:space="preserve"> einem Land, </w:t>
      </w:r>
      <w:r>
        <w:rPr>
          <w:b/>
          <w:color w:val="808080"/>
        </w:rPr>
        <w:t>[</w:t>
      </w:r>
      <w:r>
        <w:rPr/>
        <w:t>das von</w:t>
      </w:r>
      <w:r>
        <w:rPr>
          <w:b/>
          <w:color w:val="808080"/>
        </w:rPr>
        <w:t>]</w:t>
      </w:r>
      <w:r>
        <w:rPr/>
        <w:t xml:space="preserve"> </w:t>
      </w:r>
      <w:r>
        <w:rPr>
          <w:rStyle w:val="Funotenanker"/>
        </w:rPr>
        <w:footnoteReference w:customMarkFollows="1" w:id="859"/>
        <w:t>i</w:t>
      </w:r>
      <w:r>
        <w:rPr/>
        <w:t xml:space="preserve"> Milch und Honig </w:t>
      </w:r>
      <w:r>
        <w:rPr>
          <w:b/>
          <w:color w:val="808080"/>
        </w:rPr>
        <w:t>[</w:t>
      </w:r>
      <w:r>
        <w:rPr/>
        <w:t>über</w:t>
      </w:r>
      <w:r>
        <w:rPr>
          <w:b/>
          <w:color w:val="808080"/>
        </w:rPr>
        <w:t>]</w:t>
      </w:r>
      <w:r>
        <w:rPr/>
        <w:t>fließt.</w:t>
      </w:r>
      <w:r>
        <w:rPr>
          <w:rStyle w:val="Funotenanker"/>
        </w:rPr>
        <w:footnoteReference w:customMarkFollows="1" w:id="860"/>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861"/>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862"/>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863"/>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864"/>
        <w:t>n</w:t>
      </w:r>
      <w:r>
        <w:rPr/>
        <w:t xml:space="preserve"> und sie werden als Bänder </w:t>
      </w:r>
      <w:r>
        <w:rPr>
          <w:color w:val="808080"/>
        </w:rPr>
        <w:t>(Erinnerungszeichen, Stirnbänder)</w:t>
      </w:r>
      <w:r>
        <w:rPr/>
        <w:t xml:space="preserve"> </w:t>
      </w:r>
      <w:r>
        <w:rPr>
          <w:rStyle w:val="Funotenanker"/>
        </w:rPr>
        <w:footnoteReference w:customMarkFollows="1" w:id="865"/>
        <w:t>o</w:t>
      </w:r>
      <w:r>
        <w:rPr/>
        <w:t xml:space="preserve"> zwischen deinen Augen</w:t>
      </w:r>
      <w:r>
        <w:rPr>
          <w:rStyle w:val="Funotenanker"/>
        </w:rPr>
        <w:footnoteReference w:customMarkFollows="1" w:id="866"/>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867"/>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8:12]]</w:t>
      </w:r>
      <w:r>
        <w:rPr>
          <w:b/>
        </w:rPr>
        <w:t>12</w:t>
      </w:r>
      <w:r>
        <w:rPr/>
        <w:t xml:space="preserve"> {{field-on:bible}}Dass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12]]Kapitel 12</w:t>
      </w:r>
    </w:p>
    <w:p>
      <w:pPr>
        <w:pStyle w:val="Textkrper"/>
        <w:rPr/>
      </w:pPr>
      <w:r>
        <w:rPr/>
        <w:br/>
        <w:t>[[@BibleTOBIBLE:Dt 12:13]]</w:t>
      </w:r>
      <w:r>
        <w:rPr>
          <w:b/>
        </w:rPr>
        <w:t>13</w:t>
      </w:r>
      <w:r>
        <w:rPr/>
        <w:t xml:space="preserve"> {{field-on:bible}}Hüte dich, dass nicht du heraufsteigen lässt </w:t>
      </w:r>
      <w:r>
        <w:rPr>
          <w:color w:val="808080"/>
        </w:rPr>
        <w:t>(opferst)</w:t>
      </w:r>
      <w:r>
        <w:rPr/>
        <w:t xml:space="preserve"> deine Brandopfer an jedem Ort, den du siehst/sehen wirst.{{field-off:bible}} </w:t>
        <w:br/>
        <w:t>[[@BibleTOBIBLE:Dt 12:14]]</w:t>
      </w:r>
      <w:r>
        <w:rPr>
          <w:b/>
        </w:rPr>
        <w:t>14</w:t>
      </w:r>
      <w:r>
        <w:rPr/>
        <w:t xml:space="preserve"> {{field-on:bible}}Sondern wenn am Ort, den auswählen/erwählen wird </w:t>
      </w:r>
      <w:r>
        <w:rPr>
          <w:smallCaps/>
          <w:color w:val="FF0000"/>
        </w:rPr>
        <w:t>JHWH</w:t>
      </w:r>
      <w:r>
        <w:rPr/>
        <w:t xml:space="preserve"> </w:t>
      </w:r>
      <w:r>
        <w:rPr>
          <w:b/>
          <w:color w:val="808080"/>
        </w:rPr>
        <w:t>[</w:t>
      </w:r>
      <w:r>
        <w:rPr/>
        <w:t>…</w:t>
      </w:r>
      <w:r>
        <w:rPr>
          <w:b/>
          <w:color w:val="808080"/>
        </w:rPr>
        <w:t>]</w:t>
      </w:r>
      <w:r>
        <w:rPr/>
        <w:t xml:space="preserve"> dort sollst du aufsteigen lassen deine Brandopfer und dort wirst du tun alles, was ich dir geboten habe/gebiete.{{field-off:bible}} </w:t>
        <w:br/>
        <w:t>[[@BibleTOBIBLE:Dt 12:15]]</w:t>
      </w:r>
      <w:r>
        <w:rPr>
          <w:b/>
        </w:rPr>
        <w:t>15</w:t>
      </w:r>
      <w:r>
        <w:rPr/>
        <w:t xml:space="preserve"> {{field-on:bible}}Gemäß allem Begehren deiner Seele sollst du opfern und Fleisch essen, wie dich hat gesegnet </w:t>
      </w:r>
      <w:r>
        <w:rPr>
          <w:smallCaps/>
          <w:color w:val="FF0000"/>
        </w:rPr>
        <w:t>JHWH</w:t>
      </w:r>
      <w:r>
        <w:rPr/>
        <w:t xml:space="preserve"> dein Gott, der dir gegeben hat in allen deinen Toren; der Unreine und der Reine wird es essen wie Gazelle und wie Hirsch.{{field-off:bible}} </w:t>
        <w:br/>
        <w:t>[[@BibleTOBIBLE:Dt 12:16]]</w:t>
      </w:r>
      <w:r>
        <w:rPr>
          <w:b/>
        </w:rPr>
        <w:t>16</w:t>
      </w:r>
      <w:r>
        <w:rPr/>
        <w:t xml:space="preserve"> {{field-on:bible}}Nur das Blut sollst du nicht essen; du sollst es auf die Erde gießen wie Wasser.{{field-off:bible}} </w:t>
        <w:br/>
        <w:t>[[@BibleTOBIBLE:Dt 12:17]]</w:t>
      </w:r>
      <w:r>
        <w:rPr>
          <w:b/>
        </w:rPr>
        <w:t>17</w:t>
      </w:r>
      <w:r>
        <w:rPr/>
        <w:t xml:space="preserve"> {{field-on:bible}}Du sollst nicht vermögen zu essen in deinen Toren von dem Zehnten deines Getreides und deines Weines und deines Öls und und der Erstgeburt deines Rindes und deines Kleinviehs und deines ganzen Gelübdes, das du gegeben hast, und deines freiwilligen Opfers und der Abgaben deiner Hand.{{field-off:bible}} </w:t>
        <w:br/>
        <w:t>[[@BibleTOBIBLE:Dt 12:18]]</w:t>
      </w:r>
      <w:r>
        <w:rPr>
          <w:b/>
        </w:rPr>
        <w:t>18</w:t>
      </w:r>
      <w:r>
        <w:rPr/>
        <w:t xml:space="preserve"> {{field-on:bible}}Sondern vor </w:t>
      </w:r>
      <w:r>
        <w:rPr>
          <w:smallCaps/>
          <w:color w:val="FF0000"/>
        </w:rPr>
        <w:t>JHWH</w:t>
      </w:r>
      <w:r>
        <w:rPr/>
        <w:t xml:space="preserve"> deinem Gott wirst du sie essen am Ort, den aussuchen wird JHWH dein Gott; du und dein Sohn und deine Tochter und dein Sklave und deine Magd und der Levit in deinen Toren; und du wirst dich freuen vor JHWH, deinem Gott, in jeder Unternehmung deiner Hand.{{field-off:bible}} </w:t>
        <w:br/>
        <w:t>[[@BibleTOBIBLE:Dt 12:19]]</w:t>
      </w:r>
      <w:r>
        <w:rPr>
          <w:b/>
        </w:rPr>
        <w:t>19</w:t>
      </w:r>
      <w:r>
        <w:rPr/>
        <w:t xml:space="preserve"> {{field-on:bible}}Hüte dich, dass du nicht verlässt den Leviten alle deine Tage in deinem Land.{{field-off:bible}} </w:t>
        <w:br/>
        <w:t>[[@BibleTOBIBLE:Dt 12:20]]</w:t>
      </w:r>
      <w:r>
        <w:rPr>
          <w:b/>
        </w:rPr>
        <w:t>20</w:t>
      </w:r>
      <w:r>
        <w:rPr/>
        <w:t xml:space="preserve"> {{field-on:bible}}Wenn es wird erweitern </w:t>
      </w:r>
      <w:r>
        <w:rPr>
          <w:smallCaps/>
          <w:color w:val="FF0000"/>
        </w:rPr>
        <w:t>JHWH</w:t>
      </w:r>
      <w:r>
        <w:rPr/>
        <w:t xml:space="preserve"> dein Gott deine Grenzen, wie er gesprochen hat zu dir und du sagen wirst: „Ich will essen Fleisch“, weil deine Seele gelüstet, Fleisch zu essen, dann sollst du mit aller Lust deiner Seele Fleisch essen.{{field-off:bible}} </w:t>
        <w:br/>
        <w:t>[[@BibleTOBIBLE:Dt 12:21]]</w:t>
      </w:r>
      <w:r>
        <w:rPr>
          <w:b/>
        </w:rPr>
        <w:t>21</w:t>
      </w:r>
      <w:r>
        <w:rPr/>
        <w:t xml:space="preserve"> {{field-on:bible}}Wenn fern sein wird von dir der Ort, den auserwählen wird </w:t>
      </w:r>
      <w:r>
        <w:rPr>
          <w:smallCaps/>
          <w:color w:val="FF0000"/>
        </w:rPr>
        <w:t>JHWH</w:t>
      </w:r>
      <w:r>
        <w:rPr/>
        <w:t xml:space="preserve">, dein Gott, um dort zu setzen seinen Namen, dann du wirst opfern von deinen Rindern und von deinem Kleinvieh, das JHWH dir gegeben hat, wie ich dir geboten habe, und du wirst essen in deinen Toren in aller Lust deiner Seele.{{field-off:bible}} </w:t>
        <w:br/>
        <w:t>[[@BibleTOBIBLE:Dt 12:22]]</w:t>
      </w:r>
      <w:r>
        <w:rPr>
          <w:b/>
        </w:rPr>
        <w:t>22</w:t>
      </w:r>
      <w:r>
        <w:rPr/>
        <w:t xml:space="preserve"> {{field-on:bible}}Nur/Gewiss, wie er </w:t>
      </w:r>
      <w:r>
        <w:rPr>
          <w:color w:val="808080"/>
        </w:rPr>
        <w:t>(man)</w:t>
      </w:r>
      <w:r>
        <w:rPr/>
        <w:t xml:space="preserve"> wird essen die Gazelle und den Hirsch, so wirst du sie essen, der Reine und der Unreine miteinander </w:t>
      </w:r>
      <w:r>
        <w:rPr>
          <w:color w:val="808080"/>
        </w:rPr>
        <w:t>(i.s.v. „beide“)</w:t>
      </w:r>
      <w:r>
        <w:rPr/>
        <w:t xml:space="preserve"> werden es essen.{{field-off:bible}} </w:t>
        <w:br/>
        <w:t>[[@BibleTOBIBLE:Dt 12:23]]</w:t>
      </w:r>
      <w:r>
        <w:rPr>
          <w:b/>
        </w:rPr>
        <w:t>23</w:t>
      </w:r>
      <w:r>
        <w:rPr/>
        <w:t xml:space="preserve"> {{field-on:bible}}Nur </w:t>
      </w:r>
      <w:r>
        <w:rPr>
          <w:b/>
          <w:color w:val="808080"/>
        </w:rPr>
        <w:t>[</w:t>
      </w:r>
      <w:r>
        <w:rPr/>
        <w:t>…</w:t>
      </w:r>
      <w:r>
        <w:rPr>
          <w:b/>
          <w:color w:val="808080"/>
        </w:rPr>
        <w:t>]</w:t>
      </w:r>
      <w:r>
        <w:rPr/>
        <w:t xml:space="preserve"> nicht zu essen das Blut, denn das Blut </w:t>
      </w:r>
      <w:r>
        <w:rPr>
          <w:b/>
          <w:color w:val="808080"/>
        </w:rPr>
        <w:t>[</w:t>
      </w:r>
      <w:r>
        <w:rPr/>
        <w:t>ist</w:t>
      </w:r>
      <w:r>
        <w:rPr>
          <w:b/>
          <w:color w:val="808080"/>
        </w:rPr>
        <w:t>]</w:t>
      </w:r>
      <w:r>
        <w:rPr/>
        <w:t xml:space="preserve"> die Seele und du sollst nicht essen die Seele mit dem Fleisch.{{field-off:bible}} </w:t>
        <w:br/>
        <w:t>[[@BibleTOBIBLE:Dt 12:24]]</w:t>
      </w:r>
      <w:r>
        <w:rPr>
          <w:b/>
        </w:rPr>
        <w:t>24</w:t>
      </w:r>
      <w:r>
        <w:rPr/>
        <w:t xml:space="preserve"> {{field-on:bible}}Du sollst sie nicht essen im Land </w:t>
      </w:r>
      <w:r>
        <w:rPr>
          <w:b/>
          <w:color w:val="808080"/>
        </w:rPr>
        <w:t>[</w:t>
      </w:r>
      <w:r>
        <w:rPr/>
        <w:t>sondern</w:t>
      </w:r>
      <w:r>
        <w:rPr>
          <w:b/>
          <w:color w:val="808080"/>
        </w:rPr>
        <w:t>]</w:t>
      </w:r>
      <w:r>
        <w:rPr/>
        <w:t xml:space="preserve"> du sollst sie ausschütten wie Wasser.{{field-off:bible}} </w:t>
        <w:br/>
        <w:t>[[@BibleTOBIBLE:Dt 12:25]]</w:t>
      </w:r>
      <w:r>
        <w:rPr>
          <w:b/>
        </w:rPr>
        <w:t>25</w:t>
      </w:r>
      <w:r>
        <w:rPr/>
        <w:t xml:space="preserve"> {{field-on:bible}}Du sollst sie nicht essen, damit es dir gut gehen wird und deinen Söhnen nach dir, denn du tust Recht in den Augen </w:t>
      </w:r>
      <w:r>
        <w:rPr>
          <w:smallCaps/>
          <w:color w:val="FF0000"/>
        </w:rPr>
        <w:t>JHWH</w:t>
      </w:r>
      <w:r>
        <w:rPr/>
        <w:t xml:space="preserve">s.{{field-off:bible}} </w:t>
        <w:br/>
        <w:t>[[@BibleTOBIBLE:Dt 12:26]]</w:t>
      </w:r>
      <w:r>
        <w:rPr>
          <w:b/>
        </w:rPr>
        <w:t>26</w:t>
      </w:r>
      <w:r>
        <w:rPr/>
        <w:t xml:space="preserve"> {{field-on:bible}}Nur deine Heiligtümer, die bei dir sind und deine Gelübde sollst du nehmen und du sollst gehen an den Ort, den </w:t>
      </w:r>
      <w:r>
        <w:rPr>
          <w:smallCaps/>
          <w:color w:val="FF0000"/>
        </w:rPr>
        <w:t>JHWH</w:t>
      </w:r>
      <w:r>
        <w:rPr/>
        <w:t xml:space="preserve"> erwählen wird.{{field-off:bible}} </w:t>
        <w:br/>
        <w:t>[[@BibleTOBIBLE:Dt 12:27]]</w:t>
      </w:r>
      <w:r>
        <w:rPr>
          <w:b/>
        </w:rPr>
        <w:t>27</w:t>
      </w:r>
      <w:r>
        <w:rPr/>
        <w:t xml:space="preserve"> {{field-on:bible}}Und du sollst tun dein verbrennen des Fleisches und des Blutes auf einem Altar </w:t>
      </w:r>
      <w:r>
        <w:rPr>
          <w:smallCaps/>
          <w:color w:val="FF0000"/>
        </w:rPr>
        <w:t>JHWH</w:t>
      </w:r>
      <w:r>
        <w:rPr/>
        <w:t xml:space="preserve">s, deines Gottes und das Blut deiner Opfer soll ausgegossen werden auf einen Altar JHWHs, deines Gottes, aber das Fleisch sollst du essen.{{field-off:bible}} </w:t>
        <w:br/>
        <w:t>[[@BibleTOBIBLE:Dt 12:28]]</w:t>
      </w:r>
      <w:r>
        <w:rPr>
          <w:b/>
        </w:rPr>
        <w:t>28</w:t>
      </w:r>
      <w:r>
        <w:rPr/>
        <w:t xml:space="preserve"> {{field-on:bible}}Halte und höre alle diese Worte, die ich dir gebiete, damit es dir gut gehen wird und deinen Söhnen nach dir für immer; wenn du tun wirst das Gute und das Rechte in den Augen </w:t>
      </w:r>
      <w:r>
        <w:rPr>
          <w:smallCaps/>
          <w:color w:val="FF0000"/>
        </w:rPr>
        <w:t>JHWH</w:t>
      </w:r>
      <w:r>
        <w:rPr/>
        <w:t xml:space="preserve">, deines Gottes.{{field-off:bible}} </w:t>
      </w:r>
    </w:p>
    <w:p>
      <w:pPr>
        <w:pStyle w:val="Berschrift3"/>
        <w:rPr/>
      </w:pPr>
      <w:r>
        <w:rPr/>
        <w:t>[[@BibleTOBIBLE:Dt 13]]Kapitel 13</w:t>
      </w:r>
    </w:p>
    <w:p>
      <w:pPr>
        <w:pStyle w:val="Textkrper"/>
        <w:rPr/>
      </w:pPr>
      <w:r>
        <w:rPr/>
        <w:br/>
        <w:t>[[@BibleTOBIBLE:Dt 13:4]]</w:t>
      </w:r>
      <w:r>
        <w:rPr>
          <w:b/>
        </w:rPr>
        <w:t>4</w:t>
      </w:r>
      <w:r>
        <w:rPr/>
        <w:t xml:space="preserve"> {{field-on:bible}} </w:t>
      </w:r>
      <w:r>
        <w:rPr>
          <w:rStyle w:val="Funotenanker"/>
        </w:rPr>
        <w:footnoteReference w:customMarkFollows="1" w:id="868"/>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869"/>
        <w:t>a</w:t>
      </w:r>
      <w:r>
        <w:rPr/>
        <w:t xml:space="preserve"> {{field-off:bible}} </w:t>
      </w:r>
    </w:p>
    <w:p>
      <w:pPr>
        <w:pStyle w:val="Berschrift3"/>
        <w:rPr/>
      </w:pPr>
      <w:r>
        <w:rPr/>
        <w:t>[[@BibleTOBIBLE:Dt 14]]Kapitel 14</w:t>
      </w:r>
    </w:p>
    <w:p>
      <w:pPr>
        <w:pStyle w:val="Textkrper"/>
        <w:rPr/>
      </w:pPr>
      <w:r>
        <w:rPr/>
        <w:br/>
        <w:t>[[@BibleTOBIBLE:Dt 14:22]]</w:t>
      </w:r>
      <w:r>
        <w:rPr>
          <w:b/>
        </w:rPr>
        <w:t>22</w:t>
      </w:r>
      <w:r>
        <w:rPr/>
        <w:t xml:space="preserve"> {{field-on:bible}}Verzehnte </w:t>
      </w:r>
      <w:r>
        <w:rPr>
          <w:color w:val="808080"/>
        </w:rPr>
        <w:t>(Du sollst/musst verzehnten)</w:t>
      </w:r>
      <w:r>
        <w:rPr/>
        <w:t xml:space="preserve"> </w:t>
      </w:r>
      <w:r>
        <w:rPr>
          <w:rStyle w:val="Funotenanker"/>
        </w:rPr>
        <w:footnoteReference w:customMarkFollows="1" w:id="870"/>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871"/>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872"/>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873"/>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874"/>
        <w:t>e</w:t>
      </w:r>
      <w:r>
        <w:rPr/>
        <w:t xml:space="preserve"> begehrt, für Rinder und Kleinvieh</w:t>
      </w:r>
      <w:r>
        <w:rPr>
          <w:rStyle w:val="Funotenanker"/>
        </w:rPr>
        <w:footnoteReference w:customMarkFollows="1" w:id="875"/>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16:11]]</w:t>
      </w:r>
      <w:r>
        <w:rPr>
          <w:b/>
        </w:rPr>
        <w:t>11</w:t>
      </w:r>
      <w:r>
        <w:rPr/>
        <w:t xml:space="preserve"> {{field-on:bible}}Und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29:28]]</w:t>
      </w:r>
      <w:r>
        <w:rPr>
          <w:b/>
        </w:rPr>
        <w:t>28</w:t>
      </w:r>
      <w:r>
        <w:rPr/>
        <w:t xml:space="preserve"> {{field-on:bible}}Was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32:35]]</w:t>
      </w:r>
      <w:r>
        <w:rPr>
          <w:b/>
        </w:rPr>
        <w:t>35</w:t>
      </w:r>
      <w:r>
        <w:rPr/>
        <w:t xml:space="preserve"> {{field-on:bible}}Mein ist Rache und Vergeltung, zu der Zeit, ihr Fuß wird wanken. Denn nahe ist der Tag ihres Verderbens und schnell kommt das Vorbereitete zu ihnen.{{field-off:bible}} </w:t>
        <w:br/>
        <w:t>[[@BibleTOBIBLE:Dt 32:39]]</w:t>
      </w:r>
      <w:r>
        <w:rPr>
          <w:b/>
        </w:rPr>
        <w:t>39</w:t>
      </w:r>
      <w:r>
        <w:rPr/>
        <w:t xml:space="preserve"> {{field-on:bible}}Nun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876"/>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{{field-on:bible}}Ihr Nationen preist sein Volk. Denn Blut seiner Sklaven rächt er und Rache bringt er zu den Feinden und den Ackerboden seines Volkes entsühnt er.{{field-off:bible}} </w:t>
        <w:br/>
        <w:t>[[@BibleTOBIBLE:Dt 32:48]]</w:t>
      </w:r>
      <w:r>
        <w:rPr>
          <w:b/>
        </w:rPr>
        <w:t>48</w:t>
      </w:r>
      <w:r>
        <w:rPr/>
        <w:t xml:space="preserve"> {{field-on:bible}}Und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877"/>
        <w:t>a</w:t>
      </w:r>
      <w:r>
        <w:rPr/>
        <w:t xml:space="preserve"> </w:t>
      </w:r>
      <w:r>
        <w:rPr>
          <w:smallCaps/>
          <w:color w:val="FF0000"/>
        </w:rPr>
        <w:t>JHWH</w:t>
      </w:r>
      <w:r>
        <w:rPr/>
        <w:t>s, gestorben war, da sprach JHWH zu Josua, dem Sohn Nuns, dem Diener</w:t>
      </w:r>
      <w:r>
        <w:rPr>
          <w:rStyle w:val="Funotenanker"/>
        </w:rPr>
        <w:footnoteReference w:customMarkFollows="1" w:id="878"/>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879"/>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880"/>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881"/>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882"/>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883"/>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884"/>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885"/>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886"/>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887"/>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888"/>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889"/>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890"/>
        <w:t>e</w:t>
      </w:r>
      <w:r>
        <w:rPr/>
        <w:t xml:space="preserve"> und sie in dem Flachsstroh </w:t>
      </w:r>
      <w:r>
        <w:rPr>
          <w:color w:val="808080"/>
        </w:rPr>
        <w:t>(Flachsstängeln)</w:t>
      </w:r>
      <w:r>
        <w:rPr/>
        <w:t xml:space="preserve"> </w:t>
      </w:r>
      <w:r>
        <w:rPr>
          <w:rStyle w:val="Funotenanker"/>
        </w:rPr>
        <w:footnoteReference w:customMarkFollows="1" w:id="891"/>
        <w:t>f</w:t>
      </w:r>
      <w:r>
        <w:rPr/>
        <w:t xml:space="preserve"> versteckt, </w:t>
      </w:r>
      <w:r>
        <w:rPr>
          <w:color w:val="808080"/>
        </w:rPr>
        <w:t>(Flachs des Baumes)</w:t>
      </w:r>
      <w:r>
        <w:rPr/>
        <w:t xml:space="preserve"> </w:t>
      </w:r>
      <w:r>
        <w:rPr>
          <w:rStyle w:val="Funotenanker"/>
        </w:rPr>
        <w:footnoteReference w:customMarkFollows="1" w:id="892"/>
        <w:t>g</w:t>
      </w:r>
      <w:r>
        <w:rPr/>
        <w:t>, das von ihr auf dem Dach angeordnet worden war</w:t>
      </w:r>
      <w:r>
        <w:rPr>
          <w:rStyle w:val="Funotenanker"/>
        </w:rPr>
        <w:footnoteReference w:customMarkFollows="1" w:id="893"/>
        <w:t>h</w:t>
      </w:r>
      <w:r>
        <w:rPr/>
        <w:t xml:space="preserve"> </w:t>
      </w:r>
      <w:r>
        <w:rPr>
          <w:rStyle w:val="Funotenanker"/>
        </w:rPr>
        <w:footnoteReference w:customMarkFollows="1" w:id="894"/>
        <w:t>i</w:t>
      </w:r>
      <w:r>
        <w:rPr/>
        <w:t>.</w:t>
      </w:r>
      <w:r>
        <w:rPr>
          <w:rStyle w:val="Funotenanker"/>
        </w:rPr>
        <w:footnoteReference w:customMarkFollows="1" w:id="895"/>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896"/>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897"/>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898"/>
        <w:t>m</w:t>
      </w:r>
      <w:r>
        <w:rPr/>
        <w:t>.</w:t>
      </w:r>
      <w:r>
        <w:rPr>
          <w:rStyle w:val="Funotenanker"/>
        </w:rPr>
        <w:footnoteReference w:customMarkFollows="1" w:id="899"/>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900"/>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901"/>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902"/>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903"/>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904"/>
        <w:t>s</w:t>
      </w:r>
      <w:r>
        <w:rPr/>
        <w:t xml:space="preserve"> Wenn</w:t>
      </w:r>
      <w:r>
        <w:rPr>
          <w:rStyle w:val="Funotenanker"/>
        </w:rPr>
        <w:footnoteReference w:customMarkFollows="1" w:id="905"/>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906"/>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907"/>
        <w:t>v</w:t>
      </w:r>
      <w:r>
        <w:rPr/>
        <w:t xml:space="preserve"> {{field-off:bible}} </w:t>
        <w:br/>
        <w:t>[[@BibleTOBIBLE:Jos 2:18]]</w:t>
      </w:r>
      <w:r>
        <w:rPr>
          <w:b/>
        </w:rPr>
        <w:t>18</w:t>
      </w:r>
      <w:r>
        <w:rPr/>
        <w:t xml:space="preserve"> {{field-on:bible}}Wenn</w:t>
      </w:r>
      <w:r>
        <w:rPr>
          <w:rStyle w:val="Funotenanker"/>
        </w:rPr>
        <w:footnoteReference w:customMarkFollows="1" w:id="908"/>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909"/>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910"/>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911"/>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912"/>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913"/>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9:8]]</w:t>
      </w:r>
      <w:r>
        <w:rPr>
          <w:b/>
        </w:rPr>
        <w:t>8</w:t>
      </w:r>
      <w:r>
        <w:rPr/>
        <w:t xml:space="preserve"> {{field-on:bible}}Tatsächlich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914"/>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915"/>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916"/>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917"/>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918"/>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919"/>
        <w:t>e</w:t>
      </w:r>
      <w:r>
        <w:rPr/>
        <w:t xml:space="preserve"> ein junger Löwe </w:t>
      </w:r>
      <w:r>
        <w:rPr>
          <w:strike/>
          <w:color w:val="808080"/>
        </w:rPr>
        <w:t>{der Löwen}</w:t>
      </w:r>
      <w:r>
        <w:rPr/>
        <w:t xml:space="preserve"> </w:t>
      </w:r>
      <w:r>
        <w:rPr>
          <w:rStyle w:val="Funotenanker"/>
        </w:rPr>
        <w:footnoteReference w:customMarkFollows="1" w:id="920"/>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921"/>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922"/>
        <w:t>h</w:t>
      </w:r>
      <w:r>
        <w:rPr/>
        <w:t>, und er zerriss ihn</w:t>
      </w:r>
      <w:r>
        <w:rPr>
          <w:rStyle w:val="Funotenanker"/>
        </w:rPr>
        <w:footnoteReference w:customMarkFollows="1" w:id="923"/>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924"/>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925"/>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926"/>
        <w:t>l</w:t>
      </w:r>
      <w:r>
        <w:rPr/>
        <w:t xml:space="preserve"> ein Bienenschwarm</w:t>
      </w:r>
      <w:r>
        <w:rPr>
          <w:rStyle w:val="Funotenanker"/>
        </w:rPr>
        <w:footnoteReference w:customMarkFollows="1" w:id="927"/>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928"/>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929"/>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930"/>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931"/>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932"/>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933"/>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934"/>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935"/>
        <w:t>u</w:t>
      </w:r>
      <w:r>
        <w:rPr/>
        <w:t xml:space="preserve"> verraten könnt</w:t>
      </w:r>
      <w:r>
        <w:rPr>
          <w:rStyle w:val="Funotenanker"/>
        </w:rPr>
        <w:footnoteReference w:customMarkFollows="1" w:id="936"/>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937"/>
        <w:t>w</w:t>
      </w:r>
      <w:r>
        <w:rPr/>
        <w:t xml:space="preserve"> und dreißig Wechselkleider</w:t>
      </w:r>
      <w:r>
        <w:rPr>
          <w:rStyle w:val="Funotenanker"/>
        </w:rPr>
        <w:footnoteReference w:customMarkFollows="1" w:id="938"/>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939"/>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940"/>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941"/>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942"/>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943"/>
        <w:t>ac</w:t>
      </w:r>
      <w:r>
        <w:rPr/>
        <w:t>, sonst verbrennen</w:t>
      </w:r>
      <w:r>
        <w:rPr>
          <w:rStyle w:val="Funotenanker"/>
        </w:rPr>
        <w:footnoteReference w:customMarkFollows="1" w:id="944"/>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945"/>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946"/>
        <w:t>af</w:t>
      </w:r>
      <w:r>
        <w:rPr/>
        <w:t xml:space="preserve"> ihm und sagte: „Du hasst</w:t>
      </w:r>
      <w:r>
        <w:rPr>
          <w:rStyle w:val="Funotenanker"/>
        </w:rPr>
        <w:footnoteReference w:customMarkFollows="1" w:id="947"/>
        <w:t>ag</w:t>
      </w:r>
      <w:r>
        <w:rPr/>
        <w:t xml:space="preserve"> mich nur, und du liebst mich nicht</w:t>
      </w:r>
      <w:r>
        <w:rPr>
          <w:rStyle w:val="Funotenanker"/>
        </w:rPr>
        <w:footnoteReference w:customMarkFollows="1" w:id="948"/>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949"/>
        <w:t>ai</w:t>
      </w:r>
      <w:r>
        <w:rPr/>
        <w:t xml:space="preserve"> nicht verraten!“ Da </w:t>
      </w:r>
      <w:r>
        <w:rPr>
          <w:color w:val="808080"/>
        </w:rPr>
        <w:t>(und)</w:t>
      </w:r>
      <w:r>
        <w:rPr/>
        <w:t xml:space="preserve"> sagte er zu ihr: „Nicht einmal</w:t>
      </w:r>
      <w:r>
        <w:rPr>
          <w:rStyle w:val="Funotenanker"/>
        </w:rPr>
        <w:footnoteReference w:customMarkFollows="1" w:id="950"/>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951"/>
        <w:t>ak</w:t>
      </w:r>
      <w:r>
        <w:rPr/>
        <w:t xml:space="preserve"> ihm, während</w:t>
      </w:r>
      <w:r>
        <w:rPr>
          <w:rStyle w:val="Funotenanker"/>
        </w:rPr>
        <w:footnoteReference w:customMarkFollows="1" w:id="952"/>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953"/>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954"/>
        <w:t>an</w:t>
      </w:r>
      <w:r>
        <w:rPr/>
        <w:t>:</w:t>
      </w:r>
      <w:r>
        <w:rPr>
          <w:rStyle w:val="Funotenanker"/>
        </w:rPr>
        <w:footnoteReference w:customMarkFollows="1" w:id="955"/>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956"/>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957"/>
        <w:t>aq</w:t>
      </w:r>
      <w:r>
        <w:rPr/>
        <w:t xml:space="preserve"> nicht gefunden!</w:t>
      </w:r>
      <w:r>
        <w:rPr>
          <w:rStyle w:val="Funotenanker"/>
        </w:rPr>
        <w:footnoteReference w:customMarkFollows="1" w:id="958"/>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959"/>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960"/>
        <w:t>at</w:t>
      </w:r>
      <w:r>
        <w:rPr/>
        <w:t xml:space="preserve"> dreißig Mann</w:t>
      </w:r>
      <w:r>
        <w:rPr>
          <w:rStyle w:val="Funotenanker"/>
        </w:rPr>
        <w:footnoteReference w:customMarkFollows="1" w:id="961"/>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962"/>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963"/>
        <w:t>aw</w:t>
      </w:r>
      <w:r>
        <w:rPr/>
        <w:t xml:space="preserve"> denen, die das Rätsel gelöst </w:t>
      </w:r>
      <w:r>
        <w:rPr>
          <w:color w:val="808080"/>
        </w:rPr>
        <w:t>(gesagt)</w:t>
      </w:r>
      <w:r>
        <w:rPr/>
        <w:t xml:space="preserve"> </w:t>
      </w:r>
      <w:r>
        <w:rPr>
          <w:rStyle w:val="Funotenanker"/>
        </w:rPr>
        <w:footnoteReference w:customMarkFollows="1" w:id="964"/>
        <w:t>ax</w:t>
      </w:r>
      <w:r>
        <w:rPr/>
        <w:t xml:space="preserve"> hatten</w:t>
      </w:r>
      <w:r>
        <w:rPr>
          <w:rStyle w:val="Funotenanker"/>
        </w:rPr>
        <w:footnoteReference w:customMarkFollows="1" w:id="965"/>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966"/>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967"/>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 zurückzukehren - sie und ihre Schwiegertöchter. (Eine sog. „gespaltene Koordination“; s. FNn h.q.r) * (b): V. 7a: Sie &lt;u&gt;verließ&lt;/u&gt; den Ort, wo sie gewesen war, und ihre beiden Schwiegertöchter waren bei ihr. (Singular + Ergänzung) * (c): V. 7b: Sie &lt;u&gt;gingen&lt;/u&gt; auf dem Weg, um in das Land Juda zurückzukehren. (Plural) In Vv. 8-18 dann wird Orpa aus dieser neu gebildeten Dreiergruppe herausgenommen, damit es am Ende nur noch von Noomi und Rut heißen kann: * (d): V. 19a: Diese zwei beiden &lt;u&gt;gingen&lt;/u&gt;, bis sie nach Betlehem kamen.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968"/>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969"/>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970"/>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971"/>
        <w:t>e</w:t>
      </w:r>
      <w:r>
        <w:rPr/>
        <w:t xml:space="preserve">&lt;/blockquote&gt; </w:t>
        <w:br/>
        <w:br/>
        <w:t>[[@BibleTOBIBLE:Ru 1:1]]</w:t>
      </w:r>
      <w:r>
        <w:rPr>
          <w:b/>
        </w:rPr>
        <w:t>1</w:t>
      </w:r>
      <w:r>
        <w:rPr/>
        <w:t xml:space="preserve"> {{field-on:bible}} </w:t>
      </w:r>
      <w:r>
        <w:rPr>
          <w:rStyle w:val="Funotenanker"/>
        </w:rPr>
        <w:footnoteReference w:customMarkFollows="1" w:id="972"/>
        <w:t>Status</w:t>
      </w:r>
      <w:r>
        <w:rPr/>
        <w:t xml:space="preserve"> Zur Zeit </w:t>
      </w:r>
      <w:r>
        <w:rPr>
          <w:color w:val="808080"/>
        </w:rPr>
        <w:t>(in den Tagen)</w:t>
      </w:r>
      <w:r>
        <w:rPr/>
        <w:t xml:space="preserve"> des Richtens der Richter</w:t>
      </w:r>
      <w:r>
        <w:rPr>
          <w:rStyle w:val="Funotenanker"/>
        </w:rPr>
        <w:footnoteReference w:customMarkFollows="1" w:id="973"/>
        <w:t>f</w:t>
      </w:r>
      <w:r>
        <w:rPr/>
        <w:t xml:space="preserve"> war </w:t>
      </w:r>
      <w:r>
        <w:rPr>
          <w:color w:val="808080"/>
        </w:rPr>
        <w:t>(herrschte)</w:t>
      </w:r>
      <w:r>
        <w:rPr/>
        <w:t xml:space="preserve"> eine Hungersnot im Land</w:t>
      </w:r>
      <w:r>
        <w:rPr>
          <w:rStyle w:val="Funotenanker"/>
        </w:rPr>
        <w:footnoteReference w:customMarkFollows="1" w:id="974"/>
        <w:t>g</w:t>
      </w:r>
      <w:r>
        <w:rPr/>
        <w:t xml:space="preserve"> </w:t>
      </w:r>
      <w:r>
        <w:rPr>
          <w:color w:val="808080"/>
        </w:rPr>
        <w:t>(kam eine Hungersnot über das Land)</w:t>
      </w:r>
      <w:r>
        <w:rPr/>
        <w:t>. Da verließ</w:t>
      </w:r>
      <w:r>
        <w:rPr>
          <w:rStyle w:val="Funotenanker"/>
        </w:rPr>
        <w:footnoteReference w:customMarkFollows="1" w:id="975"/>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976"/>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977"/>
        <w:t>j</w:t>
      </w:r>
      <w:r>
        <w:rPr/>
        <w:t xml:space="preserve"> Moab</w:t>
      </w:r>
      <w:r>
        <w:rPr>
          <w:rStyle w:val="Funotenanker"/>
        </w:rPr>
        <w:footnoteReference w:customMarkFollows="1" w:id="978"/>
        <w:t>k</w:t>
      </w:r>
      <w:r>
        <w:rPr/>
        <w:t xml:space="preserve"> niederzulassen</w:t>
      </w:r>
      <w:r>
        <w:rPr>
          <w:rStyle w:val="Funotenanker"/>
        </w:rPr>
        <w:footnoteReference w:customMarkFollows="1" w:id="979"/>
        <w:t>l</w:t>
      </w:r>
      <w:r>
        <w:rPr/>
        <w:t xml:space="preserve"> - er, seine Frau und seine beiden Söhne</w:t>
      </w:r>
      <w:r>
        <w:rPr>
          <w:rStyle w:val="Funotenanker"/>
        </w:rPr>
        <w:footnoteReference w:customMarkFollows="1" w:id="980"/>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(mein 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981"/>
        <w:t>n</w:t>
      </w:r>
      <w:r>
        <w:rPr/>
        <w:t xml:space="preserve"> Machlon </w:t>
      </w:r>
      <w:r>
        <w:rPr>
          <w:color w:val="808080"/>
        </w:rPr>
        <w:t>(krank?)</w:t>
      </w:r>
      <w:r>
        <w:rPr/>
        <w:t xml:space="preserve"> </w:t>
      </w:r>
      <w:r>
        <w:rPr>
          <w:rStyle w:val="Funotenanker"/>
        </w:rPr>
        <w:footnoteReference w:customMarkFollows="1" w:id="982"/>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983"/>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984"/>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985"/>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986"/>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987"/>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988"/>
        <w:t>u</w:t>
      </w:r>
      <w:r>
        <w:rPr/>
        <w:t xml:space="preserve"> - sie und ihre Schwiegertöchter</w:t>
      </w:r>
      <w:r>
        <w:rPr>
          <w:rStyle w:val="Funotenanker"/>
        </w:rPr>
        <w:footnoteReference w:customMarkFollows="1" w:id="989"/>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990"/>
        <w:t>w</w:t>
      </w:r>
      <w:r>
        <w:rPr/>
        <w:t xml:space="preserve">, dass </w:t>
      </w:r>
      <w:r>
        <w:rPr>
          <w:smallCaps/>
          <w:color w:val="FF0000"/>
        </w:rPr>
        <w:t>JHWH</w:t>
      </w:r>
      <w:r>
        <w:rPr/>
        <w:t xml:space="preserve"> sein Volk besucht hatte</w:t>
      </w:r>
      <w:r>
        <w:rPr>
          <w:rStyle w:val="Funotenanker"/>
        </w:rPr>
        <w:footnoteReference w:customMarkFollows="1" w:id="991"/>
        <w:t>x</w:t>
      </w:r>
      <w:r>
        <w:rPr/>
        <w:t>, indem er ihm Brot</w:t>
      </w:r>
      <w:r>
        <w:rPr>
          <w:rStyle w:val="Funotenanker"/>
        </w:rPr>
        <w:footnoteReference w:customMarkFollows="1" w:id="992"/>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993"/>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994"/>
        <w:t>aa</w:t>
      </w:r>
      <w:r>
        <w:rPr/>
        <w:t>, jede in das Haus ihrer</w:t>
      </w:r>
      <w:r>
        <w:rPr>
          <w:rStyle w:val="Funotenanker"/>
        </w:rPr>
        <w:footnoteReference w:customMarkFollows="1" w:id="995"/>
        <w:t>ab</w:t>
      </w:r>
      <w:r>
        <w:rPr/>
        <w:t xml:space="preserve"> Mutter</w:t>
      </w:r>
      <w:r>
        <w:rPr>
          <w:rStyle w:val="Funotenanker"/>
        </w:rPr>
        <w:footnoteReference w:customMarkFollows="1" w:id="996"/>
        <w:t>ac</w:t>
      </w:r>
      <w:r>
        <w:rPr/>
        <w:t>!</w:t>
      </w:r>
      <w:r>
        <w:rPr>
          <w:rStyle w:val="Funotenanker"/>
        </w:rPr>
        <w:footnoteReference w:customMarkFollows="1" w:id="997"/>
        <w:t>ad</w:t>
      </w:r>
      <w:r>
        <w:rPr/>
        <w:t xml:space="preserve"> </w:t>
      </w:r>
      <w:r>
        <w:rPr>
          <w:smallCaps/>
          <w:color w:val="FF0000"/>
        </w:rPr>
        <w:t>JHWH</w:t>
      </w:r>
      <w:r>
        <w:rPr/>
        <w:t xml:space="preserve"> erweise euch Güte</w:t>
      </w:r>
      <w:r>
        <w:rPr>
          <w:rStyle w:val="Funotenanker"/>
        </w:rPr>
        <w:footnoteReference w:customMarkFollows="1" w:id="998"/>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999"/>
        <w:t>af</w:t>
      </w:r>
      <w:r>
        <w:rPr/>
        <w:t xml:space="preserve"> findet</w:t>
      </w:r>
      <w:r>
        <w:rPr>
          <w:rStyle w:val="Funotenanker"/>
        </w:rPr>
        <w:footnoteReference w:customMarkFollows="1" w:id="1000"/>
        <w:t>ag</w:t>
      </w:r>
      <w:r>
        <w:rPr/>
        <w:t xml:space="preserve"> - jede im Haus ihres Mannes</w:t>
      </w:r>
      <w:r>
        <w:rPr>
          <w:rStyle w:val="Funotenanker"/>
        </w:rPr>
        <w:footnoteReference w:customMarkFollows="1" w:id="1001"/>
        <w:t>ah</w:t>
      </w:r>
      <w:r>
        <w:rPr/>
        <w:t>!“ - und sie küsste sie. Da erhoben sie ihre Stimmen, weinten</w:t>
      </w:r>
      <w:r>
        <w:rPr>
          <w:rStyle w:val="Funotenanker"/>
        </w:rPr>
        <w:footnoteReference w:customMarkFollows="1" w:id="1002"/>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1003"/>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1004"/>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1005"/>
        <w:t>al</w:t>
      </w:r>
      <w:r>
        <w:rPr/>
        <w:t xml:space="preserve"> </w:t>
      </w:r>
      <w:r>
        <w:rPr>
          <w:b/>
          <w:color w:val="808080"/>
        </w:rPr>
        <w:t>[</w:t>
      </w:r>
      <w:r>
        <w:rPr/>
        <w:t>selbst, wenn</w:t>
      </w:r>
      <w:r>
        <w:rPr>
          <w:b/>
          <w:color w:val="808080"/>
        </w:rPr>
        <w:t>]</w:t>
      </w:r>
      <w:r>
        <w:rPr/>
        <w:t xml:space="preserve"> </w:t>
      </w:r>
      <w:r>
        <w:rPr>
          <w:rStyle w:val="Funotenanker"/>
        </w:rPr>
        <w:footnoteReference w:customMarkFollows="1" w:id="1006"/>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1007"/>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1008"/>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1009"/>
        <w:t>ap</w:t>
      </w:r>
      <w:r>
        <w:rPr/>
        <w:t xml:space="preserve"> Nein, meine Töchter! Ach, mir ist es um euretwillen sehr bitter, dass</w:t>
      </w:r>
      <w:r>
        <w:rPr>
          <w:rStyle w:val="Funotenanker"/>
        </w:rPr>
        <w:footnoteReference w:customMarkFollows="1" w:id="1010"/>
        <w:t>aq</w:t>
      </w:r>
      <w:r>
        <w:rPr/>
        <w:t xml:space="preserve"> die Hand </w:t>
      </w:r>
      <w:r>
        <w:rPr>
          <w:smallCaps/>
          <w:color w:val="FF0000"/>
        </w:rPr>
        <w:t>JHWH</w:t>
      </w:r>
      <w:r>
        <w:rPr/>
        <w:t>s gegen mich ging</w:t>
      </w:r>
      <w:r>
        <w:rPr>
          <w:rStyle w:val="Funotenanker"/>
        </w:rPr>
        <w:footnoteReference w:customMarkFollows="1" w:id="1011"/>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1012"/>
        <w:t>as</w:t>
      </w:r>
      <w:r>
        <w:rPr/>
        <w:t xml:space="preserve">.Dann küsste Orpa ihre Schwiegermutter und </w:t>
      </w:r>
      <w:r>
        <w:rPr>
          <w:color w:val="808080"/>
        </w:rPr>
        <w:t>(aber)</w:t>
      </w:r>
      <w:r>
        <w:rPr/>
        <w:t xml:space="preserve"> Rut hängte sich an sie.</w:t>
      </w:r>
      <w:r>
        <w:rPr>
          <w:rStyle w:val="Funotenanker"/>
        </w:rPr>
        <w:footnoteReference w:customMarkFollows="1" w:id="1013"/>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1014"/>
        <w:t>au</w:t>
      </w:r>
      <w:r>
        <w:rPr/>
        <w:t xml:space="preserve">, deine Schwägerin kehrt zu ihrem Volk und ihrem Gott </w:t>
      </w:r>
      <w:r>
        <w:rPr>
          <w:color w:val="808080"/>
        </w:rPr>
        <w:t>(ihren Göttern)</w:t>
      </w:r>
      <w:r>
        <w:rPr/>
        <w:t xml:space="preserve"> zurück</w:t>
      </w:r>
      <w:r>
        <w:rPr>
          <w:rStyle w:val="Funotenanker"/>
        </w:rPr>
        <w:footnoteReference w:customMarkFollows="1" w:id="1015"/>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1016"/>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1017"/>
        <w:t>ax</w:t>
      </w:r>
      <w:r>
        <w:rPr/>
        <w:t xml:space="preserve"> der Tod uns scheiden wird.</w:t>
      </w:r>
      <w:r>
        <w:rPr>
          <w:rStyle w:val="Funotenanker"/>
        </w:rPr>
        <w:footnoteReference w:customMarkFollows="1" w:id="1018"/>
        <w:t>ay</w:t>
      </w:r>
      <w:r>
        <w:rPr/>
        <w:t xml:space="preserve">«{{field-off:bible}} </w:t>
        <w:br/>
        <w:t>[[@BibleTOBIBLE:Ru 1:18]]</w:t>
      </w:r>
      <w:r>
        <w:rPr>
          <w:b/>
        </w:rPr>
        <w:t>18</w:t>
      </w:r>
      <w:r>
        <w:rPr/>
        <w:t xml:space="preserve"> {{field-on:bible}}Da sah sie, wie entschlossen</w:t>
      </w:r>
      <w:r>
        <w:rPr>
          <w:rStyle w:val="Funotenanker"/>
        </w:rPr>
        <w:footnoteReference w:customMarkFollows="1" w:id="1019"/>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1020"/>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1021"/>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1022"/>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1023"/>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1024"/>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1025"/>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1026"/>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1027"/>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1028"/>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w:t>
      </w:r>
      <w:r>
        <w:rPr>
          <w:rStyle w:val="Funotenanker"/>
        </w:rPr>
        <w:footnoteReference w:customMarkFollows="1" w:id="1029"/>
        <w:t>b</w:t>
      </w:r>
      <w:r>
        <w:rPr/>
        <w:t xml:space="preserve"> Schon das ist rechtlich wohl nicht ganz astrein; vermutlich konnte Rut aber sogar prinzipiell diese Armenrechte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Rut 1).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1030"/>
        <w:t>Status</w:t>
      </w:r>
      <w:r>
        <w:rPr/>
        <w:t xml:space="preserve"> Noomi hatte einen Verwandten </w:t>
      </w:r>
      <w:r>
        <w:rPr>
          <w:color w:val="808080"/>
        </w:rPr>
        <w:t>(Bekannten)</w:t>
      </w:r>
      <w:r>
        <w:rPr/>
        <w:t xml:space="preserve"> </w:t>
      </w:r>
      <w:r>
        <w:rPr>
          <w:rStyle w:val="Funotenanker"/>
        </w:rPr>
        <w:footnoteReference w:customMarkFollows="1" w:id="1031"/>
        <w:t>c</w:t>
      </w:r>
      <w:r>
        <w:rPr/>
        <w:t xml:space="preserve"> ihres Mannes; einen mächtigen, fähigen Mann</w:t>
      </w:r>
      <w:r>
        <w:rPr>
          <w:rStyle w:val="Funotenanker"/>
        </w:rPr>
        <w:footnoteReference w:customMarkFollows="1" w:id="1032"/>
        <w:t>d</w:t>
      </w:r>
      <w:r>
        <w:rPr/>
        <w:t xml:space="preserve"> aus der Sippe Elimelechs</w:t>
      </w:r>
      <w:r>
        <w:rPr>
          <w:rStyle w:val="Funotenanker"/>
        </w:rPr>
        <w:footnoteReference w:customMarkFollows="1" w:id="1033"/>
        <w:t>e</w:t>
      </w:r>
      <w:r>
        <w:rPr/>
        <w:t xml:space="preserve">. Sein Name war: Boas </w:t>
      </w:r>
      <w:r>
        <w:rPr>
          <w:color w:val="808080"/>
        </w:rPr>
        <w:t>(in ihm ist Kraft, der Scharfsinnige)</w:t>
      </w:r>
      <w:r>
        <w:rPr/>
        <w:t xml:space="preserve"> </w:t>
      </w:r>
      <w:r>
        <w:rPr>
          <w:rStyle w:val="Funotenanker"/>
        </w:rPr>
        <w:footnoteReference w:customMarkFollows="1" w:id="1034"/>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1035"/>
        <w:t>g</w:t>
      </w:r>
      <w:r>
        <w:rPr/>
        <w:t xml:space="preserve"> gehen</w:t>
      </w:r>
      <w:r>
        <w:rPr>
          <w:rStyle w:val="Funotenanker"/>
        </w:rPr>
        <w:footnoteReference w:customMarkFollows="1" w:id="1036"/>
        <w:t>h</w:t>
      </w:r>
      <w:r>
        <w:rPr/>
        <w:t xml:space="preserve"> und an den Ähren mitlesen</w:t>
      </w:r>
      <w:r>
        <w:rPr>
          <w:rStyle w:val="Funotenanker"/>
        </w:rPr>
        <w:footnoteReference w:customMarkFollows="1" w:id="1037"/>
        <w:t>i</w:t>
      </w:r>
      <w:r>
        <w:rPr/>
        <w:t xml:space="preserve"> hinter dem, in dessen Augen ich Gefallen finde</w:t>
      </w:r>
      <w:r>
        <w:rPr>
          <w:rStyle w:val="Funotenanker"/>
        </w:rPr>
        <w:footnoteReference w:customMarkFollows="1" w:id="1038"/>
        <w:t>j</w:t>
      </w:r>
      <w:r>
        <w:rPr/>
        <w:t>.“ Sie sagte zu ihr: „Geh, meine Tochter!“</w:t>
      </w:r>
      <w:r>
        <w:rPr>
          <w:rStyle w:val="Funotenanker"/>
        </w:rPr>
        <w:footnoteReference w:customMarkFollows="1" w:id="1039"/>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1040"/>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1041"/>
        <w:t>m</w:t>
      </w:r>
      <w:r>
        <w:rPr/>
        <w:t xml:space="preserve"> Zufällig geriet sie</w:t>
      </w:r>
      <w:r>
        <w:rPr>
          <w:rStyle w:val="Funotenanker"/>
        </w:rPr>
        <w:footnoteReference w:customMarkFollows="1" w:id="1042"/>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1043"/>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1044"/>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1045"/>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1046"/>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1047"/>
        <w:t>s</w:t>
      </w:r>
      <w:r>
        <w:rPr/>
        <w:t>.</w:t>
      </w:r>
      <w:r>
        <w:rPr>
          <w:rStyle w:val="Funotenanker"/>
        </w:rPr>
        <w:footnoteReference w:customMarkFollows="1" w:id="1048"/>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1049"/>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1050"/>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1051"/>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1052"/>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1053"/>
        <w:t>y</w:t>
      </w:r>
      <w:r>
        <w:rPr/>
        <w:t xml:space="preserve">. Gehe hinter ihnen </w:t>
      </w:r>
      <w:r>
        <w:rPr>
          <w:color w:val="808080"/>
        </w:rPr>
        <w:t>(zusammen mit ihnen)</w:t>
      </w:r>
      <w:r>
        <w:rPr/>
        <w:t xml:space="preserve"> </w:t>
      </w:r>
      <w:r>
        <w:rPr>
          <w:rStyle w:val="Funotenanker"/>
        </w:rPr>
        <w:footnoteReference w:customMarkFollows="1" w:id="1054"/>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1055"/>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1056"/>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1057"/>
        <w:t>ac</w:t>
      </w:r>
      <w:r>
        <w:rPr/>
        <w:t xml:space="preserve"> ihr: „Berichtet </w:t>
      </w:r>
      <w:r>
        <w:rPr>
          <w:strike/>
          <w:color w:val="808080"/>
        </w:rPr>
        <w:t>{berichtet}</w:t>
      </w:r>
      <w:r>
        <w:rPr/>
        <w:t xml:space="preserve"> </w:t>
      </w:r>
      <w:r>
        <w:rPr>
          <w:rStyle w:val="Funotenanker"/>
        </w:rPr>
        <w:footnoteReference w:customMarkFollows="1" w:id="1058"/>
        <w:t>ad</w:t>
      </w:r>
      <w:r>
        <w:rPr/>
        <w:t xml:space="preserve"> wurde mir alles, was du für deine Schwiegermutter nach dem Tod deines Mannes getan hast</w:t>
      </w:r>
      <w:r>
        <w:rPr>
          <w:rStyle w:val="Funotenanker"/>
        </w:rPr>
        <w:footnoteReference w:customMarkFollows="1" w:id="1059"/>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1060"/>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1061"/>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1062"/>
        <w:t>ah</w:t>
      </w:r>
      <w:r>
        <w:rPr/>
        <w:t>, mein Herr</w:t>
      </w:r>
      <w:r>
        <w:rPr>
          <w:rStyle w:val="Funotenanker"/>
        </w:rPr>
        <w:footnoteReference w:customMarkFollows="1" w:id="1063"/>
        <w:t>ai</w:t>
      </w:r>
      <w:r>
        <w:rPr/>
        <w:t>, weil du mich getröstet und weil du zum Herzen deiner Magd gesprochen hast</w:t>
      </w:r>
      <w:r>
        <w:rPr>
          <w:rStyle w:val="Funotenanker"/>
        </w:rPr>
        <w:footnoteReference w:customMarkFollows="1" w:id="1064"/>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1065"/>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1066"/>
        <w:t>al</w:t>
      </w:r>
      <w:r>
        <w:rPr/>
        <w:t xml:space="preserve"> </w:t>
      </w:r>
      <w:r>
        <w:rPr>
          <w:color w:val="808080"/>
        </w:rPr>
        <w:t>)</w:t>
      </w:r>
      <w:r>
        <w:rPr/>
        <w:t>! Iss von dem Brot und tunke deinen Brocken in den Essig</w:t>
      </w:r>
      <w:r>
        <w:rPr>
          <w:rStyle w:val="Funotenanker"/>
        </w:rPr>
        <w:footnoteReference w:customMarkFollows="1" w:id="1067"/>
        <w:t>am</w:t>
      </w:r>
      <w:r>
        <w:rPr/>
        <w:t>!“ - Also setzte sich sich an die Seite der Schnitter, er reichte</w:t>
      </w:r>
      <w:r>
        <w:rPr>
          <w:rStyle w:val="Funotenanker"/>
        </w:rPr>
        <w:footnoteReference w:customMarkFollows="1" w:id="1068"/>
        <w:t>an</w:t>
      </w:r>
      <w:r>
        <w:rPr/>
        <w:t xml:space="preserve"> ihr Röstkorn</w:t>
      </w:r>
      <w:r>
        <w:rPr>
          <w:rStyle w:val="Funotenanker"/>
        </w:rPr>
        <w:footnoteReference w:customMarkFollows="1" w:id="1069"/>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1070"/>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1071"/>
        <w:t>aq</w:t>
      </w:r>
      <w:r>
        <w:rPr/>
        <w:t xml:space="preserve"> aus den Handbündeln</w:t>
      </w:r>
      <w:r>
        <w:rPr>
          <w:rStyle w:val="Funotenanker"/>
        </w:rPr>
        <w:footnoteReference w:customMarkFollows="1" w:id="1072"/>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1073"/>
        <w:t>as</w:t>
      </w:r>
      <w:r>
        <w:rPr/>
        <w:t xml:space="preserve"> - und es ergab ungefähr ein Efa </w:t>
      </w:r>
      <w:r>
        <w:rPr>
          <w:color w:val="808080"/>
        </w:rPr>
        <w:t>(genau ein Efa, ein ganzes Efa)</w:t>
      </w:r>
      <w:r>
        <w:rPr/>
        <w:t xml:space="preserve"> </w:t>
      </w:r>
      <w:r>
        <w:rPr>
          <w:rStyle w:val="Funotenanker"/>
        </w:rPr>
        <w:footnoteReference w:customMarkFollows="1" w:id="1074"/>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1075"/>
        <w:t>au</w:t>
      </w:r>
      <w:r>
        <w:rPr/>
        <w:t xml:space="preserve">, kam in die Stadt und zeigte ihrer Schwiegermutter </w:t>
      </w:r>
      <w:r>
        <w:rPr>
          <w:color w:val="808080"/>
        </w:rPr>
        <w:t>(ihre Schwiegermutter sah)</w:t>
      </w:r>
      <w:r>
        <w:rPr/>
        <w:t xml:space="preserve"> </w:t>
      </w:r>
      <w:r>
        <w:rPr>
          <w:rStyle w:val="Funotenanker"/>
        </w:rPr>
        <w:footnoteReference w:customMarkFollows="1" w:id="1076"/>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1077"/>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1078"/>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1079"/>
        <w:t>ay</w:t>
      </w:r>
      <w:r>
        <w:rPr/>
        <w:t>, der nicht von seiner Treue zu den Lebenden und den Toten abgelassen hat</w:t>
      </w:r>
      <w:r>
        <w:rPr>
          <w:rStyle w:val="Funotenanker"/>
        </w:rPr>
        <w:footnoteReference w:customMarkFollows="1" w:id="1080"/>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1081"/>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1082"/>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1083"/>
        <w:t>bc</w:t>
      </w:r>
      <w:r>
        <w:rPr/>
        <w:t xml:space="preserve"> er zu mir gesagt hat: »An die Jungen</w:t>
      </w:r>
      <w:r>
        <w:rPr>
          <w:rStyle w:val="Funotenanker"/>
        </w:rPr>
        <w:footnoteReference w:customMarkFollows="1" w:id="1084"/>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1085"/>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&lt;small&gt;&lt;u&gt;Exkurs&lt;/u&gt;: Zur Theologie des Rutbuches: Wegen dieser moralischen Fragwürdigkeit muss hier auf eine theologische Eigenart des Rutbuches hingewiesen werden: Das „Verschmelzen des Handelns Gottes und der Menschen“ (Thompson 1993, S. 203): * In Rut 1,6 heißt es, dass </w:t>
      </w:r>
      <w:r>
        <w:rPr>
          <w:rStyle w:val="Funotenanker"/>
        </w:rPr>
        <w:footnoteReference w:customMarkFollows="1" w:id="1086"/>
        <w:t>a</w:t>
      </w:r>
      <w:r>
        <w:rPr/>
        <w:t xml:space="preserve"> Israel wieder „Brot gegeben“ habe - doch das Brot von Noomi und Rut stammt von Boas. * In Rut 2,12 verwendet Boas die sog. „Lohnknecht-Metapher“</w:t>
      </w:r>
      <w:r>
        <w:rPr>
          <w:rStyle w:val="Funotenanker"/>
        </w:rPr>
        <w:footnoteReference w:customMarkFollows="1" w:id="1087"/>
        <w:t>b</w:t>
      </w:r>
      <w:r>
        <w:rPr/>
        <w:t xml:space="preserve"> und stellt so </w:t>
      </w:r>
      <w:r>
        <w:rPr>
          <w:rStyle w:val="Funotenanker"/>
        </w:rPr>
        <w:footnoteReference w:customMarkFollows="1" w:id="1088"/>
        <w:t>c</w:t>
      </w:r>
      <w:r>
        <w:rPr/>
        <w:t xml:space="preserve"> als Lohnherrn der Rut vor („</w:t>
      </w:r>
      <w:r>
        <w:rPr>
          <w:rStyle w:val="Funotenanker"/>
        </w:rPr>
        <w:footnoteReference w:customMarkFollows="1" w:id="1089"/>
        <w:t>d</w:t>
      </w:r>
      <w:r>
        <w:rPr/>
        <w:t xml:space="preserve"> vergelte dein Tun und dein Lohn sei voll von JHWH, dem Gott Israel“) - doch auch hier: Der Lohn für die Arbeit Ruts stammt von Boas.</w:t>
      </w:r>
      <w:r>
        <w:rPr>
          <w:rStyle w:val="Funotenanker"/>
        </w:rPr>
        <w:footnoteReference w:customMarkFollows="1" w:id="1090"/>
        <w:t>e</w:t>
      </w:r>
      <w:r>
        <w:rPr/>
        <w:t xml:space="preserve"> * Zu diesem Phänomen gehört auch die Ambiguität von Rut 2,20, wo unsicher ist, ob der Relativsatz auf Boas oder </w:t>
      </w:r>
      <w:r>
        <w:rPr>
          <w:rStyle w:val="Funotenanker"/>
        </w:rPr>
        <w:footnoteReference w:customMarkFollows="1" w:id="1091"/>
        <w:t>f</w:t>
      </w:r>
      <w:r>
        <w:rPr/>
        <w:t xml:space="preserve"> zu beziehen ist (s. FN ax).</w:t>
      </w:r>
      <w:r>
        <w:rPr>
          <w:rStyle w:val="Funotenanker"/>
        </w:rPr>
        <w:footnoteReference w:customMarkFollows="1" w:id="1092"/>
        <w:t>g</w:t>
      </w:r>
      <w:r>
        <w:rPr/>
        <w:t xml:space="preserve"> * Für sein Handeln in Kap. 2 wird Boas in Rut 2,20 von Noomi auch noch gesegnet und sein Handeln durch das Schlüsselwort chesed („Güte“) charakterisiert, das in der Bibel - und auch im Rutbuch, s. Rut 1,8 - den Wesenszug </w:t>
      </w:r>
      <w:r>
        <w:rPr>
          <w:rStyle w:val="Funotenanker"/>
        </w:rPr>
        <w:footnoteReference w:customMarkFollows="1" w:id="1093"/>
        <w:t>h</w:t>
      </w:r>
      <w:r>
        <w:rPr/>
        <w:t>s schlechthin ausdrückt.</w:t>
      </w:r>
      <w:r>
        <w:rPr>
          <w:rStyle w:val="Funotenanker"/>
        </w:rPr>
        <w:footnoteReference w:customMarkFollows="1" w:id="1094"/>
        <w:t>i</w:t>
      </w:r>
      <w:r>
        <w:rPr/>
        <w:t xml:space="preserve">. * Deutlich gehört dazu auch Ruts Bitte in Rut 3,9, mit der sie Boas bittet, seinen „Mantelsaum“ über sie zu breiten: In Rut 2,12 verwendet Boas die selbe Formulierung, als er davon spricht, dass Rut unter </w:t>
      </w:r>
      <w:r>
        <w:rPr>
          <w:rStyle w:val="Funotenanker"/>
        </w:rPr>
        <w:footnoteReference w:customMarkFollows="1" w:id="1095"/>
        <w:t>j</w:t>
      </w:r>
      <w:r>
        <w:rPr/>
        <w:t>s „Flügeln“ Schutz suchen wolle.</w:t>
      </w:r>
      <w:r>
        <w:rPr>
          <w:rStyle w:val="Funotenanker"/>
        </w:rPr>
        <w:footnoteReference w:customMarkFollows="1" w:id="1096"/>
        <w:t>k</w:t>
      </w:r>
      <w:r>
        <w:rPr/>
        <w:t xml:space="preserve"> * Ebenso wie Boas in Rut 2,20 wird auch Rut in Rut 3,10 für ihr Handeln in Rut 1 und in unserem Kapitel gesegnet und auch ihr Handeln wird durch das Wort chesed charakterisiert. * In Rut 3,12 kündet Boas sein zukünfiges Handeln sogar in Form eines Heilsorakels an („Fürchte dich nicht...“), mit dem sonst heilbringende Handlungen </w:t>
      </w:r>
      <w:r>
        <w:rPr>
          <w:rStyle w:val="Funotenanker"/>
        </w:rPr>
        <w:footnoteReference w:customMarkFollows="1" w:id="1097"/>
        <w:t>l</w:t>
      </w:r>
      <w:r>
        <w:rPr/>
        <w:t>s vorausgesagt werden.</w:t>
      </w:r>
      <w:r>
        <w:rPr>
          <w:rStyle w:val="Funotenanker"/>
        </w:rPr>
        <w:footnoteReference w:customMarkFollows="1" w:id="1098"/>
        <w:t>m</w:t>
      </w:r>
      <w:r>
        <w:rPr/>
        <w:t xml:space="preserve"> * In Rut 4,15 findet sich eine ganz ähnliche Ambivalenz wie in 2,20 (s. FN am) * Auffällig ist schließlich in Rut 4,13f., wie </w:t>
      </w:r>
      <w:r>
        <w:rPr>
          <w:rStyle w:val="Funotenanker"/>
        </w:rPr>
        <w:footnoteReference w:customMarkFollows="1" w:id="1099"/>
        <w:t>n</w:t>
      </w:r>
      <w:r>
        <w:rPr/>
        <w:t xml:space="preserve"> und die beiden Eheleute bei der Zeugung Obeds zusammenwirken: „Der Nachkomme, den </w:t>
      </w:r>
      <w:r>
        <w:rPr>
          <w:rStyle w:val="Funotenanker"/>
        </w:rPr>
        <w:footnoteReference w:customMarkFollows="1" w:id="1100"/>
        <w:t>o</w:t>
      </w:r>
      <w:r>
        <w:rPr/>
        <w:t xml:space="preserve"> dir durch diese junge Frau geben wird... [Boas] schlief mit ihr und JHWH gab ihr Schwangerschaft.“ Ganz ähnliches ist auch hier der Fall: Noomi hat ihren Schwiegertöchtern in Rut 1,9 gewünscht, dass </w:t>
      </w:r>
      <w:r>
        <w:rPr>
          <w:rStyle w:val="Funotenanker"/>
        </w:rPr>
        <w:footnoteReference w:customMarkFollows="1" w:id="1101"/>
        <w:t>p</w:t>
      </w:r>
      <w:r>
        <w:rPr/>
        <w:t xml:space="preserve"> ihnen „Ruhe“ - d.h.: eine Heimstatt - geben möge. Doch nun ist es Noomi selbst, die Rut „Ruhe“ verschaffen will, „damit es ihr gut geht“, und ihr deshalb „Gebote gibt“, „denen gemäß Rut handeln“ soll (s. dazu FNn c.o) - auch Noomi wird hier mit </w:t>
      </w:r>
      <w:r>
        <w:rPr>
          <w:rStyle w:val="Funotenanker"/>
        </w:rPr>
        <w:footnoteReference w:customMarkFollows="1" w:id="1102"/>
        <w:t>q</w:t>
      </w:r>
      <w:r>
        <w:rPr/>
        <w:t xml:space="preserve"> parallelisiert, und das „damit es dir gut geht“ ist hier gerade nicht die Folge von </w:t>
      </w:r>
      <w:r>
        <w:rPr>
          <w:rStyle w:val="Funotenanker"/>
        </w:rPr>
        <w:footnoteReference w:customMarkFollows="1" w:id="1103"/>
        <w:t>r</w:t>
      </w:r>
      <w:r>
        <w:rPr/>
        <w:t xml:space="preserve">s Geboten - sondern von Noomis unmoralischem Plan. Die Parallelisierungen in Rut 1,6 und Rut 2, in Rut 2,12 und Rut 2 und in Rut 2,20 und Rut 2 beziehen sich auf die juristisch problematische Gewährung des Nachleserechts durch Boas; die Parallelisierung in Rut 1,9 und Rut 3,1 auf Noomis moralisch fragwürdigen Plan, Boas zum Ja-Wort zu verführen und die Parallelisierung in Rut 2,20 und Rut 3,9 und die in Rut 4,12f auf Boas rechtswidrige Heirat mit Rut (dazu s. die Anmerkungen zu Kap. 4). Das heißt: gerade dort, wo im Rutbuch Recht gebeugt und gebrochen wird, werden diese Beugungen und Brüche durch die Parallelisierung mit </w:t>
      </w:r>
      <w:r>
        <w:rPr>
          <w:rStyle w:val="Funotenanker"/>
        </w:rPr>
        <w:footnoteReference w:customMarkFollows="1" w:id="1104"/>
        <w:t>s</w:t>
      </w:r>
      <w:r>
        <w:rPr/>
        <w:t xml:space="preserve"> wieder „theologisch gerechtfertigt“.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1105"/>
        <w:t>t</w:t>
      </w:r>
      <w:r>
        <w:rPr/>
        <w:t xml:space="preserve">-mäßig“ und segenswert, sondern das von „Güte“ geleitete und daher bisweilen auch das biblische Recht brechende Handeln. Ein sehr ähnliches Konzept findet sich noch heute in der Orthodoxen Kirche: Man unterscheidet dort die Grundsätze der akribia und der oikonomia. „Akribia“ meint das kirchenrechtliche Prinzip der strengen Befolgung kirchlicher Gesetze, „oikonomia“ dagegen das der „Aufhebung der uneingeschränkten und strikten Durchsetzung der kanonischen und kirchlichen Ordnung aufgrund äußerster Nachgiebigkeit und Milde in christlichem Geist“ (Alivizatos 1998, S. 44). Man könnte also sagen: Sinn des Rutbuches ist (auch) die Entwicklung eines Vorläufer-modells des oikonomia-Prinzips.&lt;/small&gt;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Num 25 und die dortigen Anmerkungen) treffen zumindest im Falle der Rut ohnehin nicht zu. </w:t>
        <w:br/>
        <w:br/>
        <w:t>[[@BibleTOBIBLE:Ru 3:1]]</w:t>
      </w:r>
      <w:r>
        <w:rPr>
          <w:b/>
        </w:rPr>
        <w:t>1</w:t>
      </w:r>
      <w:r>
        <w:rPr/>
        <w:t xml:space="preserve"> {{field-on:bible}} </w:t>
      </w:r>
      <w:r>
        <w:rPr>
          <w:rStyle w:val="Funotenanker"/>
        </w:rPr>
        <w:footnoteReference w:customMarkFollows="1" w:id="1106"/>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1107"/>
        <w:t>u</w:t>
      </w:r>
      <w:r>
        <w:rPr/>
        <w:t xml:space="preserve"> für dich Ruhe </w:t>
      </w:r>
      <w:r>
        <w:rPr>
          <w:color w:val="808080"/>
        </w:rPr>
        <w:t>(eine Heimstatt)</w:t>
      </w:r>
      <w:r>
        <w:rPr/>
        <w:t xml:space="preserve"> </w:t>
      </w:r>
      <w:r>
        <w:rPr>
          <w:rStyle w:val="Funotenanker"/>
        </w:rPr>
        <w:footnoteReference w:customMarkFollows="1" w:id="1108"/>
        <w:t>v</w:t>
      </w:r>
      <w:r>
        <w:rPr/>
        <w:t xml:space="preserve"> suchen, damit </w:t>
      </w:r>
      <w:r>
        <w:rPr>
          <w:color w:val="808080"/>
        </w:rPr>
        <w:t>(wo)</w:t>
      </w:r>
      <w:r>
        <w:rPr/>
        <w:t xml:space="preserve"> es dir gut geht?</w:t>
      </w:r>
      <w:r>
        <w:rPr>
          <w:rStyle w:val="Funotenanker"/>
        </w:rPr>
        <w:footnoteReference w:customMarkFollows="1" w:id="1109"/>
        <w:t>w</w:t>
      </w:r>
      <w:r>
        <w:rPr/>
        <w:t xml:space="preserve"> {{field-off:bible}} </w:t>
        <w:br/>
        <w:t>[[@BibleTOBIBLE:Ru 3:2]]</w:t>
      </w:r>
      <w:r>
        <w:rPr>
          <w:b/>
        </w:rPr>
        <w:t>2</w:t>
      </w:r>
      <w:r>
        <w:rPr/>
        <w:t xml:space="preserve"> {{field-on:bible}}Und weiter</w:t>
      </w:r>
      <w:r>
        <w:rPr>
          <w:rStyle w:val="Funotenanker"/>
        </w:rPr>
        <w:footnoteReference w:customMarkFollows="1" w:id="1110"/>
        <w:t>x</w:t>
      </w:r>
      <w:r>
        <w:rPr/>
        <w:t>: Ist nicht Boas, bei dessen Mägden du warst, unser Verwandter</w:t>
      </w:r>
      <w:r>
        <w:rPr>
          <w:rStyle w:val="Funotenanker"/>
        </w:rPr>
        <w:footnoteReference w:customMarkFollows="1" w:id="1111"/>
        <w:t>y</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1112"/>
        <w:t>z</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1113"/>
        <w:t>aa</w:t>
      </w:r>
      <w:r>
        <w:rPr/>
        <w:t xml:space="preserve"> wasche dich, salbe dich, wirf deine Kleider </w:t>
      </w:r>
      <w:r>
        <w:rPr>
          <w:color w:val="808080"/>
        </w:rPr>
        <w:t>(dein Kleid)</w:t>
      </w:r>
      <w:r>
        <w:rPr/>
        <w:t xml:space="preserve"> </w:t>
      </w:r>
      <w:r>
        <w:rPr>
          <w:rStyle w:val="Funotenanker"/>
        </w:rPr>
        <w:footnoteReference w:customMarkFollows="1" w:id="1114"/>
        <w:t>ab</w:t>
      </w:r>
      <w:r>
        <w:rPr/>
        <w:t xml:space="preserve"> um dich </w:t>
      </w:r>
      <w:r>
        <w:rPr>
          <w:color w:val="808080"/>
        </w:rPr>
        <w:t>(zieh deine Kleider/dein Kleid an)</w:t>
      </w:r>
      <w:r>
        <w:rPr/>
        <w:t xml:space="preserve"> </w:t>
      </w:r>
      <w:r>
        <w:rPr>
          <w:rStyle w:val="Funotenanker"/>
        </w:rPr>
        <w:footnoteReference w:customMarkFollows="1" w:id="1115"/>
        <w:t>ac</w:t>
      </w:r>
      <w:r>
        <w:rPr/>
        <w:t xml:space="preserve"> und geh zur Tenne hinab</w:t>
      </w:r>
      <w:r>
        <w:rPr>
          <w:rStyle w:val="Funotenanker"/>
        </w:rPr>
        <w:footnoteReference w:customMarkFollows="1" w:id="1116"/>
        <w:t>ad</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1117"/>
        <w:t>ae</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1118"/>
        <w:t>af</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1119"/>
        <w:t>ag</w:t>
      </w:r>
      <w:r>
        <w:rPr/>
        <w:t xml:space="preserve"> sagst </w:t>
      </w:r>
      <w:r>
        <w:rPr>
          <w:color w:val="808080"/>
        </w:rPr>
        <w:t>(je sagen wirst)</w:t>
      </w:r>
      <w:r>
        <w:rPr/>
        <w:t xml:space="preserve"> </w:t>
      </w:r>
      <w:r>
        <w:rPr>
          <w:rStyle w:val="Funotenanker"/>
        </w:rPr>
        <w:footnoteReference w:customMarkFollows="1" w:id="1120"/>
        <w:t>ah</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1121"/>
        <w:t>ai</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1122"/>
        <w:t>aj</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1123"/>
        <w:t>ak</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1124"/>
        <w:t>al</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1125"/>
        <w:t>am</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1126"/>
        <w:t>an</w:t>
      </w:r>
      <w:r>
        <w:rPr/>
        <w:t xml:space="preserve"> - daher breite deinen Gewandzipfel </w:t>
      </w:r>
      <w:r>
        <w:rPr>
          <w:color w:val="808080"/>
        </w:rPr>
        <w:t>(deine Decke, deine Flügel)</w:t>
      </w:r>
      <w:r>
        <w:rPr/>
        <w:t xml:space="preserve"> </w:t>
      </w:r>
      <w:r>
        <w:rPr>
          <w:rStyle w:val="Funotenanker"/>
        </w:rPr>
        <w:footnoteReference w:customMarkFollows="1" w:id="1127"/>
        <w:t>ao</w:t>
      </w:r>
      <w:r>
        <w:rPr/>
        <w:t xml:space="preserve"> über deine Magd, denn du bist Goel!</w:t>
      </w:r>
      <w:r>
        <w:rPr>
          <w:rStyle w:val="Funotenanker"/>
        </w:rPr>
        <w:footnoteReference w:customMarkFollows="1" w:id="1128"/>
        <w:t>ap</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1129"/>
        <w:t>aq</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1130"/>
        <w:t>ar</w:t>
      </w:r>
      <w:r>
        <w:rPr/>
        <w:t xml:space="preserve"> zu sein </w:t>
      </w:r>
      <w:r>
        <w:rPr>
          <w:color w:val="808080"/>
        </w:rPr>
        <w:t>(indem du nicht den jungen Männern nachgelaufen bist)</w:t>
      </w:r>
      <w:r>
        <w:rPr/>
        <w:t xml:space="preserve"> - egal, ob arm oder reich.</w:t>
      </w:r>
      <w:r>
        <w:rPr>
          <w:rStyle w:val="Funotenanker"/>
        </w:rPr>
        <w:footnoteReference w:customMarkFollows="1" w:id="1131"/>
        <w:t>as</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1132"/>
        <w:t>at</w:t>
      </w:r>
      <w:r>
        <w:rPr/>
        <w:t>, dass du eine fähige Frau</w:t>
      </w:r>
      <w:r>
        <w:rPr>
          <w:rStyle w:val="Funotenanker"/>
        </w:rPr>
        <w:footnoteReference w:customMarkFollows="1" w:id="1133"/>
        <w:t>au</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1134"/>
        <w:t>av</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1135"/>
        <w:t>aw</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1136"/>
        <w:t>ax</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1137"/>
        <w:t>ay</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1138"/>
        <w:t>az</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1139"/>
        <w:t>ba</w:t>
      </w:r>
      <w:r>
        <w:rPr/>
        <w:t xml:space="preserve"> erkennen konnte, stand sie auf.Er sagte </w:t>
      </w:r>
      <w:r>
        <w:rPr>
          <w:b/>
          <w:color w:val="808080"/>
        </w:rPr>
        <w:t>[</w:t>
      </w:r>
      <w:r>
        <w:rPr/>
        <w:t>sich</w:t>
      </w:r>
      <w:r>
        <w:rPr>
          <w:b/>
          <w:color w:val="808080"/>
        </w:rPr>
        <w:t>]</w:t>
      </w:r>
      <w:r>
        <w:rPr/>
        <w:t>:</w:t>
      </w:r>
      <w:r>
        <w:rPr>
          <w:rStyle w:val="Funotenanker"/>
        </w:rPr>
        <w:footnoteReference w:customMarkFollows="1" w:id="1140"/>
        <w:t>bb</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1141"/>
        <w:t>bc</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1142"/>
        <w:t>bd</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1143"/>
        <w:t>be</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1144"/>
        <w:t>bf</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1145"/>
        <w:t>bg</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3"/>
        <w:rPr/>
      </w:pPr>
      <w:r>
        <w:rPr/>
        <w:t>[[@BibleTOBIBLE:Ru 4]]Kapitel 4</w:t>
      </w:r>
    </w:p>
    <w:p>
      <w:pPr>
        <w:pStyle w:val="Textkrper"/>
        <w:rPr/>
      </w:pPr>
      <w:r>
        <w:rPr/>
        <w:t>Was zu Beginn von Kapitel 4 geschieht, lässt sich nicht mehr ganz erschließen, da uns die das nötige Wissen über die rechtlichen Hintergründe fehlt. So viel ist gewiss:Grundbesitz gehörte im Alten Israel immer untrennbar zu einer Familie. Weil das Land eine Gabe Gottes an seine Besitzer war (s. Lev 25,23), musste es idealiter immer im Besitz dieser Familie bleiben - ihr „Name musste auf diesem Besitz immer aufgerichtet bleiben“ (V. 5) - und konnte daher auch nicht letztgültig verkauft werden (s. dazu näher Bodenrecht (AT) (WiBiLex)). Zu diesem Zweck war im Alten Israel auch das Erbfolgerecht genau geregelt (s. dazu näher Erbe/Erbrecht (AT) (WiBiLex)); die Erbfolge war: Sohn =&gt; Tochter =&gt; Bruder d. Vaters =&gt; nächste Verwandte (s. Num 27,8-11). Wichtig für das folgende: Witwen waren erst in persischer Zeit erbberechtigt und hatten dies früher wegen der beiden folgenden rechtlichen Hintergründe auch gar nicht nötig. Trotz dieser genauen Erbfolgeregelungen existierten zwei Gefahren: (1) Eine Familie konnte verarmen und deshalb gezwungen sein ihren Erbbesitz verkaufen zu müssen; (2) eine Familie konnte aussterben. Vor der ersten Gefahr sollte die „Löserinstitution“ schützen, vor der zweiten die „Schwagerehe“. Die Löserinstitution (s. dazu näher Löser/Loskauf (WiBiLex); gut auch Gordis 1974, S. 252f.) sollte sicherstellen, dass Land nicht auf Dauer verkauft werden musste und auch nur möglichst kurz aus dem Besitz einer Familie geriet. Sie ist geregelt in Lev 25,25-34; eine alternative Anwendung findet sich in Jer 32,7-10. Aus beiden Stellen ergibt sich für der Löserinstitution in etwa, dass im Falle eines zeitweiligen „Verkaufs“ von Land der sog. „Löser“ entweder das Vorkaufsrecht für das Land seines verarmten Verwandten hatte oder bei bereits erfolgtem Verkauf das Recht und die Pflicht hatte, es von den Käufern wieder zurückzuerwerben. Auch die Löser-Reihenfolge ist genau geregelt, sie war: Bruder =&gt; Onkel =&gt; Cousin =&gt; nächster Verwandter (s. Lev 25,48-50). Die Schwagerehe (s. dazu näher Levirat/Leviratsehe (WiBiLex); gut auch Olanisebe/Oladosu 2014) schließlich sollte sicherstellen, dass eine Familie nicht ausstarb. Sie ist geregelt in Dtn 25,5-10 und besagt dort, dass im Falle des Todes eines kinderlosen Mannes der Bruder dieses Mannes dessen Frau heiraten sollte. Das erste Kind aus dieser Verbindung galt rechtlich dann als Sohn des Verstorbenen, konnte dessen Erbe antreten und damit auch seine Mutter versorgen. In Gen 38 wird außerdem von einer „Schwagerehe“ zwischen Tamar und ihrem Schwiegervater Juda berichtet, und das Rutbuch legt nahe, dass wohl auch noch entferntere Verwandte schwagerehen-berechtigt waren.</w:t>
      </w:r>
      <w:r>
        <w:rPr>
          <w:rStyle w:val="Funotenanker"/>
        </w:rPr>
        <w:footnoteReference w:customMarkFollows="1" w:id="1146"/>
        <w:t>a</w:t>
      </w:r>
      <w:r>
        <w:rPr/>
        <w:t xml:space="preserve"> S. auch noch mal die Zusammenfassung in FN y. Sicher ist, dass diese rechtlichen Hintergründe irgendwie in Rut 4,1-12 zur Anwendung kommen. Unsicher ist, wie genau. &lt;small&gt;&lt;u&gt;Exkurs&lt;/u&gt;: Einige Unsicherheiten: Überraschend ist schon im ersten Vers das Feld, das sich offenbar in Noomis Besitz befindet - erstens, weil der Besitz eines Feldes wahrscheinlich Ruts Ährenlesen in Kap. 2 „illegal“ gemacht hätte (s. die Anmerkungen zu Kap. 2; so z.B. auch Köhlmoos 2010, S. 72); zweitens, weil nach der obigen Erbfolge Noomi überhaupt kein Feld besitzen dürfte: Witwen waren wie gesagt nicht erbberechtigt. Selbst, wenn sie es gewesen wären, wäre nach dem Tod Elimelechs das Feld zunächst in den Besitz von Machlon und Kiljon und danach in den Besitz von deren Witwen Rut und Orpa übergegangen, und da sie es nicht waren, wäre nach der oben dargestellten Erb- und Löserfolge verrückterweise gerade der Löser der Erbe des Feldes und damit der einzige, der das Feld nicht erst erwerben müsste. Genug: Irgendwie hat Noomi hier ein Feld, das sie gerne verkaufen möchte. Weiter: Wegen Rut 3 und Rut 4,11-17 dürfen wir sicher sein, dass primär von Interesse nicht die Lösung des Feldes, sondern die Schwagerehe Boas mit Rut ist. Die Rolle dieses Feldes ist dann aber unklar; gerade die Schwagerehe ist ja unproblematisch, da der Löser sie ohnehin nicht vollziehen will. Warum geht dann aber der Erzähler den Umweg über das Feld? Warum weiterhin in V. 5 die Lösung an die Schwagerehe gekoppelt zu sein scheint, ist gleichfalls unklar. Und schließlich ist die Antwort des Lösers in V. 6 nicht verständlich: Durch die Schwagerehe mit Rut würde er zweifellos wegen des Unterhalts, den er für Rut und „Machlons“ Sohn zu zahlen hätte, Verlust machen - wie er damit aber seinen Erbbesitz schädigen würde, ist für uns nicht mehr ersichtlich. Auch für die Alten offenbar nicht; TgRut z.B. erfindet einfach eine Hintergrundgeschichte, um sich die Weigerung des Lösers erklären zu können (Der Löser wäre bereits verheiratet gewesen und eine weitere Frau hätte zu Missstimmung in seinem Haus geführt).&lt;/small&gt; Sofern wir dem Text vertrauen können, scheint es sich in etwa so zu verhalten: Aus irgendeinem Grund ist die Lösung von Elimelechs Grundstück tatsächlich an eine Schwagerehe mit Rut gekoppelt und aus irgendeinem Grund ist es für die Schwagerehe von Rut und Boas wichtig, dass der Löser sich zunächst bereit erklärt, Elimelechs Feld zu lösen, und erst dann einen Rückzieher macht. Und eben dies geschieht hier: Der Löser macht einen Rückzieher; Boas rückt in der Löserfolge nach, löst Elimelechs Feld, geht die Schwagerehe ein und zeugt mit Rut einen Sohn, der rechtlich als Sohn Machlons gilt, dessen Erbe antreten und mithilfe dieses Erbes seine Großmutter Noomi im Alter versorgen kann. Ob wir allerdings dem Text vertrauen können, ist unsicher - denn neben den rechtlichen Vorgängen selbst liegt der Fokus der Vv. 1-12 gerade darauf, wie völlig korrekt Boas hier vorgeht: Ordnungsgemäß bespricht er die Angelegenheit mit dem Löser im Tor; ordnungsgemäß bestellt er sich dazu auch gleich zehn der Dorfältesten; sämtliche Vorgänge werden von einer Vielzahl von Zeuen abgesegnet. Die Besiegelung ihrer Übereinkunft wird ordnungsgemäß mit dem Schuhritus besiegelt, der zu diesem Zweck in V. 7 sogar extra noch mal erklärt wird. Letztlich haben wohl auch die beiden Ausrufe des Frauenchors in in Vv. 14f. und V. 17 v.a. die Funktion, noch einmal zu betonen, dass das Kind aus der Verbindung von Rut und Boas in der Tat ein ordnungsgemäßes Schwagerehen-Kind ist, und vermutlich soll auch die Verknüpfung dieses Kindes mit dem Stammbaum Davids in V. 17 die Stellung dieses Kindes noch einmal über jeden Zweifel erhaben sein lassen. Gerade vor dem Hintergrund der letzten drei Kapitel macht das diese ersten Verse sehr verdächtig: Offenbar geht auch hier irgend etwas nicht „mit rechten Dingen zu“ - und das wir nicht mehr erkennen können, was das ist, ist ärgerlich. Mindestens aber geht dies „nicht mit rechten Dingen zu“: Nach wie vor ist ja die Ehe zwischen einem Israeliten und einer Moabiterin untersagt (s. die Anmerkungen zu Kap. 1) - und der größte Teil des Kapitels 4 dient dann dazu, noch einmal zu unterstreichen, dass sie dennoch stattfindet und trotz widersprechender Regelungen rechtens stattfindet: Von allem Volk und von zehn Ältesten wurde sie sozusagen im Gerichtssaal selbst abgesegnet; ihr Kind wird von allen Frauen Bethlehems als rechtmäßiges Schwagerehen-Kind anerkannt, und vor dem Hintergrund, dass aus dieser Verbindung sogar der legendäre König David hervorging, kann diese Verbindung gar nicht illegal sein - ganz gleich, welche Regelungen dem entgegenstehen. </w:t>
        <w:br/>
        <w:br/>
        <w:t>[[@BibleTOBIBLE:Ru 4:1]]</w:t>
      </w:r>
      <w:r>
        <w:rPr>
          <w:b/>
        </w:rPr>
        <w:t>1</w:t>
      </w:r>
      <w:r>
        <w:rPr/>
        <w:t xml:space="preserve"> {{field-on:bible}} </w:t>
      </w:r>
      <w:r>
        <w:rPr>
          <w:rStyle w:val="Funotenanker"/>
        </w:rPr>
        <w:footnoteReference w:customMarkFollows="1" w:id="1147"/>
        <w:t>Status</w:t>
      </w:r>
      <w:r>
        <w:rPr/>
        <w:t xml:space="preserve"> Boas aber ging ins Tor</w:t>
      </w:r>
      <w:r>
        <w:rPr>
          <w:rStyle w:val="Funotenanker"/>
        </w:rPr>
        <w:footnoteReference w:customMarkFollows="1" w:id="1148"/>
        <w:t>b</w:t>
      </w:r>
      <w:r>
        <w:rPr/>
        <w:t xml:space="preserve"> hinauf und setzte sich dort hin. Und, siehe da!,</w:t>
      </w:r>
      <w:r>
        <w:rPr>
          <w:rStyle w:val="Funotenanker"/>
        </w:rPr>
        <w:footnoteReference w:customMarkFollows="1" w:id="1149"/>
        <w:t>c</w:t>
      </w:r>
      <w:r>
        <w:rPr/>
        <w:t xml:space="preserve"> der Löser</w:t>
      </w:r>
      <w:r>
        <w:rPr>
          <w:rStyle w:val="Funotenanker"/>
        </w:rPr>
        <w:footnoteReference w:customMarkFollows="1" w:id="1150"/>
        <w:t>d</w:t>
      </w:r>
      <w:r>
        <w:rPr/>
        <w:t xml:space="preserve"> kam vorüber, von dem Boas gesprochen hatte. Da sagte er: „Bieg ab!</w:t>
      </w:r>
      <w:r>
        <w:rPr>
          <w:rStyle w:val="Funotenanker"/>
        </w:rPr>
        <w:footnoteReference w:customMarkFollows="1" w:id="1151"/>
        <w:t>e</w:t>
      </w:r>
      <w:r>
        <w:rPr/>
        <w:t xml:space="preserve"> Setz dich hier irgendwo hin </w:t>
      </w:r>
      <w:r>
        <w:rPr>
          <w:color w:val="808080"/>
        </w:rPr>
        <w:t>(setz dich hier hin, Soundso)</w:t>
      </w:r>
      <w:r>
        <w:rPr/>
        <w:t>!“</w:t>
      </w:r>
      <w:r>
        <w:rPr>
          <w:rStyle w:val="Funotenanker"/>
        </w:rPr>
        <w:footnoteReference w:customMarkFollows="1" w:id="1152"/>
        <w:t>f</w:t>
      </w:r>
      <w:r>
        <w:rPr/>
        <w:t xml:space="preserve"> Und dieser bog ab und setzte sich hin.{{field-off:bible}} </w:t>
        <w:br/>
        <w:t>[[@BibleTOBIBLE:Ru 4:2]]</w:t>
      </w:r>
      <w:r>
        <w:rPr>
          <w:b/>
        </w:rPr>
        <w:t>2</w:t>
      </w:r>
      <w:r>
        <w:rPr/>
        <w:t xml:space="preserve"> {{field-on:bible}}Dann nahm </w:t>
      </w:r>
      <w:r>
        <w:rPr>
          <w:b/>
          <w:color w:val="808080"/>
        </w:rPr>
        <w:t>[</w:t>
      </w:r>
      <w:r>
        <w:rPr/>
        <w:t>Boas</w:t>
      </w:r>
      <w:r>
        <w:rPr>
          <w:b/>
          <w:color w:val="808080"/>
        </w:rPr>
        <w:t>]</w:t>
      </w:r>
      <w:r>
        <w:rPr/>
        <w:t xml:space="preserve"> sich zehn Männer von den Ältesten</w:t>
      </w:r>
      <w:r>
        <w:rPr>
          <w:rStyle w:val="Funotenanker"/>
        </w:rPr>
        <w:footnoteReference w:customMarkFollows="1" w:id="1153"/>
        <w:t>g</w:t>
      </w:r>
      <w:r>
        <w:rPr/>
        <w:t xml:space="preserve"> der Stadt und sagte: „Setzt euch hier hin!“ Und sie setzten sich.{{field-off:bible}} </w:t>
        <w:br/>
        <w:t>[[@BibleTOBIBLE:Ru 4:3]]</w:t>
      </w:r>
      <w:r>
        <w:rPr>
          <w:b/>
        </w:rPr>
        <w:t>3</w:t>
      </w:r>
      <w:r>
        <w:rPr/>
        <w:t xml:space="preserve"> {{field-on:bible}}Dann sagte er zum Löser: „</w:t>
      </w:r>
      <w:r>
        <w:rPr>
          <w:b/>
          <w:color w:val="808080"/>
        </w:rPr>
        <w:t>[</w:t>
      </w:r>
      <w:r>
        <w:rPr/>
        <w:t>Das</w:t>
      </w:r>
      <w:r>
        <w:rPr>
          <w:b/>
          <w:color w:val="808080"/>
        </w:rPr>
        <w:t>]</w:t>
      </w:r>
      <w:r>
        <w:rPr/>
        <w:t xml:space="preserve"> Feldstück,</w:t>
      </w:r>
      <w:r>
        <w:rPr>
          <w:rStyle w:val="Funotenanker"/>
        </w:rPr>
        <w:footnoteReference w:customMarkFollows="1" w:id="1154"/>
        <w:t>h</w:t>
      </w:r>
      <w:r>
        <w:rPr/>
        <w:t xml:space="preserve"> das unserem Bruder</w:t>
      </w:r>
      <w:r>
        <w:rPr>
          <w:rStyle w:val="Funotenanker"/>
        </w:rPr>
        <w:footnoteReference w:customMarkFollows="1" w:id="1155"/>
        <w:t>i</w:t>
      </w:r>
      <w:r>
        <w:rPr/>
        <w:t xml:space="preserve">, dem Elimelech, </w:t>
      </w:r>
      <w:r>
        <w:rPr>
          <w:b/>
          <w:color w:val="808080"/>
        </w:rPr>
        <w:t>[</w:t>
      </w:r>
      <w:r>
        <w:rPr/>
        <w:t xml:space="preserve">war </w:t>
      </w:r>
      <w:r>
        <w:rPr>
          <w:color w:val="808080"/>
        </w:rPr>
        <w:t>(gehörte)</w:t>
      </w:r>
      <w:r>
        <w:rPr>
          <w:b/>
          <w:color w:val="808080"/>
        </w:rPr>
        <w:t>]</w:t>
      </w:r>
      <w:r>
        <w:rPr/>
        <w:t>, verkauft</w:t>
      </w:r>
      <w:r>
        <w:rPr>
          <w:rStyle w:val="Funotenanker"/>
        </w:rPr>
        <w:footnoteReference w:customMarkFollows="1" w:id="1156"/>
        <w:t>j</w:t>
      </w:r>
      <w:r>
        <w:rPr/>
        <w:t xml:space="preserve"> Noomi, die zurückgekehrt ist aus </w:t>
      </w:r>
      <w:r>
        <w:rPr>
          <w:strike/>
          <w:color w:val="808080"/>
        </w:rPr>
        <w:t>{dem Gebiet von}</w:t>
      </w:r>
      <w:r>
        <w:rPr/>
        <w:t xml:space="preserve"> </w:t>
      </w:r>
      <w:r>
        <w:rPr>
          <w:color w:val="808080"/>
        </w:rPr>
        <w:t>(dem Feld von)</w:t>
      </w:r>
      <w:r>
        <w:rPr/>
        <w:t xml:space="preserve"> </w:t>
      </w:r>
      <w:r>
        <w:rPr>
          <w:rStyle w:val="Funotenanker"/>
        </w:rPr>
        <w:footnoteReference w:customMarkFollows="1" w:id="1157"/>
        <w:t>k</w:t>
      </w:r>
      <w:r>
        <w:rPr/>
        <w:t xml:space="preserve"> Moab.{{field-off:bible}} </w:t>
        <w:br/>
        <w:t>[[@BibleTOBIBLE:Ru 4:4]]</w:t>
      </w:r>
      <w:r>
        <w:rPr>
          <w:b/>
        </w:rPr>
        <w:t>4</w:t>
      </w:r>
      <w:r>
        <w:rPr/>
        <w:t xml:space="preserve"> {{field-on:bible}}Und ich habe gesagt </w:t>
      </w:r>
      <w:r>
        <w:rPr>
          <w:color w:val="808080"/>
        </w:rPr>
        <w:t>(</w:t>
      </w:r>
      <w:r>
        <w:rPr>
          <w:b/>
          <w:color w:val="808080"/>
        </w:rPr>
        <w:t>[</w:t>
      </w:r>
      <w:r>
        <w:rPr>
          <w:color w:val="808080"/>
        </w:rPr>
        <w:t>mir</w:t>
      </w:r>
      <w:r>
        <w:rPr>
          <w:b/>
          <w:color w:val="808080"/>
        </w:rPr>
        <w:t>]</w:t>
      </w:r>
      <w:r>
        <w:rPr>
          <w:color w:val="808080"/>
        </w:rPr>
        <w:t xml:space="preserve"> gedacht)</w:t>
      </w:r>
      <w:r>
        <w:rPr/>
        <w:t>,</w:t>
      </w:r>
      <w:r>
        <w:rPr>
          <w:rStyle w:val="Funotenanker"/>
        </w:rPr>
        <w:footnoteReference w:customMarkFollows="1" w:id="1158"/>
        <w:t>l</w:t>
      </w:r>
      <w:r>
        <w:rPr/>
        <w:t xml:space="preserve"> ich will dir folgendes zu Gehör bringen:</w:t>
      </w:r>
      <w:r>
        <w:rPr>
          <w:rStyle w:val="Funotenanker"/>
        </w:rPr>
        <w:footnoteReference w:customMarkFollows="1" w:id="1159"/>
        <w:t>m</w:t>
      </w:r>
      <w:r>
        <w:rPr/>
        <w:t xml:space="preserve"> Kaufe </w:t>
      </w:r>
      <w:r>
        <w:rPr>
          <w:b/>
          <w:color w:val="808080"/>
        </w:rPr>
        <w:t>[</w:t>
      </w:r>
      <w:r>
        <w:rPr/>
        <w:t>es</w:t>
      </w:r>
      <w:r>
        <w:rPr>
          <w:b/>
          <w:color w:val="808080"/>
        </w:rPr>
        <w:t>]</w:t>
      </w:r>
      <w:r>
        <w:rPr/>
        <w:t xml:space="preserve"> in Gegenwart der Sitzenden und in Gegenwart der Ältesten meines Volkes</w:t>
      </w:r>
      <w:r>
        <w:rPr>
          <w:rStyle w:val="Funotenanker"/>
        </w:rPr>
        <w:footnoteReference w:customMarkFollows="1" w:id="1160"/>
        <w:t>n</w:t>
      </w:r>
      <w:r>
        <w:rPr/>
        <w:t xml:space="preserve"> - wenn du lösen willst, dann löse.</w:t>
      </w:r>
      <w:r>
        <w:rPr>
          <w:rStyle w:val="Funotenanker"/>
        </w:rPr>
        <w:footnoteReference w:customMarkFollows="1" w:id="1161"/>
        <w:t>o</w:t>
      </w:r>
      <w:r>
        <w:rPr/>
        <w:t xml:space="preserve"> Wenn aber niemand lösen will </w:t>
      </w:r>
      <w:r>
        <w:rPr>
          <w:color w:val="808080"/>
        </w:rPr>
        <w:t>(wenn du aber nicht lösen willst)</w:t>
      </w:r>
      <w:r>
        <w:rPr/>
        <w:t>,</w:t>
      </w:r>
      <w:r>
        <w:rPr>
          <w:rStyle w:val="Funotenanker"/>
        </w:rPr>
        <w:footnoteReference w:customMarkFollows="1" w:id="1162"/>
        <w:t>p</w:t>
      </w:r>
      <w:r>
        <w:rPr/>
        <w:t xml:space="preserve"> dann verrate es mir, damit ich es weiß! Denn </w:t>
      </w:r>
      <w:r>
        <w:rPr>
          <w:b/>
          <w:color w:val="808080"/>
        </w:rPr>
        <w:t>[</w:t>
      </w:r>
      <w:r>
        <w:rPr/>
        <w:t xml:space="preserve">es ist </w:t>
      </w:r>
      <w:r>
        <w:rPr>
          <w:color w:val="808080"/>
        </w:rPr>
        <w:t>(es gibt)</w:t>
      </w:r>
      <w:r>
        <w:rPr>
          <w:b/>
          <w:color w:val="808080"/>
        </w:rPr>
        <w:t>]</w:t>
      </w:r>
      <w:r>
        <w:rPr/>
        <w:t xml:space="preserve"> niemanden außer dir, der lösen </w:t>
      </w:r>
      <w:r>
        <w:rPr>
          <w:b/>
          <w:color w:val="808080"/>
        </w:rPr>
        <w:t>[</w:t>
      </w:r>
      <w:r>
        <w:rPr/>
        <w:t>könnte</w:t>
      </w:r>
      <w:r>
        <w:rPr>
          <w:b/>
          <w:color w:val="808080"/>
        </w:rPr>
        <w:t>]</w:t>
      </w:r>
      <w:r>
        <w:rPr/>
        <w:t xml:space="preserve">. Und ich </w:t>
      </w:r>
      <w:r>
        <w:rPr>
          <w:b/>
          <w:color w:val="808080"/>
        </w:rPr>
        <w:t>[</w:t>
      </w:r>
      <w:r>
        <w:rPr/>
        <w:t xml:space="preserve">bin </w:t>
      </w:r>
      <w:r>
        <w:rPr>
          <w:color w:val="808080"/>
        </w:rPr>
        <w:t>(komme)</w:t>
      </w:r>
      <w:r>
        <w:rPr>
          <w:b/>
          <w:color w:val="808080"/>
        </w:rPr>
        <w:t>]</w:t>
      </w:r>
      <w:r>
        <w:rPr/>
        <w:t xml:space="preserve"> nach dir.“Da sagte er: „Ich will lösen“.{{field-off:bible}} </w:t>
        <w:br/>
        <w:t>[[@BibleTOBIBLE:Ru 4:5]]</w:t>
      </w:r>
      <w:r>
        <w:rPr>
          <w:b/>
        </w:rPr>
        <w:t>5</w:t>
      </w:r>
      <w:r>
        <w:rPr/>
        <w:t xml:space="preserve"> {{field-on:bible}}Da sagte Boas: „An dem Tag, an dem du das Feld von Noomi kaufst, kaufst</w:t>
      </w:r>
      <w:r>
        <w:rPr>
          <w:rStyle w:val="Funotenanker"/>
        </w:rPr>
        <w:footnoteReference w:customMarkFollows="1" w:id="1163"/>
        <w:t>q</w:t>
      </w:r>
      <w:r>
        <w:rPr/>
        <w:t xml:space="preserve"> du auch die </w:t>
      </w:r>
      <w:r>
        <w:rPr>
          <w:color w:val="808080"/>
        </w:rPr>
        <w:t>(kaufe ich die, kaufst du es auch von der, kaufe ich es von der)</w:t>
      </w:r>
      <w:r>
        <w:rPr/>
        <w:t xml:space="preserve"> Moabiterin Rut,</w:t>
      </w:r>
      <w:r>
        <w:rPr>
          <w:rStyle w:val="Funotenanker"/>
        </w:rPr>
        <w:footnoteReference w:customMarkFollows="1" w:id="1164"/>
        <w:t>r</w:t>
      </w:r>
      <w:r>
        <w:rPr/>
        <w:t xml:space="preserve"> die Frau des Toten, um den Namen des Toten auf seinem Erbbesitz </w:t>
      </w:r>
      <w:r>
        <w:rPr>
          <w:b/>
          <w:color w:val="808080"/>
        </w:rPr>
        <w:t>[</w:t>
      </w:r>
      <w:r>
        <w:rPr/>
        <w:t>wieder</w:t>
      </w:r>
      <w:r>
        <w:rPr>
          <w:b/>
          <w:color w:val="808080"/>
        </w:rPr>
        <w:t>]</w:t>
      </w:r>
      <w:r>
        <w:rPr/>
        <w:t xml:space="preserve"> aufzurichten.“</w:t>
      </w:r>
      <w:r>
        <w:rPr>
          <w:rStyle w:val="Funotenanker"/>
        </w:rPr>
        <w:footnoteReference w:customMarkFollows="1" w:id="1165"/>
        <w:t>s</w:t>
      </w:r>
      <w:r>
        <w:rPr/>
        <w:t xml:space="preserve"> {{field-off:bible}} </w:t>
        <w:br/>
        <w:t>[[@BibleTOBIBLE:Ru 4:6]]</w:t>
      </w:r>
      <w:r>
        <w:rPr>
          <w:b/>
        </w:rPr>
        <w:t>6</w:t>
      </w:r>
      <w:r>
        <w:rPr/>
        <w:t xml:space="preserve"> {{field-on:bible}}Da sagte der Löser: „Ich vermag </w:t>
      </w:r>
      <w:r>
        <w:rPr>
          <w:b/>
          <w:color w:val="808080"/>
        </w:rPr>
        <w:t>[</w:t>
      </w:r>
      <w:r>
        <w:rPr/>
        <w:t>es</w:t>
      </w:r>
      <w:r>
        <w:rPr>
          <w:b/>
          <w:color w:val="808080"/>
        </w:rPr>
        <w:t>]</w:t>
      </w:r>
      <w:r>
        <w:rPr/>
        <w:t xml:space="preserve"> nicht, </w:t>
      </w:r>
      <w:r>
        <w:rPr>
          <w:strike/>
          <w:color w:val="808080"/>
        </w:rPr>
        <w:t>{für mich}</w:t>
      </w:r>
      <w:r>
        <w:rPr/>
        <w:t xml:space="preserve"> </w:t>
      </w:r>
      <w:r>
        <w:rPr>
          <w:rStyle w:val="Funotenanker"/>
        </w:rPr>
        <w:footnoteReference w:customMarkFollows="1" w:id="1166"/>
        <w:t>t</w:t>
      </w:r>
      <w:r>
        <w:rPr/>
        <w:t xml:space="preserve"> zu lösen, sonst verdürbe ich </w:t>
      </w:r>
      <w:r>
        <w:rPr>
          <w:b/>
          <w:color w:val="808080"/>
        </w:rPr>
        <w:t>[</w:t>
      </w:r>
      <w:r>
        <w:rPr/>
        <w:t>ja</w:t>
      </w:r>
      <w:r>
        <w:rPr>
          <w:b/>
          <w:color w:val="808080"/>
        </w:rPr>
        <w:t>]</w:t>
      </w:r>
      <w:r>
        <w:rPr/>
        <w:t xml:space="preserve"> meinen </w:t>
      </w:r>
      <w:r>
        <w:rPr>
          <w:b/>
          <w:color w:val="808080"/>
        </w:rPr>
        <w:t>[</w:t>
      </w:r>
      <w:r>
        <w:rPr/>
        <w:t>eigenen</w:t>
      </w:r>
      <w:r>
        <w:rPr>
          <w:b/>
          <w:color w:val="808080"/>
        </w:rPr>
        <w:t>]</w:t>
      </w:r>
      <w:r>
        <w:rPr/>
        <w:t xml:space="preserve"> Erbbesitz. Löse du </w:t>
      </w:r>
      <w:r>
        <w:rPr>
          <w:strike/>
          <w:color w:val="808080"/>
        </w:rPr>
        <w:t>{für dich}</w:t>
      </w:r>
      <w:r>
        <w:rPr/>
        <w:t xml:space="preserve"> das </w:t>
      </w:r>
      <w:r>
        <w:rPr>
          <w:b/>
          <w:color w:val="808080"/>
        </w:rPr>
        <w:t>[</w:t>
      </w:r>
      <w:r>
        <w:rPr/>
        <w:t>eigentlich</w:t>
      </w:r>
      <w:r>
        <w:rPr>
          <w:b/>
          <w:color w:val="808080"/>
        </w:rPr>
        <w:t>]</w:t>
      </w:r>
      <w:r>
        <w:rPr/>
        <w:t xml:space="preserve"> von mir zu Lösende, denn ich vermag es nicht, zu lösen.“{{field-off:bible}} </w:t>
        <w:br/>
        <w:t>[[@BibleTOBIBLE:Ru 4:7]]</w:t>
      </w:r>
      <w:r>
        <w:rPr>
          <w:b/>
        </w:rPr>
        <w:t>7</w:t>
      </w:r>
      <w:r>
        <w:rPr/>
        <w:t xml:space="preserve"> {{field-on:bible}}In Israel </w:t>
      </w:r>
      <w:r>
        <w:rPr>
          <w:b/>
          <w:color w:val="808080"/>
        </w:rPr>
        <w:t>[</w:t>
      </w:r>
      <w:r>
        <w:rPr/>
        <w:t xml:space="preserve">war </w:t>
      </w:r>
      <w:r>
        <w:rPr>
          <w:color w:val="808080"/>
        </w:rPr>
        <w:t>(galt)</w:t>
      </w:r>
      <w:r>
        <w:rPr>
          <w:b/>
          <w:color w:val="808080"/>
        </w:rPr>
        <w:t>]</w:t>
      </w:r>
      <w:r>
        <w:rPr/>
        <w:t xml:space="preserve"> früher dies bezüglich Lösung und Tauschgeschäft,</w:t>
      </w:r>
      <w:r>
        <w:rPr>
          <w:rStyle w:val="Funotenanker"/>
        </w:rPr>
        <w:footnoteReference w:customMarkFollows="1" w:id="1167"/>
        <w:t>u</w:t>
      </w:r>
      <w:r>
        <w:rPr/>
        <w:t xml:space="preserve"> um irgendetwas</w:t>
      </w:r>
      <w:r>
        <w:rPr>
          <w:rStyle w:val="Funotenanker"/>
        </w:rPr>
        <w:footnoteReference w:customMarkFollows="1" w:id="1168"/>
        <w:t>v</w:t>
      </w:r>
      <w:r>
        <w:rPr/>
        <w:t xml:space="preserve"> Gültigkeit zu verleihen: Man zog seinen Schuh aus und gab ihn dem anderen </w:t>
      </w:r>
      <w:r>
        <w:rPr>
          <w:color w:val="808080"/>
        </w:rPr>
        <w:t>(man zog seinen seinen Schuh aus und gab ihn einander)</w:t>
      </w:r>
      <w:r>
        <w:rPr/>
        <w:t xml:space="preserve">. Und dies </w:t>
      </w:r>
      <w:r>
        <w:rPr>
          <w:b/>
          <w:color w:val="808080"/>
        </w:rPr>
        <w:t>[</w:t>
      </w:r>
      <w:r>
        <w:rPr/>
        <w:t xml:space="preserve">war </w:t>
      </w:r>
      <w:r>
        <w:rPr>
          <w:color w:val="808080"/>
        </w:rPr>
        <w:t>(galt)</w:t>
      </w:r>
      <w:r>
        <w:rPr>
          <w:b/>
          <w:color w:val="808080"/>
        </w:rPr>
        <w:t>]</w:t>
      </w:r>
      <w:r>
        <w:rPr/>
        <w:t xml:space="preserve"> </w:t>
      </w:r>
      <w:r>
        <w:rPr>
          <w:b/>
          <w:color w:val="808080"/>
        </w:rPr>
        <w:t>[</w:t>
      </w:r>
      <w:r>
        <w:rPr/>
        <w:t>dann</w:t>
      </w:r>
      <w:r>
        <w:rPr>
          <w:b/>
          <w:color w:val="808080"/>
        </w:rPr>
        <w:t>]</w:t>
      </w:r>
      <w:r>
        <w:rPr/>
        <w:t xml:space="preserve"> in Israel </w:t>
      </w:r>
      <w:r>
        <w:rPr>
          <w:b/>
          <w:color w:val="808080"/>
        </w:rPr>
        <w:t>[</w:t>
      </w:r>
      <w:r>
        <w:rPr/>
        <w:t>als</w:t>
      </w:r>
      <w:r>
        <w:rPr>
          <w:b/>
          <w:color w:val="808080"/>
        </w:rPr>
        <w:t>]</w:t>
      </w:r>
      <w:r>
        <w:rPr/>
        <w:t xml:space="preserve"> Bezeugung.</w:t>
      </w:r>
      <w:r>
        <w:rPr>
          <w:rStyle w:val="Funotenanker"/>
        </w:rPr>
        <w:footnoteReference w:customMarkFollows="1" w:id="1169"/>
        <w:t>w</w:t>
      </w:r>
      <w:r>
        <w:rPr/>
        <w:t xml:space="preserve"> {{field-off:bible}} </w:t>
        <w:br/>
        <w:t>[[@BibleTOBIBLE:Ru 4:8]]</w:t>
      </w:r>
      <w:r>
        <w:rPr>
          <w:b/>
        </w:rPr>
        <w:t>8</w:t>
      </w:r>
      <w:r>
        <w:rPr/>
        <w:t xml:space="preserve"> {{field-on:bible}}Der Löser sprach </w:t>
      </w:r>
      <w:r>
        <w:rPr>
          <w:b/>
          <w:color w:val="808080"/>
        </w:rPr>
        <w:t>[</w:t>
      </w:r>
      <w:r>
        <w:rPr/>
        <w:t>also</w:t>
      </w:r>
      <w:r>
        <w:rPr>
          <w:b/>
          <w:color w:val="808080"/>
        </w:rPr>
        <w:t>]</w:t>
      </w:r>
      <w:r>
        <w:rPr/>
        <w:t xml:space="preserve"> zu Boas: „Kaufe </w:t>
      </w:r>
      <w:r>
        <w:rPr>
          <w:strike/>
          <w:color w:val="808080"/>
        </w:rPr>
        <w:t>{für dich}</w:t>
      </w:r>
      <w:r>
        <w:rPr/>
        <w:t xml:space="preserve">!“ und zog </w:t>
      </w:r>
      <w:r>
        <w:rPr>
          <w:color w:val="808080"/>
        </w:rPr>
        <w:t>(und dieser zog)</w:t>
      </w:r>
      <w:r>
        <w:rPr/>
        <w:t xml:space="preserve"> </w:t>
      </w:r>
      <w:r>
        <w:rPr>
          <w:rStyle w:val="Funotenanker"/>
        </w:rPr>
        <w:footnoteReference w:customMarkFollows="1" w:id="1170"/>
        <w:t>x</w:t>
      </w:r>
      <w:r>
        <w:rPr/>
        <w:t xml:space="preserve"> seinen Schuh aus.{{field-off:bible}} </w:t>
        <w:br/>
        <w:t>[[@BibleTOBIBLE:Ru 4:9]]</w:t>
      </w:r>
      <w:r>
        <w:rPr>
          <w:b/>
        </w:rPr>
        <w:t>9</w:t>
      </w:r>
      <w:r>
        <w:rPr/>
        <w:t xml:space="preserve"> {{field-on:bible}}Da sprach Boas zu den Ältesten und zum ganzen Volk: „Ihr seid heute Zeugen, dass ich von Noomi alles gekauft habe, was dem Elimelech </w:t>
      </w:r>
      <w:r>
        <w:rPr>
          <w:b/>
          <w:color w:val="808080"/>
        </w:rPr>
        <w:t>[</w:t>
      </w:r>
      <w:r>
        <w:rPr/>
        <w:t xml:space="preserve">war </w:t>
      </w:r>
      <w:r>
        <w:rPr>
          <w:color w:val="808080"/>
        </w:rPr>
        <w:t>(gehörte)</w:t>
      </w:r>
      <w:r>
        <w:rPr>
          <w:b/>
          <w:color w:val="808080"/>
        </w:rPr>
        <w:t>]</w:t>
      </w:r>
      <w:r>
        <w:rPr/>
        <w:t xml:space="preserve"> und alles, was dem Kiljon und Machlon </w:t>
      </w:r>
      <w:r>
        <w:rPr>
          <w:b/>
          <w:color w:val="808080"/>
        </w:rPr>
        <w:t>[</w:t>
      </w:r>
      <w:r>
        <w:rPr/>
        <w:t xml:space="preserve">war </w:t>
      </w:r>
      <w:r>
        <w:rPr>
          <w:color w:val="808080"/>
        </w:rPr>
        <w:t>(gehörte)</w:t>
      </w:r>
      <w:r>
        <w:rPr>
          <w:b/>
          <w:color w:val="808080"/>
        </w:rPr>
        <w:t>]</w:t>
      </w:r>
      <w:r>
        <w:rPr/>
        <w:t xml:space="preserve">.{{field-off:bible}} </w:t>
        <w:br/>
        <w:t>[[@BibleTOBIBLE:Ru 4:10]]</w:t>
      </w:r>
      <w:r>
        <w:rPr>
          <w:b/>
        </w:rPr>
        <w:t>10</w:t>
      </w:r>
      <w:r>
        <w:rPr/>
        <w:t xml:space="preserve"> {{field-on:bible}}Und auch die Moabiterin Rut, die Frau Machlons, habe ich mir zur Frau gekauft,</w:t>
      </w:r>
      <w:r>
        <w:rPr>
          <w:rStyle w:val="Funotenanker"/>
        </w:rPr>
        <w:footnoteReference w:customMarkFollows="1" w:id="1171"/>
        <w:t>y</w:t>
      </w:r>
      <w:r>
        <w:rPr/>
        <w:t xml:space="preserve"> um </w:t>
      </w:r>
      <w:r>
        <w:rPr>
          <w:b/>
          <w:color w:val="808080"/>
        </w:rPr>
        <w:t>[</w:t>
      </w:r>
      <w:r>
        <w:rPr/>
        <w:t>wieder</w:t>
      </w:r>
      <w:r>
        <w:rPr>
          <w:b/>
          <w:color w:val="808080"/>
        </w:rPr>
        <w:t>]</w:t>
      </w:r>
      <w:r>
        <w:rPr/>
        <w:t xml:space="preserve"> aufzurichten den Namen des Toten auf seinem Erbbesitz, so dass nicht ausgerottet werde der Name des Toten</w:t>
      </w:r>
      <w:r>
        <w:rPr>
          <w:rStyle w:val="Funotenanker"/>
        </w:rPr>
        <w:footnoteReference w:customMarkFollows="1" w:id="1172"/>
        <w:t>z</w:t>
      </w:r>
      <w:r>
        <w:rPr/>
        <w:t xml:space="preserve"> aus dem Volk seiner Brüder und aus dem Tor seines Ortes.</w:t>
      </w:r>
      <w:r>
        <w:rPr>
          <w:rStyle w:val="Funotenanker"/>
        </w:rPr>
        <w:footnoteReference w:customMarkFollows="1" w:id="1173"/>
        <w:t>aa</w:t>
      </w:r>
      <w:r>
        <w:rPr/>
        <w:t xml:space="preserve"> Ihr seid heute Zeugen!“{{field-off:bible}} </w:t>
        <w:br/>
        <w:t>[[@BibleTOBIBLE:Ru 4:11]]</w:t>
      </w:r>
      <w:r>
        <w:rPr>
          <w:b/>
        </w:rPr>
        <w:t>11</w:t>
      </w:r>
      <w:r>
        <w:rPr/>
        <w:t xml:space="preserve"> {{field-on:bible}}Und das ganze Volk, das im Tor </w:t>
      </w:r>
      <w:r>
        <w:rPr>
          <w:b/>
          <w:color w:val="808080"/>
        </w:rPr>
        <w:t>[</w:t>
      </w:r>
      <w:r>
        <w:rPr/>
        <w:t>war</w:t>
      </w:r>
      <w:r>
        <w:rPr>
          <w:b/>
          <w:color w:val="808080"/>
        </w:rPr>
        <w:t>]</w:t>
      </w:r>
      <w:r>
        <w:rPr/>
        <w:t>, antwortete, und die Ältesten:</w:t>
      </w:r>
      <w:r>
        <w:rPr>
          <w:rStyle w:val="Funotenanker"/>
        </w:rPr>
        <w:footnoteReference w:customMarkFollows="1" w:id="1174"/>
        <w:t>ab</w:t>
      </w:r>
      <w:r>
        <w:rPr/>
        <w:t xml:space="preserve"> „</w:t>
      </w:r>
      <w:r>
        <w:rPr>
          <w:b/>
          <w:color w:val="808080"/>
        </w:rPr>
        <w:t>[</w:t>
      </w:r>
      <w:r>
        <w:rPr/>
        <w:t>Wir sind</w:t>
      </w:r>
      <w:r>
        <w:rPr>
          <w:b/>
          <w:color w:val="808080"/>
        </w:rPr>
        <w:t>]</w:t>
      </w:r>
      <w:r>
        <w:rPr/>
        <w:t xml:space="preserve"> Zeugen! </w:t>
        <w:br/>
      </w:r>
      <w:r>
        <w:rPr>
          <w:smallCaps/>
          <w:color w:val="FF0000"/>
        </w:rPr>
        <w:t>JHWH</w:t>
      </w:r>
      <w:r>
        <w:rPr/>
        <w:t xml:space="preserve"> gebe, </w:t>
      </w:r>
      <w:r>
        <w:rPr>
          <w:b/>
          <w:color w:val="808080"/>
        </w:rPr>
        <w:t>[</w:t>
      </w:r>
      <w:r>
        <w:rPr/>
        <w:t>dass</w:t>
      </w:r>
      <w:r>
        <w:rPr>
          <w:b/>
          <w:color w:val="808080"/>
        </w:rPr>
        <w:t>]</w:t>
      </w:r>
      <w:r>
        <w:rPr/>
        <w:t xml:space="preserve"> </w:t>
      </w:r>
      <w:r>
        <w:rPr>
          <w:color w:val="808080"/>
        </w:rPr>
        <w:t>(</w:t>
      </w:r>
      <w:r>
        <w:rPr>
          <w:smallCaps/>
          <w:color w:val="FF0000"/>
        </w:rPr>
        <w:t>JHWH</w:t>
      </w:r>
      <w:r>
        <w:rPr>
          <w:color w:val="808080"/>
        </w:rPr>
        <w:t xml:space="preserve"> mache)</w:t>
      </w:r>
      <w:r>
        <w:rPr/>
        <w:t xml:space="preserve"> diese Frau,Die in dein Haus kommt,</w:t>
        <w:br/>
        <w:t>Wie Rahel und wie Lea</w:t>
      </w:r>
      <w:r>
        <w:rPr>
          <w:rStyle w:val="Funotenanker"/>
        </w:rPr>
        <w:footnoteReference w:customMarkFollows="1" w:id="1175"/>
        <w:t>ac</w:t>
      </w:r>
      <w:r>
        <w:rPr/>
        <w:t xml:space="preserve"> </w:t>
      </w:r>
      <w:r>
        <w:rPr>
          <w:b/>
          <w:color w:val="808080"/>
        </w:rPr>
        <w:t>[</w:t>
      </w:r>
      <w:r>
        <w:rPr/>
        <w:t>werde</w:t>
      </w:r>
      <w:r>
        <w:rPr>
          <w:b/>
          <w:color w:val="808080"/>
        </w:rPr>
        <w:t>]</w:t>
      </w:r>
      <w:r>
        <w:rPr/>
        <w:t>,Die beide</w:t>
      </w:r>
      <w:r>
        <w:rPr>
          <w:rStyle w:val="Funotenanker"/>
        </w:rPr>
        <w:footnoteReference w:customMarkFollows="1" w:id="1176"/>
        <w:t>ad</w:t>
      </w:r>
      <w:r>
        <w:rPr/>
        <w:t xml:space="preserve"> das Haus Israel erbauten!</w:t>
      </w:r>
      <w:r>
        <w:rPr>
          <w:rStyle w:val="Funotenanker"/>
        </w:rPr>
        <w:footnoteReference w:customMarkFollows="1" w:id="1177"/>
        <w:t>ae</w:t>
      </w:r>
      <w:r>
        <w:rPr/>
        <w:t xml:space="preserve"> </w:t>
        <w:br/>
        <w:t xml:space="preserve">Vollbringe </w:t>
      </w:r>
      <w:r>
        <w:rPr>
          <w:color w:val="808080"/>
        </w:rPr>
        <w:t>(erzeuge)</w:t>
      </w:r>
      <w:r>
        <w:rPr/>
        <w:t xml:space="preserve"> Tüchtiges</w:t>
      </w:r>
      <w:r>
        <w:rPr>
          <w:rStyle w:val="Funotenanker"/>
        </w:rPr>
        <w:footnoteReference w:customMarkFollows="1" w:id="1178"/>
        <w:t>af</w:t>
      </w:r>
      <w:r>
        <w:rPr/>
        <w:t xml:space="preserve"> in EphratahUnd rufe </w:t>
      </w:r>
      <w:r>
        <w:rPr>
          <w:b/>
          <w:color w:val="808080"/>
        </w:rPr>
        <w:t>[</w:t>
      </w:r>
      <w:r>
        <w:rPr/>
        <w:t>einen</w:t>
      </w:r>
      <w:r>
        <w:rPr>
          <w:b/>
          <w:color w:val="808080"/>
        </w:rPr>
        <w:t>]</w:t>
      </w:r>
      <w:r>
        <w:rPr/>
        <w:t xml:space="preserve"> Namen</w:t>
      </w:r>
      <w:r>
        <w:rPr>
          <w:rStyle w:val="Funotenanker"/>
        </w:rPr>
        <w:footnoteReference w:customMarkFollows="1" w:id="1179"/>
        <w:t>ag</w:t>
      </w:r>
      <w:r>
        <w:rPr/>
        <w:t xml:space="preserve"> in Bethlehem!</w:t>
        <w:br/>
        <w:t xml:space="preserve">{{field-off:bible}} </w:t>
        <w:br/>
        <w:t>[[@BibleTOBIBLE:Ru 4:12]]</w:t>
      </w:r>
      <w:r>
        <w:rPr>
          <w:b/>
        </w:rPr>
        <w:t>12</w:t>
      </w:r>
      <w:r>
        <w:rPr/>
        <w:t xml:space="preserve"> {{field-on:bible}} </w:t>
        <w:br/>
        <w:t>Es sei dein Haus wie das Haus des Perez,</w:t>
      </w:r>
      <w:r>
        <w:rPr>
          <w:rStyle w:val="Funotenanker"/>
        </w:rPr>
        <w:footnoteReference w:customMarkFollows="1" w:id="1180"/>
        <w:t>ah</w:t>
      </w:r>
      <w:r>
        <w:rPr/>
        <w:t xml:space="preserve"> Den Tamar dem Juda gebar</w:t>
        <w:br/>
        <w:t xml:space="preserve">Durch den Nachwuchs,Den </w:t>
      </w:r>
      <w:r>
        <w:rPr>
          <w:smallCaps/>
          <w:color w:val="FF0000"/>
        </w:rPr>
        <w:t>JHWH</w:t>
      </w:r>
      <w:r>
        <w:rPr/>
        <w:t xml:space="preserve"> dir gebe</w:t>
      </w:r>
      <w:r>
        <w:rPr>
          <w:rStyle w:val="Funotenanker"/>
        </w:rPr>
        <w:footnoteReference w:customMarkFollows="1" w:id="1181"/>
        <w:t>ai</w:t>
      </w:r>
      <w:r>
        <w:rPr/>
        <w:t xml:space="preserve"> durch diese junge Frau!“</w:t>
        <w:br/>
        <w:t xml:space="preserve">{{field-off:bible}} </w:t>
        <w:br/>
        <w:t>[[@BibleTOBIBLE:Ru 4:13]]</w:t>
      </w:r>
      <w:r>
        <w:rPr>
          <w:b/>
        </w:rPr>
        <w:t>13</w:t>
      </w:r>
      <w:r>
        <w:rPr/>
        <w:t xml:space="preserve"> {{field-on:bible}}Boas nahm Rut,</w:t>
      </w:r>
      <w:r>
        <w:rPr>
          <w:rStyle w:val="Funotenanker"/>
        </w:rPr>
        <w:footnoteReference w:customMarkFollows="1" w:id="1182"/>
        <w:t>aj</w:t>
      </w:r>
      <w:r>
        <w:rPr/>
        <w:t xml:space="preserve"> sie wurde seine Frau,</w:t>
      </w:r>
      <w:r>
        <w:rPr>
          <w:rStyle w:val="Funotenanker"/>
        </w:rPr>
        <w:footnoteReference w:customMarkFollows="1" w:id="1183"/>
        <w:t>ak</w:t>
      </w:r>
      <w:r>
        <w:rPr/>
        <w:t xml:space="preserve"> er ging zu ihr,</w:t>
      </w:r>
      <w:r>
        <w:rPr>
          <w:rStyle w:val="Funotenanker"/>
        </w:rPr>
        <w:footnoteReference w:customMarkFollows="1" w:id="1184"/>
        <w:t>al</w:t>
      </w:r>
      <w:r>
        <w:rPr/>
        <w:t xml:space="preserve"> </w:t>
      </w:r>
      <w:r>
        <w:rPr>
          <w:smallCaps/>
          <w:color w:val="FF0000"/>
        </w:rPr>
        <w:t>JHWH</w:t>
      </w:r>
      <w:r>
        <w:rPr/>
        <w:t xml:space="preserve"> gab ihr Schwangerschaft, sie gebar einen Sohn{{field-off:bible}} </w:t>
        <w:br/>
        <w:t>[[@BibleTOBIBLE:Ru 4:14]]</w:t>
      </w:r>
      <w:r>
        <w:rPr>
          <w:b/>
        </w:rPr>
        <w:t>14</w:t>
      </w:r>
      <w:r>
        <w:rPr/>
        <w:t xml:space="preserve"> {{field-on:bible}}und die Frauen sagten zu Noomi: </w:t>
        <w:br/>
        <w:t xml:space="preserve">„Gepriesen sei </w:t>
      </w:r>
      <w:r>
        <w:rPr>
          <w:smallCaps/>
          <w:color w:val="FF0000"/>
        </w:rPr>
        <w:t>JHWH</w:t>
      </w:r>
      <w:r>
        <w:rPr/>
        <w:t>,Der</w:t>
      </w:r>
      <w:r>
        <w:rPr>
          <w:rStyle w:val="Funotenanker"/>
        </w:rPr>
        <w:footnoteReference w:customMarkFollows="1" w:id="1185"/>
        <w:t>am</w:t>
      </w:r>
      <w:r>
        <w:rPr/>
        <w:t xml:space="preserve"> dir heute einen Löser nicht hat fehlen lassen,Sein Name werde gerufen</w:t>
      </w:r>
      <w:r>
        <w:rPr>
          <w:rStyle w:val="Funotenanker"/>
        </w:rPr>
        <w:footnoteReference w:customMarkFollows="1" w:id="1186"/>
        <w:t>an</w:t>
      </w:r>
      <w:r>
        <w:rPr/>
        <w:t xml:space="preserve"> in Israel!</w:t>
        <w:br/>
        <w:t xml:space="preserve">{{field-off:bible}} </w:t>
        <w:br/>
        <w:t>[[@BibleTOBIBLE:Ru 4:15]]</w:t>
      </w:r>
      <w:r>
        <w:rPr>
          <w:b/>
        </w:rPr>
        <w:t>15</w:t>
      </w:r>
      <w:r>
        <w:rPr/>
        <w:t xml:space="preserve"> {{field-on:bible}} </w:t>
        <w:br/>
        <w:t xml:space="preserve">Möge er dir </w:t>
      </w:r>
      <w:r>
        <w:rPr>
          <w:color w:val="808080"/>
        </w:rPr>
        <w:t>(er wird dir)</w:t>
      </w:r>
      <w:r>
        <w:rPr/>
        <w:t xml:space="preserve"> </w:t>
      </w:r>
      <w:r>
        <w:rPr>
          <w:b/>
          <w:color w:val="808080"/>
        </w:rPr>
        <w:t>[</w:t>
      </w:r>
      <w:r>
        <w:rPr/>
        <w:t>der</w:t>
      </w:r>
      <w:r>
        <w:rPr>
          <w:b/>
          <w:color w:val="808080"/>
        </w:rPr>
        <w:t>]</w:t>
      </w:r>
      <w:r>
        <w:rPr/>
        <w:t xml:space="preserve"> sein, </w:t>
      </w:r>
      <w:r>
        <w:rPr>
          <w:b/>
          <w:color w:val="808080"/>
        </w:rPr>
        <w:t>[</w:t>
      </w:r>
      <w:r>
        <w:rPr/>
        <w:t>der</w:t>
      </w:r>
      <w:r>
        <w:rPr>
          <w:b/>
          <w:color w:val="808080"/>
        </w:rPr>
        <w:t>]</w:t>
      </w:r>
      <w:r>
        <w:rPr/>
        <w:t xml:space="preserve"> Lebenskraft zurückkehren lässt</w:t>
      </w:r>
      <w:r>
        <w:rPr>
          <w:rStyle w:val="Funotenanker"/>
        </w:rPr>
        <w:footnoteReference w:customMarkFollows="1" w:id="1187"/>
        <w:t>ao</w:t>
      </w:r>
      <w:r>
        <w:rPr/>
        <w:t xml:space="preserve">Und </w:t>
      </w:r>
      <w:r>
        <w:rPr>
          <w:b/>
          <w:color w:val="808080"/>
        </w:rPr>
        <w:t>[</w:t>
      </w:r>
      <w:r>
        <w:rPr/>
        <w:t>der</w:t>
      </w:r>
      <w:r>
        <w:rPr>
          <w:b/>
          <w:color w:val="808080"/>
        </w:rPr>
        <w:t>]</w:t>
      </w:r>
      <w:r>
        <w:rPr/>
        <w:t xml:space="preserve"> dein Alter erhält!</w:t>
        <w:br/>
        <w:t xml:space="preserve">Ja!, </w:t>
      </w:r>
      <w:r>
        <w:rPr>
          <w:color w:val="808080"/>
        </w:rPr>
        <w:t>(denn)</w:t>
      </w:r>
      <w:r>
        <w:rPr/>
        <w:t xml:space="preserve"> </w:t>
      </w:r>
      <w:r>
        <w:rPr>
          <w:rStyle w:val="Funotenanker"/>
        </w:rPr>
        <w:footnoteReference w:customMarkFollows="1" w:id="1188"/>
        <w:t>ap</w:t>
      </w:r>
      <w:r>
        <w:rPr/>
        <w:t xml:space="preserve"> deine Schwiegertochter, die dich liebt, hat ihn geboren,Sie, die besser für dich </w:t>
      </w:r>
      <w:r>
        <w:rPr>
          <w:b/>
          <w:color w:val="808080"/>
        </w:rPr>
        <w:t>[</w:t>
      </w:r>
      <w:r>
        <w:rPr/>
        <w:t>ist</w:t>
      </w:r>
      <w:r>
        <w:rPr>
          <w:b/>
          <w:color w:val="808080"/>
        </w:rPr>
        <w:t>]</w:t>
      </w:r>
      <w:r>
        <w:rPr/>
        <w:t xml:space="preserve"> als sieben Söhne!“</w:t>
        <w:br/>
        <w:t xml:space="preserve">{{field-off:bible}} </w:t>
        <w:br/>
        <w:t>[[@BibleTOBIBLE:Ru 4:16]]</w:t>
      </w:r>
      <w:r>
        <w:rPr>
          <w:b/>
        </w:rPr>
        <w:t>16</w:t>
      </w:r>
      <w:r>
        <w:rPr/>
        <w:t xml:space="preserve"> {{field-on:bible}}Noomi nahm den Säugling, hob ihn an ihre Brust,</w:t>
      </w:r>
      <w:r>
        <w:rPr>
          <w:rStyle w:val="Funotenanker"/>
        </w:rPr>
        <w:footnoteReference w:customMarkFollows="1" w:id="1189"/>
        <w:t>aq</w:t>
      </w:r>
      <w:r>
        <w:rPr/>
        <w:t xml:space="preserve"> wurde seine Kinderfrau{{field-off:bible}} </w:t>
        <w:br/>
        <w:t>[[@BibleTOBIBLE:Ru 4:17]]</w:t>
      </w:r>
      <w:r>
        <w:rPr>
          <w:b/>
        </w:rPr>
        <w:t>17</w:t>
      </w:r>
      <w:r>
        <w:rPr/>
        <w:t xml:space="preserve"> {{field-on:bible}}und die Bürgerinnen </w:t>
      </w:r>
      <w:r>
        <w:rPr>
          <w:color w:val="808080"/>
        </w:rPr>
        <w:t>(Nachbarinnen)</w:t>
      </w:r>
      <w:r>
        <w:rPr/>
        <w:t xml:space="preserve"> gaben ihm einen Namen </w:t>
      </w:r>
      <w:r>
        <w:rPr>
          <w:color w:val="808080"/>
        </w:rPr>
        <w:t>(riefen)</w:t>
      </w:r>
      <w:r>
        <w:rPr/>
        <w:t xml:space="preserve">, indem sie sagten </w:t>
      </w:r>
      <w:r>
        <w:rPr>
          <w:color w:val="808080"/>
        </w:rPr>
        <w:t>(wie folgt)</w:t>
      </w:r>
      <w:r>
        <w:rPr/>
        <w:t xml:space="preserve">: „Ein Sohn ist der Noomi geboren!“, und sie nannten seinen Namen „Obed </w:t>
      </w:r>
      <w:r>
        <w:rPr>
          <w:color w:val="808080"/>
        </w:rPr>
        <w:t>(Diener)</w:t>
      </w:r>
      <w:r>
        <w:rPr/>
        <w:t>“.</w:t>
      </w:r>
      <w:r>
        <w:rPr>
          <w:rStyle w:val="Funotenanker"/>
        </w:rPr>
        <w:footnoteReference w:customMarkFollows="1" w:id="1190"/>
        <w:t>ar</w:t>
      </w:r>
      <w:r>
        <w:rPr/>
        <w:t xml:space="preserve"> Dieser war der Vater von Isai, dem Vater Davids.{{field-off:bible}} </w:t>
        <w:br/>
        <w:t>[[@BibleTOBIBLE:Ru 4:18]]</w:t>
      </w:r>
      <w:r>
        <w:rPr>
          <w:b/>
        </w:rPr>
        <w:t>18</w:t>
      </w:r>
      <w:r>
        <w:rPr/>
        <w:t xml:space="preserve"> {{field-on:bible}}Dies </w:t>
      </w:r>
      <w:r>
        <w:rPr>
          <w:b/>
          <w:color w:val="808080"/>
        </w:rPr>
        <w:t>[</w:t>
      </w:r>
      <w:r>
        <w:rPr/>
        <w:t>also</w:t>
      </w:r>
      <w:r>
        <w:rPr>
          <w:b/>
          <w:color w:val="808080"/>
        </w:rPr>
        <w:t>]</w:t>
      </w:r>
      <w:r>
        <w:rPr/>
        <w:t xml:space="preserve"> sind die Zeugungen von Perez:</w:t>
      </w:r>
      <w:r>
        <w:rPr>
          <w:rStyle w:val="Funotenanker"/>
        </w:rPr>
        <w:footnoteReference w:customMarkFollows="1" w:id="1191"/>
        <w:t>as</w:t>
      </w:r>
      <w:r>
        <w:rPr/>
        <w:t xml:space="preserve"> Perez zeugte den Hezron,{{field-off:bible}} </w:t>
        <w:br/>
        <w:t>[[@BibleTOBIBLE:Ru 4:19]]</w:t>
      </w:r>
      <w:r>
        <w:rPr>
          <w:b/>
        </w:rPr>
        <w:t>19</w:t>
      </w:r>
      <w:r>
        <w:rPr/>
        <w:t xml:space="preserve"> {{field-on:bible}}Hezron zeugte Ram, Ram zeugte Amminadab,{{field-off:bible}} </w:t>
        <w:br/>
        <w:t>[[@BibleTOBIBLE:Ru 4:20]]</w:t>
      </w:r>
      <w:r>
        <w:rPr>
          <w:b/>
        </w:rPr>
        <w:t>20</w:t>
      </w:r>
      <w:r>
        <w:rPr/>
        <w:t xml:space="preserve"> {{field-on:bible}}Amminadab zeugte Nachschon, Nachschon zeugte Salmon,{{field-off:bible}} </w:t>
        <w:br/>
        <w:t>[[@BibleTOBIBLE:Ru 4:21]]</w:t>
      </w:r>
      <w:r>
        <w:rPr>
          <w:b/>
        </w:rPr>
        <w:t>21</w:t>
      </w:r>
      <w:r>
        <w:rPr/>
        <w:t xml:space="preserve"> {{field-on:bible}}Salmon zeugte Boas, Boas zeugte Obed,{{field-off:bible}} </w:t>
        <w:br/>
        <w:t>[[@BibleTOBIBLE:Ru 4:22]]</w:t>
      </w:r>
      <w:r>
        <w:rPr>
          <w:b/>
        </w:rPr>
        <w:t>22</w:t>
      </w:r>
      <w:r>
        <w:rPr/>
        <w:t xml:space="preserve"> {{field-on:bible}}Obed zeugte Isai, Isai zeugte David.</w:t>
      </w:r>
      <w:r>
        <w:rPr>
          <w:rStyle w:val="Funotenanker"/>
        </w:rPr>
        <w:footnoteReference w:customMarkFollows="1" w:id="1192"/>
        <w:t>at</w:t>
      </w:r>
      <w:r>
        <w:rPr/>
        <w:t xml:space="preserve"> {{field-off:bible}} </w:t>
      </w:r>
    </w:p>
    <w:p>
      <w:pPr>
        <w:pStyle w:val="Berschrift2"/>
        <w:rPr/>
      </w:pPr>
      <w:r>
        <w:rPr/>
        <w:t>[[@BibleTOBIBLE:1Sa]]1 Samuel</w:t>
      </w:r>
    </w:p>
    <w:p>
      <w:pPr>
        <w:pStyle w:val="Berschrift3"/>
        <w:rPr/>
      </w:pPr>
      <w:r>
        <w:rPr/>
        <w:t>[[@BibleTOBIBLE:1Sa 2]]Kapitel 2</w:t>
      </w:r>
    </w:p>
    <w:p>
      <w:pPr>
        <w:pStyle w:val="Textkrper"/>
        <w:rPr/>
      </w:pPr>
      <w:r>
        <w:rPr/>
        <w:br/>
        <w:t>[[@BibleTOBIBLE:1Sa 2:6]]</w:t>
      </w:r>
      <w:r>
        <w:rPr>
          <w:b/>
        </w:rPr>
        <w:t>6</w:t>
      </w:r>
      <w:r>
        <w:rPr/>
        <w:t xml:space="preserve"> {{field-on:bible}} </w:t>
      </w:r>
      <w:r>
        <w:rPr>
          <w:smallCaps/>
          <w:color w:val="FF0000"/>
        </w:rPr>
        <w:t>JHWH</w:t>
      </w:r>
      <w:r>
        <w:rPr/>
        <w:t xml:space="preserve"> tötet und erhält am Leben </w:t>
      </w:r>
      <w:r>
        <w:rPr>
          <w:color w:val="808080"/>
        </w:rPr>
        <w:t>(macht lebendig)</w:t>
      </w:r>
      <w:r>
        <w:rPr/>
        <w:t xml:space="preserve">, er lässt herabsteigen in den Scheol und er lässt hinaufsteigen.{{field-off:bible}} </w:t>
        <w:br/>
        <w:t>[[@BibleTOBIBLE:1Sa 2:7]]</w:t>
      </w:r>
      <w:r>
        <w:rPr>
          <w:b/>
        </w:rPr>
        <w:t>7</w:t>
      </w:r>
      <w:r>
        <w:rPr/>
        <w:t xml:space="preserve"> {{field-on:bible}} </w:t>
      </w:r>
      <w:r>
        <w:rPr>
          <w:smallCaps/>
          <w:color w:val="FF0000"/>
        </w:rPr>
        <w:t>JHWH</w:t>
      </w:r>
      <w:r>
        <w:rPr/>
        <w:t xml:space="preserve"> macht arm </w:t>
      </w:r>
      <w:r>
        <w:rPr>
          <w:color w:val="808080"/>
        </w:rPr>
        <w:t>(gibt zu Besitz)</w:t>
      </w:r>
      <w:r>
        <w:rPr/>
        <w:t xml:space="preserve"> </w:t>
      </w:r>
      <w:r>
        <w:rPr>
          <w:rStyle w:val="Funotenanker"/>
        </w:rPr>
        <w:footnoteReference w:customMarkFollows="1" w:id="1193"/>
        <w:t>a</w:t>
      </w:r>
      <w:r>
        <w:rPr/>
        <w:t xml:space="preserve"> und bereichert, er erniedrigt </w:t>
      </w:r>
      <w:r>
        <w:rPr>
          <w:color w:val="808080"/>
        </w:rPr>
        <w:t>(stürzt hinab)</w:t>
      </w:r>
      <w:r>
        <w:rPr/>
        <w:t xml:space="preserve"> und erhöht auch.{{field-off:bible}} </w:t>
        <w:br/>
        <w:t>[[@BibleTOBIBLE:1Sa 2:8]]</w:t>
      </w:r>
      <w:r>
        <w:rPr>
          <w:b/>
        </w:rPr>
        <w:t>8</w:t>
      </w:r>
      <w:r>
        <w:rPr/>
        <w:t xml:space="preserve"> {{field-on:bible}}Er stellt auf </w:t>
      </w:r>
      <w:r>
        <w:rPr>
          <w:color w:val="808080"/>
        </w:rPr>
        <w:t>(bringt zum Aufstehen)</w:t>
      </w:r>
      <w:r>
        <w:rPr/>
        <w:t xml:space="preserve"> aus Staub den Schwachen, aus Kot </w:t>
      </w:r>
      <w:r>
        <w:rPr>
          <w:color w:val="808080"/>
        </w:rPr>
        <w:t>(Mist)</w:t>
      </w:r>
      <w:r>
        <w:rPr/>
        <w:t xml:space="preserve"> erhöht er den Armen, um </w:t>
      </w:r>
      <w:r>
        <w:rPr>
          <w:b/>
          <w:color w:val="808080"/>
        </w:rPr>
        <w:t>[</w:t>
      </w:r>
      <w:r>
        <w:rPr/>
        <w:t>ihn</w:t>
      </w:r>
      <w:r>
        <w:rPr>
          <w:b/>
          <w:color w:val="808080"/>
        </w:rPr>
        <w:t>]</w:t>
      </w:r>
      <w:r>
        <w:rPr/>
        <w:t xml:space="preserve"> unter Fürsten zu setzen, und den Thron </w:t>
      </w:r>
      <w:r>
        <w:rPr>
          <w:color w:val="808080"/>
        </w:rPr>
        <w:t>(Sessel)</w:t>
      </w:r>
      <w:r>
        <w:rPr/>
        <w:t xml:space="preserve"> der Ehre </w:t>
      </w:r>
      <w:r>
        <w:rPr>
          <w:color w:val="808080"/>
        </w:rPr>
        <w:t>(des Ruhms, des Reichtums)</w:t>
      </w:r>
      <w:r>
        <w:rPr/>
        <w:t xml:space="preserve"> teilt er ihnen als Erbschaft aus. Denn für </w:t>
      </w:r>
      <w:r>
        <w:rPr>
          <w:smallCaps/>
          <w:color w:val="FF0000"/>
        </w:rPr>
        <w:t>JHWH</w:t>
      </w:r>
      <w:r>
        <w:rPr/>
        <w:t xml:space="preserve"> sind die Säulen der Erde, und auf sie hat er gesetzt den Kreis seiner Erde.{{field-off:bible}} </w:t>
        <w:br/>
        <w:t>[[@BibleTOBIBLE:1Sa 2:9]]</w:t>
      </w:r>
      <w:r>
        <w:rPr>
          <w:b/>
        </w:rPr>
        <w:t>9</w:t>
      </w:r>
      <w:r>
        <w:rPr/>
        <w:t xml:space="preserve"> {{field-on:bible}}Die Füße seiner Frommen</w:t>
      </w:r>
      <w:r>
        <w:rPr>
          <w:rStyle w:val="Funotenanker"/>
        </w:rPr>
        <w:footnoteReference w:customMarkFollows="1" w:id="1194"/>
        <w:t>b</w:t>
      </w:r>
      <w:r>
        <w:rPr/>
        <w:t xml:space="preserve"> wird er bewachen </w:t>
      </w:r>
      <w:r>
        <w:rPr>
          <w:color w:val="808080"/>
        </w:rPr>
        <w:t>(behüten)</w:t>
      </w:r>
      <w:r>
        <w:rPr/>
        <w:t xml:space="preserve"> und die Frevler </w:t>
      </w:r>
      <w:r>
        <w:rPr>
          <w:color w:val="808080"/>
        </w:rPr>
        <w:t>(Gottlosen)</w:t>
      </w:r>
      <w:r>
        <w:rPr/>
        <w:t xml:space="preserve"> werden umkommen </w:t>
      </w:r>
      <w:r>
        <w:rPr>
          <w:color w:val="808080"/>
        </w:rPr>
        <w:t>(verstummen)</w:t>
      </w:r>
      <w:r>
        <w:rPr/>
        <w:t xml:space="preserve"> in der Finsternis. Denn nicht aus </w:t>
      </w:r>
      <w:r>
        <w:rPr>
          <w:b/>
          <w:color w:val="808080"/>
        </w:rPr>
        <w:t>[</w:t>
      </w:r>
      <w:r>
        <w:rPr/>
        <w:t>eigener</w:t>
      </w:r>
      <w:r>
        <w:rPr>
          <w:b/>
          <w:color w:val="808080"/>
        </w:rPr>
        <w:t>]</w:t>
      </w:r>
      <w:r>
        <w:rPr/>
        <w:t xml:space="preserve"> Kraft wird ein Mann stark.{{field-off:bible}}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1195"/>
        <w:t>Status</w:t>
      </w:r>
      <w:r>
        <w:rPr/>
        <w:t xml:space="preserve"> Nun </w:t>
      </w:r>
      <w:r>
        <w:rPr>
          <w:color w:val="808080"/>
        </w:rPr>
        <w:t>(und)</w:t>
      </w:r>
      <w:r>
        <w:rPr/>
        <w:t xml:space="preserve"> </w:t>
      </w:r>
      <w:r>
        <w:rPr>
          <w:rStyle w:val="Funotenanker"/>
        </w:rPr>
        <w:footnoteReference w:customMarkFollows="1" w:id="1196"/>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1197"/>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1198"/>
        <w:t>c</w:t>
      </w:r>
      <w:r>
        <w:rPr/>
        <w:t xml:space="preserve"> </w:t>
      </w:r>
      <w:r>
        <w:rPr>
          <w:strike/>
          <w:color w:val="808080"/>
        </w:rPr>
        <w:t>{und}</w:t>
      </w:r>
      <w:r>
        <w:rPr/>
        <w:t xml:space="preserve"> </w:t>
      </w:r>
      <w:r>
        <w:rPr>
          <w:rStyle w:val="Funotenanker"/>
        </w:rPr>
        <w:footnoteReference w:customMarkFollows="1" w:id="1199"/>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1200"/>
        <w:t>e</w:t>
      </w:r>
      <w:r>
        <w:rPr/>
        <w:t>,</w:t>
      </w:r>
      <w:r>
        <w:rPr>
          <w:rStyle w:val="Funotenanker"/>
        </w:rPr>
        <w:footnoteReference w:customMarkFollows="1" w:id="1201"/>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1202"/>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1203"/>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1204"/>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1205"/>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1206"/>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1207"/>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1208"/>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1209"/>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1210"/>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1211"/>
        <w:t>p</w:t>
      </w:r>
      <w:r>
        <w:rPr/>
        <w:t xml:space="preserve"> </w:t>
      </w:r>
      <w:r>
        <w:rPr>
          <w:color w:val="808080"/>
        </w:rPr>
        <w:t>(werde ihm ankündigen; du sollst ihm sagen)</w:t>
      </w:r>
      <w:r>
        <w:rPr/>
        <w:t xml:space="preserve"> </w:t>
      </w:r>
      <w:r>
        <w:rPr>
          <w:rStyle w:val="Funotenanker"/>
        </w:rPr>
        <w:footnoteReference w:customMarkFollows="1" w:id="1212"/>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1213"/>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1214"/>
        <w:t>s</w:t>
      </w:r>
      <w:r>
        <w:rPr/>
        <w:t>,</w:t>
      </w:r>
      <w:r>
        <w:rPr>
          <w:rStyle w:val="Funotenanker"/>
        </w:rPr>
        <w:footnoteReference w:customMarkFollows="1" w:id="1215"/>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1216"/>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9:10]]</w:t>
      </w:r>
      <w:r>
        <w:rPr>
          <w:b/>
        </w:rPr>
        <w:t>10</w:t>
      </w:r>
      <w:r>
        <w:rPr/>
        <w:t xml:space="preserve"> {{field-on:bible}} </w:t>
      </w:r>
      <w:r>
        <w:rPr>
          <w:rStyle w:val="Funotenanker"/>
        </w:rPr>
        <w:footnoteReference w:customMarkFollows="1" w:id="1217"/>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1218"/>
        <w:t>Status</w:t>
      </w:r>
      <w:r>
        <w:rPr/>
        <w:t xml:space="preserve"> Und Samuel ergriff den Krug mit Öl </w:t>
      </w:r>
      <w:r>
        <w:rPr>
          <w:color w:val="808080"/>
        </w:rPr>
        <w:t>(Ölkrug)</w:t>
      </w:r>
      <w:r>
        <w:rPr/>
        <w:t xml:space="preserve"> und er goss</w:t>
      </w:r>
      <w:r>
        <w:rPr>
          <w:rStyle w:val="Funotenanker"/>
        </w:rPr>
        <w:footnoteReference w:customMarkFollows="1" w:id="1219"/>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1220"/>
        <w:t>b</w:t>
      </w:r>
      <w:r>
        <w:rPr/>
        <w:t xml:space="preserve"> dich über seinm Erbe </w:t>
      </w:r>
      <w:r>
        <w:rPr>
          <w:color w:val="808080"/>
        </w:rPr>
        <w:t>(Besitz)</w:t>
      </w:r>
      <w:r>
        <w:rPr/>
        <w:t xml:space="preserve"> gesalbt hat zum König?{{field-off:bible}} </w:t>
      </w:r>
    </w:p>
    <w:p>
      <w:pPr>
        <w:pStyle w:val="Berschrift3"/>
        <w:rPr/>
      </w:pPr>
      <w:r>
        <w:rPr/>
        <w:t>[[@BibleTOBIBLE:1Sa 17]]Kapitel 17</w:t>
      </w:r>
    </w:p>
    <w:p>
      <w:pPr>
        <w:pStyle w:val="Textkrper"/>
        <w:rPr/>
      </w:pPr>
      <w:r>
        <w:rPr/>
        <w:br/>
        <w:t>[[@BibleTOBIBLE:1Sa 17:4]]</w:t>
      </w:r>
      <w:r>
        <w:rPr>
          <w:b/>
        </w:rPr>
        <w:t>4</w:t>
      </w:r>
      <w:r>
        <w:rPr/>
        <w:t xml:space="preserve"> {{field-on:bible}}Da kam ein Vorkämpfer</w:t>
      </w:r>
      <w:r>
        <w:rPr>
          <w:rStyle w:val="Funotenanker"/>
        </w:rPr>
        <w:footnoteReference w:customMarkFollows="1" w:id="1221"/>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1222"/>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1223"/>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1224"/>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r>
    </w:p>
    <w:p>
      <w:pPr>
        <w:pStyle w:val="Berschrift2"/>
        <w:rPr/>
      </w:pPr>
      <w:r>
        <w:rPr/>
        <w:t>[[@BibleTOBIBLE:1Ki]]1 Könige</w:t>
      </w:r>
    </w:p>
    <w:p>
      <w:pPr>
        <w:pStyle w:val="Berschrift3"/>
        <w:rPr/>
      </w:pPr>
      <w:r>
        <w:rPr/>
        <w:t>[[@BibleTOBIBLE:1Ki 1]]Kapitel 1</w:t>
      </w:r>
    </w:p>
    <w:p>
      <w:pPr>
        <w:pStyle w:val="Textkrper"/>
        <w:rPr/>
      </w:pPr>
      <w:r>
        <w:rPr/>
        <w:br/>
        <w:t>[[@BibleTOBIBLE:1Ki 1:32]]</w:t>
      </w:r>
      <w:r>
        <w:rPr>
          <w:b/>
        </w:rPr>
        <w:t>32</w:t>
      </w:r>
      <w:r>
        <w:rPr/>
        <w:t xml:space="preserve"> {{field-on:bible}}Und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3:16]]</w:t>
      </w:r>
      <w:r>
        <w:rPr>
          <w:b/>
        </w:rPr>
        <w:t>16</w:t>
      </w:r>
      <w:r>
        <w:rPr/>
        <w:t xml:space="preserve"> {{field-on:bible}}Damals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8:22]]</w:t>
      </w:r>
      <w:r>
        <w:rPr>
          <w:b/>
        </w:rPr>
        <w:t>22</w:t>
      </w:r>
      <w:r>
        <w:rPr/>
        <w:t xml:space="preserve"> {{field-on:bible}}Und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1225"/>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1226"/>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1227"/>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1228"/>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1229"/>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1230"/>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1231"/>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1232"/>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1233"/>
        <w:t>h</w:t>
      </w:r>
      <w:r>
        <w:rPr/>
        <w:t xml:space="preserve"> auf zwei Kniekehlen?</w:t>
      </w:r>
      <w:r>
        <w:rPr>
          <w:rStyle w:val="Funotenanker"/>
        </w:rPr>
        <w:footnoteReference w:customMarkFollows="1" w:id="1234"/>
        <w:t>i</w:t>
      </w:r>
      <w:r>
        <w:rPr/>
        <w:t xml:space="preserve"> </w:t>
      </w:r>
      <w:r>
        <w:rPr>
          <w:rStyle w:val="Funotenanker"/>
        </w:rPr>
        <w:footnoteReference w:customMarkFollows="1" w:id="1235"/>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1236"/>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1237"/>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1238"/>
        <w:t>m</w:t>
      </w:r>
      <w:r>
        <w:rPr/>
        <w:t xml:space="preserve"> oder </w:t>
      </w:r>
      <w:r>
        <w:rPr>
          <w:b/>
          <w:color w:val="808080"/>
        </w:rPr>
        <w:t>[</w:t>
      </w:r>
      <w:r>
        <w:rPr/>
        <w:t>auf dem</w:t>
      </w:r>
      <w:r>
        <w:rPr>
          <w:b/>
          <w:color w:val="808080"/>
        </w:rPr>
        <w:t>]</w:t>
      </w:r>
      <w:r>
        <w:rPr/>
        <w:t xml:space="preserve"> Weg </w:t>
      </w:r>
      <w:r>
        <w:rPr>
          <w:rStyle w:val="Funotenanker"/>
        </w:rPr>
        <w:footnoteReference w:customMarkFollows="1" w:id="1239"/>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1240"/>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1241"/>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1242"/>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5:7]]</w:t>
      </w:r>
      <w:r>
        <w:rPr>
          <w:b/>
        </w:rPr>
        <w:t>7</w:t>
      </w:r>
      <w:r>
        <w:rPr/>
        <w:t xml:space="preserve"> {{field-on:bible}}Und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1243"/>
        <w:t>a</w:t>
      </w:r>
      <w:r>
        <w:rPr/>
        <w:t>, dass dieser zu mir sendet, um einem Menschen seinen Aussatz wegzunehmen</w:t>
      </w:r>
      <w:r>
        <w:rPr>
          <w:rStyle w:val="Funotenanker"/>
        </w:rPr>
        <w:footnoteReference w:customMarkFollows="1" w:id="1244"/>
        <w:t>b</w:t>
      </w:r>
      <w:r>
        <w:rPr/>
        <w:t xml:space="preserve">? Denn gewiß </w:t>
      </w:r>
      <w:r>
        <w:rPr>
          <w:color w:val="808080"/>
        </w:rPr>
        <w:t>(ja)</w:t>
      </w:r>
      <w:r>
        <w:rPr/>
        <w:t>, erkennt doch, und seht, dass er eine Gelegenheit sucht</w:t>
      </w:r>
      <w:r>
        <w:rPr>
          <w:rStyle w:val="Funotenanker"/>
        </w:rPr>
        <w:footnoteReference w:customMarkFollows="1" w:id="1245"/>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1246"/>
        <w:t>d</w:t>
      </w:r>
      <w:r>
        <w:rPr/>
        <w:t xml:space="preserve"> {{field-off:bible}} </w:t>
      </w:r>
    </w:p>
    <w:p>
      <w:pPr>
        <w:pStyle w:val="Berschrift3"/>
        <w:rPr/>
      </w:pPr>
      <w:r>
        <w:rPr/>
        <w:t>[[@BibleTOBIBLE:2Ki 22]]Kapitel 22</w:t>
      </w:r>
    </w:p>
    <w:p>
      <w:pPr>
        <w:pStyle w:val="Textkrper"/>
        <w:rPr/>
      </w:pPr>
      <w:r>
        <w:rPr/>
        <w:br/>
        <w:t>[[@BibleTOBIBLE:2Ki 22:1]]</w:t>
      </w:r>
      <w:r>
        <w:rPr>
          <w:b/>
        </w:rPr>
        <w:t>1</w:t>
      </w:r>
      <w:r>
        <w:rPr/>
        <w:t xml:space="preserve"> {{field-on:bible}}Josia war bei seiner Königwerdung acht Jahre alt und herrschte 31 Jahre als König in Jerusalem. Und der Name seiner Mutter war Jedidah, Tochter des Adija von Bozkath.{{field-off:bible}} </w:t>
        <w:br/>
        <w:t>[[@BibleTOBIBLE:2Ki 22:2]]</w:t>
      </w:r>
      <w:r>
        <w:rPr>
          <w:b/>
        </w:rPr>
        <w:t>2</w:t>
      </w:r>
      <w:r>
        <w:rPr/>
        <w:t xml:space="preserve"> {{field-on:bible}}Und er tat, was recht war in den Augen </w:t>
      </w:r>
      <w:r>
        <w:rPr>
          <w:smallCaps/>
          <w:color w:val="FF0000"/>
        </w:rPr>
        <w:t>JHWH</w:t>
      </w:r>
      <w:r>
        <w:rPr/>
        <w:t xml:space="preserve">'s und ging den ganzen Weg Davids, seines Vaters, und wich nicht ab zur Rechten oder zur Linken.{{field-off:bible}} </w:t>
        <w:br/>
        <w:t>[[@BibleTOBIBLE:2Ki 22:3]]</w:t>
      </w:r>
      <w:r>
        <w:rPr>
          <w:b/>
        </w:rPr>
        <w:t>3</w:t>
      </w:r>
      <w:r>
        <w:rPr/>
        <w:t xml:space="preserve"> {{field-on:bible}}Und es war im 18. Jahr König Josias, da sandte der König den Schafan, Sohn des Azalijahu, Sohn des Meschulam, den Schreiber, zum Haus </w:t>
      </w:r>
      <w:r>
        <w:rPr>
          <w:smallCaps/>
          <w:color w:val="FF0000"/>
        </w:rPr>
        <w:t>JHWH</w:t>
      </w:r>
      <w:r>
        <w:rPr/>
        <w:t xml:space="preserve">'s:{{field-off:bible}}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1247"/>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1248"/>
        <w:t>a</w:t>
      </w:r>
      <w:r>
        <w:rPr/>
        <w:t xml:space="preserve"> Sem, Ham und</w:t>
      </w:r>
      <w:r>
        <w:rPr>
          <w:rStyle w:val="Funotenanker"/>
        </w:rPr>
        <w:footnoteReference w:customMarkFollows="1" w:id="1249"/>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1250"/>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1251"/>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1252"/>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253"/>
        <w:t>f</w:t>
      </w:r>
      <w:r>
        <w:rPr/>
        <w:t xml:space="preserve"> und </w:t>
      </w:r>
      <w:r>
        <w:rPr>
          <w:b/>
          <w:color w:val="808080"/>
        </w:rPr>
        <w:t>[</w:t>
      </w:r>
      <w:r>
        <w:rPr/>
        <w:t>die</w:t>
      </w:r>
      <w:r>
        <w:rPr>
          <w:b/>
          <w:color w:val="808080"/>
        </w:rPr>
        <w:t>]</w:t>
      </w:r>
      <w:r>
        <w:rPr/>
        <w:t xml:space="preserve"> Rodaniter</w:t>
      </w:r>
      <w:r>
        <w:rPr>
          <w:rStyle w:val="Funotenanker"/>
        </w:rPr>
        <w:footnoteReference w:customMarkFollows="1" w:id="1254"/>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255"/>
        <w:t>h</w:t>
      </w:r>
      <w:r>
        <w:rPr/>
        <w:t xml:space="preserve"> und Mizrajim,</w:t>
      </w:r>
      <w:r>
        <w:rPr>
          <w:rStyle w:val="Funotenanker"/>
        </w:rPr>
        <w:footnoteReference w:customMarkFollows="1" w:id="1256"/>
        <w:t>i</w:t>
      </w:r>
      <w:r>
        <w:rPr/>
        <w:t xml:space="preserve"> </w:t>
      </w:r>
      <w:r>
        <w:rPr>
          <w:rStyle w:val="Funotenanker"/>
        </w:rPr>
        <w:footnoteReference w:customMarkFollows="1" w:id="1257"/>
        <w:t>j</w:t>
      </w:r>
      <w:r>
        <w:rPr/>
        <w:t>Put</w:t>
      </w:r>
      <w:r>
        <w:rPr>
          <w:rStyle w:val="Funotenanker"/>
        </w:rPr>
        <w:footnoteReference w:customMarkFollows="1" w:id="1258"/>
        <w:t>k</w:t>
      </w:r>
      <w:r>
        <w:rPr/>
        <w:t xml:space="preserve"> und Kanaan</w:t>
      </w:r>
      <w:r>
        <w:rPr>
          <w:rStyle w:val="Funotenanker"/>
        </w:rPr>
        <w:footnoteReference w:customMarkFollows="1" w:id="1259"/>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1260"/>
        <w:t>m</w:t>
      </w:r>
      <w:r>
        <w:rPr/>
        <w:t xml:space="preserve"> </w:t>
      </w:r>
      <w:r>
        <w:rPr>
          <w:color w:val="808080"/>
        </w:rPr>
        <w:t>(hat)</w:t>
      </w:r>
      <w:r>
        <w:rPr/>
        <w:t xml:space="preserve"> gezeugt den</w:t>
      </w:r>
      <w:r>
        <w:rPr>
          <w:rStyle w:val="Funotenanker"/>
        </w:rPr>
        <w:footnoteReference w:customMarkFollows="1" w:id="1261"/>
        <w:t>n</w:t>
      </w:r>
      <w:r>
        <w:rPr/>
        <w:t xml:space="preserve"> Nimrod, der</w:t>
      </w:r>
      <w:r>
        <w:rPr>
          <w:rStyle w:val="Funotenanker"/>
        </w:rPr>
        <w:footnoteReference w:customMarkFollows="1" w:id="1262"/>
        <w:t>o</w:t>
      </w:r>
      <w:r>
        <w:rPr/>
        <w:t xml:space="preserve"> </w:t>
      </w:r>
      <w:r>
        <w:rPr>
          <w:b/>
          <w:color w:val="808080"/>
        </w:rPr>
        <w:t>[</w:t>
      </w:r>
      <w:r>
        <w:rPr/>
        <w:t>dann</w:t>
      </w:r>
      <w:r>
        <w:rPr>
          <w:b/>
          <w:color w:val="808080"/>
        </w:rPr>
        <w:t>]</w:t>
      </w:r>
      <w:r>
        <w:rPr/>
        <w:t xml:space="preserve"> angefangen</w:t>
      </w:r>
      <w:r>
        <w:rPr>
          <w:rStyle w:val="Funotenanker"/>
        </w:rPr>
        <w:footnoteReference w:customMarkFollows="1" w:id="1263"/>
        <w:t>p</w:t>
      </w:r>
      <w:r>
        <w:rPr/>
        <w:t xml:space="preserve"> hat, zu werden ein Machthaber</w:t>
      </w:r>
      <w:r>
        <w:rPr>
          <w:rStyle w:val="Funotenanker"/>
        </w:rPr>
        <w:footnoteReference w:customMarkFollows="1" w:id="1264"/>
        <w:t>q</w:t>
      </w:r>
      <w:r>
        <w:rPr/>
        <w:t xml:space="preserve"> auf </w:t>
      </w:r>
      <w:r>
        <w:rPr>
          <w:b/>
          <w:color w:val="808080"/>
        </w:rPr>
        <w:t>[</w:t>
      </w:r>
      <w:r>
        <w:rPr/>
        <w:t>der</w:t>
      </w:r>
      <w:r>
        <w:rPr>
          <w:b/>
          <w:color w:val="808080"/>
        </w:rPr>
        <w:t>]</w:t>
      </w:r>
      <w:r>
        <w:rPr/>
        <w:t xml:space="preserve"> </w:t>
      </w:r>
      <w:r>
        <w:rPr>
          <w:rStyle w:val="Funotenanker"/>
        </w:rPr>
        <w:footnoteReference w:customMarkFollows="1" w:id="1265"/>
        <w:t>r</w:t>
      </w:r>
      <w:r>
        <w:rPr/>
        <w:t xml:space="preserve"> Erde.{{field-off:bible}} </w:t>
        <w:br/>
        <w:t>[[@BibleTOBIBLE:1Ch 1:11]]</w:t>
      </w:r>
      <w:r>
        <w:rPr>
          <w:b/>
        </w:rPr>
        <w:t>11</w:t>
      </w:r>
      <w:r>
        <w:rPr/>
        <w:t xml:space="preserve"> {{field-on:bible}}Und Mizrajim hat</w:t>
      </w:r>
      <w:r>
        <w:rPr>
          <w:rStyle w:val="Funotenanker"/>
        </w:rPr>
        <w:footnoteReference w:customMarkFollows="1" w:id="1266"/>
        <w:t>s</w:t>
      </w:r>
      <w:r>
        <w:rPr/>
        <w:t xml:space="preserve"> gezeugt die </w:t>
      </w:r>
      <w:r>
        <w:rPr>
          <w:rStyle w:val="Funotenanker"/>
        </w:rPr>
        <w:footnoteReference w:customMarkFollows="1" w:id="1267"/>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1268"/>
        <w:t>u</w:t>
      </w:r>
      <w:r>
        <w:rPr/>
        <w:t xml:space="preserve"> ausgegangen sind</w:t>
      </w:r>
      <w:r>
        <w:rPr>
          <w:rStyle w:val="Funotenanker"/>
        </w:rPr>
        <w:footnoteReference w:customMarkFollows="1" w:id="1269"/>
        <w:t>v</w:t>
      </w:r>
      <w:r>
        <w:rPr/>
        <w:t xml:space="preserve"> von dort </w:t>
      </w:r>
      <w:r>
        <w:rPr>
          <w:b/>
          <w:color w:val="808080"/>
        </w:rPr>
        <w:t>[</w:t>
      </w:r>
      <w:r>
        <w:rPr/>
        <w:t>die</w:t>
      </w:r>
      <w:r>
        <w:rPr>
          <w:b/>
          <w:color w:val="808080"/>
        </w:rPr>
        <w:t>]</w:t>
      </w:r>
      <w:r>
        <w:rPr/>
        <w:t xml:space="preserve"> </w:t>
      </w:r>
      <w:r>
        <w:rPr>
          <w:rStyle w:val="Funotenanker"/>
        </w:rPr>
        <w:footnoteReference w:customMarkFollows="1" w:id="1270"/>
        <w:t>w</w:t>
      </w:r>
      <w:r>
        <w:rPr/>
        <w:t xml:space="preserve"> </w:t>
      </w:r>
      <w:r>
        <w:rPr>
          <w:rStyle w:val="Funotenanker"/>
        </w:rPr>
        <w:footnoteReference w:customMarkFollows="1" w:id="1271"/>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272"/>
        <w:t>y</w:t>
      </w:r>
      <w:r>
        <w:rPr/>
        <w:t xml:space="preserve"> </w:t>
      </w:r>
      <w:r>
        <w:rPr>
          <w:rStyle w:val="Funotenanker"/>
        </w:rPr>
        <w:footnoteReference w:customMarkFollows="1" w:id="1273"/>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274"/>
        <w:t>aa</w:t>
      </w:r>
      <w:r>
        <w:rPr/>
        <w:t xml:space="preserve"> </w:t>
      </w:r>
      <w:r>
        <w:rPr>
          <w:color w:val="808080"/>
        </w:rPr>
        <w:t>(Nachkommen)</w:t>
      </w:r>
      <w:r>
        <w:rPr/>
        <w:t xml:space="preserve"> </w:t>
      </w:r>
      <w:r>
        <w:rPr>
          <w:rStyle w:val="Funotenanker"/>
        </w:rPr>
        <w:footnoteReference w:customMarkFollows="1" w:id="1275"/>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276"/>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277"/>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278"/>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279"/>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280"/>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281"/>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282"/>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283"/>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284"/>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285"/>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286"/>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287"/>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288"/>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289"/>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{{field-on:bible}}Und </w:t>
      </w:r>
      <w:r>
        <w:rPr>
          <w:strike/>
          <w:color w:val="808080"/>
        </w:rPr>
        <w:t>{ein}</w:t>
      </w:r>
      <w:r>
        <w:rPr/>
        <w:t xml:space="preserve"> Satan</w:t>
      </w:r>
      <w:r>
        <w:rPr>
          <w:rStyle w:val="Funotenanker"/>
        </w:rPr>
        <w:footnoteReference w:customMarkFollows="1" w:id="1290"/>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291"/>
        <w:t>b</w:t>
      </w:r>
      <w:r>
        <w:rPr/>
        <w:t xml:space="preserve"> David, Israel zu zählen</w:t>
      </w:r>
      <w:r>
        <w:rPr>
          <w:rStyle w:val="Funotenanker"/>
        </w:rPr>
        <w:footnoteReference w:customMarkFollows="1" w:id="1292"/>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293"/>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294"/>
        <w:t>e</w:t>
      </w:r>
      <w:r>
        <w:rPr/>
        <w:t xml:space="preserve"> mir, dass ich kenne </w:t>
      </w:r>
      <w:r>
        <w:rPr>
          <w:color w:val="808080"/>
        </w:rPr>
        <w:t>(weiß)</w:t>
      </w:r>
      <w:r>
        <w:rPr/>
        <w:t xml:space="preserve"> </w:t>
      </w:r>
      <w:r>
        <w:rPr>
          <w:rStyle w:val="Funotenanker"/>
        </w:rPr>
        <w:footnoteReference w:customMarkFollows="1" w:id="1295"/>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{{field-on:bible}}Und es war böse </w:t>
      </w:r>
      <w:r>
        <w:rPr>
          <w:color w:val="808080"/>
        </w:rPr>
        <w:t>(schlecht)</w:t>
      </w:r>
      <w:r>
        <w:rPr/>
        <w:t xml:space="preserve"> </w:t>
      </w:r>
      <w:r>
        <w:rPr>
          <w:rStyle w:val="Funotenanker"/>
        </w:rPr>
        <w:footnoteReference w:customMarkFollows="1" w:id="1296"/>
        <w:t>g</w:t>
      </w:r>
      <w:r>
        <w:rPr/>
        <w:t xml:space="preserve"> in den Augen Gottes diese Sache, und er schlug </w:t>
      </w:r>
      <w:r>
        <w:rPr>
          <w:color w:val="808080"/>
        </w:rPr>
        <w:t>(schädigte, verheerte)</w:t>
      </w:r>
      <w:r>
        <w:rPr/>
        <w:t xml:space="preserve"> </w:t>
      </w:r>
      <w:r>
        <w:rPr>
          <w:rStyle w:val="Funotenanker"/>
        </w:rPr>
        <w:footnoteReference w:customMarkFollows="1" w:id="1297"/>
        <w:t>h</w:t>
      </w:r>
      <w:r>
        <w:rPr/>
        <w:t xml:space="preserve"> Israel.</w:t>
      </w:r>
      <w:r>
        <w:rPr>
          <w:rStyle w:val="Funotenanker"/>
        </w:rPr>
        <w:footnoteReference w:customMarkFollows="1" w:id="1298"/>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299"/>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300"/>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301"/>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302"/>
        <w:t>a</w:t>
      </w:r>
      <w:r>
        <w:rPr/>
        <w:t>, für alle Gegenstände des Dienstes und den Dienst</w:t>
      </w:r>
      <w:r>
        <w:rPr>
          <w:rStyle w:val="Funotenanker"/>
        </w:rPr>
        <w:footnoteReference w:customMarkFollows="1" w:id="1303"/>
        <w:t>b</w:t>
      </w:r>
      <w:r>
        <w:rPr/>
        <w:t>, und für alle Gegenstände die Silber sind im Gewicht, für alle Gegenstände des Dienstes und den Dienst.</w:t>
      </w:r>
      <w:r>
        <w:rPr>
          <w:rStyle w:val="Funotenanker"/>
        </w:rPr>
        <w:footnoteReference w:customMarkFollows="1" w:id="1304"/>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305"/>
        <w:t>d</w:t>
      </w:r>
      <w:r>
        <w:rPr/>
        <w:t xml:space="preserve"> und seiner Lampen, und für die silbernen Leuchter im Gewicht für den Leuchter und seine Lampen, nach dem Dienst des Leuchters und des Leuchters. </w:t>
      </w:r>
      <w:r>
        <w:rPr>
          <w:rStyle w:val="Funotenanker"/>
        </w:rPr>
        <w:footnoteReference w:customMarkFollows="1" w:id="1306"/>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307"/>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308"/>
        <w:t>g</w:t>
      </w:r>
      <w:r>
        <w:rPr/>
        <w:t xml:space="preserve"> und für die silbernen Becher im Gewicht für den Becher und den Becher</w:t>
      </w:r>
      <w:r>
        <w:rPr>
          <w:rStyle w:val="Funotenanker"/>
        </w:rPr>
        <w:footnoteReference w:customMarkFollows="1" w:id="1309"/>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4:8]]</w:t>
      </w:r>
      <w:r>
        <w:rPr>
          <w:b/>
        </w:rPr>
        <w:t>8</w:t>
      </w:r>
      <w:r>
        <w:rPr/>
        <w:t xml:space="preserve"> {{field-on:bible}} </w:t>
      </w:r>
      <w:r>
        <w:rPr>
          <w:rStyle w:val="Funotenanker"/>
        </w:rPr>
        <w:footnoteReference w:customMarkFollows="1" w:id="1310"/>
        <w:t>Status</w:t>
      </w:r>
      <w:r>
        <w:rPr/>
        <w:t xml:space="preserve"> </w:t>
      </w:r>
      <w:r>
        <w:rPr>
          <w:rStyle w:val="Funotenanker"/>
        </w:rPr>
        <w:footnoteReference w:customMarkFollows="1" w:id="1311"/>
        <w:t>a</w:t>
      </w:r>
      <w:r>
        <w:rPr/>
        <w:t xml:space="preserve">Rehum </w:t>
      </w:r>
      <w:r>
        <w:rPr>
          <w:b/>
          <w:color w:val="808080"/>
        </w:rPr>
        <w:t>[</w:t>
      </w:r>
      <w:r>
        <w:rPr/>
        <w:t>der</w:t>
      </w:r>
      <w:r>
        <w:rPr>
          <w:b/>
          <w:color w:val="808080"/>
        </w:rPr>
        <w:t>]</w:t>
      </w:r>
      <w:r>
        <w:rPr/>
        <w:t xml:space="preserve"> Befehlshaber</w:t>
      </w:r>
      <w:r>
        <w:rPr>
          <w:rStyle w:val="Funotenanker"/>
        </w:rPr>
        <w:footnoteReference w:customMarkFollows="1" w:id="1312"/>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313"/>
        <w:t>c</w:t>
      </w:r>
      <w:r>
        <w:rPr/>
        <w:t xml:space="preserve"> wie folgt:„{{field-off:bible}} </w:t>
        <w:br/>
        <w:t>[[@BibleTOBIBLE:Ezr 4:9]]</w:t>
      </w:r>
      <w:r>
        <w:rPr>
          <w:b/>
        </w:rPr>
        <w:t>9</w:t>
      </w:r>
      <w:r>
        <w:rPr/>
        <w:t xml:space="preserve"> {{field-on:bible}}Die Absender</w:t>
      </w:r>
      <w:r>
        <w:rPr>
          <w:rStyle w:val="Funotenanker"/>
        </w:rPr>
        <w:footnoteReference w:customMarkFollows="1" w:id="1314"/>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315"/>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316"/>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317"/>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318"/>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319"/>
        <w:t>i</w:t>
      </w:r>
      <w:r>
        <w:rPr/>
        <w:t xml:space="preserve"> angesiedelt hat. </w:t>
      </w:r>
      <w:r>
        <w:rPr>
          <w:strike/>
          <w:color w:val="808080"/>
        </w:rPr>
        <w:t>{Absatz}</w:t>
      </w:r>
      <w:r>
        <w:rPr/>
        <w:t xml:space="preserve"> </w:t>
      </w:r>
      <w:r>
        <w:rPr>
          <w:rStyle w:val="Funotenanker"/>
        </w:rPr>
        <w:footnoteReference w:customMarkFollows="1" w:id="1320"/>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21"/>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322"/>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323"/>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324"/>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325"/>
        <w:t>o</w:t>
      </w:r>
      <w:r>
        <w:rPr/>
        <w:t xml:space="preserve"> sicherlich </w:t>
      </w:r>
      <w:r>
        <w:rPr>
          <w:color w:val="808080"/>
        </w:rPr>
        <w:t>(schließlich; der Schatzkammer)</w:t>
      </w:r>
      <w:r>
        <w:rPr/>
        <w:t xml:space="preserve"> </w:t>
      </w:r>
      <w:r>
        <w:rPr>
          <w:rStyle w:val="Funotenanker"/>
        </w:rPr>
        <w:footnoteReference w:customMarkFollows="1" w:id="1326"/>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327"/>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328"/>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329"/>
        <w:t>s</w:t>
      </w:r>
      <w:r>
        <w:rPr/>
        <w:t xml:space="preserve"> deiner Väter zu veranlassen</w:t>
      </w:r>
      <w:r>
        <w:rPr>
          <w:rStyle w:val="Funotenanker"/>
        </w:rPr>
        <w:footnoteReference w:customMarkFollows="1" w:id="1330"/>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331"/>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332"/>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333"/>
        <w:t>w</w:t>
      </w:r>
      <w:r>
        <w:rPr/>
        <w:t xml:space="preserve"> „ An Rehum den Befehlshaber und Schimschai den Schreiber und ihre übrigen Amtskollegen </w:t>
      </w:r>
      <w:r>
        <w:rPr>
          <w:color w:val="808080"/>
        </w:rPr>
        <w:t>(Mitarbeiter)</w:t>
      </w:r>
      <w:r>
        <w:rPr/>
        <w:t>,</w:t>
      </w:r>
      <w:r>
        <w:rPr>
          <w:rStyle w:val="Funotenanker"/>
        </w:rPr>
        <w:footnoteReference w:customMarkFollows="1" w:id="1334"/>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335"/>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336"/>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337"/>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338"/>
        <w:t>ab</w:t>
      </w:r>
      <w:r>
        <w:rPr/>
        <w:t xml:space="preserve"> haben mächtige Könige über Jerusalem geherrscht</w:t>
      </w:r>
      <w:r>
        <w:rPr>
          <w:rStyle w:val="Funotenanker"/>
        </w:rPr>
        <w:footnoteReference w:customMarkFollows="1" w:id="1339"/>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340"/>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341"/>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342"/>
        <w:t>af</w:t>
      </w:r>
      <w:r>
        <w:rPr/>
        <w:t xml:space="preserve"> begaben </w:t>
      </w:r>
      <w:r>
        <w:rPr>
          <w:color w:val="808080"/>
        </w:rPr>
        <w:t>(gingen)</w:t>
      </w:r>
      <w:r>
        <w:rPr/>
        <w:t xml:space="preserve"> sie sich eiligst</w:t>
      </w:r>
      <w:r>
        <w:rPr>
          <w:rStyle w:val="Funotenanker"/>
        </w:rPr>
        <w:footnoteReference w:customMarkFollows="1" w:id="1343"/>
        <w:t>ag</w:t>
      </w:r>
      <w:r>
        <w:rPr/>
        <w:t xml:space="preserve"> nach Jerusalem zu </w:t>
      </w:r>
      <w:r>
        <w:rPr>
          <w:color w:val="808080"/>
        </w:rPr>
        <w:t>(gegen)</w:t>
      </w:r>
      <w:r>
        <w:rPr/>
        <w:t xml:space="preserve"> den Juden und zwangen sie mit Gewalt und Waffengewalt</w:t>
      </w:r>
      <w:r>
        <w:rPr>
          <w:rStyle w:val="Funotenanker"/>
        </w:rPr>
        <w:footnoteReference w:customMarkFollows="1" w:id="1344"/>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345"/>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346"/>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347"/>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348"/>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349"/>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350"/>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51"/>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352"/>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353"/>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354"/>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355"/>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356"/>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357"/>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358"/>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359"/>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360"/>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361"/>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362"/>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363"/>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364"/>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365"/>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366"/>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367"/>
        <w:t>d</w:t>
      </w:r>
      <w:r>
        <w:rPr/>
        <w:t xml:space="preserve"> und seine Fundamente sollen erhalten bleiben </w:t>
      </w:r>
      <w:r>
        <w:rPr>
          <w:color w:val="808080"/>
        </w:rPr>
        <w:t>(seine Brandopfer sollen dargebracht werden)</w:t>
      </w:r>
      <w:r>
        <w:rPr/>
        <w:t>.</w:t>
      </w:r>
      <w:r>
        <w:rPr>
          <w:rStyle w:val="Funotenanker"/>
        </w:rPr>
        <w:footnoteReference w:customMarkFollows="1" w:id="1368"/>
        <w:t>e</w:t>
      </w:r>
      <w:r>
        <w:rPr/>
        <w:t xml:space="preserve"> Seine Höhe: 60 Ellen, seine Breite: 60 </w:t>
      </w:r>
      <w:r>
        <w:rPr>
          <w:color w:val="808080"/>
        </w:rPr>
        <w:t>(20)</w:t>
      </w:r>
      <w:r>
        <w:rPr/>
        <w:t xml:space="preserve"> </w:t>
      </w:r>
      <w:r>
        <w:rPr>
          <w:rStyle w:val="Funotenanker"/>
        </w:rPr>
        <w:footnoteReference w:customMarkFollows="1" w:id="1369"/>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370"/>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371"/>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372"/>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373"/>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374"/>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375"/>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376"/>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377"/>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378"/>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379"/>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380"/>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381"/>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382"/>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383"/>
        <w:t>t</w:t>
      </w:r>
      <w:r>
        <w:rPr/>
        <w:t>.</w:t>
      </w:r>
      <w:r>
        <w:rPr>
          <w:rStyle w:val="Funotenanker"/>
        </w:rPr>
        <w:footnoteReference w:customMarkFollows="1" w:id="1384"/>
        <w:t>u</w:t>
      </w:r>
      <w:r>
        <w:rPr/>
        <w:t xml:space="preserve"> {{field-off:bible}} </w:t>
      </w:r>
    </w:p>
    <w:p>
      <w:pPr>
        <w:pStyle w:val="Berschrift3"/>
        <w:rPr/>
      </w:pPr>
      <w:r>
        <w:rPr/>
        <w:t>[[@BibleTOBIBLE:Ezr 7]]Kapitel 7</w:t>
      </w:r>
    </w:p>
    <w:p>
      <w:pPr>
        <w:pStyle w:val="Textkrper"/>
        <w:rPr/>
      </w:pPr>
      <w:r>
        <w:rPr/>
        <w:br/>
        <w:t>[[@BibleTOBIBLE:Ezr 7:11]]</w:t>
      </w:r>
      <w:r>
        <w:rPr>
          <w:b/>
        </w:rPr>
        <w:t>11</w:t>
      </w:r>
      <w:r>
        <w:rPr/>
        <w:t xml:space="preserve"> {{field-on:bible}}„{{field-off:bible}} </w:t>
        <w:br/>
        <w:t>[[@BibleTOBIBLE:Ezr 7:12]]</w:t>
      </w:r>
      <w:r>
        <w:rPr>
          <w:b/>
        </w:rPr>
        <w:t>12</w:t>
      </w:r>
      <w:r>
        <w:rPr/>
        <w:t xml:space="preserve"> {{field-on:bible}} </w:t>
      </w:r>
      <w:r>
        <w:rPr>
          <w:rStyle w:val="Funotenanker"/>
        </w:rPr>
        <w:footnoteReference w:customMarkFollows="1" w:id="1385"/>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386"/>
        <w:t>b</w:t>
      </w:r>
      <w:r>
        <w:rPr/>
        <w:t xml:space="preserve"> </w:t>
      </w:r>
      <w:r>
        <w:rPr>
          <w:strike/>
          <w:color w:val="808080"/>
        </w:rPr>
        <w:t>{Absatz}</w:t>
      </w:r>
      <w:r>
        <w:rPr/>
        <w:t xml:space="preserve"> </w:t>
      </w:r>
      <w:r>
        <w:rPr>
          <w:rStyle w:val="Funotenanker"/>
        </w:rPr>
        <w:footnoteReference w:customMarkFollows="1" w:id="1387"/>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388"/>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389"/>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390"/>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391"/>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392"/>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393"/>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394"/>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395"/>
        <w:t>k</w:t>
      </w:r>
      <w:r>
        <w:rPr/>
        <w:t xml:space="preserve"> </w:t>
      </w:r>
      <w:r>
        <w:rPr>
          <w:strike/>
          <w:color w:val="808080"/>
        </w:rPr>
        <w:t>{und}</w:t>
      </w:r>
      <w:r>
        <w:rPr/>
        <w:t xml:space="preserve"> bis zu 100 Kor Weizen,</w:t>
      </w:r>
      <w:r>
        <w:rPr>
          <w:rStyle w:val="Funotenanker"/>
        </w:rPr>
        <w:footnoteReference w:customMarkFollows="1" w:id="1396"/>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397"/>
        <w:t>m</w:t>
      </w:r>
      <w:r>
        <w:rPr/>
        <w:t xml:space="preserve"> und Salz ohne vorgeschriebene Menge.</w:t>
      </w:r>
      <w:r>
        <w:rPr>
          <w:rStyle w:val="Funotenanker"/>
        </w:rPr>
        <w:footnoteReference w:customMarkFollows="1" w:id="1398"/>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399"/>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400"/>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401"/>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402"/>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403"/>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{{field-on:bible}}Es war ein Mann im Land Uz, Ijob</w:t>
      </w:r>
      <w:r>
        <w:rPr>
          <w:rStyle w:val="Funotenanker"/>
        </w:rPr>
        <w:footnoteReference w:customMarkFollows="1" w:id="1404"/>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405"/>
        <w:t>b</w:t>
      </w:r>
      <w:r>
        <w:rPr/>
        <w:t>, dass die Söhne Gottes</w:t>
      </w:r>
      <w:r>
        <w:rPr>
          <w:rStyle w:val="Funotenanker"/>
        </w:rPr>
        <w:footnoteReference w:customMarkFollows="1" w:id="1406"/>
        <w:t>c</w:t>
      </w:r>
      <w:r>
        <w:rPr/>
        <w:t xml:space="preserve"> kamen um vor </w:t>
      </w:r>
      <w:r>
        <w:rPr>
          <w:smallCaps/>
          <w:color w:val="FF0000"/>
        </w:rPr>
        <w:t>JHWH</w:t>
      </w:r>
      <w:r>
        <w:rPr/>
        <w:t xml:space="preserve"> zu treten</w:t>
      </w:r>
      <w:r>
        <w:rPr>
          <w:rStyle w:val="Funotenanker"/>
        </w:rPr>
        <w:footnoteReference w:customMarkFollows="1" w:id="1407"/>
        <w:t>d</w:t>
      </w:r>
      <w:r>
        <w:rPr/>
        <w:t xml:space="preserve">. Und </w:t>
      </w:r>
      <w:r>
        <w:rPr>
          <w:strike/>
          <w:color w:val="808080"/>
        </w:rPr>
        <w:t>{der}</w:t>
      </w:r>
      <w:r>
        <w:rPr/>
        <w:t xml:space="preserve"> Satan</w:t>
      </w:r>
      <w:r>
        <w:rPr>
          <w:rStyle w:val="Funotenanker"/>
        </w:rPr>
        <w:footnoteReference w:customMarkFollows="1" w:id="1408"/>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409"/>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410"/>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411"/>
        <w:t>h</w:t>
      </w:r>
      <w:r>
        <w:rPr/>
        <w:t xml:space="preserve"> auf meinen Diener </w:t>
      </w:r>
      <w:r>
        <w:rPr>
          <w:color w:val="808080"/>
        </w:rPr>
        <w:t>(Knecht, Sklave)</w:t>
      </w:r>
      <w:r>
        <w:rPr/>
        <w:t xml:space="preserve"> Ijob? Denn niemand</w:t>
      </w:r>
      <w:r>
        <w:rPr>
          <w:rStyle w:val="Funotenanker"/>
        </w:rPr>
        <w:footnoteReference w:customMarkFollows="1" w:id="1412"/>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413"/>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414"/>
        <w:t>k</w:t>
      </w:r>
      <w:r>
        <w:rPr/>
        <w:t xml:space="preserve"> gottesfürchtig?{{field-off:bible}} </w:t>
        <w:br/>
        <w:t>[[@BibleTOBIBLE:Job 1:10]]</w:t>
      </w:r>
      <w:r>
        <w:rPr>
          <w:b/>
        </w:rPr>
        <w:t>10</w:t>
      </w:r>
      <w:r>
        <w:rPr/>
        <w:t xml:space="preserve"> {{field-on:bible}}Hast du</w:t>
      </w:r>
      <w:r>
        <w:rPr>
          <w:rStyle w:val="Funotenanker"/>
        </w:rPr>
        <w:footnoteReference w:customMarkFollows="1" w:id="1415"/>
        <w:t>l</w:t>
      </w:r>
      <w:r>
        <w:rPr/>
        <w:t xml:space="preserve"> nicht</w:t>
      </w:r>
      <w:r>
        <w:rPr>
          <w:rStyle w:val="Funotenanker"/>
        </w:rPr>
        <w:footnoteReference w:customMarkFollows="1" w:id="1416"/>
        <w:t>m</w:t>
      </w:r>
      <w:r>
        <w:rPr/>
        <w:t xml:space="preserve"> schützend ihn umhegt</w:t>
      </w:r>
      <w:r>
        <w:rPr>
          <w:rStyle w:val="Funotenanker"/>
        </w:rPr>
        <w:footnoteReference w:customMarkFollows="1" w:id="1417"/>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418"/>
        <w:t>o</w:t>
      </w:r>
      <w:r>
        <w:rPr/>
        <w:t xml:space="preserve">? Die Arbeit </w:t>
      </w:r>
      <w:r>
        <w:rPr>
          <w:color w:val="808080"/>
        </w:rPr>
        <w:t>(Tun, Machen, Werk)</w:t>
      </w:r>
      <w:r>
        <w:rPr/>
        <w:t xml:space="preserve"> </w:t>
      </w:r>
      <w:r>
        <w:rPr>
          <w:rStyle w:val="Funotenanker"/>
        </w:rPr>
        <w:footnoteReference w:customMarkFollows="1" w:id="1419"/>
        <w:t>p</w:t>
      </w:r>
      <w:r>
        <w:rPr/>
        <w:t xml:space="preserve"> seiner Hände hast du gesegnet</w:t>
      </w:r>
      <w:r>
        <w:rPr>
          <w:rStyle w:val="Funotenanker"/>
        </w:rPr>
        <w:footnoteReference w:customMarkFollows="1" w:id="1420"/>
        <w:t>q</w:t>
      </w:r>
      <w:r>
        <w:rPr/>
        <w:t xml:space="preserve"> und seinen Besitz vermehrt auf der Erde</w:t>
      </w:r>
      <w:r>
        <w:rPr>
          <w:rStyle w:val="Funotenanker"/>
        </w:rPr>
        <w:footnoteReference w:customMarkFollows="1" w:id="1421"/>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422"/>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423"/>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424"/>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425"/>
        <w:t>Status</w:t>
      </w:r>
      <w:r>
        <w:rPr/>
        <w:t xml:space="preserve"> Danach öffnete Hiob seinen Mund und verfluchte seinen Tag </w:t>
      </w:r>
      <w:r>
        <w:rPr>
          <w:rStyle w:val="Funotenanker"/>
        </w:rPr>
        <w:footnoteReference w:customMarkFollows="1" w:id="1426"/>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427"/>
        <w:t>b</w:t>
      </w:r>
      <w:r>
        <w:rPr/>
        <w:t xml:space="preserve"> Tag, </w:t>
      </w:r>
      <w:r>
        <w:rPr>
          <w:b/>
          <w:color w:val="808080"/>
        </w:rPr>
        <w:t>[</w:t>
      </w:r>
      <w:r>
        <w:rPr/>
        <w:t>an dem</w:t>
      </w:r>
      <w:r>
        <w:rPr>
          <w:b/>
          <w:color w:val="808080"/>
        </w:rPr>
        <w:t>]</w:t>
      </w:r>
      <w:r>
        <w:rPr/>
        <w:t xml:space="preserve"> </w:t>
      </w:r>
      <w:r>
        <w:rPr>
          <w:rStyle w:val="Funotenanker"/>
        </w:rPr>
        <w:footnoteReference w:customMarkFollows="1" w:id="1428"/>
        <w:t>c</w:t>
      </w:r>
      <w:r>
        <w:rPr/>
        <w:t xml:space="preserve"> ich geboren wurde</w:t>
      </w:r>
      <w:r>
        <w:rPr>
          <w:rStyle w:val="Funotenanker"/>
        </w:rPr>
        <w:footnoteReference w:customMarkFollows="1" w:id="1429"/>
        <w:t>d</w:t>
      </w:r>
      <w:r>
        <w:rPr/>
        <w:t xml:space="preserve">, und die Nacht, </w:t>
      </w:r>
      <w:r>
        <w:rPr>
          <w:b/>
          <w:color w:val="808080"/>
        </w:rPr>
        <w:t>[</w:t>
      </w:r>
      <w:r>
        <w:rPr/>
        <w:t>die</w:t>
      </w:r>
      <w:r>
        <w:rPr>
          <w:b/>
          <w:color w:val="808080"/>
        </w:rPr>
        <w:t>]</w:t>
      </w:r>
      <w:r>
        <w:rPr/>
        <w:t xml:space="preserve"> </w:t>
      </w:r>
      <w:r>
        <w:rPr>
          <w:rStyle w:val="Funotenanker"/>
        </w:rPr>
        <w:footnoteReference w:customMarkFollows="1" w:id="1430"/>
        <w:t>e</w:t>
      </w:r>
      <w:r>
        <w:rPr/>
        <w:t xml:space="preserve"> sprach: »ein starker Mann </w:t>
      </w:r>
      <w:r>
        <w:rPr>
          <w:rStyle w:val="Funotenanker"/>
        </w:rPr>
        <w:footnoteReference w:customMarkFollows="1" w:id="1431"/>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432"/>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433"/>
        <w:t>h</w:t>
      </w:r>
      <w:r>
        <w:rPr/>
        <w:t xml:space="preserve"> sollen ihn zurückfordern </w:t>
      </w:r>
      <w:r>
        <w:rPr>
          <w:rStyle w:val="Funotenanker"/>
        </w:rPr>
        <w:footnoteReference w:customMarkFollows="1" w:id="1434"/>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435"/>
        <w:t>j</w:t>
      </w:r>
      <w:r>
        <w:rPr/>
        <w:t xml:space="preserve"> ihn schrecken!{{field-off:bible}} </w:t>
        <w:br/>
        <w:t>[[@BibleTOBIBLE:Job 3:6]]</w:t>
      </w:r>
      <w:r>
        <w:rPr>
          <w:b/>
        </w:rPr>
        <w:t>6</w:t>
      </w:r>
      <w:r>
        <w:rPr/>
        <w:t xml:space="preserve"> {{field-on:bible}}Diese Nacht </w:t>
      </w:r>
      <w:r>
        <w:rPr>
          <w:rStyle w:val="Funotenanker"/>
        </w:rPr>
        <w:footnoteReference w:customMarkFollows="1" w:id="1436"/>
        <w:t>k</w:t>
      </w:r>
      <w:r>
        <w:rPr/>
        <w:t xml:space="preserve"> – Düsternis reiße sie hinweg, sie reihe </w:t>
      </w:r>
      <w:r>
        <w:rPr>
          <w:rStyle w:val="Funotenanker"/>
        </w:rPr>
        <w:footnoteReference w:customMarkFollows="1" w:id="1437"/>
        <w:t>l</w:t>
      </w:r>
      <w:r>
        <w:rPr/>
        <w:t xml:space="preserve"> sich nicht ein in die Tage des Jahres! In den Ablauf </w:t>
      </w:r>
      <w:r>
        <w:rPr>
          <w:rStyle w:val="Funotenanker"/>
        </w:rPr>
        <w:footnoteReference w:customMarkFollows="1" w:id="1438"/>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439"/>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440"/>
        <w:t>o</w:t>
      </w:r>
      <w:r>
        <w:rPr/>
        <w:t xml:space="preserve"> hat weder die Türen des Schoßes</w:t>
      </w:r>
      <w:r>
        <w:rPr>
          <w:rStyle w:val="Funotenanker"/>
        </w:rPr>
        <w:footnoteReference w:customMarkFollows="1" w:id="1441"/>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442"/>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443"/>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444"/>
        <w:t>s</w:t>
      </w:r>
      <w:r>
        <w:rPr/>
        <w:t xml:space="preserve"> könnte ich jetzt daliegen und ausruhen. Ich könnte schlafen und hätte dann meine Ruhe</w:t>
      </w:r>
      <w:r>
        <w:rPr>
          <w:rStyle w:val="Funotenanker"/>
        </w:rPr>
        <w:footnoteReference w:customMarkFollows="1" w:id="1445"/>
        <w:t>t</w:t>
      </w:r>
      <w:r>
        <w:rPr/>
        <w:t xml:space="preserve"> {{field-off:bible}} </w:t>
        <w:br/>
        <w:t>[[@BibleTOBIBLE:Job 3:14]]</w:t>
      </w:r>
      <w:r>
        <w:rPr>
          <w:b/>
        </w:rPr>
        <w:t>14</w:t>
      </w:r>
      <w:r>
        <w:rPr/>
        <w:t xml:space="preserve"> {{field-on:bible}}zusammen </w:t>
      </w:r>
      <w:r>
        <w:rPr>
          <w:rStyle w:val="Funotenanker"/>
        </w:rPr>
        <w:footnoteReference w:customMarkFollows="1" w:id="1446"/>
        <w:t>u</w:t>
      </w:r>
      <w:r>
        <w:rPr/>
        <w:t xml:space="preserve"> mit Königen und Reichsverwaltern, die zerstörte Denkstätten </w:t>
      </w:r>
      <w:r>
        <w:rPr>
          <w:rStyle w:val="Funotenanker"/>
        </w:rPr>
        <w:footnoteReference w:customMarkFollows="1" w:id="1447"/>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448"/>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449"/>
        <w:t>x</w:t>
      </w:r>
      <w:r>
        <w:rPr/>
        <w:t xml:space="preserve"> Gefangenen wohl; sie hören</w:t>
      </w:r>
      <w:r>
        <w:rPr>
          <w:rStyle w:val="Funotenanker"/>
        </w:rPr>
        <w:footnoteReference w:customMarkFollows="1" w:id="1450"/>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451"/>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452"/>
        <w:t>aa</w:t>
      </w:r>
      <w:r>
        <w:rPr/>
        <w:t xml:space="preserve"> einem Leidenden Licht und Leben denen, deren Seele </w:t>
      </w:r>
      <w:r>
        <w:rPr>
          <w:rStyle w:val="Funotenanker"/>
        </w:rPr>
        <w:footnoteReference w:customMarkFollows="1" w:id="1453"/>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454"/>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455"/>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19]]Kapitel 19</w:t>
      </w:r>
    </w:p>
    <w:p>
      <w:pPr>
        <w:pStyle w:val="Textkrper"/>
        <w:rPr/>
      </w:pPr>
      <w:r>
        <w:rPr/>
        <w:br/>
        <w:t>[[@BibleTOBIBLE:Job 19:25]]</w:t>
      </w:r>
      <w:r>
        <w:rPr>
          <w:b/>
        </w:rPr>
        <w:t>25</w:t>
      </w:r>
      <w:r>
        <w:rPr/>
        <w:t xml:space="preserve"> {{field-on:bible}}Und ich, ich weiß: Mein Löser </w:t>
      </w:r>
      <w:r>
        <w:rPr>
          <w:color w:val="808080"/>
        </w:rPr>
        <w:t>(Erlöser)</w:t>
      </w:r>
      <w:r>
        <w:rPr/>
        <w:t xml:space="preserve"> </w:t>
      </w:r>
      <w:r>
        <w:rPr>
          <w:rStyle w:val="Funotenanker"/>
        </w:rPr>
        <w:footnoteReference w:customMarkFollows="1" w:id="1456"/>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457"/>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458"/>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459"/>
        <w:t>b</w:t>
      </w:r>
      <w:r>
        <w:rPr/>
        <w:t xml:space="preserve">, </w:t>
        <w:br/>
        <w:t xml:space="preserve">der nicht dem Rat </w:t>
      </w:r>
      <w:r>
        <w:rPr>
          <w:color w:val="808080"/>
        </w:rPr>
        <w:t>(den Plänen)</w:t>
      </w:r>
      <w:r>
        <w:rPr/>
        <w:t xml:space="preserve"> </w:t>
      </w:r>
      <w:r>
        <w:rPr>
          <w:rStyle w:val="Funotenanker"/>
        </w:rPr>
        <w:footnoteReference w:customMarkFollows="1" w:id="1460"/>
        <w:t>c</w:t>
      </w:r>
      <w:r>
        <w:rPr/>
        <w:t xml:space="preserve"> der Gottlosen </w:t>
      </w:r>
      <w:r>
        <w:rPr>
          <w:color w:val="808080"/>
        </w:rPr>
        <w:t>(Übeltäter)</w:t>
      </w:r>
      <w:r>
        <w:rPr/>
        <w:t xml:space="preserve"> </w:t>
      </w:r>
      <w:r>
        <w:rPr>
          <w:rStyle w:val="Funotenanker"/>
        </w:rPr>
        <w:footnoteReference w:customMarkFollows="1" w:id="1461"/>
        <w:t>d</w:t>
      </w:r>
      <w:r>
        <w:rPr/>
        <w:t xml:space="preserve"> folgt </w:t>
      </w:r>
      <w:r>
        <w:rPr>
          <w:color w:val="808080"/>
        </w:rPr>
        <w:t>(gefolgt ist)</w:t>
      </w:r>
      <w:r>
        <w:rPr/>
        <w:t xml:space="preserve"> </w:t>
      </w:r>
      <w:r>
        <w:rPr>
          <w:rStyle w:val="Funotenanker"/>
        </w:rPr>
        <w:footnoteReference w:customMarkFollows="1" w:id="1462"/>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463"/>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464"/>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465"/>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466"/>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467"/>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468"/>
        <w:t>k</w:t>
      </w:r>
      <w:r>
        <w:rPr/>
        <w:t>.</w:t>
      </w:r>
      <w:r>
        <w:rPr>
          <w:rStyle w:val="Funotenanker"/>
        </w:rPr>
        <w:footnoteReference w:customMarkFollows="1" w:id="1469"/>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470"/>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471"/>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472"/>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473"/>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474"/>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475"/>
        <w:t>a</w:t>
      </w:r>
      <w:r>
        <w:rPr/>
        <w:t xml:space="preserve"> </w:t>
      </w:r>
      <w:r>
        <w:rPr>
          <w:rStyle w:val="Funotenanker"/>
        </w:rPr>
        <w:footnoteReference w:customMarkFollows="1" w:id="1476"/>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477"/>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478"/>
        <w:t>d</w:t>
      </w:r>
      <w:r>
        <w:rPr/>
        <w:t xml:space="preserve"> stellen die Könige der Erde </w:t>
      </w:r>
      <w:r>
        <w:rPr>
          <w:color w:val="808080"/>
        </w:rPr>
        <w:t>(des Landes; irdischen Könige)</w:t>
      </w:r>
      <w:r>
        <w:rPr/>
        <w:t xml:space="preserve"> </w:t>
      </w:r>
      <w:r>
        <w:rPr>
          <w:rStyle w:val="Funotenanker"/>
        </w:rPr>
        <w:footnoteReference w:customMarkFollows="1" w:id="1479"/>
        <w:t>e</w:t>
      </w:r>
      <w:r>
        <w:rPr/>
        <w:t xml:space="preserve"> sich </w:t>
      </w:r>
      <w:r>
        <w:rPr>
          <w:b/>
          <w:color w:val="808080"/>
        </w:rPr>
        <w:t>[</w:t>
      </w:r>
      <w:r>
        <w:rPr/>
        <w:t>zum Kampf</w:t>
      </w:r>
      <w:r>
        <w:rPr>
          <w:b/>
          <w:color w:val="808080"/>
        </w:rPr>
        <w:t>]</w:t>
      </w:r>
      <w:r>
        <w:rPr/>
        <w:t xml:space="preserve"> </w:t>
      </w:r>
      <w:r>
        <w:rPr>
          <w:rStyle w:val="Funotenanker"/>
        </w:rPr>
        <w:footnoteReference w:customMarkFollows="1" w:id="1480"/>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481"/>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482"/>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483"/>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484"/>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485"/>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486"/>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487"/>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488"/>
        <w:t>n</w:t>
      </w:r>
      <w:r>
        <w:rPr/>
        <w:t xml:space="preserve"> habe meinen König auf Zion, meinem heiligen Berg</w:t>
      </w:r>
      <w:r>
        <w:rPr>
          <w:rStyle w:val="Funotenanker"/>
        </w:rPr>
        <w:footnoteReference w:customMarkFollows="1" w:id="1489"/>
        <w:t>o</w:t>
      </w:r>
      <w:r>
        <w:rPr/>
        <w:t xml:space="preserve">, eingesetzt </w:t>
      </w:r>
      <w:r>
        <w:rPr>
          <w:color w:val="808080"/>
        </w:rPr>
        <w:t>(geweiht; setze ein)</w:t>
      </w:r>
      <w:r>
        <w:rPr/>
        <w:t xml:space="preserve"> </w:t>
      </w:r>
      <w:r>
        <w:rPr>
          <w:rStyle w:val="Funotenanker"/>
        </w:rPr>
        <w:footnoteReference w:customMarkFollows="1" w:id="1490"/>
        <w:t>p</w:t>
      </w:r>
      <w:r>
        <w:rPr/>
        <w:t>.“</w:t>
        <w:br/>
        <w:br/>
        <w:t xml:space="preserve">{{field-off:bible}} </w:t>
        <w:br/>
        <w:t>[[@BibleTOBIBLE:Ps 2:7]]</w:t>
      </w:r>
      <w:r>
        <w:rPr>
          <w:b/>
        </w:rPr>
        <w:t>7</w:t>
      </w:r>
      <w:r>
        <w:rPr/>
        <w:t xml:space="preserve"> {{field-on:bible}} </w:t>
        <w:br/>
      </w:r>
      <w:r>
        <w:rPr>
          <w:rStyle w:val="Funotenanker"/>
        </w:rPr>
        <w:footnoteReference w:customMarkFollows="1" w:id="1491"/>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492"/>
        <w:t>r</w:t>
      </w:r>
      <w:r>
        <w:rPr/>
        <w:t xml:space="preserve"> der Anordnung </w:t>
      </w:r>
      <w:r>
        <w:rPr>
          <w:color w:val="808080"/>
        </w:rPr>
        <w:t>(Einsetzungsurkunde, Königsprotokoll, Gesetz)</w:t>
      </w:r>
      <w:r>
        <w:rPr/>
        <w:t xml:space="preserve"> </w:t>
      </w:r>
      <w:r>
        <w:rPr>
          <w:rStyle w:val="Funotenanker"/>
        </w:rPr>
        <w:footnoteReference w:customMarkFollows="1" w:id="1493"/>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494"/>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495"/>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496"/>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497"/>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498"/>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499"/>
        <w:t>y</w:t>
      </w:r>
      <w:r>
        <w:rPr/>
        <w:t xml:space="preserve"> zerschmettern </w:t>
      </w:r>
      <w:r>
        <w:rPr>
          <w:color w:val="808080"/>
        </w:rPr>
        <w:t>(weiden)</w:t>
      </w:r>
      <w:r>
        <w:rPr/>
        <w:t xml:space="preserve"> </w:t>
      </w:r>
      <w:r>
        <w:rPr>
          <w:rStyle w:val="Funotenanker"/>
        </w:rPr>
        <w:footnoteReference w:customMarkFollows="1" w:id="1500"/>
        <w:t>z</w:t>
      </w:r>
      <w:r>
        <w:rPr/>
        <w:t>,</w:t>
        <w:br/>
        <w:t>wie Töpferware</w:t>
      </w:r>
      <w:r>
        <w:rPr>
          <w:rStyle w:val="Funotenanker"/>
        </w:rPr>
        <w:footnoteReference w:customMarkFollows="1" w:id="1501"/>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502"/>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503"/>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t>Psalm 3 ist ein Vertrauenspsalm in der Form eines Klagepsalms. Die einzelnen Bestandteile der Psalmengattung „Klagepsalm“ sind klar erkennbar: V. 1 ist die „Psalmüberschrift“. Sie gehörte nicht ursprünglich zum Psalm, sondern diese und andere Psalmüberschriften wurden nachträglich zu den Psalmen hinzugefügt. Über den Sinn dieser Hinzufügungen weiß man oft immer noch nichts Genaueres. Doch da es sich um nachträgliche Hinzufügungen handelt, wirkt sich das glücklicherweise nicht nachteilig auf das Verständnis des Psalms im Ganzen aus. Mit „</w:t>
      </w:r>
      <w:r>
        <w:rPr>
          <w:rStyle w:val="Funotenanker"/>
        </w:rPr>
        <w:footnoteReference w:customMarkFollows="1" w:id="1504"/>
        <w:t>a</w:t>
      </w:r>
      <w:r>
        <w:rPr/>
        <w:t xml:space="preserve">“ in V. 2 setzt der Psalm mit der sog. „Invokation“ ein: Gott wird angerufen, damit er dem folgenden Gebet Gehör schenken möge. Darauf folgt in Vv. 2-3 direkt die „Klage“, in der der Beter sich über das beklagt, was für ihn Anlass zum Beten ist: Er wird von einer Vielzahl von Feinden bedrängt, die mit ihrem Spott darüber hinaus auch noch sein Verhältnis zu Gott angreifen: Gott wird ihn nicht retten. Hat Gott also den Beter verlassen? Nein: Dieser Spott wird ihm in Vv. 4-7 zum Anlass für eine längere „Vertrauensäußerung“, wie sie sich häufiger in Klagepsalmen findet: Der Beter leidet zwar aktuell unter Bedrängnissen, kann aber dennoch Vertrauen haben, dass Gott ihn wieder retten wird. Grund für dieses Vertrauen sind ihm nach Vv. 5f. bereits gemachte Erfahrungen, in denen sich Gott ihm als Helfer erwiesen hat. Aus diesem Grund muss er sich auch nun vor den „Myriaden von Kriegern“ nicht fürchten (V. 7). Derartige Vertrauensäußerungen sind in Klagepsalmen nie nur Rede über Gott. Sie dienen auch der Rede zu Gott und haben eine bestimmte Funktion im Gang der Argumentation von Klagepsalmen: Gott soll daran erinnert werden, was für eine Art von Gott er eigentlich ist - nämlich einer, der immer schon geholfen hat und immer wieder hilft. Würde er dem Beter daher nun nicht helfen, würde er sich damit selbst untreu (vgl. gut Broyles 1989, S. 42f.). Nachdem er sich derart wieder der Vertrauenswürdigkeit seines helfenden Gottes vergewissert und Gott an seine eigentliche Vertrauenswürdigkeit erinnert hat, kann er daher in V. 8 von Neuem von seiner aktuellen Situation zu sprechen anheben, diesmal in Form einer „Bitte“: Gott möge ihm doch auch jetzt helfen, indem er „seinen Feinden Kiefer und Zähne zertrümmert“. Und, ebenfalls noch „beschwingt“ von seinem Vertrauen, dessen er sich eben neu vergewissert hat, kann er in V. 9 schließen mit einem kleinen Hymnus: „Bei </w:t>
      </w:r>
      <w:r>
        <w:rPr>
          <w:rStyle w:val="Funotenanker"/>
        </w:rPr>
        <w:footnoteReference w:customMarkFollows="1" w:id="1505"/>
        <w:t>b</w:t>
      </w:r>
      <w:r>
        <w:rPr/>
        <w:t xml:space="preserve"> ist die Rettung, auf deinem Volk ist dein Segen.“ Ganz ähnlich wie die Vertrauensäußerung in Vv. 4-7 dient auch ein solcher abschließender Hymnus nie nur der Rede über Gott, sondern auch der Rede zu Gott: Auch der abschließende Preis für den „eigentlichen“ Charakter </w:t>
      </w:r>
      <w:r>
        <w:rPr>
          <w:rStyle w:val="Funotenanker"/>
        </w:rPr>
        <w:footnoteReference w:customMarkFollows="1" w:id="1506"/>
        <w:t>c</w:t>
      </w:r>
      <w:r>
        <w:rPr/>
        <w:t xml:space="preserve">s soll diesen noch einmal motivieren, dem Beter beizustehen (vgl. ebd., S. 44). Es macht daher viel Sinn, dass der Beter den letzten Vers mit verblosen Sätzen konstruiert hat, die man daher auch übersetzen könnte: „Bei </w:t>
      </w:r>
      <w:r>
        <w:rPr>
          <w:rStyle w:val="Funotenanker"/>
        </w:rPr>
        <w:footnoteReference w:customMarkFollows="1" w:id="1507"/>
        <w:t>d</w:t>
      </w:r>
      <w:r>
        <w:rPr/>
        <w:t xml:space="preserve"> sei die Rettung, auf deinem Volk sei dein Segen.“ Im Zentrum des Psalms steht also das berechtigte Vertrauen in Gott trotz aktueller Bedrängnisse. Nicht nur inhaltlich ist das leicht ersichtlich, sondern auch strukturell wird diese Botschaft unterstrichen: Vv. 2f. und Vv. 7-9 sind durch Stichworte miteinander verknüpft und schließen sich so als Rahmen um den zentralen Abschnitt Vv. 4-6, der von Gott als dem immerwährend verlässlichen Helfer handelt, und Vv. 4-6 als das Scharnier zwischen Vv. 2f. und Vv. 7-9 sind der Grund dafür, dass die Aussagen in diesen beiden Abschnitten ganz gegensätzlich sind: : A: Wie zahlreich sind meine Gegner! :: B: Wie zahlreich sind, die sich gegen mich erheben! ::: C: Wie zahlreich sind, die über meine Seele sagen...! :::: D: Es gibt keine Rettung für ihn durch Gott! : Vertrauensäußerung : A': Ich fürchte mich nicht vor den Myriaden von Kriegern :: B': Erhebe dich, </w:t>
      </w:r>
      <w:r>
        <w:rPr>
          <w:rStyle w:val="Funotenanker"/>
        </w:rPr>
        <w:footnoteReference w:customMarkFollows="1" w:id="1508"/>
        <w:t>e</w:t>
      </w:r>
      <w:r>
        <w:rPr/>
        <w:t xml:space="preserve">! ::: C': Zerschlage meinen Feinden Kiefer und Zähne! :::: D': Bei </w:t>
      </w:r>
      <w:r>
        <w:rPr>
          <w:rStyle w:val="Funotenanker"/>
        </w:rPr>
        <w:footnoteReference w:customMarkFollows="1" w:id="1509"/>
        <w:t>f</w:t>
      </w:r>
      <w:r>
        <w:rPr/>
        <w:t xml:space="preserve"> ist Rettung! </w:t>
        <w:br/>
        <w:br/>
        <w:t>[[@BibleTOBIBLE:Ps 3:1]]</w:t>
      </w:r>
      <w:r>
        <w:rPr>
          <w:b/>
        </w:rPr>
        <w:t>1</w:t>
      </w:r>
      <w:r>
        <w:rPr/>
        <w:t xml:space="preserve"> {{field-on:bible}} </w:t>
      </w:r>
      <w:r>
        <w:rPr>
          <w:rStyle w:val="Funotenanker"/>
        </w:rPr>
        <w:footnoteReference w:customMarkFollows="1" w:id="1510"/>
        <w:t>Status</w:t>
      </w:r>
      <w:r>
        <w:rPr/>
        <w:t xml:space="preserve"> ''Ein Psalm </w:t>
      </w:r>
      <w:r>
        <w:rPr>
          <w:color w:val="808080"/>
        </w:rPr>
        <w:t>(begleitetes Lied)</w:t>
      </w:r>
      <w:r>
        <w:rPr/>
        <w:t xml:space="preserve"> von </w:t>
      </w:r>
      <w:r>
        <w:rPr>
          <w:color w:val="808080"/>
        </w:rPr>
        <w:t>(für, über, nach Art von)</w:t>
      </w:r>
      <w:r>
        <w:rPr/>
        <w:t xml:space="preserve"> David.'' ''Während </w:t>
      </w:r>
      <w:r>
        <w:rPr>
          <w:color w:val="808080"/>
        </w:rPr>
        <w:t>(Als)</w:t>
      </w:r>
      <w:r>
        <w:rPr/>
        <w:t xml:space="preserve"> er floh vor Absalom, seinem Sohn.''</w:t>
      </w:r>
      <w:r>
        <w:rPr>
          <w:rStyle w:val="Funotenanker"/>
        </w:rPr>
        <w:footnoteReference w:customMarkFollows="1" w:id="1511"/>
        <w:t>g</w:t>
      </w:r>
      <w:r>
        <w:rPr/>
        <w:t xml:space="preserve"> </w:t>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512"/>
        <w:t>h</w:t>
      </w:r>
      <w:r>
        <w:rPr/>
        <w:t xml:space="preserve"> zahlreich </w:t>
      </w:r>
      <w:r>
        <w:rPr>
          <w:color w:val="808080"/>
        </w:rPr>
        <w:t>(wie sehr vermehrt)</w:t>
      </w:r>
      <w:r>
        <w:rPr/>
        <w:t xml:space="preserve"> </w:t>
      </w:r>
      <w:r>
        <w:rPr>
          <w:b/>
          <w:color w:val="808080"/>
        </w:rPr>
        <w:t>[</w:t>
      </w:r>
      <w:r>
        <w:rPr/>
        <w:t>sind</w:t>
      </w:r>
      <w:r>
        <w:rPr>
          <w:b/>
          <w:color w:val="808080"/>
        </w:rPr>
        <w:t>]</w:t>
      </w:r>
      <w:r>
        <w:rPr/>
        <w:t xml:space="preserve"> meine Gegner </w:t>
      </w:r>
      <w:r>
        <w:rPr>
          <w:color w:val="808080"/>
        </w:rPr>
        <w:t>(die, die sich gegen mich erheben)</w:t>
      </w:r>
      <w:r>
        <w:rPr/>
        <w:t xml:space="preserve"> </w:t>
      </w:r>
      <w:r>
        <w:rPr>
          <w:rStyle w:val="Funotenanker"/>
        </w:rPr>
        <w:footnoteReference w:customMarkFollows="1" w:id="1513"/>
        <w:t>i</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514"/>
        <w:t>j</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515"/>
        <w:t>k</w:t>
      </w:r>
      <w:r>
        <w:rPr/>
        <w:t xml:space="preserve"> </w:t>
      </w:r>
      <w:r>
        <w:rPr>
          <w:rStyle w:val="Funotenanker"/>
        </w:rPr>
        <w:footnoteReference w:customMarkFollows="1" w:id="1516"/>
        <w:t>l</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517"/>
        <w:t>m</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518"/>
        <w:t>n</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519"/>
        <w:t>o</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520"/>
        <w:t>p</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ich </w:t>
      </w:r>
      <w:r>
        <w:rPr>
          <w:b/>
          <w:color w:val="808080"/>
        </w:rPr>
        <w:t>[</w:t>
      </w:r>
      <w:r>
        <w:rPr/>
        <w:t>mit</w:t>
      </w:r>
      <w:r>
        <w:rPr>
          <w:b/>
          <w:color w:val="808080"/>
        </w:rPr>
        <w:t>]</w:t>
      </w:r>
      <w:r>
        <w:rPr/>
        <w:t xml:space="preserve"> meiner Stimme</w:t>
      </w:r>
      <w:r>
        <w:rPr>
          <w:rStyle w:val="Funotenanker"/>
        </w:rPr>
        <w:footnoteReference w:customMarkFollows="1" w:id="1521"/>
        <w:t>q</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522"/>
        <w:t>r</w:t>
      </w:r>
      <w:r>
        <w:rPr/>
        <w:t xml:space="preserve"> </w:t>
      </w:r>
      <w:r>
        <w:rPr>
          <w:color w:val="808080"/>
        </w:rPr>
        <w:t>)</w:t>
      </w:r>
      <w:r>
        <w:rPr/>
        <w:t xml:space="preserve"> </w:t>
      </w:r>
      <w:r>
        <w:rPr>
          <w:rStyle w:val="Funotenanker"/>
        </w:rPr>
        <w:footnoteReference w:customMarkFollows="1" w:id="1523"/>
        <w:t>s</w:t>
      </w:r>
      <w:r>
        <w:rPr/>
        <w:t xml:space="preserve"> er mir von seinem heiligen Berg </w:t>
      </w:r>
      <w:r>
        <w:rPr>
          <w:color w:val="808080"/>
        </w:rPr>
        <w:t>(vom Berg seiner Heiligkeit)</w:t>
      </w:r>
      <w:r>
        <w:rPr/>
        <w:t>.</w:t>
      </w:r>
      <w:r>
        <w:rPr>
          <w:rStyle w:val="Funotenanker"/>
        </w:rPr>
        <w:footnoteReference w:customMarkFollows="1" w:id="1524"/>
        <w:t>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w:t>
      </w:r>
      <w:r>
        <w:rPr>
          <w:color w:val="808080"/>
        </w:rPr>
        <w:t>(</w:t>
      </w:r>
      <w:r>
        <w:rPr>
          <w:b/>
          <w:color w:val="808080"/>
        </w:rPr>
        <w:t>[</w:t>
      </w:r>
      <w:r>
        <w:rPr>
          <w:color w:val="808080"/>
        </w:rPr>
        <w:t>wenn</w:t>
      </w:r>
      <w:r>
        <w:rPr>
          <w:b/>
          <w:color w:val="808080"/>
        </w:rPr>
        <w:t>]</w:t>
      </w:r>
      <w:r>
        <w:rPr>
          <w:color w:val="808080"/>
        </w:rPr>
        <w:t xml:space="preserve"> ich einschlafe)</w:t>
      </w:r>
      <w:r>
        <w:rPr/>
        <w:t xml:space="preserv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t xml:space="preserve">Ich fürchte mich nicht vor </w:t>
      </w:r>
      <w:r>
        <w:rPr>
          <w:b/>
          <w:color w:val="808080"/>
        </w:rPr>
        <w:t>[</w:t>
      </w:r>
      <w:r>
        <w:rPr/>
        <w:t>den</w:t>
      </w:r>
      <w:r>
        <w:rPr>
          <w:b/>
          <w:color w:val="808080"/>
        </w:rPr>
        <w:t>]</w:t>
      </w:r>
      <w:r>
        <w:rPr/>
        <w:t xml:space="preserve"> </w:t>
      </w:r>
      <w:r>
        <w:rPr>
          <w:rStyle w:val="Funotenanker"/>
        </w:rPr>
        <w:footnoteReference w:customMarkFollows="1" w:id="1525"/>
        <w:t>u</w:t>
      </w:r>
      <w:r>
        <w:rPr/>
        <w:t xml:space="preserve"> Myriaden von Kriegern,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526"/>
        <w:t>v</w:t>
      </w:r>
      <w:r>
        <w:rPr/>
        <w:t xml:space="preserve"> Zerschlage</w:t>
      </w:r>
      <w:r>
        <w:rPr>
          <w:rStyle w:val="Funotenanker"/>
        </w:rPr>
        <w:footnoteReference w:customMarkFollows="1" w:id="1527"/>
        <w:t>w</w:t>
      </w:r>
      <w:r>
        <w:rPr/>
        <w:t xml:space="preserve"> </w:t>
      </w:r>
      <w:r>
        <w:rPr>
          <w:color w:val="808080"/>
        </w:rPr>
        <w:t>(Schlage auf)</w:t>
      </w:r>
      <w:r>
        <w:rPr/>
        <w:t xml:space="preserve"> </w:t>
      </w:r>
      <w:r>
        <w:rPr>
          <w:rStyle w:val="Funotenanker"/>
        </w:rPr>
        <w:footnoteReference w:customMarkFollows="1" w:id="1528"/>
        <w:t>x</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b/>
          <w:color w:val="808080"/>
        </w:rPr>
        <w:t>[</w:t>
      </w:r>
      <w:r>
        <w:rPr/>
        <w:t xml:space="preserve">ist </w:t>
      </w:r>
      <w:r>
        <w:rPr>
          <w:color w:val="808080"/>
        </w:rPr>
        <w:t>(sei)</w:t>
      </w:r>
      <w:r>
        <w:rPr>
          <w:b/>
          <w:color w:val="808080"/>
        </w:rPr>
        <w:t>]</w:t>
      </w:r>
      <w:r>
        <w:rPr/>
        <w:t xml:space="preserve"> die Rettung </w:t>
      </w:r>
      <w:r>
        <w:rPr>
          <w:color w:val="808080"/>
        </w:rPr>
        <w:t>(Hilfe, Sieg)</w:t>
      </w:r>
      <w:r>
        <w:rPr/>
        <w:t xml:space="preserve"> </w:t>
      </w:r>
      <w:r>
        <w:rPr>
          <w:rStyle w:val="Funotenanker"/>
        </w:rPr>
        <w:footnoteReference w:customMarkFollows="1" w:id="1529"/>
        <w:t>y</w:t>
      </w:r>
      <w:r>
        <w:rPr/>
        <w:t xml:space="preserve">; auf deinem Volk </w:t>
      </w:r>
      <w:r>
        <w:rPr>
          <w:b/>
          <w:color w:val="808080"/>
        </w:rPr>
        <w:t>[</w:t>
      </w:r>
      <w:r>
        <w:rPr/>
        <w:t xml:space="preserve">ist </w:t>
      </w:r>
      <w:r>
        <w:rPr>
          <w:color w:val="808080"/>
        </w:rPr>
        <w:t>(sei)</w:t>
      </w:r>
      <w:r>
        <w:rPr>
          <w:b/>
          <w:color w:val="808080"/>
        </w:rPr>
        <w:t>]</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530"/>
        <w:t>Status</w:t>
      </w:r>
      <w:r>
        <w:rPr/>
        <w:t xml:space="preserve"> Für den Chorleiter </w:t>
      </w:r>
      <w:r>
        <w:rPr>
          <w:color w:val="808080"/>
        </w:rPr>
        <w:t>(Dirigenten, Singenden, Musizierenden)</w:t>
      </w:r>
      <w:r>
        <w:rPr/>
        <w:t>.</w:t>
      </w:r>
      <w:r>
        <w:rPr>
          <w:rStyle w:val="Funotenanker"/>
        </w:rPr>
        <w:footnoteReference w:customMarkFollows="1" w:id="1531"/>
        <w:t>a</w:t>
      </w:r>
      <w:r>
        <w:rPr/>
        <w:t xml:space="preserve"> Mit Saitenspiel </w:t>
      </w:r>
      <w:r>
        <w:rPr>
          <w:color w:val="808080"/>
        </w:rPr>
        <w:t>(Flötenspiel)</w:t>
      </w:r>
      <w:r>
        <w:rPr/>
        <w:t xml:space="preserve"> </w:t>
      </w:r>
      <w:r>
        <w:rPr>
          <w:rStyle w:val="Funotenanker"/>
        </w:rPr>
        <w:footnoteReference w:customMarkFollows="1" w:id="1532"/>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533"/>
        <w:t>c</w:t>
      </w:r>
      <w:r>
        <w:rPr/>
        <w:t xml:space="preserve">, oh du mein wahrer Gott </w:t>
      </w:r>
      <w:r>
        <w:rPr>
          <w:color w:val="808080"/>
        </w:rPr>
        <w:t>(mein gerechter Gott, Gott meines Heils, Gott meiner Gerechtigkeit)</w:t>
      </w:r>
      <w:r>
        <w:rPr/>
        <w:t xml:space="preserve"> </w:t>
      </w:r>
      <w:r>
        <w:rPr>
          <w:rStyle w:val="Funotenanker"/>
        </w:rPr>
        <w:footnoteReference w:customMarkFollows="1" w:id="1534"/>
        <w:t>d</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535"/>
        <w:t>e</w:t>
      </w:r>
      <w:r>
        <w:rPr/>
        <w:t xml:space="preserve"> Weite </w:t>
      </w:r>
      <w:r>
        <w:rPr>
          <w:color w:val="808080"/>
        </w:rPr>
        <w:t>(hilf mir in meiner Not)</w:t>
      </w:r>
      <w:r>
        <w:rPr/>
        <w:t xml:space="preserve"> </w:t>
      </w:r>
      <w:r>
        <w:rPr>
          <w:rStyle w:val="Funotenanker"/>
        </w:rPr>
        <w:footnoteReference w:customMarkFollows="1" w:id="1536"/>
        <w:t>f</w:t>
      </w:r>
      <w:r>
        <w:rPr/>
        <w:t xml:space="preserve"> erbarme dich meiner und höre </w:t>
      </w:r>
      <w:r>
        <w:rPr>
          <w:color w:val="808080"/>
        </w:rPr>
        <w:t>(erhöre)</w:t>
      </w:r>
      <w:r>
        <w:rPr/>
        <w:t xml:space="preserve"> </w:t>
      </w:r>
      <w:r>
        <w:rPr>
          <w:rStyle w:val="Funotenanker"/>
        </w:rPr>
        <w:footnoteReference w:customMarkFollows="1" w:id="1537"/>
        <w:t>g</w:t>
      </w:r>
      <w:r>
        <w:rPr/>
        <w:t xml:space="preserve"> mein Flehen </w:t>
      </w:r>
      <w:r>
        <w:rPr>
          <w:color w:val="808080"/>
        </w:rPr>
        <w:t>(Gebet)</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538"/>
        <w:t>h</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539"/>
        <w:t>i</w:t>
      </w:r>
      <w:r>
        <w:rPr/>
        <w:t xml:space="preserve"> geschmäht </w:t>
      </w:r>
      <w:r>
        <w:rPr>
          <w:color w:val="808080"/>
        </w:rPr>
        <w:t>(zum Schimpf)</w:t>
      </w:r>
      <w:r>
        <w:rPr/>
        <w:t xml:space="preserve"> </w:t>
      </w:r>
      <w:r>
        <w:rPr>
          <w:rStyle w:val="Funotenanker"/>
        </w:rPr>
        <w:footnoteReference w:customMarkFollows="1" w:id="1540"/>
        <w:t>j</w:t>
      </w:r>
      <w:r>
        <w:rPr/>
        <w:t xml:space="preserve">? </w:t>
      </w:r>
      <w:r>
        <w:rPr>
          <w:b/>
          <w:color w:val="808080"/>
        </w:rPr>
        <w:t>[</w:t>
      </w:r>
      <w:r>
        <w:rPr/>
        <w:t>Wie lange</w:t>
      </w:r>
      <w:r>
        <w:rPr>
          <w:b/>
          <w:color w:val="808080"/>
        </w:rPr>
        <w:t>]</w:t>
      </w:r>
      <w:r>
        <w:rPr/>
        <w:t xml:space="preserve"> </w:t>
      </w:r>
      <w:r>
        <w:rPr>
          <w:rStyle w:val="Funotenanker"/>
        </w:rPr>
        <w:footnoteReference w:customMarkFollows="1" w:id="1541"/>
        <w:t>k</w:t>
      </w:r>
      <w:r>
        <w:rPr/>
        <w:t xml:space="preserve"> wollt ihr Nichtiges </w:t>
      </w:r>
      <w:r>
        <w:rPr>
          <w:color w:val="808080"/>
        </w:rPr>
        <w:t>(Leeres, Abgötter)</w:t>
      </w:r>
      <w:r>
        <w:rPr/>
        <w:t xml:space="preserve"> </w:t>
      </w:r>
      <w:r>
        <w:rPr>
          <w:rStyle w:val="Funotenanker"/>
        </w:rPr>
        <w:footnoteReference w:customMarkFollows="1" w:id="1542"/>
        <w:t>l</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543"/>
        <w:t>m</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544"/>
        <w:t>n</w:t>
      </w:r>
      <w:r>
        <w:rPr/>
        <w:t xml:space="preserve"> den ihm Frommen </w:t>
      </w:r>
      <w:r>
        <w:rPr>
          <w:color w:val="808080"/>
        </w:rPr>
        <w:t>(seinem Frommen)</w:t>
      </w:r>
      <w:r>
        <w:rPr/>
        <w:t xml:space="preserve"> </w:t>
      </w:r>
      <w:r>
        <w:rPr>
          <w:rStyle w:val="Funotenanker"/>
        </w:rPr>
        <w:footnoteReference w:customMarkFollows="1" w:id="1545"/>
        <w:t>o</w:t>
      </w:r>
      <w:r>
        <w:rPr/>
        <w:t xml:space="preserve">; </w:t>
      </w:r>
      <w:r>
        <w:rPr>
          <w:smallCaps/>
          <w:color w:val="FF0000"/>
        </w:rPr>
        <w:t>JHWH</w:t>
      </w:r>
      <w:r>
        <w:rPr/>
        <w:t xml:space="preserve"> wird hören </w:t>
      </w:r>
      <w:r>
        <w:rPr>
          <w:color w:val="808080"/>
        </w:rPr>
        <w:t>(erhören)</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546"/>
        <w:t>p</w:t>
      </w:r>
      <w:r>
        <w:rPr/>
        <w:t xml:space="preserve"> unruhig seid </w:t>
      </w:r>
      <w:r>
        <w:rPr>
          <w:color w:val="808080"/>
        </w:rPr>
        <w:t>(seid unruhig!, Zittert!)</w:t>
      </w:r>
      <w:r>
        <w:rPr/>
        <w:t>,</w:t>
      </w:r>
      <w:r>
        <w:rPr>
          <w:rStyle w:val="Funotenanker"/>
        </w:rPr>
        <w:footnoteReference w:customMarkFollows="1" w:id="1547"/>
        <w:t>q</w:t>
      </w:r>
      <w:r>
        <w:rPr/>
        <w:t xml:space="preserve">: sündigt nicht! </w:t>
      </w:r>
      <w:r>
        <w:rPr>
          <w:b/>
          <w:color w:val="808080"/>
        </w:rPr>
        <w:t>[</w:t>
      </w:r>
      <w:r>
        <w:rPr/>
        <w:t>Wenn ihr</w:t>
      </w:r>
      <w:r>
        <w:rPr>
          <w:b/>
          <w:color w:val="808080"/>
        </w:rPr>
        <w:t>]</w:t>
      </w:r>
      <w:r>
        <w:rPr/>
        <w:t xml:space="preserve"> in euren Betten in euren Herzen sprecht</w:t>
      </w:r>
      <w:r>
        <w:rPr>
          <w:rStyle w:val="Funotenanker"/>
        </w:rPr>
        <w:footnoteReference w:customMarkFollows="1" w:id="1548"/>
        <w:t>r</w:t>
      </w:r>
      <w:r>
        <w:rPr/>
        <w:t xml:space="preserve">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w:t>
      </w:r>
      <w:r>
        <w:rPr>
          <w:b/>
          <w:color w:val="808080"/>
        </w:rPr>
        <w:t>[</w:t>
      </w:r>
      <w:r>
        <w:rPr/>
        <w:t>Gott</w:t>
      </w:r>
      <w:r>
        <w:rPr>
          <w:b/>
          <w:color w:val="808080"/>
        </w:rPr>
        <w:t>]</w:t>
      </w:r>
      <w:r>
        <w:rPr/>
        <w:t xml:space="preserve"> </w:t>
      </w:r>
      <w:r>
        <w:rPr>
          <w:color w:val="808080"/>
        </w:rPr>
        <w:t>(Opfer der Gerechtigkeit, richtige Opfer)</w:t>
      </w:r>
      <w:r>
        <w:rPr/>
        <w:t xml:space="preserve"> </w:t>
      </w:r>
      <w:r>
        <w:rPr>
          <w:rStyle w:val="Funotenanker"/>
        </w:rPr>
        <w:footnoteReference w:customMarkFollows="1" w:id="1549"/>
        <w:t>s</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550"/>
        <w:t>t</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551"/>
        <w:t>u</w:t>
      </w:r>
      <w:r>
        <w:rPr/>
        <w:t xml:space="preserve"> </w:t>
      </w:r>
      <w:r>
        <w:rPr>
          <w:color w:val="808080"/>
        </w:rPr>
        <w:t>)</w:t>
      </w:r>
      <w:r>
        <w:rPr/>
        <w:t xml:space="preserve"> </w:t>
      </w:r>
      <w:r>
        <w:rPr>
          <w:b/>
          <w:color w:val="808080"/>
        </w:rPr>
        <w:t>[</w:t>
      </w:r>
      <w:r>
        <w:rPr/>
        <w:t>wo doch</w:t>
      </w:r>
      <w:r>
        <w:rPr>
          <w:b/>
          <w:color w:val="808080"/>
        </w:rPr>
        <w:t>]</w:t>
      </w:r>
      <w:r>
        <w:rPr/>
        <w:t xml:space="preserve"> </w:t>
      </w:r>
      <w:r>
        <w:rPr>
          <w:rStyle w:val="Funotenanker"/>
        </w:rPr>
        <w:footnoteReference w:customMarkFollows="1" w:id="1552"/>
        <w:t>v</w:t>
      </w:r>
      <w:r>
        <w:rPr/>
        <w:t xml:space="preserve"> Geflohen ist</w:t>
      </w:r>
      <w:r>
        <w:rPr>
          <w:rStyle w:val="Funotenanker"/>
        </w:rPr>
        <w:footnoteReference w:customMarkFollows="1" w:id="1553"/>
        <w:t>w</w:t>
      </w:r>
      <w:r>
        <w:rPr/>
        <w:t xml:space="preserve"> von über</w:t>
      </w:r>
      <w:r>
        <w:rPr>
          <w:rStyle w:val="Funotenanker"/>
        </w:rPr>
        <w:footnoteReference w:customMarkFollows="1" w:id="1554"/>
        <w:t>x</w:t>
      </w:r>
      <w:r>
        <w:rPr/>
        <w:t xml:space="preserve"> uns das Licht deines Angesichts</w:t>
      </w:r>
      <w:r>
        <w:rPr>
          <w:rStyle w:val="Funotenanker"/>
        </w:rPr>
        <w:footnoteReference w:customMarkFollows="1" w:id="1555"/>
        <w:t>y</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w:t>
      </w:r>
      <w:r>
        <w:rPr>
          <w:rStyle w:val="Funotenanker"/>
        </w:rPr>
        <w:footnoteReference w:customMarkFollows="1" w:id="1556"/>
        <w:t>z</w:t>
      </w:r>
      <w:r>
        <w:rPr/>
        <w:t xml:space="preserve"> </w:t>
      </w:r>
      <w:r>
        <w:rPr>
          <w:color w:val="808080"/>
        </w:rPr>
        <w:t>)</w:t>
      </w:r>
      <w:r>
        <w:rPr/>
        <w:t xml:space="preserve"> Freude in mein Herz </w:t>
      </w:r>
      <w:r>
        <w:rPr>
          <w:strike/>
          <w:color w:val="808080"/>
        </w:rPr>
        <w:t>{mehr als}</w:t>
      </w:r>
      <w:r>
        <w:rPr/>
        <w:t xml:space="preserve"> </w:t>
      </w:r>
      <w:r>
        <w:rPr>
          <w:rStyle w:val="Funotenanker"/>
        </w:rPr>
        <w:footnoteReference w:customMarkFollows="1" w:id="1557"/>
        <w:t>aa</w:t>
      </w:r>
      <w:r>
        <w:rPr/>
        <w:t xml:space="preserve"> zur Zeit, als </w:t>
      </w:r>
      <w:r>
        <w:rPr>
          <w:strike/>
          <w:color w:val="808080"/>
        </w:rPr>
        <w:t>{ihr}</w:t>
      </w:r>
      <w:r>
        <w:rPr/>
        <w:t xml:space="preserve"> </w:t>
      </w:r>
      <w:r>
        <w:rPr>
          <w:rStyle w:val="Funotenanker"/>
        </w:rPr>
        <w:footnoteReference w:customMarkFollows="1" w:id="1558"/>
        <w:t>ab</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559"/>
        <w:t>ac</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560"/>
        <w:t>ad</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t xml:space="preserve">Psalm 5 ist ein Gebet zur Vorbereitung auf eine Wallfahrt zum Tempel, die der Psalmist aufgrund der Befeindungen vonseiten seiner Gegner unternehmen will. V. 1 ist die „Überschrift“. Diese Psalmüberschriften wurde nachträglich hinzugefügt; über ihren Sinn weiß man immer noch nichts Genaueres und auch die Bedeutung der einzelnen Vokabeln ist hier wie oft unklar. Doch da es sich um nachträgliche Hinzufügungen handelt, wirkt sich das glücklicherweise nicht allzu nachteilig auf das Verständnis des Psalms im Ganzen aus. Der eigentliche Psalm beginnt in Vv. 2-3a mit der „Invokation“: Gott wird angerufen, damit er dem folgenden Gebet Gehör schenken möge. Der Anlass für den Psalm wird dann in Vv. 3b-4 genannt: Der Beter will eine Wallfahrt zum Tempel unternehmen, damit Gott dort „seine Stimme und seine Gebete“ vernehmen kann. Abschnitte wie Vv. 5-7 finden sich häufig in den Psalmen: Der Beter unterstützt seine (hier noch gar nicht vorgetragene) Bitte, indem er an bestimmte Wesenszüge Gottes appelliert; hier nämlich die Tatsache, dass Gott Übeltäter verabscheut. Vv. 8f. verdichten zunächst einen Kontrast zwischen diesen Übeltätern und dem Beter: Ihn verabscheut Gott nicht, sondern er darf sich ihm sogar in seinem Tempel nahen und sein Gebet vorbringen. Das ist es auch, was er vorhat, und bringt er in V. 9 den ersten Teil seiner Bitte vor: Er bittet um Gottes Schutz auf diesem Weg. Dieses Schutzes bedarf er „wegen seiner Feinde“, und von diesen handeln dann noch mal Vv. 10f.. V. 10 funktioniert ganz ähnlich wie Vv. 5-7: Noch einmal wird Gott ins Gedächtnis gerufen, wie verabscheuungswürdig diese Übeltäter doch sind. Und in V. 11 folgt dann der zweite Teil der Bitte: Die Übeltäter sollen bestraft werden, sollen untergehen und fortgetrieben werden - weil sie Gott nicht gehorcht haben. Und ähnlich wie Vv. 5-7.10 funktionieren schließlich auch Vv. 12f.: Wieder wird an Gott appelliert, indem bestimmte Charakterzüge Gottes hervorgehoben werden. Wegen dieser allseits bekannten Charakterzüge weiß der Beter sogar bereits, wie die Sache ausgehen wird: Wer bei Gott Zuflucht sucht und wer </w:t>
      </w:r>
      <w:r>
        <w:rPr>
          <w:rStyle w:val="Funotenanker"/>
        </w:rPr>
        <w:footnoteReference w:customMarkFollows="1" w:id="1561"/>
        <w:t>a</w:t>
      </w:r>
      <w:r>
        <w:rPr/>
        <w:t xml:space="preserve">-Verehrer ist - kurz: die „Gerechten“ -, also er, wird von Gott erhört werden. Er wird sich freuen können, jubeln und jauchzen, weil Gott ihn segnen, schützen und mit Huld krönen wird. Und mit diesem den Psalm abschließenden Appell ist er bestens gerüstet für seine Wallfahrt, die auf jeden Fall gelingen und Erfolg bringen wird. </w:t>
        <w:br/>
        <w:br/>
        <w:t>[[@BibleTOBIBLE:Ps 5:1]]</w:t>
      </w:r>
      <w:r>
        <w:rPr>
          <w:b/>
        </w:rPr>
        <w:t>1</w:t>
      </w:r>
      <w:r>
        <w:rPr/>
        <w:t xml:space="preserve"> {{field-on:bible}} </w:t>
      </w:r>
      <w:r>
        <w:rPr>
          <w:rStyle w:val="Funotenanker"/>
        </w:rPr>
        <w:footnoteReference w:customMarkFollows="1" w:id="1562"/>
        <w:t>Status</w:t>
      </w:r>
      <w:r>
        <w:rPr/>
        <w:t xml:space="preserve"> Für den Chorleiter </w:t>
      </w:r>
      <w:r>
        <w:rPr>
          <w:color w:val="808080"/>
        </w:rPr>
        <w:t>(Dirigenten, Singenden, Musizierenden)</w:t>
      </w:r>
      <w:r>
        <w:rPr/>
        <w:t>.</w:t>
      </w:r>
      <w:r>
        <w:rPr>
          <w:rStyle w:val="Funotenanker"/>
        </w:rPr>
        <w:footnoteReference w:customMarkFollows="1" w:id="1563"/>
        <w:t>b</w:t>
      </w:r>
      <w:r>
        <w:rPr/>
        <w:t xml:space="preserve"> Zu Flötenspiel </w:t>
      </w:r>
      <w:r>
        <w:rPr>
          <w:color w:val="808080"/>
        </w:rPr>
        <w:t>(nach „das Erbe“)</w:t>
      </w:r>
      <w:r>
        <w:rPr/>
        <w:t>.</w:t>
      </w:r>
      <w:r>
        <w:rPr>
          <w:rStyle w:val="Funotenanker"/>
        </w:rPr>
        <w:footnoteReference w:customMarkFollows="1" w:id="1564"/>
        <w:t>c</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w:t>
      </w:r>
      <w:r>
        <w:rPr>
          <w:rStyle w:val="Funotenanker"/>
        </w:rPr>
        <w:footnoteReference w:customMarkFollows="1" w:id="1565"/>
        <w:t>d</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w:t>
      </w:r>
      <w:r>
        <w:rPr>
          <w:rStyle w:val="Funotenanker"/>
        </w:rPr>
        <w:footnoteReference w:customMarkFollows="1" w:id="1566"/>
        <w:t>e</w:t>
      </w:r>
      <w:r>
        <w:rPr/>
        <w:t xml:space="preserve"> </w:t>
        <w:br/>
        <w:t xml:space="preserve">{{field-off:bible}} </w:t>
        <w:br/>
        <w:t>[[@BibleTOBIBLE:Ps 5:3]]</w:t>
      </w:r>
      <w:r>
        <w:rPr>
          <w:b/>
        </w:rPr>
        <w:t>3</w:t>
      </w:r>
      <w:r>
        <w:rPr/>
        <w:t xml:space="preserve"> {{field-on:bible}} </w:t>
        <w:br/>
        <w:t xml:space="preserve">Lausche auf </w:t>
      </w:r>
      <w:r>
        <w:rPr>
          <w:color w:val="808080"/>
        </w:rPr>
        <w:t>(Erhöre)</w:t>
      </w:r>
      <w:r>
        <w:rPr/>
        <w:t xml:space="preserve"> mein Geschrei </w:t>
      </w:r>
      <w:r>
        <w:rPr>
          <w:color w:val="808080"/>
        </w:rPr>
        <w:t>(Rufen, Stimme)</w:t>
      </w:r>
      <w:r>
        <w:rPr/>
        <w:t xml:space="preserve"> um Hilfe!</w:t>
        <w:br/>
        <w:t xml:space="preserve">Mein König und mein Gott: </w:t>
      </w:r>
      <w:r>
        <w:rPr>
          <w:strike/>
          <w:color w:val="808080"/>
        </w:rPr>
        <w:t>{Oh,}</w:t>
      </w:r>
      <w:r>
        <w:rPr/>
        <w:t xml:space="preserve"> </w:t>
      </w:r>
      <w:r>
        <w:rPr>
          <w:color w:val="808080"/>
        </w:rPr>
        <w:t>(weil)</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b/>
          <w:color w:val="808080"/>
        </w:rPr>
        <w:t>[</w:t>
      </w:r>
      <w:r>
        <w:rPr/>
        <w:t>Schon</w:t>
      </w:r>
      <w:r>
        <w:rPr>
          <w:b/>
          <w:color w:val="808080"/>
        </w:rPr>
        <w:t>]</w:t>
      </w:r>
      <w:r>
        <w:rPr/>
        <w:t xml:space="preserve"> am Morgen </w:t>
      </w:r>
      <w:r>
        <w:rPr>
          <w:color w:val="808080"/>
        </w:rPr>
        <w:t>(jeden Morgen, Morgen)</w:t>
      </w:r>
      <w:r>
        <w:rPr/>
        <w:t xml:space="preserve"> wirst </w:t>
      </w:r>
      <w:r>
        <w:rPr>
          <w:color w:val="808080"/>
        </w:rPr>
        <w:t>(sollst, höre!)</w:t>
      </w:r>
      <w:r>
        <w:rPr/>
        <w:t xml:space="preserve"> du meine Stimme hören, </w:t>
      </w:r>
      <w:r>
        <w:rPr>
          <w:b/>
          <w:color w:val="808080"/>
        </w:rPr>
        <w:t>[</w:t>
      </w:r>
      <w:r>
        <w:rPr/>
        <w:t>Schon</w:t>
      </w:r>
      <w:r>
        <w:rPr>
          <w:b/>
          <w:color w:val="808080"/>
        </w:rPr>
        <w:t>]</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567"/>
        <w:t>f</w:t>
      </w:r>
      <w:r>
        <w:rPr/>
        <w:t xml:space="preserve"> und </w:t>
      </w:r>
      <w:r>
        <w:rPr>
          <w:b/>
          <w:color w:val="808080"/>
        </w:rPr>
        <w:t>[</w:t>
      </w:r>
      <w:r>
        <w:rPr/>
        <w:t>auf dich</w:t>
      </w:r>
      <w:r>
        <w:rPr>
          <w:b/>
          <w:color w:val="808080"/>
        </w:rPr>
        <w:t>]</w:t>
      </w:r>
      <w:r>
        <w:rPr/>
        <w:t xml:space="preserve"> </w:t>
      </w:r>
      <w:r>
        <w:rPr>
          <w:rStyle w:val="Funotenanker"/>
        </w:rPr>
        <w:footnoteReference w:customMarkFollows="1" w:id="1568"/>
        <w:t>g</w:t>
      </w:r>
      <w:r>
        <w:rPr/>
        <w:t xml:space="preserve"> warten.</w:t>
        <w:br/>
        <w:br/>
        <w:t xml:space="preserve">{{field-off:bible}} </w:t>
        <w:br/>
        <w:t>[[@BibleTOBIBLE:Ps 5:5]]</w:t>
      </w:r>
      <w:r>
        <w:rPr>
          <w:b/>
        </w:rPr>
        <w:t>5</w:t>
      </w:r>
      <w:r>
        <w:rPr/>
        <w:t xml:space="preserve"> {{field-on:bible}} </w:t>
        <w:br/>
      </w:r>
      <w:r>
        <w:rPr>
          <w:strike/>
          <w:color w:val="808080"/>
        </w:rPr>
        <w:t>{Denn}</w:t>
      </w:r>
      <w:r>
        <w:rPr/>
        <w:t xml:space="preserve"> </w:t>
      </w:r>
      <w:r>
        <w:rPr>
          <w:rStyle w:val="Funotenanker"/>
        </w:rPr>
        <w:footnoteReference w:customMarkFollows="1" w:id="1569"/>
        <w:t>h</w:t>
      </w:r>
      <w:r>
        <w:rPr/>
        <w:t xml:space="preserve"> </w:t>
      </w:r>
      <w:r>
        <w:rPr>
          <w:color w:val="808080"/>
        </w:rPr>
        <w:t>(Weil)</w:t>
      </w:r>
      <w:r>
        <w:rPr/>
        <w:t xml:space="preserve"> Du </w:t>
      </w:r>
      <w:r>
        <w:rPr>
          <w:b/>
          <w:color w:val="808080"/>
        </w:rPr>
        <w:t>[</w:t>
      </w:r>
      <w:r>
        <w:rPr/>
        <w:t>bist</w:t>
      </w:r>
      <w:r>
        <w:rPr>
          <w:b/>
          <w:color w:val="808080"/>
        </w:rPr>
        <w:t>]</w:t>
      </w:r>
      <w:r>
        <w:rPr/>
        <w:t xml:space="preserve"> kein Gott, dem Böse </w:t>
      </w:r>
      <w:r>
        <w:rPr>
          <w:color w:val="808080"/>
        </w:rPr>
        <w:t>(Böses)</w:t>
      </w:r>
      <w:r>
        <w:rPr/>
        <w:t xml:space="preserve"> </w:t>
      </w:r>
      <w:r>
        <w:rPr>
          <w:rStyle w:val="Funotenanker"/>
        </w:rPr>
        <w:footnoteReference w:customMarkFollows="1" w:id="1570"/>
        <w:t>i</w:t>
      </w:r>
      <w:r>
        <w:rPr/>
        <w:t xml:space="preserve"> gefallen </w:t>
      </w:r>
      <w:r>
        <w:rPr>
          <w:color w:val="808080"/>
        </w:rPr>
        <w:t>(der Böses will)</w:t>
      </w:r>
      <w:r>
        <w:rPr/>
        <w:t xml:space="preserve">; es dürfen </w:t>
      </w:r>
      <w:r>
        <w:rPr>
          <w:color w:val="808080"/>
        </w:rPr>
        <w:t>(werden)</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stehen Frevler </w:t>
      </w:r>
      <w:r>
        <w:rPr>
          <w:color w:val="808080"/>
        </w:rPr>
        <w:t>(Angeber, Törichte, Preisende)</w:t>
      </w:r>
      <w:r>
        <w:rPr/>
        <w:t xml:space="preserve"> </w:t>
      </w:r>
      <w:r>
        <w:rPr>
          <w:rStyle w:val="Funotenanker"/>
        </w:rPr>
        <w:footnoteReference w:customMarkFollows="1" w:id="1571"/>
        <w:t>j</w:t>
      </w:r>
      <w:r>
        <w:rPr/>
        <w:t xml:space="preserve"> vor deinen Augen.</w:t>
      </w:r>
      <w:r>
        <w:rPr>
          <w:rStyle w:val="Funotenanker"/>
        </w:rPr>
        <w:footnoteReference w:customMarkFollows="1" w:id="1572"/>
        <w:t>k</w:t>
      </w:r>
      <w:r>
        <w:rPr/>
        <w:t xml:space="preserve"> </w:t>
        <w:br/>
        <w:t xml:space="preserve">Du hasst alle Tuer von Unheil </w:t>
      </w:r>
      <w:r>
        <w:rPr>
          <w:color w:val="808080"/>
        </w:rPr>
        <w:t>(Unholde)</w:t>
      </w:r>
      <w:r>
        <w:rPr/>
        <w:t xml:space="preserve"> </w:t>
      </w:r>
      <w:r>
        <w:rPr>
          <w:rStyle w:val="Funotenanker"/>
        </w:rPr>
        <w:footnoteReference w:customMarkFollows="1" w:id="1573"/>
        <w:t>l</w:t>
      </w:r>
      <w:r>
        <w:rPr/>
        <w:t>:</w:t>
      </w:r>
      <w:r>
        <w:rPr>
          <w:rStyle w:val="Funotenanker"/>
        </w:rPr>
        <w:footnoteReference w:customMarkFollows="1" w:id="1574"/>
        <w:t>m</w:t>
      </w:r>
      <w:r>
        <w:rPr/>
        <w:t xml:space="preserve"> </w:t>
        <w:br/>
        <w:t xml:space="preserve">{{field-off:bible}} </w:t>
        <w:br/>
        <w:t>[[@BibleTOBIBLE:Ps 5:7]]</w:t>
      </w:r>
      <w:r>
        <w:rPr>
          <w:b/>
        </w:rPr>
        <w:t>7</w:t>
      </w:r>
      <w:r>
        <w:rPr/>
        <w:t xml:space="preserve"> {{field-on:bible}} </w:t>
        <w:br/>
        <w:t xml:space="preserve">Du wirst vernichten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rStyle w:val="Funotenanker"/>
        </w:rPr>
        <w:footnoteReference w:customMarkFollows="1" w:id="1575"/>
        <w:t>n</w:t>
      </w:r>
      <w:r>
        <w:rPr/>
        <w:t xml:space="preserve"> </w:t>
      </w:r>
      <w:r>
        <w:rPr>
          <w:smallCaps/>
          <w:color w:val="FF0000"/>
        </w:rPr>
        <w:t>JHWH</w:t>
      </w:r>
      <w:r>
        <w:rPr/>
        <w:t>.</w:t>
        <w:br/>
        <w:br/>
        <w:t xml:space="preserve">{{field-off:bible}} </w:t>
        <w:br/>
        <w:t>[[@BibleTOBIBLE:Ps 5:8]]</w:t>
      </w:r>
      <w:r>
        <w:rPr>
          <w:b/>
        </w:rPr>
        <w:t>8</w:t>
      </w:r>
      <w:r>
        <w:rPr/>
        <w:t xml:space="preserve"> {{field-on:bible}} </w:t>
        <w:br/>
        <w:t>Ich dagegen darf in der Menge deiner Gnade</w:t>
      </w:r>
      <w:r>
        <w:rPr>
          <w:rStyle w:val="Funotenanker"/>
        </w:rPr>
        <w:footnoteReference w:customMarkFollows="1" w:id="1576"/>
        <w:t>o</w:t>
      </w:r>
      <w:r>
        <w:rPr/>
        <w:t xml:space="preserve"> </w:t>
      </w:r>
      <w:r>
        <w:rPr>
          <w:color w:val="808080"/>
        </w:rPr>
        <w:t>(in deiner großen Gnade/Treue/Liebe)</w:t>
      </w:r>
      <w:r>
        <w:rPr/>
        <w:t xml:space="preserve"> in dein Haus kommen; ich darf </w:t>
      </w:r>
      <w:r>
        <w:rPr>
          <w:b/>
          <w:color w:val="808080"/>
        </w:rPr>
        <w:t>[</w:t>
      </w:r>
      <w:r>
        <w:rPr/>
        <w:t>dich</w:t>
      </w:r>
      <w:r>
        <w:rPr>
          <w:b/>
          <w:color w:val="808080"/>
        </w:rPr>
        <w:t>]</w:t>
      </w:r>
      <w:r>
        <w:rPr/>
        <w:t xml:space="preserve"> in </w:t>
      </w:r>
      <w:r>
        <w:rPr>
          <w:color w:val="808080"/>
        </w:rPr>
        <w:t>(zu)</w:t>
      </w:r>
      <w:r>
        <w:rPr/>
        <w:t xml:space="preserve"> </w:t>
      </w:r>
      <w:r>
        <w:rPr>
          <w:rStyle w:val="Funotenanker"/>
        </w:rPr>
        <w:footnoteReference w:customMarkFollows="1" w:id="1577"/>
        <w:t>p</w:t>
      </w:r>
      <w:r>
        <w:rPr/>
        <w:t xml:space="preserve"> deinem heiligen Tempel </w:t>
      </w:r>
      <w:r>
        <w:rPr>
          <w:color w:val="808080"/>
        </w:rPr>
        <w:t>(im Tempel deiner Heiligkeit)</w:t>
      </w:r>
      <w:r>
        <w:rPr/>
        <w:t xml:space="preserve"> anbeten in deiner Furcht.</w:t>
        <w:br/>
        <w:t xml:space="preserve">{{field-off:bible}} </w:t>
        <w:br/>
        <w:t>[[@BibleTOBIBLE:Ps 5:9]]</w:t>
      </w:r>
      <w:r>
        <w:rPr>
          <w:b/>
        </w:rPr>
        <w:t>9</w:t>
      </w:r>
      <w:r>
        <w:rPr/>
        <w:t xml:space="preserve"> {{field-on:bible}} </w:t>
        <w:br/>
      </w:r>
      <w:r>
        <w:rPr>
          <w:smallCaps/>
          <w:color w:val="FF0000"/>
        </w:rPr>
        <w:t>JHWH</w:t>
      </w:r>
      <w:r>
        <w:rPr/>
        <w:t xml:space="preserve">, führe </w:t>
      </w:r>
      <w:r>
        <w:rPr>
          <w:color w:val="808080"/>
        </w:rPr>
        <w:t>(begleite mich schützend, schütze)</w:t>
      </w:r>
      <w:r>
        <w:rPr/>
        <w:t xml:space="preserve"> mich in deiner Gerechtigkeit </w:t>
      </w:r>
      <w:r>
        <w:rPr>
          <w:color w:val="808080"/>
        </w:rPr>
        <w:t>(Wahrhaftigkeit, Wohlwollen, du Gerechter)</w:t>
      </w:r>
      <w:r>
        <w:rPr/>
        <w:t xml:space="preserve"> um meiner Feinde willen </w:t>
      </w:r>
      <w:r>
        <w:rPr>
          <w:color w:val="808080"/>
        </w:rPr>
        <w:t>(wegen meiner Feinde)</w:t>
      </w:r>
      <w:r>
        <w:rPr/>
        <w:t xml:space="preserve"> </w:t>
      </w:r>
      <w:r>
        <w:rPr>
          <w:rStyle w:val="Funotenanker"/>
        </w:rPr>
        <w:footnoteReference w:customMarkFollows="1" w:id="1578"/>
        <w:t>q</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579"/>
        <w:t>r</w:t>
      </w:r>
      <w:r>
        <w:rPr/>
        <w:t xml:space="preserve"> </w:t>
        <w:br/>
        <w:br/>
        <w:t xml:space="preserve">{{field-off:bible}} </w:t>
        <w:br/>
        <w:t>[[@BibleTOBIBLE:Ps 5:10]]</w:t>
      </w:r>
      <w:r>
        <w:rPr>
          <w:b/>
        </w:rPr>
        <w:t>10</w:t>
      </w:r>
      <w:r>
        <w:rPr/>
        <w:t xml:space="preserve"> {{field-on:bible}} </w:t>
        <w:br/>
      </w:r>
      <w:r>
        <w:rPr>
          <w:strike/>
          <w:color w:val="808080"/>
        </w:rPr>
        <w:t>{Denn}</w:t>
      </w:r>
      <w:r>
        <w:rPr/>
        <w:t xml:space="preserve"> </w:t>
      </w:r>
      <w:r>
        <w:rPr>
          <w:color w:val="808080"/>
        </w:rPr>
        <w:t>(Weil)</w:t>
      </w:r>
      <w:r>
        <w:rPr/>
        <w:t xml:space="preserve"> Es </w:t>
      </w:r>
      <w:r>
        <w:rPr>
          <w:b/>
          <w:color w:val="808080"/>
        </w:rPr>
        <w:t>[</w:t>
      </w:r>
      <w:r>
        <w:rPr/>
        <w:t>ist</w:t>
      </w:r>
      <w:r>
        <w:rPr>
          <w:b/>
          <w:color w:val="808080"/>
        </w:rPr>
        <w:t>]</w:t>
      </w:r>
      <w:r>
        <w:rPr/>
        <w:t xml:space="preserve"> in seinem </w:t>
      </w:r>
      <w:r>
        <w:rPr>
          <w:color w:val="808080"/>
        </w:rPr>
        <w:t>(ihrem)</w:t>
      </w:r>
      <w:r>
        <w:rPr/>
        <w:t xml:space="preserve"> </w:t>
      </w:r>
      <w:r>
        <w:rPr>
          <w:rStyle w:val="Funotenanker"/>
        </w:rPr>
        <w:footnoteReference w:customMarkFollows="1" w:id="1580"/>
        <w:t>s</w:t>
      </w:r>
      <w:r>
        <w:rPr/>
        <w:t xml:space="preserve"> Reden </w:t>
      </w:r>
      <w:r>
        <w:rPr>
          <w:color w:val="808080"/>
        </w:rPr>
        <w:t>(Mund)</w:t>
      </w:r>
      <w:r>
        <w:rPr/>
        <w:t xml:space="preserve"> nichts Aufrichtiges, Ihr Inneres </w:t>
      </w:r>
      <w:r>
        <w:rPr>
          <w:b/>
          <w:color w:val="808080"/>
        </w:rPr>
        <w:t>[</w:t>
      </w:r>
      <w:r>
        <w:rPr/>
        <w:t>ist</w:t>
      </w:r>
      <w:r>
        <w:rPr>
          <w:b/>
          <w:color w:val="808080"/>
        </w:rPr>
        <w:t>]</w:t>
      </w:r>
      <w:r>
        <w:rPr/>
        <w:t xml:space="preserve"> Verderben </w:t>
      </w:r>
      <w:r>
        <w:rPr>
          <w:color w:val="808080"/>
        </w:rPr>
        <w:t>(Böses, sie sind verdorben/böse)</w:t>
      </w:r>
      <w:r>
        <w:rPr/>
        <w:t>.</w:t>
      </w:r>
      <w:r>
        <w:rPr>
          <w:rStyle w:val="Funotenanker"/>
        </w:rPr>
        <w:footnoteReference w:customMarkFollows="1" w:id="1581"/>
        <w:t>t</w:t>
      </w:r>
      <w:r>
        <w:rPr/>
        <w:t xml:space="preserve"> </w:t>
        <w:br/>
        <w:t xml:space="preserve">Ein </w:t>
      </w:r>
      <w:r>
        <w:rPr>
          <w:color w:val="808080"/>
        </w:rPr>
        <w:t>(</w:t>
      </w:r>
      <w:r>
        <w:rPr>
          <w:b/>
          <w:color w:val="808080"/>
        </w:rPr>
        <w:t>[</w:t>
      </w:r>
      <w:r>
        <w:rPr>
          <w:color w:val="808080"/>
        </w:rPr>
        <w:t>ihr</w:t>
      </w:r>
      <w:r>
        <w:rPr>
          <w:b/>
          <w:color w:val="808080"/>
        </w:rPr>
        <w:t>]</w:t>
      </w:r>
      <w:r>
        <w:rPr>
          <w:color w:val="808080"/>
        </w:rPr>
        <w:t>)</w:t>
      </w:r>
      <w:r>
        <w:rPr/>
        <w:t xml:space="preserve"> offenes Grab </w:t>
      </w:r>
      <w:r>
        <w:rPr>
          <w:color w:val="808080"/>
        </w:rPr>
        <w:t>(Tod)</w:t>
      </w:r>
      <w:r>
        <w:rPr/>
        <w:t xml:space="preserve"> </w:t>
      </w:r>
      <w:r>
        <w:rPr>
          <w:rStyle w:val="Funotenanker"/>
        </w:rPr>
        <w:footnoteReference w:customMarkFollows="1" w:id="1582"/>
        <w:t>u</w:t>
      </w:r>
      <w:r>
        <w:rPr/>
        <w:t xml:space="preserve"> </w:t>
      </w:r>
      <w:r>
        <w:rPr>
          <w:b/>
          <w:color w:val="808080"/>
        </w:rPr>
        <w:t>[</w:t>
      </w:r>
      <w:r>
        <w:rPr/>
        <w:t xml:space="preserve">ist </w:t>
      </w:r>
      <w:r>
        <w:rPr>
          <w:color w:val="808080"/>
        </w:rPr>
        <w:t>(sei)</w:t>
      </w:r>
      <w:r>
        <w:rPr>
          <w:b/>
          <w:color w:val="808080"/>
        </w:rPr>
        <w:t>]</w:t>
      </w:r>
      <w:r>
        <w:rPr/>
        <w:t xml:space="preserve"> ihre Kehle, </w:t>
      </w:r>
      <w:r>
        <w:rPr>
          <w:color w:val="808080"/>
        </w:rPr>
        <w:t>(</w:t>
      </w:r>
      <w:r>
        <w:rPr>
          <w:b/>
          <w:color w:val="808080"/>
        </w:rPr>
        <w:t>[</w:t>
      </w:r>
      <w:r>
        <w:rPr>
          <w:color w:val="808080"/>
        </w:rPr>
        <w:t>weil</w:t>
      </w:r>
      <w:r>
        <w:rPr>
          <w:b/>
          <w:color w:val="808080"/>
        </w:rPr>
        <w:t>]</w:t>
      </w:r>
      <w:r>
        <w:rPr>
          <w:color w:val="808080"/>
        </w:rPr>
        <w:t>)</w:t>
      </w:r>
      <w:r>
        <w:rPr/>
        <w:t xml:space="preserve"> ihre Zunge glätten sie</w:t>
      </w:r>
      <w:r>
        <w:rPr>
          <w:rStyle w:val="Funotenanker"/>
        </w:rPr>
        <w:footnoteReference w:customMarkFollows="1" w:id="1583"/>
        <w:t>v</w:t>
      </w:r>
      <w:r>
        <w:rPr/>
        <w:t xml:space="preserve"> </w:t>
      </w:r>
      <w:r>
        <w:rPr>
          <w:color w:val="808080"/>
        </w:rPr>
        <w:t>(Mit ihrer Zunge sind sie heuchlerisch, sie sind Heuchler)</w:t>
      </w:r>
      <w:r>
        <w:rPr/>
        <w:t>.</w:t>
      </w:r>
      <w:r>
        <w:rPr>
          <w:rStyle w:val="Funotenanker"/>
        </w:rPr>
        <w:footnoteReference w:customMarkFollows="1" w:id="1584"/>
        <w:t>w</w:t>
      </w:r>
      <w:r>
        <w:rPr/>
        <w:t xml:space="preserve"> </w:t>
        <w:br/>
        <w:t xml:space="preserve">{{field-off:bible}} </w:t>
        <w:br/>
        <w:t>[[@BibleTOBIBLE:Ps 5:11]]</w:t>
      </w:r>
      <w:r>
        <w:rPr>
          <w:b/>
        </w:rPr>
        <w:t>11</w:t>
      </w:r>
      <w:r>
        <w:rPr/>
        <w:t xml:space="preserve"> {{field-on:bible}} </w:t>
        <w:br/>
        <w:t xml:space="preserve">Lass sie büßen </w:t>
      </w:r>
      <w:r>
        <w:rPr>
          <w:color w:val="808080"/>
        </w:rPr>
        <w:t>(bestrafe sie)</w:t>
      </w:r>
      <w:r>
        <w:rPr/>
        <w:t xml:space="preserve">, Gott! Lass sie untergehen </w:t>
      </w:r>
      <w:r>
        <w:rPr>
          <w:color w:val="808080"/>
        </w:rPr>
        <w:t>(sie sollen untergehen)</w:t>
      </w:r>
      <w:r>
        <w:rPr/>
        <w:t xml:space="preserve"> wegen ihrer Pläne </w:t>
      </w:r>
      <w:r>
        <w:rPr>
          <w:color w:val="808080"/>
        </w:rPr>
        <w:t>(Ränke)</w:t>
      </w:r>
      <w:r>
        <w:rPr/>
        <w:t xml:space="preserve">! Wegen der Menge ihrer Sündenschuld </w:t>
      </w:r>
      <w:r>
        <w:rPr>
          <w:color w:val="808080"/>
        </w:rPr>
        <w:t>(Sünden; wegen ihren vielen/großen 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w:t>
      </w:r>
      <w:r>
        <w:rPr>
          <w:rStyle w:val="Funotenanker"/>
        </w:rPr>
        <w:footnoteReference w:customMarkFollows="1" w:id="1585"/>
        <w:t>x</w:t>
      </w:r>
      <w:r>
        <w:rPr/>
        <w:t xml:space="preserve"> Es werden </w:t>
      </w:r>
      <w:r>
        <w:rPr>
          <w:color w:val="808080"/>
        </w:rPr>
        <w:t>(sollen)</w:t>
      </w:r>
      <w:r>
        <w:rPr/>
        <w:t xml:space="preserve"> jauchzen über dich, die deinen Namen lieben </w:t>
      </w:r>
      <w:r>
        <w:rPr>
          <w:color w:val="808080"/>
        </w:rPr>
        <w:t>(dich lieben, dich verehren)</w:t>
      </w:r>
      <w:r>
        <w:rPr/>
        <w:t>!</w:t>
      </w:r>
      <w:r>
        <w:rPr>
          <w:rStyle w:val="Funotenanker"/>
        </w:rPr>
        <w:footnoteReference w:customMarkFollows="1" w:id="1586"/>
        <w:t>y</w:t>
      </w:r>
      <w:r>
        <w:rPr/>
        <w:t xml:space="preserve"> </w:t>
        <w:br/>
        <w:t xml:space="preserve">{{field-off:bible}} </w:t>
        <w:br/>
        <w:t>[[@BibleTOBIBLE:Ps 5:13]]</w:t>
      </w:r>
      <w:r>
        <w:rPr>
          <w:b/>
        </w:rPr>
        <w:t>13</w:t>
      </w:r>
      <w:r>
        <w:rPr/>
        <w:t xml:space="preserve"> {{field-on:bible}} </w:t>
        <w:br/>
        <w:t xml:space="preserve">Denn du wirst segnen </w:t>
      </w:r>
      <w:r>
        <w:rPr>
          <w:color w:val="808080"/>
        </w:rPr>
        <w:t>(bist es, der segnen wird)</w:t>
      </w:r>
      <w:r>
        <w:rPr/>
        <w:t>,</w:t>
      </w:r>
      <w:r>
        <w:rPr>
          <w:rStyle w:val="Funotenanker"/>
        </w:rPr>
        <w:footnoteReference w:customMarkFollows="1" w:id="1587"/>
        <w:t>z</w:t>
      </w:r>
      <w:r>
        <w:rPr/>
        <w:t xml:space="preserve"> den Gerechten </w:t>
      </w:r>
      <w:r>
        <w:rPr>
          <w:color w:val="808080"/>
        </w:rPr>
        <w:t>(die Gerechten)</w:t>
      </w:r>
      <w:r>
        <w:rPr/>
        <w:t xml:space="preserve"> </w:t>
      </w:r>
      <w:r>
        <w:rPr>
          <w:rStyle w:val="Funotenanker"/>
        </w:rPr>
        <w:footnoteReference w:customMarkFollows="1" w:id="1588"/>
        <w:t>aa</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sie mit Huld krönen wird </w:t>
      </w:r>
      <w:r>
        <w:rPr>
          <w:color w:val="808080"/>
        </w:rPr>
        <w:t>(begünstigen wird)</w:t>
      </w:r>
      <w:r>
        <w:rPr/>
        <w:t>.</w:t>
      </w:r>
      <w:r>
        <w:rPr>
          <w:rStyle w:val="Funotenanker"/>
        </w:rPr>
        <w:footnoteReference w:customMarkFollows="1" w:id="1589"/>
        <w:t>ab</w:t>
      </w:r>
      <w:r>
        <w:rPr/>
        <w:t xml:space="preserve"> </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590"/>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591"/>
        <w:t>b</w:t>
      </w:r>
      <w:r>
        <w:rPr/>
        <w:t xml:space="preserve"> möge den Psalmisten „nicht strafen“, „nicht züchtigen“, ihm „gnädig sein“ und ihn „retten“. Daran schließen sich drei Gründe an, mit denen an </w:t>
      </w:r>
      <w:r>
        <w:rPr>
          <w:rStyle w:val="Funotenanker"/>
        </w:rPr>
        <w:footnoteReference w:customMarkFollows="1" w:id="1592"/>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593"/>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594"/>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595"/>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596"/>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597"/>
        <w:t>Status</w:t>
      </w:r>
      <w:r>
        <w:rPr/>
        <w:t xml:space="preserve"> ''Für den Chorleiter </w:t>
      </w:r>
      <w:r>
        <w:rPr>
          <w:color w:val="808080"/>
        </w:rPr>
        <w:t>(Dirigenten, Singenden, Musizierenden)</w:t>
      </w:r>
      <w:r>
        <w:rPr/>
        <w:t>''.</w:t>
      </w:r>
      <w:r>
        <w:rPr>
          <w:rStyle w:val="Funotenanker"/>
        </w:rPr>
        <w:footnoteReference w:customMarkFollows="1" w:id="1598"/>
        <w:t>h</w:t>
      </w:r>
      <w:r>
        <w:rPr/>
        <w:t xml:space="preserve">. ''Zum Saitenspiel </w:t>
      </w:r>
      <w:r>
        <w:rPr>
          <w:color w:val="808080"/>
        </w:rPr>
        <w:t>(auf Saiteninstrumenten)</w:t>
      </w:r>
      <w:r>
        <w:rPr/>
        <w:t>'' `al-hascheminit ''</w:t>
      </w:r>
      <w:r>
        <w:rPr>
          <w:color w:val="808080"/>
        </w:rPr>
        <w:t>(</w:t>
      </w:r>
      <w:r>
        <w:rPr>
          <w:b/>
          <w:color w:val="808080"/>
        </w:rPr>
        <w:t>[</w:t>
      </w:r>
      <w:r>
        <w:rPr>
          <w:color w:val="808080"/>
        </w:rPr>
        <w:t>Vorzutragen</w:t>
      </w:r>
      <w:r>
        <w:rPr>
          <w:b/>
          <w:color w:val="808080"/>
        </w:rPr>
        <w:t>]</w:t>
      </w:r>
      <w:r>
        <w:rPr>
          <w:color w:val="808080"/>
        </w:rPr>
        <w:t xml:space="preserve"> von Basstimmen; Mit Saitenspiel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599"/>
        <w:t>i</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w:t>
        <w:br/>
        <w:t xml:space="preserve">{{field-off:bible}} </w:t>
        <w:br/>
        <w:t>[[@BibleTOBIBLE:Ps 6:2]]</w:t>
      </w:r>
      <w:r>
        <w:rPr>
          <w:b/>
        </w:rPr>
        <w:t>2</w:t>
      </w:r>
      <w:r>
        <w:rPr/>
        <w:t xml:space="preserve"> {{field-on:bible}} </w:t>
        <w:br/>
      </w:r>
      <w:r>
        <w:rPr>
          <w:smallCaps/>
          <w:color w:val="FF0000"/>
        </w:rPr>
        <w:t>JHWH</w:t>
      </w:r>
      <w:r>
        <w:rPr/>
        <w:t>, nicht in deinem Zorn</w:t>
      </w:r>
      <w:r>
        <w:rPr>
          <w:rStyle w:val="Funotenanker"/>
        </w:rPr>
        <w:footnoteReference w:customMarkFollows="1" w:id="1600"/>
        <w:t>j</w:t>
      </w:r>
      <w:r>
        <w:rPr/>
        <w:t xml:space="preserve"> strafe </w:t>
      </w:r>
      <w:r>
        <w:rPr>
          <w:color w:val="808080"/>
        </w:rPr>
        <w:t>(züchtige)</w:t>
      </w:r>
      <w:r>
        <w:rPr/>
        <w:t xml:space="preserve"> michUnd nicht in deinem Grimm züchtige mich.</w:t>
        <w:br/>
        <w:t xml:space="preserve">{{field-off:bible}} </w:t>
        <w:br/>
        <w:t>[[@BibleTOBIBLE:Ps 6:3]]</w:t>
      </w:r>
      <w:r>
        <w:rPr>
          <w:b/>
        </w:rPr>
        <w:t>3</w:t>
      </w:r>
      <w:r>
        <w:rPr/>
        <w:t xml:space="preserve"> {{field-on:bible}} </w:t>
        <w:br/>
        <w:t xml:space="preserv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601"/>
        <w:t>k</w:t>
      </w:r>
      <w:r>
        <w:rPr/>
        <w:t>.</w:t>
      </w:r>
      <w:r>
        <w:rPr>
          <w:position w:val="8"/>
          <w:sz w:val="19"/>
        </w:rPr>
        <w:t>[[ ℘ &gt;&gt; BibleTOBIBLE:Ps 25:16]][[ ℘ &gt;&gt; BibleTOBIBLE:Ps 31:10]]</w:t>
      </w:r>
      <w:r>
        <w:rPr/>
        <w:t xml:space="preserve">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602"/>
        <w:t>l</w:t>
      </w:r>
      <w:r>
        <w:rPr/>
        <w:t xml:space="preserve"> meine Knochen </w:t>
      </w:r>
      <w:r>
        <w:rPr>
          <w:color w:val="808080"/>
        </w:rPr>
        <w:t>(ich)</w:t>
      </w:r>
      <w:r>
        <w:rPr/>
        <w:t xml:space="preserve"> </w:t>
        <w:br/>
        <w:t xml:space="preserve">{{field-off:bible}} </w:t>
        <w:br/>
        <w:t>[[@BibleTOBIBLE:Ps 6:4]]</w:t>
      </w:r>
      <w:r>
        <w:rPr>
          <w:b/>
        </w:rPr>
        <w:t>4</w:t>
      </w:r>
      <w:r>
        <w:rPr/>
        <w:t xml:space="preserve"> {{field-on:bible}} </w:t>
        <w:br/>
        <w:t xml:space="preserve">Und meine Seele </w:t>
      </w:r>
      <w:r>
        <w:rPr>
          <w:color w:val="808080"/>
        </w:rPr>
        <w:t>(mein Leben)</w:t>
      </w:r>
      <w:r>
        <w:rPr/>
        <w:t xml:space="preserve"> ist sehr erschrocken </w:t>
      </w:r>
      <w:r>
        <w:rPr>
          <w:color w:val="808080"/>
        </w:rPr>
        <w:t>(vergeht sehr)</w:t>
      </w:r>
      <w:r>
        <w:rPr/>
        <w:t xml:space="preserve">. </w:t>
        <w:br/>
        <w:t xml:space="preserve">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603"/>
        <w:t>m</w:t>
      </w:r>
      <w:r>
        <w:rPr/>
        <w:t xml:space="preserve"> </w:t>
      </w:r>
      <w:r>
        <w:rPr>
          <w:position w:val="8"/>
          <w:sz w:val="19"/>
        </w:rPr>
        <w:t>[[ ℘ &gt;&gt; BibleTOBIBLE:Ps 13:2]][[ ℘ &gt;&gt; BibleTOBIBLE:Ps 90:13]][[ ℘ &gt;&gt; BibleTOBIBLE:Is 57:16]]</w:t>
      </w:r>
      <w:r>
        <w:rPr/>
        <w:t xml:space="preserve"> </w:t>
        <w:br/>
        <w:br/>
        <w:t xml:space="preserve">{{field-off:bible}} </w:t>
        <w:br/>
        <w:t>[[@BibleTOBIBLE:Ps 6:5]]</w:t>
      </w:r>
      <w:r>
        <w:rPr>
          <w:b/>
        </w:rPr>
        <w:t>5</w:t>
      </w:r>
      <w:r>
        <w:rPr/>
        <w:t xml:space="preserve"> {{field-on:bible}} </w:t>
        <w:br/>
        <w:t xml:space="preserve">Kehre um, </w:t>
      </w:r>
      <w:r>
        <w:rPr>
          <w:smallCaps/>
          <w:color w:val="FF0000"/>
        </w:rPr>
        <w:t>JHWH</w:t>
      </w:r>
      <w:r>
        <w:rPr/>
        <w:t>!</w:t>
      </w:r>
      <w:r>
        <w:rPr>
          <w:rStyle w:val="Funotenanker"/>
        </w:rPr>
        <w:footnoteReference w:customMarkFollows="1" w:id="1604"/>
        <w:t>n</w:t>
      </w:r>
      <w:r>
        <w:rPr/>
        <w:t xml:space="preserve"> Rette</w:t>
      </w:r>
      <w:r>
        <w:rPr>
          <w:rStyle w:val="Funotenanker"/>
        </w:rPr>
        <w:footnoteReference w:customMarkFollows="1" w:id="1605"/>
        <w:t>o</w:t>
      </w:r>
      <w:r>
        <w:rPr/>
        <w:t xml:space="preserve"> meine Seele </w:t>
      </w:r>
      <w:r>
        <w:rPr>
          <w:color w:val="808080"/>
        </w:rPr>
        <w:t>(mich)</w:t>
      </w:r>
      <w:r>
        <w:rPr/>
        <w:t xml:space="preserve"> </w:t>
      </w:r>
      <w:r>
        <w:rPr>
          <w:rStyle w:val="Funotenanker"/>
        </w:rPr>
        <w:footnoteReference w:customMarkFollows="1" w:id="1606"/>
        <w:t>p</w:t>
      </w:r>
      <w:r>
        <w:rPr/>
        <w:t>!</w:t>
      </w:r>
      <w:r>
        <w:rPr>
          <w:position w:val="8"/>
          <w:sz w:val="19"/>
        </w:rPr>
        <w:t>[[ ℘ &gt;&gt; BibleTOBIBLE:Ps 80:15]][[ ℘ &gt;&gt; BibleTOBIBLE:Ps 86:13]][[ ℘ &gt;&gt; BibleTOBIBLE:Ps 90:13]][[ ℘ &gt;&gt; BibleTOBIBLE:Ps 116:3]][[ ℘ &gt;&gt; BibleTOBIBLE:Is 38:17]][[ ℘ &gt;&gt; BibleTOBIBLE:Mal 3:7]]</w:t>
      </w:r>
      <w:r>
        <w:rPr/>
        <w:t xml:space="preserve">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607"/>
        <w:t>q</w:t>
      </w:r>
      <w:r>
        <w:rPr/>
        <w:t>!</w:t>
        <w:br/>
        <w:t xml:space="preserve">{{field-off:bible}} </w:t>
        <w:br/>
        <w:t>[[@BibleTOBIBLE:Ps 6:6]]</w:t>
      </w:r>
      <w:r>
        <w:rPr>
          <w:b/>
        </w:rPr>
        <w:t>6</w:t>
      </w:r>
      <w:r>
        <w:rPr/>
        <w:t xml:space="preserve"> {{field-on:bible}} </w:t>
        <w:br/>
        <w:t xml:space="preserv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608"/>
        <w:t>r</w:t>
      </w:r>
      <w:r>
        <w:rPr/>
        <w:t>Und wer wird dich preisen im Scheol?</w:t>
      </w:r>
      <w:r>
        <w:rPr>
          <w:rStyle w:val="Funotenanker"/>
        </w:rPr>
        <w:footnoteReference w:customMarkFollows="1" w:id="1609"/>
        <w:t>s</w:t>
      </w:r>
      <w:r>
        <w:rPr/>
        <w:t xml:space="preserve"> </w:t>
        <w:br/>
        <w:br/>
        <w:t xml:space="preserve">{{field-off:bible}} </w:t>
        <w:br/>
        <w:t>[[@BibleTOBIBLE:Ps 6:7]]</w:t>
      </w:r>
      <w:r>
        <w:rPr>
          <w:b/>
        </w:rPr>
        <w:t>7</w:t>
      </w:r>
      <w:r>
        <w:rPr/>
        <w:t xml:space="preserve"> {{field-on:bible}} </w:t>
        <w:br/>
        <w:t xml:space="preserve">Ich bin ermüdet durch mein Schluchzen </w:t>
      </w:r>
      <w:r>
        <w:rPr>
          <w:color w:val="808080"/>
        </w:rPr>
        <w:t>(Seufzen)</w:t>
      </w:r>
      <w:r>
        <w:rPr/>
        <w:t xml:space="preserve"> </w:t>
      </w:r>
      <w:r>
        <w:rPr>
          <w:rStyle w:val="Funotenanker"/>
        </w:rPr>
        <w:footnoteReference w:customMarkFollows="1" w:id="1610"/>
        <w:t>t</w:t>
      </w:r>
      <w:r>
        <w:rPr/>
        <w:t>,</w:t>
      </w:r>
      <w:r>
        <w:rPr>
          <w:position w:val="8"/>
          <w:sz w:val="19"/>
        </w:rPr>
        <w:t>[[ ℘ &gt;&gt; BibleTOBIBLE:Je 45:3]]</w:t>
      </w:r>
      <w:r>
        <w:rPr/>
        <w:t xml:space="preserve">ich überflute </w:t>
      </w:r>
      <w:r>
        <w:rPr>
          <w:color w:val="808080"/>
        </w:rPr>
        <w:t>(lasse schwimmen)</w:t>
      </w:r>
      <w:r>
        <w:rPr/>
        <w:t xml:space="preserve"> </w:t>
      </w:r>
      <w:r>
        <w:rPr>
          <w:rStyle w:val="Funotenanker"/>
        </w:rPr>
        <w:footnoteReference w:customMarkFollows="1" w:id="1611"/>
        <w:t>u</w:t>
      </w:r>
      <w:r>
        <w:rPr/>
        <w:t xml:space="preserve"> jede Nacht</w:t>
      </w:r>
      <w:r>
        <w:rPr>
          <w:rStyle w:val="Funotenanker"/>
        </w:rPr>
        <w:footnoteReference w:customMarkFollows="1" w:id="1612"/>
        <w:t>v</w:t>
      </w:r>
      <w:r>
        <w:rPr/>
        <w:t xml:space="preserve"> </w:t>
      </w:r>
      <w:r>
        <w:rPr>
          <w:b/>
          <w:color w:val="808080"/>
        </w:rPr>
        <w:t>[</w:t>
      </w:r>
      <w:r>
        <w:rPr/>
        <w:t>mit meinen Tränen</w:t>
      </w:r>
      <w:r>
        <w:rPr>
          <w:b/>
          <w:color w:val="808080"/>
        </w:rPr>
        <w:t>]</w:t>
      </w:r>
      <w:r>
        <w:rPr/>
        <w:t xml:space="preserve"> </w:t>
      </w:r>
      <w:r>
        <w:rPr>
          <w:rStyle w:val="Funotenanker"/>
        </w:rPr>
        <w:footnoteReference w:customMarkFollows="1" w:id="1613"/>
        <w:t>w</w:t>
      </w:r>
      <w:r>
        <w:rPr/>
        <w:t xml:space="preserve"> mein Bett,mit meinen Tränen weiche ich </w:t>
      </w:r>
      <w:r>
        <w:rPr>
          <w:b/>
          <w:color w:val="808080"/>
        </w:rPr>
        <w:t>[</w:t>
      </w:r>
      <w:r>
        <w:rPr/>
        <w:t>jede Nacht</w:t>
      </w:r>
      <w:r>
        <w:rPr>
          <w:b/>
          <w:color w:val="808080"/>
        </w:rPr>
        <w:t>]</w:t>
      </w:r>
      <w:r>
        <w:rPr/>
        <w:t xml:space="preserve"> </w:t>
      </w:r>
      <w:r>
        <w:rPr>
          <w:rStyle w:val="Funotenanker"/>
        </w:rPr>
        <w:footnoteReference w:customMarkFollows="1" w:id="1614"/>
        <w:t>x</w:t>
      </w:r>
      <w:r>
        <w:rPr/>
        <w:t xml:space="preserve"> mein Lager auf.</w:t>
        <w:br/>
        <w:t xml:space="preserve">{{field-off:bible}} </w:t>
        <w:br/>
        <w:t>[[@BibleTOBIBLE:Ps 6:8]]</w:t>
      </w:r>
      <w:r>
        <w:rPr>
          <w:b/>
        </w:rPr>
        <w:t>8</w:t>
      </w:r>
      <w:r>
        <w:rPr/>
        <w:t xml:space="preserve"> {{field-on:bible}} </w:t>
        <w:br/>
        <w:t xml:space="preserve">Schwach geworden </w:t>
      </w:r>
      <w:r>
        <w:rPr>
          <w:color w:val="808080"/>
        </w:rPr>
        <w:t>(dunkel geworden, geeitert, angeschwollen, hochmütig?)</w:t>
      </w:r>
      <w:r>
        <w:rPr/>
        <w:t xml:space="preserve"> </w:t>
      </w:r>
      <w:r>
        <w:rPr>
          <w:rStyle w:val="Funotenanker"/>
        </w:rPr>
        <w:footnoteReference w:customMarkFollows="1" w:id="1615"/>
        <w:t>y</w:t>
      </w:r>
      <w:r>
        <w:rPr/>
        <w:t xml:space="preserve"> vor Kummer </w:t>
      </w:r>
      <w:r>
        <w:rPr>
          <w:color w:val="808080"/>
        </w:rPr>
        <w:t>(Gram)</w:t>
      </w:r>
      <w:r>
        <w:rPr/>
        <w:t xml:space="preserve"> sind meine Augen</w:t>
      </w:r>
      <w:r>
        <w:rPr>
          <w:rStyle w:val="Funotenanker"/>
        </w:rPr>
        <w:footnoteReference w:customMarkFollows="1" w:id="1616"/>
        <w:t>z</w:t>
      </w:r>
      <w:r>
        <w:rPr/>
        <w:t>,</w:t>
      </w:r>
      <w:r>
        <w:rPr>
          <w:position w:val="8"/>
          <w:sz w:val="19"/>
        </w:rPr>
        <w:t>[[ ℘ &gt;&gt; BibleTOBIBLE:Job 17:7]][[ ℘ &gt;&gt; BibleTOBIBLE:Ps 31:10]][[ ℘ &gt;&gt; BibleTOBIBLE:Ps 69:4]][[ ℘ &gt;&gt; BibleTOBIBLE:Ps 88:10]]</w:t>
      </w:r>
      <w:r>
        <w:rPr/>
        <w:t xml:space="preserve">sie sind gealtert wegen </w:t>
      </w:r>
      <w:r>
        <w:rPr>
          <w:color w:val="808080"/>
        </w:rPr>
        <w:t xml:space="preserve">(ich bin gealtert wegen, sie sind geheftet auf?, sie </w:t>
      </w:r>
      <w:r>
        <w:rPr>
          <w:b/>
          <w:color w:val="808080"/>
        </w:rPr>
        <w:t>[</w:t>
      </w:r>
      <w:r>
        <w:rPr>
          <w:color w:val="808080"/>
        </w:rPr>
        <w:t>blicken</w:t>
      </w:r>
      <w:r>
        <w:rPr>
          <w:b/>
          <w:color w:val="808080"/>
        </w:rPr>
        <w:t>]</w:t>
      </w:r>
      <w:r>
        <w:rPr>
          <w:color w:val="808080"/>
        </w:rPr>
        <w:t xml:space="preserve"> stolz/frech auf?)</w:t>
      </w:r>
      <w:r>
        <w:rPr/>
        <w:t xml:space="preserve"> </w:t>
      </w:r>
      <w:r>
        <w:rPr>
          <w:rStyle w:val="Funotenanker"/>
        </w:rPr>
        <w:footnoteReference w:customMarkFollows="1" w:id="1617"/>
        <w:t>aa</w:t>
      </w:r>
      <w:r>
        <w:rPr/>
        <w:t xml:space="preserve"> all meiner Feinde </w:t>
      </w:r>
      <w:r>
        <w:rPr>
          <w:color w:val="808080"/>
        </w:rPr>
        <w:t>(wegen all meinem Leid/meiner Not)</w:t>
      </w:r>
      <w:r>
        <w:rPr/>
        <w:t>.</w:t>
        <w:br/>
        <w:br/>
        <w:t xml:space="preserve">{{field-off:bible}} </w:t>
        <w:br/>
        <w:t>[[@BibleTOBIBLE:Ps 6:9]]</w:t>
      </w:r>
      <w:r>
        <w:rPr>
          <w:b/>
        </w:rPr>
        <w:t>9</w:t>
      </w:r>
      <w:r>
        <w:rPr/>
        <w:t xml:space="preserve"> {{field-on:bible}} </w:t>
        <w:br/>
        <w:t xml:space="preserve">Weicht von mir, all </w:t>
      </w:r>
      <w:r>
        <w:rPr>
          <w:b/>
          <w:color w:val="808080"/>
        </w:rPr>
        <w:t>[</w:t>
      </w:r>
      <w:r>
        <w:rPr/>
        <w:t>ihr</w:t>
      </w:r>
      <w:r>
        <w:rPr>
          <w:b/>
          <w:color w:val="808080"/>
        </w:rPr>
        <w:t>]</w:t>
      </w:r>
      <w:r>
        <w:rPr/>
        <w:t xml:space="preserve"> Frevler</w:t>
      </w:r>
      <w:r>
        <w:rPr>
          <w:rStyle w:val="Funotenanker"/>
        </w:rPr>
        <w:footnoteReference w:customMarkFollows="1" w:id="1618"/>
        <w:t>ab</w:t>
      </w:r>
      <w:r>
        <w:rPr/>
        <w:t>!</w:t>
      </w:r>
      <w:r>
        <w:rPr>
          <w:position w:val="8"/>
          <w:sz w:val="19"/>
        </w:rPr>
        <w:t>[[ ℘ &gt;&gt; BibleTOBIBLE:Ps 52:3]][[ ℘ &gt;&gt; BibleTOBIBLE:Ps 119:115]][[ ℘ &gt;&gt; BibleTOBIBLE:Ps 139:19]][[ ℘ &gt;&gt; BibleTOBIBLE:Mt 25:41]][[ ℘ &gt;&gt; BibleTOBIBLE:Lk 13:27]]</w:t>
      </w:r>
      <w:r>
        <w:rPr/>
        <w:t xml:space="preserve"> </w:t>
        <w:br/>
      </w:r>
      <w:r>
        <w:rPr>
          <w:strike/>
          <w:color w:val="808080"/>
        </w:rPr>
        <w:t>{Ja!,}</w:t>
      </w:r>
      <w:r>
        <w:rPr/>
        <w:t xml:space="preserve"> </w:t>
      </w:r>
      <w:r>
        <w:rPr>
          <w:color w:val="808080"/>
        </w:rPr>
        <w:t>(denn)</w:t>
      </w:r>
      <w:r>
        <w:rPr/>
        <w:t xml:space="preserve"> </w:t>
      </w:r>
      <w:r>
        <w:rPr>
          <w:rStyle w:val="Funotenanker"/>
        </w:rPr>
        <w:footnoteReference w:customMarkFollows="1" w:id="1619"/>
        <w:t>ac</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620"/>
        <w:t>ad</w:t>
      </w:r>
      <w:r>
        <w:rPr/>
        <w:t>,</w:t>
      </w:r>
      <w:r>
        <w:rPr>
          <w:position w:val="8"/>
          <w:sz w:val="19"/>
        </w:rPr>
        <w:t>[[ ℘ &gt;&gt; BibleTOBIBLE:Ps 31:23]][[ ℘ &gt;&gt; BibleTOBIBLE:Ps 56:9]]</w:t>
      </w:r>
      <w:r>
        <w:rPr/>
        <w:t xml:space="preserve"> </w:t>
        <w:br/>
        <w:t xml:space="preserve">{{field-off:bible}} </w:t>
        <w:br/>
        <w:t>[[@BibleTOBIBLE:Ps 6:10]]</w:t>
      </w:r>
      <w:r>
        <w:rPr>
          <w:b/>
        </w:rPr>
        <w:t>10</w:t>
      </w:r>
      <w:r>
        <w:rPr/>
        <w:t xml:space="preserve"> {{field-on:bible}} </w:t>
        <w:br/>
        <w:t xml:space="preserve">Gehört </w:t>
      </w:r>
      <w:r>
        <w:rPr>
          <w:color w:val="808080"/>
        </w:rPr>
        <w:t>(erhört)</w:t>
      </w:r>
      <w:r>
        <w:rPr/>
        <w:t xml:space="preserve"> hat </w:t>
      </w:r>
      <w:r>
        <w:rPr>
          <w:smallCaps/>
          <w:color w:val="FF0000"/>
        </w:rPr>
        <w:t>JHWH</w:t>
      </w:r>
      <w:r>
        <w:rPr/>
        <w:t xml:space="preserve"> mein Bitten;</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621"/>
        <w:t>ae</w:t>
      </w:r>
      <w:r>
        <w:rPr/>
        <w:t>:</w:t>
        <w:br/>
        <w:t xml:space="preserve">{{field-off:bible}} </w:t>
        <w:br/>
        <w:t>[[@BibleTOBIBLE:Ps 6:11]]</w:t>
      </w:r>
      <w:r>
        <w:rPr>
          <w:b/>
        </w:rPr>
        <w:t>11</w:t>
      </w:r>
      <w:r>
        <w:rPr/>
        <w:t xml:space="preserve"> {{field-on:bible}} </w:t>
        <w:br/>
        <w:t xml:space="preserv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622"/>
        <w:t>af</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br/>
        <w:t xml:space="preserve">{{field-off:bible}} </w:t>
      </w:r>
    </w:p>
    <w:p>
      <w:pPr>
        <w:pStyle w:val="Berschrift3"/>
        <w:rPr/>
      </w:pPr>
      <w:r>
        <w:rPr/>
        <w:t>[[@BibleTOBIBLE:Ps 7]]Kapitel 7</w:t>
      </w:r>
    </w:p>
    <w:p>
      <w:pPr>
        <w:pStyle w:val="Textkrper"/>
        <w:rPr/>
      </w:pPr>
      <w:r>
        <w:rPr/>
        <w:t xml:space="preserve">In Psalm 7 sind hauptsächlich zwei Vorstellungen miteinander verknüpft. Die erste ist die vom sogenannten „Tun-Ergehens-Zusammenhang“ (s. v.a. Vv. 13-17): Nur dem, der Böses getan hat, kann - und wird auch - Böses widerfahren; demjenigen dagegen, der Gutes tut, ist ein gutes Schicksal gewiss. In Ps 7 ist diese Vorstellung verknüpft mit dem Bild von Gott als „gerechtem Richter“ (V. 12), der als dieser über den Tun-Ergehens-Zusammenhang wacht und für ihn verantwortlich ist: Alles, was einem Menschen auf dieser Erde geschieht, wird zurückgeführt auf ein „Urteil“ des „Weltenrichters“ </w:t>
      </w:r>
      <w:r>
        <w:rPr>
          <w:rStyle w:val="Funotenanker"/>
        </w:rPr>
        <w:footnoteReference w:customMarkFollows="1" w:id="1623"/>
        <w:t>a</w:t>
      </w:r>
      <w:r>
        <w:rPr/>
        <w:t>.</w:t>
      </w:r>
      <w:r>
        <w:rPr>
          <w:rStyle w:val="Funotenanker"/>
        </w:rPr>
        <w:footnoteReference w:customMarkFollows="1" w:id="1624"/>
        <w:t>b</w:t>
      </w:r>
      <w:r>
        <w:rPr/>
        <w:t xml:space="preserve"> Da der Beter von Psalm 7 es aber von sich weist, etwas Böses getan zu haben (Vv. 4-6) und dennoch unter seinen Feinden zu leiden hat (Vv. 2f.), muss das heißen, dass </w:t>
      </w:r>
      <w:r>
        <w:rPr>
          <w:rStyle w:val="Funotenanker"/>
        </w:rPr>
        <w:footnoteReference w:customMarkFollows="1" w:id="1625"/>
        <w:t>c</w:t>
      </w:r>
      <w:r>
        <w:rPr/>
        <w:t xml:space="preserve"> in diesem Fall noch nicht aktiv geworden ist, und aus diesem Grund appelliert er an Gott, dass er nun als Richter in Aktion treten und die Vorstellung des Tun-Ergehens-Zusammenhang auch Wirklichkeit werden lassen soll: Den Beter soll er „entsprechend seiner Gerechtigkeit und Unschuld“ behandeln (Vv. 9.11), seine Feinde aber verurteilen (Vv. 7.10) - und dies soll Gott tun, weil er eben gleichzeitig ein „gerechter Richter“ ist und als solcher auch ein Gott, der bereit ist, seinen gerechten Zorn zu zeigen (V. 12). Und gerade diese letzte Eigenschaft Gottes wird dann in Vv. 13-17 in verschiedensten Variationen durchgespielt: In Gottes Gerechtigkeit liegt, dass ein Übeltäter sich stets sein eigenes Grab schaufelt. So sehr meditiert sich der Beter dort in die strafende Gerechtigkeit Gottes hinein, dass er schließlich unvermittelt seinen Klagepsalm abschließen kann mit einem jubelnden Dankversprechen für </w:t>
      </w:r>
      <w:r>
        <w:rPr>
          <w:rStyle w:val="Funotenanker"/>
        </w:rPr>
        <w:footnoteReference w:customMarkFollows="1" w:id="1626"/>
        <w:t>d</w:t>
      </w:r>
      <w:r>
        <w:rPr/>
        <w:t xml:space="preserve">s Gerechtigkeit, derer er sich nun, da er seine Bitte geäußert hat, sicher sein kann (V. 18). </w:t>
        <w:br/>
        <w:br/>
        <w:t>[[@BibleTOBIBLE:Ps 7:1]]</w:t>
      </w:r>
      <w:r>
        <w:rPr>
          <w:b/>
        </w:rPr>
        <w:t>1</w:t>
      </w:r>
      <w:r>
        <w:rPr/>
        <w:t xml:space="preserve"> {{field-on:bible}} </w:t>
      </w:r>
      <w:r>
        <w:rPr>
          <w:rStyle w:val="Funotenanker"/>
        </w:rPr>
        <w:footnoteReference w:customMarkFollows="1" w:id="1627"/>
        <w:t>Status</w:t>
      </w:r>
      <w:r>
        <w:rPr/>
        <w:t xml:space="preserve"> Ein ''Shiggajon''</w:t>
      </w:r>
      <w:r>
        <w:rPr>
          <w:rStyle w:val="Funotenanker"/>
        </w:rPr>
        <w:footnoteReference w:customMarkFollows="1" w:id="1628"/>
        <w:t>e</w:t>
      </w:r>
      <w:r>
        <w:rPr/>
        <w:t xml:space="preserve"> von </w:t>
      </w:r>
      <w:r>
        <w:rPr>
          <w:color w:val="808080"/>
        </w:rPr>
        <w:t>(für, über, nach Art von)</w:t>
      </w:r>
      <w:r>
        <w:rPr/>
        <w:t xml:space="preserve"> David, das er </w:t>
      </w:r>
      <w:r>
        <w:rPr>
          <w:smallCaps/>
          <w:color w:val="FF0000"/>
        </w:rPr>
        <w:t>JHWH</w:t>
      </w:r>
      <w:r>
        <w:rPr/>
        <w:t xml:space="preserve"> sang wegen der Reden Kuschs, des Benjaminiten.</w:t>
      </w:r>
      <w:r>
        <w:rPr>
          <w:rStyle w:val="Funotenanker"/>
        </w:rPr>
        <w:footnoteReference w:customMarkFollows="1" w:id="1629"/>
        <w:t>f</w:t>
      </w:r>
      <w:r>
        <w:rPr/>
        <w:t xml:space="preserve"> </w:t>
        <w:br/>
        <w:br/>
        <w:t xml:space="preserve">{{field-off:bible}} </w:t>
        <w:br/>
        <w:t>[[@BibleTOBIBLE:Ps 7:2]]</w:t>
      </w:r>
      <w:r>
        <w:rPr>
          <w:b/>
        </w:rPr>
        <w:t>2</w:t>
      </w:r>
      <w:r>
        <w:rPr/>
        <w:t xml:space="preserve"> {{field-on:bible}} </w:t>
        <w:br/>
      </w:r>
      <w:r>
        <w:rPr>
          <w:smallCaps/>
          <w:color w:val="FF0000"/>
        </w:rPr>
        <w:t>JHWH</w:t>
      </w:r>
      <w:r>
        <w:rPr/>
        <w:t xml:space="preserve">, mein Gott, ich suche Schutz bei dir </w:t>
      </w:r>
      <w:r>
        <w:rPr>
          <w:color w:val="808080"/>
        </w:rPr>
        <w:t>(auf dich setze ich mein Vertrauen)</w:t>
      </w:r>
      <w:r>
        <w:rPr/>
        <w:t xml:space="preserve">: Hilf mir vor all meinen Verfolgern und rette mich, </w:t>
      </w:r>
      <w:r>
        <w:rPr>
          <w:position w:val="8"/>
          <w:sz w:val="19"/>
        </w:rPr>
        <w:t>[[ ℘ &gt;&gt; BibleTOBIBLE:Ps 31:2]]</w:t>
      </w:r>
      <w:r>
        <w:rPr/>
        <w:t xml:space="preserve"> </w:t>
        <w:br/>
        <w:t xml:space="preserve">{{field-off:bible}} </w:t>
        <w:br/>
        <w:t>[[@BibleTOBIBLE:Ps 7:3]]</w:t>
      </w:r>
      <w:r>
        <w:rPr>
          <w:b/>
        </w:rPr>
        <w:t>3</w:t>
      </w:r>
      <w:r>
        <w:rPr/>
        <w:t xml:space="preserve"> {{field-on:bible}} </w:t>
        <w:br/>
        <w:t>Damit er</w:t>
      </w:r>
      <w:r>
        <w:rPr>
          <w:rStyle w:val="Funotenanker"/>
        </w:rPr>
        <w:footnoteReference w:customMarkFollows="1" w:id="1630"/>
        <w:t>g</w:t>
      </w:r>
      <w:r>
        <w:rPr/>
        <w:t xml:space="preserve"> nicht meine Seele </w:t>
      </w:r>
      <w:r>
        <w:rPr>
          <w:color w:val="808080"/>
        </w:rPr>
        <w:t>(mich)</w:t>
      </w:r>
      <w:r>
        <w:rPr/>
        <w:t xml:space="preserve"> </w:t>
      </w:r>
      <w:r>
        <w:rPr>
          <w:rStyle w:val="Funotenanker"/>
        </w:rPr>
        <w:footnoteReference w:customMarkFollows="1" w:id="1631"/>
        <w:t>h</w:t>
      </w:r>
      <w:r>
        <w:rPr/>
        <w:t xml:space="preserve"> zerreißt wie ein Löwe,</w:t>
      </w:r>
      <w:r>
        <w:rPr>
          <w:b/>
          <w:color w:val="808080"/>
        </w:rPr>
        <w:t>[</w:t>
      </w:r>
      <w:r>
        <w:rPr/>
        <w:t xml:space="preserve">Sie </w:t>
      </w:r>
      <w:r>
        <w:rPr>
          <w:color w:val="808080"/>
        </w:rPr>
        <w:t>(mich)</w:t>
      </w:r>
      <w:r>
        <w:rPr>
          <w:b/>
          <w:color w:val="808080"/>
        </w:rPr>
        <w:t>]</w:t>
      </w:r>
      <w:r>
        <w:rPr/>
        <w:t xml:space="preserve"> zerfleischt, ohne dass jemand </w:t>
      </w:r>
      <w:r>
        <w:rPr>
          <w:b/>
          <w:color w:val="808080"/>
        </w:rPr>
        <w:t>[</w:t>
      </w:r>
      <w:r>
        <w:rPr/>
        <w:t xml:space="preserve">sie </w:t>
      </w:r>
      <w:r>
        <w:rPr>
          <w:color w:val="808080"/>
        </w:rPr>
        <w:t>(mich)</w:t>
      </w:r>
      <w:r>
        <w:rPr>
          <w:b/>
          <w:color w:val="808080"/>
        </w:rPr>
        <w:t>]</w:t>
      </w:r>
      <w:r>
        <w:rPr/>
        <w:t xml:space="preserve"> rettet!</w:t>
      </w:r>
      <w:r>
        <w:rPr>
          <w:rStyle w:val="Funotenanker"/>
        </w:rPr>
        <w:footnoteReference w:customMarkFollows="1" w:id="1632"/>
        <w:t>i</w:t>
      </w:r>
      <w:r>
        <w:rPr/>
        <w:t xml:space="preserve"> </w:t>
      </w:r>
      <w:r>
        <w:rPr>
          <w:position w:val="8"/>
          <w:sz w:val="19"/>
        </w:rPr>
        <w:t>[[ ℘ &gt;&gt; BibleTOBIBLE:Ps 10:9]][[ ℘ &gt;&gt; BibleTOBIBLE:Ps 17:12]][[ ℘ &gt;&gt; BibleTOBIBLE:Ps 22:13]]</w:t>
      </w:r>
      <w:r>
        <w:rPr/>
        <w:t xml:space="preserve"> </w:t>
        <w:br/>
        <w:br/>
        <w:t xml:space="preserve">{{field-off:bible}} </w:t>
        <w:br/>
        <w:t>[[@BibleTOBIBLE:Ps 7:4]]</w:t>
      </w:r>
      <w:r>
        <w:rPr>
          <w:b/>
        </w:rPr>
        <w:t>4</w:t>
      </w:r>
      <w:r>
        <w:rPr/>
        <w:t xml:space="preserve"> {{field-on:bible}} </w:t>
        <w:br/>
      </w:r>
      <w:r>
        <w:rPr>
          <w:smallCaps/>
          <w:color w:val="FF0000"/>
        </w:rPr>
        <w:t>JHWH</w:t>
      </w:r>
      <w:r>
        <w:rPr/>
        <w:t>, mein Gott, wenn ich dies getan habe,</w:t>
      </w:r>
      <w:r>
        <w:rPr>
          <w:rStyle w:val="Funotenanker"/>
        </w:rPr>
        <w:footnoteReference w:customMarkFollows="1" w:id="1633"/>
        <w:t>j</w:t>
      </w:r>
      <w:r>
        <w:rPr/>
        <w:t xml:space="preserve"> wenn Unrecht an meinen Händen </w:t>
      </w:r>
      <w:r>
        <w:rPr>
          <w:b/>
          <w:color w:val="808080"/>
        </w:rPr>
        <w:t>[</w:t>
      </w:r>
      <w:r>
        <w:rPr/>
        <w:t>ist</w:t>
      </w:r>
      <w:r>
        <w:rPr>
          <w:b/>
          <w:color w:val="808080"/>
        </w:rPr>
        <w:t>]</w:t>
      </w:r>
      <w:r>
        <w:rPr/>
        <w:t xml:space="preserve"> </w:t>
      </w:r>
      <w:r>
        <w:rPr>
          <w:rStyle w:val="Funotenanker"/>
        </w:rPr>
        <w:footnoteReference w:customMarkFollows="1" w:id="1634"/>
        <w:t>k</w:t>
      </w:r>
      <w:r>
        <w:rPr/>
        <w:t xml:space="preserve"> </w:t>
      </w:r>
      <w:r>
        <w:rPr>
          <w:position w:val="8"/>
          <w:sz w:val="19"/>
        </w:rPr>
        <w:t>[[ ℘ &gt;&gt; BibleTOBIBLE:Job 31:7]][[ ℘ &gt;&gt; BibleTOBIBLE:Ps 26:10]]</w:t>
      </w:r>
      <w:r>
        <w:rPr/>
        <w:t xml:space="preserve"> </w:t>
        <w:br/>
        <w:t xml:space="preserve">{{field-off:bible}} </w:t>
        <w:br/>
        <w:t>[[@BibleTOBIBLE:Ps 7:5]]</w:t>
      </w:r>
      <w:r>
        <w:rPr>
          <w:b/>
        </w:rPr>
        <w:t>5</w:t>
      </w:r>
      <w:r>
        <w:rPr/>
        <w:t xml:space="preserve"> {{field-on:bible}} </w:t>
        <w:br/>
        <w:t>Wenn ich Böses tat dem, der</w:t>
      </w:r>
      <w:r>
        <w:rPr>
          <w:rStyle w:val="Funotenanker"/>
        </w:rPr>
        <w:footnoteReference w:customMarkFollows="1" w:id="1635"/>
        <w:t>l</w:t>
      </w:r>
      <w:r>
        <w:rPr/>
        <w:t xml:space="preserve"> es mir </w:t>
      </w:r>
      <w:r>
        <w:rPr>
          <w:b/>
          <w:color w:val="808080"/>
        </w:rPr>
        <w:t>[</w:t>
      </w:r>
      <w:r>
        <w:rPr/>
        <w:t>nun</w:t>
      </w:r>
      <w:r>
        <w:rPr>
          <w:b/>
          <w:color w:val="808080"/>
        </w:rPr>
        <w:t>]</w:t>
      </w:r>
      <w:r>
        <w:rPr/>
        <w:t xml:space="preserve"> vergilt </w:t>
      </w:r>
      <w:r>
        <w:rPr>
          <w:color w:val="808080"/>
        </w:rPr>
        <w:t>(meinem Verbündeten?)</w:t>
      </w:r>
      <w:r>
        <w:rPr/>
        <w:t xml:space="preserve">,und </w:t>
      </w:r>
      <w:r>
        <w:rPr>
          <w:b/>
          <w:color w:val="808080"/>
        </w:rPr>
        <w:t>[</w:t>
      </w:r>
      <w:r>
        <w:rPr/>
        <w:t>wenn</w:t>
      </w:r>
      <w:r>
        <w:rPr>
          <w:b/>
          <w:color w:val="808080"/>
        </w:rPr>
        <w:t>]</w:t>
      </w:r>
      <w:r>
        <w:rPr/>
        <w:t xml:space="preserve"> ich grundlos meine Gegner </w:t>
      </w:r>
      <w:r>
        <w:rPr>
          <w:color w:val="808080"/>
        </w:rPr>
        <w:t xml:space="preserve">(die, die grundlos meine Gegner </w:t>
      </w:r>
      <w:r>
        <w:rPr>
          <w:b/>
          <w:color w:val="808080"/>
        </w:rPr>
        <w:t>[</w:t>
      </w:r>
      <w:r>
        <w:rPr>
          <w:color w:val="808080"/>
        </w:rPr>
        <w:t>sind</w:t>
      </w:r>
      <w:r>
        <w:rPr>
          <w:b/>
          <w:color w:val="808080"/>
        </w:rPr>
        <w:t>]</w:t>
      </w:r>
      <w:r>
        <w:rPr>
          <w:color w:val="808080"/>
        </w:rPr>
        <w:t>)</w:t>
      </w:r>
      <w:r>
        <w:rPr/>
        <w:t xml:space="preserve"> bedrängte </w:t>
      </w:r>
      <w:r>
        <w:rPr>
          <w:color w:val="808080"/>
        </w:rPr>
        <w:t>(rettete?)</w:t>
      </w:r>
      <w:r>
        <w:rPr/>
        <w:t>,</w:t>
      </w:r>
      <w:r>
        <w:rPr>
          <w:rStyle w:val="Funotenanker"/>
        </w:rPr>
        <w:footnoteReference w:customMarkFollows="1" w:id="1636"/>
        <w:t>m</w:t>
      </w:r>
      <w:r>
        <w:rPr/>
        <w:t xml:space="preserve"> </w:t>
        <w:br/>
        <w:t xml:space="preserve">{{field-off:bible}} </w:t>
        <w:br/>
        <w:t>[[@BibleTOBIBLE:Ps 7:6]]</w:t>
      </w:r>
      <w:r>
        <w:rPr>
          <w:b/>
        </w:rPr>
        <w:t>6</w:t>
      </w:r>
      <w:r>
        <w:rPr/>
        <w:t xml:space="preserve"> {{field-on:bible}} </w:t>
        <w:br/>
        <w:t xml:space="preserve">dann verfolge </w:t>
      </w:r>
      <w:r>
        <w:rPr>
          <w:b/>
          <w:color w:val="808080"/>
        </w:rPr>
        <w:t>[</w:t>
      </w:r>
      <w:r>
        <w:rPr/>
        <w:t>mein</w:t>
      </w:r>
      <w:r>
        <w:rPr>
          <w:b/>
          <w:color w:val="808080"/>
        </w:rPr>
        <w:t>]</w:t>
      </w:r>
      <w:r>
        <w:rPr/>
        <w:t xml:space="preserve"> Feind meine Seele </w:t>
      </w:r>
      <w:r>
        <w:rPr>
          <w:color w:val="808080"/>
        </w:rPr>
        <w:t>(mich)</w:t>
      </w:r>
      <w:r>
        <w:rPr/>
        <w:t xml:space="preserve"> </w:t>
      </w:r>
      <w:r>
        <w:rPr>
          <w:rStyle w:val="Funotenanker"/>
        </w:rPr>
        <w:footnoteReference w:customMarkFollows="1" w:id="1637"/>
        <w:t>n</w:t>
      </w:r>
      <w:r>
        <w:rPr/>
        <w:t xml:space="preserve"> und erreiche </w:t>
      </w:r>
      <w:r>
        <w:rPr>
          <w:b/>
          <w:color w:val="808080"/>
        </w:rPr>
        <w:t>[</w:t>
      </w:r>
      <w:r>
        <w:rPr/>
        <w:t>sie</w:t>
      </w:r>
      <w:r>
        <w:rPr>
          <w:b/>
          <w:color w:val="808080"/>
        </w:rPr>
        <w:t>]</w:t>
      </w:r>
      <w:r>
        <w:rPr/>
        <w:t xml:space="preserve">und trete meine Seele </w:t>
      </w:r>
      <w:r>
        <w:rPr>
          <w:color w:val="808080"/>
        </w:rPr>
        <w:t>(mich)</w:t>
      </w:r>
      <w:r>
        <w:rPr/>
        <w:t xml:space="preserve"> zu Boden </w:t>
      </w:r>
      <w:r>
        <w:rPr>
          <w:position w:val="8"/>
          <w:sz w:val="19"/>
        </w:rPr>
        <w:t>[[ ℘ &gt;&gt; BibleTOBIBLE:Ps 44:5]][[ ℘ &gt;&gt; BibleTOBIBLE:Ps 60:12]][[ ℘ &gt;&gt; BibleTOBIBLE:Is 63:3]]</w:t>
      </w:r>
      <w:r>
        <w:rPr/>
        <w:t xml:space="preserve">und lasse meine Ehre </w:t>
      </w:r>
      <w:r>
        <w:rPr>
          <w:color w:val="808080"/>
        </w:rPr>
        <w:t>(mich)</w:t>
      </w:r>
      <w:r>
        <w:rPr/>
        <w:t xml:space="preserve"> im Staub wohnen!</w:t>
      </w:r>
      <w:r>
        <w:rPr>
          <w:rStyle w:val="Funotenanker"/>
        </w:rPr>
        <w:footnoteReference w:customMarkFollows="1" w:id="1638"/>
        <w:t>o</w:t>
      </w:r>
      <w:r>
        <w:rPr/>
        <w:t xml:space="preserve"> </w:t>
      </w:r>
      <w:r>
        <w:rPr>
          <w:strike/>
          <w:color w:val="808080"/>
        </w:rPr>
        <w:t>{Selah}</w:t>
      </w:r>
      <w:r>
        <w:rPr/>
        <w:t xml:space="preserve"> </w:t>
      </w:r>
      <w:r>
        <w:rPr>
          <w:rStyle w:val="Funotenanker"/>
        </w:rPr>
        <w:footnoteReference w:customMarkFollows="1" w:id="1639"/>
        <w:t>p</w:t>
      </w:r>
      <w:r>
        <w:rPr/>
        <w:t xml:space="preserve"> </w:t>
      </w:r>
      <w:r>
        <w:rPr>
          <w:position w:val="8"/>
          <w:sz w:val="19"/>
        </w:rPr>
        <w:t>[[ ℘ &gt;&gt; BibleTOBIBLE:Job 31:5]][[ ℘ &gt;&gt; BibleTOBIBLE:Job 31:38]]</w:t>
      </w:r>
      <w:r>
        <w:rPr/>
        <w:t xml:space="preserve"> </w:t>
        <w:br/>
        <w:br/>
        <w:t xml:space="preserve">{{field-off:bible}} </w:t>
        <w:br/>
        <w:t>[[@BibleTOBIBLE:Ps 7:7]]</w:t>
      </w:r>
      <w:r>
        <w:rPr>
          <w:b/>
        </w:rPr>
        <w:t>7</w:t>
      </w:r>
      <w:r>
        <w:rPr/>
        <w:t xml:space="preserve"> {{field-on:bible}} </w:t>
        <w:br/>
        <w:t xml:space="preserve">Steh auf, </w:t>
      </w:r>
      <w:r>
        <w:rPr>
          <w:smallCaps/>
          <w:color w:val="FF0000"/>
        </w:rPr>
        <w:t>JHWH</w:t>
      </w:r>
      <w:r>
        <w:rPr/>
        <w:t xml:space="preserve">, in Deinem Zorn! </w:t>
      </w:r>
      <w:r>
        <w:rPr>
          <w:position w:val="8"/>
          <w:sz w:val="19"/>
        </w:rPr>
        <w:t>[[ ℘ &gt;&gt; BibleTOBIBLE:Ps 3:7]][[ ℘ &gt;&gt; BibleTOBIBLE:Ps 44:26]]</w:t>
      </w:r>
      <w:r>
        <w:rPr/>
        <w:t xml:space="preserve">Erhebe Dich gegen die Wut meiner Feinde </w:t>
      </w:r>
      <w:r>
        <w:rPr>
          <w:color w:val="808080"/>
        </w:rPr>
        <w:t xml:space="preserve">(in </w:t>
      </w:r>
      <w:r>
        <w:rPr>
          <w:b/>
          <w:color w:val="808080"/>
        </w:rPr>
        <w:t>[</w:t>
      </w:r>
      <w:r>
        <w:rPr>
          <w:color w:val="808080"/>
        </w:rPr>
        <w:t>Deiner</w:t>
      </w:r>
      <w:r>
        <w:rPr>
          <w:b/>
          <w:color w:val="808080"/>
        </w:rPr>
        <w:t>]</w:t>
      </w:r>
      <w:r>
        <w:rPr>
          <w:color w:val="808080"/>
        </w:rPr>
        <w:t xml:space="preserve"> Wut auf meine Feinde)</w:t>
      </w:r>
      <w:r>
        <w:rPr/>
        <w:t>Und erwache</w:t>
      </w:r>
      <w:r>
        <w:rPr>
          <w:rStyle w:val="Funotenanker"/>
        </w:rPr>
        <w:footnoteReference w:customMarkFollows="1" w:id="1640"/>
        <w:t>q</w:t>
      </w:r>
      <w:r>
        <w:rPr/>
        <w:t xml:space="preserve">, mein Gott </w:t>
      </w:r>
      <w:r>
        <w:rPr>
          <w:color w:val="808080"/>
        </w:rPr>
        <w:t>(Und erwache zu mir hin?)</w:t>
      </w:r>
      <w:r>
        <w:rPr/>
        <w:t xml:space="preserve"> </w:t>
      </w:r>
      <w:r>
        <w:rPr>
          <w:rStyle w:val="Funotenanker"/>
        </w:rPr>
        <w:footnoteReference w:customMarkFollows="1" w:id="1641"/>
        <w:t>r</w:t>
      </w:r>
      <w:r>
        <w:rPr/>
        <w:t xml:space="preserve">, </w:t>
      </w:r>
      <w:r>
        <w:rPr>
          <w:b/>
          <w:color w:val="808080"/>
        </w:rPr>
        <w:t>[</w:t>
      </w:r>
      <w:r>
        <w:rPr/>
        <w:t>der</w:t>
      </w:r>
      <w:r>
        <w:rPr>
          <w:b/>
          <w:color w:val="808080"/>
        </w:rPr>
        <w:t>]</w:t>
      </w:r>
      <w:r>
        <w:rPr/>
        <w:t xml:space="preserve"> du das Recht eingesetzt hast!</w:t>
      </w:r>
      <w:r>
        <w:rPr>
          <w:rStyle w:val="Funotenanker"/>
        </w:rPr>
        <w:footnoteReference w:customMarkFollows="1" w:id="1642"/>
        <w:t>s</w:t>
      </w:r>
      <w:r>
        <w:rPr/>
        <w:t xml:space="preserve"> </w:t>
      </w:r>
      <w:r>
        <w:rPr>
          <w:position w:val="8"/>
          <w:sz w:val="19"/>
        </w:rPr>
        <w:t>[[ ℘ &gt;&gt; BibleTOBIBLE:Ps 35:23]][[ ℘ &gt;&gt; BibleTOBIBLE:Ps 44:23]][[ ℘ &gt;&gt; BibleTOBIBLE:Ps 73:20]][[ ℘ &gt;&gt; BibleTOBIBLE:Ps 76:9]][[ ℘ &gt;&gt; BibleTOBIBLE:Ps 78:65]][[ ℘ &gt;&gt; BibleTOBIBLE:Is 51:9]]</w:t>
      </w:r>
      <w:r>
        <w:rPr/>
        <w:t xml:space="preserve"> </w:t>
        <w:br/>
        <w:t xml:space="preserve">{{field-off:bible}} </w:t>
        <w:br/>
        <w:t>[[@BibleTOBIBLE:Ps 7:8]]</w:t>
      </w:r>
      <w:r>
        <w:rPr>
          <w:b/>
        </w:rPr>
        <w:t>8</w:t>
      </w:r>
      <w:r>
        <w:rPr/>
        <w:t xml:space="preserve"> {{field-on:bible}} </w:t>
        <w:br/>
      </w:r>
      <w:r>
        <w:rPr>
          <w:strike/>
          <w:color w:val="808080"/>
        </w:rPr>
        <w:t>{Und}</w:t>
      </w:r>
      <w:r>
        <w:rPr/>
        <w:t xml:space="preserve"> die Versammlung der Völker umgebe dichUnd über sie kehre zur Höhe zurück!</w:t>
      </w:r>
      <w:r>
        <w:rPr>
          <w:rStyle w:val="Funotenanker"/>
        </w:rPr>
        <w:footnoteReference w:customMarkFollows="1" w:id="1643"/>
        <w:t>t</w:t>
      </w:r>
      <w:r>
        <w:rPr/>
        <w:t xml:space="preserve"> </w:t>
      </w:r>
      <w:r>
        <w:rPr>
          <w:position w:val="8"/>
          <w:sz w:val="19"/>
        </w:rPr>
        <w:t>[[ ℘ &gt;&gt; BibleTOBIBLE:Ps 2:4]][[ ℘ &gt;&gt; BibleTOBIBLE:Ps 9:4]][[ ℘ &gt;&gt; BibleTOBIBLE:Ps 11:4]][[ ℘ &gt;&gt; BibleTOBIBLE:Ps 33:14]][[ ℘ &gt;&gt; BibleTOBIBLE:Ps 96:10]][[ ℘ &gt;&gt; BibleTOBIBLE:Ps 98:9]][[ ℘ &gt;&gt; BibleTOBIBLE:Ps 103:19]][[ ℘ &gt;&gt; BibleTOBIBLE:Ps 113:5]][[ ℘ &gt;&gt; BibleTOBIBLE:Re 4:2]][[ ℘ &gt;&gt; BibleTOBIBLE:Re 20:12]]</w:t>
      </w:r>
      <w:r>
        <w:rPr/>
        <w:t xml:space="preserve"> </w:t>
        <w:br/>
        <w:t xml:space="preserve">{{field-off:bible}} </w:t>
        <w:br/>
        <w:t>[[@BibleTOBIBLE:Ps 7:9]]</w:t>
      </w:r>
      <w:r>
        <w:rPr>
          <w:b/>
        </w:rPr>
        <w:t>9</w:t>
      </w:r>
      <w:r>
        <w:rPr/>
        <w:t xml:space="preserve"> {{field-on:bible}} </w:t>
        <w:br/>
      </w:r>
      <w:r>
        <w:rPr>
          <w:smallCaps/>
          <w:color w:val="FF0000"/>
        </w:rPr>
        <w:t>JHWH</w:t>
      </w:r>
      <w:r>
        <w:rPr/>
        <w:t xml:space="preserve"> richte die Völker</w:t>
      </w:r>
      <w:r>
        <w:rPr>
          <w:rStyle w:val="Funotenanker"/>
        </w:rPr>
        <w:footnoteReference w:customMarkFollows="1" w:id="1644"/>
        <w:t>u</w:t>
      </w:r>
      <w:r>
        <w:rPr/>
        <w:t xml:space="preserve"> </w:t>
      </w:r>
      <w:r>
        <w:rPr>
          <w:position w:val="8"/>
          <w:sz w:val="19"/>
        </w:rPr>
        <w:t>[[ ℘ &gt;&gt; BibleTOBIBLE:Ps 9:8]]</w:t>
      </w:r>
      <w:r>
        <w:rPr/>
        <w:t xml:space="preserve">Schaff </w:t>
      </w:r>
      <w:r>
        <w:rPr>
          <w:b/>
          <w:color w:val="808080"/>
        </w:rPr>
        <w:t>[</w:t>
      </w:r>
      <w:r>
        <w:rPr/>
        <w:t>auch</w:t>
      </w:r>
      <w:r>
        <w:rPr>
          <w:b/>
          <w:color w:val="808080"/>
        </w:rPr>
        <w:t>]</w:t>
      </w:r>
      <w:r>
        <w:rPr/>
        <w:t xml:space="preserve"> mir Recht</w:t>
      </w:r>
      <w:r>
        <w:rPr>
          <w:rStyle w:val="Funotenanker"/>
        </w:rPr>
        <w:footnoteReference w:customMarkFollows="1" w:id="1645"/>
        <w:t>v</w:t>
      </w:r>
      <w:r>
        <w:rPr/>
        <w:t xml:space="preserve">, </w:t>
      </w:r>
      <w:r>
        <w:rPr>
          <w:smallCaps/>
          <w:color w:val="FF0000"/>
        </w:rPr>
        <w:t>JHWH</w:t>
      </w:r>
      <w:r>
        <w:rPr/>
        <w:t>, gemäß meiner Gerechtigkeit</w:t>
      </w:r>
      <w:r>
        <w:rPr>
          <w:rStyle w:val="Funotenanker"/>
        </w:rPr>
        <w:footnoteReference w:customMarkFollows="1" w:id="1646"/>
        <w:t>w</w:t>
      </w:r>
      <w:r>
        <w:rPr/>
        <w:t xml:space="preserve">Und gemäß meiner Unschuld, </w:t>
      </w:r>
      <w:r>
        <w:rPr>
          <w:b/>
          <w:color w:val="808080"/>
        </w:rPr>
        <w:t>[</w:t>
      </w:r>
      <w:r>
        <w:rPr/>
        <w:t>die</w:t>
      </w:r>
      <w:r>
        <w:rPr>
          <w:b/>
          <w:color w:val="808080"/>
        </w:rPr>
        <w:t>]</w:t>
      </w:r>
      <w:r>
        <w:rPr/>
        <w:t xml:space="preserve"> auf mir </w:t>
      </w:r>
      <w:r>
        <w:rPr>
          <w:b/>
          <w:color w:val="808080"/>
        </w:rPr>
        <w:t>[</w:t>
      </w:r>
      <w:r>
        <w:rPr/>
        <w:t>ist</w:t>
      </w:r>
      <w:r>
        <w:rPr>
          <w:b/>
          <w:color w:val="808080"/>
        </w:rPr>
        <w:t>]</w:t>
      </w:r>
      <w:r>
        <w:rPr/>
        <w:t xml:space="preserve"> </w:t>
      </w:r>
      <w:r>
        <w:rPr>
          <w:rStyle w:val="Funotenanker"/>
        </w:rPr>
        <w:footnoteReference w:customMarkFollows="1" w:id="1647"/>
        <w:t>x</w:t>
      </w:r>
      <w:r>
        <w:rPr/>
        <w:t xml:space="preserve">! </w:t>
      </w:r>
      <w:r>
        <w:rPr>
          <w:position w:val="8"/>
          <w:sz w:val="19"/>
        </w:rPr>
        <w:t>[[ ℘ &gt;&gt; BibleTOBIBLE:Ps 26:1]][[ ℘ &gt;&gt; BibleTOBIBLE:Ps 37:23]][[ ℘ &gt;&gt; BibleTOBIBLE:Ps 43:1]][[ ℘ &gt;&gt; BibleTOBIBLE:Ps 96:13]][[ ℘ &gt;&gt; BibleTOBIBLE:Ps 98:9]]</w:t>
      </w:r>
      <w:r>
        <w:rPr/>
        <w:t xml:space="preserve"> </w:t>
        <w:br/>
        <w:t xml:space="preserve">{{field-off:bible}} </w:t>
        <w:br/>
        <w:t>[[@BibleTOBIBLE:Ps 7:10]]</w:t>
      </w:r>
      <w:r>
        <w:rPr>
          <w:b/>
        </w:rPr>
        <w:t>10</w:t>
      </w:r>
      <w:r>
        <w:rPr/>
        <w:t xml:space="preserve"> {{field-on:bible}} </w:t>
        <w:br/>
        <w:t xml:space="preserve">Ach, es möge enden Böses von Frevlern </w:t>
      </w:r>
      <w:r>
        <w:rPr>
          <w:color w:val="808080"/>
        </w:rPr>
        <w:t>(böse Frevler, Bosheit von Frevler?)</w:t>
      </w:r>
      <w:r>
        <w:rPr/>
        <w:t xml:space="preserve"> </w:t>
      </w:r>
      <w:r>
        <w:rPr>
          <w:rStyle w:val="Funotenanker"/>
        </w:rPr>
        <w:footnoteReference w:customMarkFollows="1" w:id="1648"/>
        <w:t>y</w:t>
      </w:r>
      <w:r>
        <w:rPr/>
        <w:t>,</w:t>
      </w:r>
      <w:r>
        <w:rPr>
          <w:b/>
          <w:color w:val="808080"/>
        </w:rPr>
        <w:t>[</w:t>
      </w:r>
      <w:r>
        <w:rPr/>
        <w:t>Aber</w:t>
      </w:r>
      <w:r>
        <w:rPr>
          <w:b/>
          <w:color w:val="808080"/>
        </w:rPr>
        <w:t>]</w:t>
      </w:r>
      <w:r>
        <w:rPr/>
        <w:t xml:space="preserve"> Gerechte mögest du sicher stehen lassen</w:t>
      </w:r>
      <w:r>
        <w:rPr>
          <w:rStyle w:val="Funotenanker"/>
        </w:rPr>
        <w:footnoteReference w:customMarkFollows="1" w:id="1649"/>
        <w:t>z</w:t>
      </w:r>
      <w:r>
        <w:rPr/>
        <w:t>.</w:t>
        <w:br/>
        <w:br/>
        <w:t>Der gerechte Gott prüft Herz und Nieren</w:t>
      </w:r>
      <w:r>
        <w:rPr>
          <w:rStyle w:val="Funotenanker"/>
        </w:rPr>
        <w:footnoteReference w:customMarkFollows="1" w:id="1650"/>
        <w:t>aa</w:t>
      </w:r>
      <w:r>
        <w:rPr/>
        <w:t xml:space="preserve"> </w:t>
      </w:r>
      <w:r>
        <w:rPr>
          <w:rStyle w:val="Funotenanker"/>
        </w:rPr>
        <w:footnoteReference w:customMarkFollows="1" w:id="1651"/>
        <w:t>ab</w:t>
      </w:r>
      <w:r>
        <w:rPr/>
        <w:t xml:space="preserve">, </w:t>
      </w:r>
      <w:r>
        <w:rPr>
          <w:position w:val="8"/>
          <w:sz w:val="19"/>
        </w:rPr>
        <w:t>[[ ℘ &gt;&gt; BibleTOBIBLE:1Sa 16:7]][[ ℘ &gt;&gt; BibleTOBIBLE:1Ch 28:9]][[ ℘ &gt;&gt; BibleTOBIBLE:Ps 11:4]][[ ℘ &gt;&gt; BibleTOBIBLE:Ps 17:3]][[ ℘ &gt;&gt; BibleTOBIBLE:Ps 44:21]][[ ℘ &gt;&gt; BibleTOBIBLE:Ps 139:1]][[ ℘ &gt;&gt; BibleTOBIBLE:Je 11:20]][[ ℘ &gt;&gt; BibleTOBIBLE:Je 17:10]][[ ℘ &gt;&gt; BibleTOBIBLE:Je 20:12]][[ ℘ &gt;&gt; BibleTOBIBLE:1Co 4:5]][[ ℘ &gt;&gt; BibleTOBIBLE:Re 2:23]]</w:t>
      </w:r>
      <w:r>
        <w:rPr/>
        <w:t xml:space="preserve"> </w:t>
        <w:br/>
        <w:t xml:space="preserve">{{field-off:bible}} </w:t>
        <w:br/>
        <w:t>[[@BibleTOBIBLE:Ps 7:11]]</w:t>
      </w:r>
      <w:r>
        <w:rPr>
          <w:b/>
        </w:rPr>
        <w:t>11</w:t>
      </w:r>
      <w:r>
        <w:rPr/>
        <w:t xml:space="preserve"> {{field-on:bible}} </w:t>
        <w:br/>
      </w:r>
      <w:r>
        <w:rPr>
          <w:b/>
          <w:color w:val="808080"/>
        </w:rPr>
        <w:t>[</w:t>
      </w:r>
      <w:r>
        <w:rPr/>
        <w:t>Darum</w:t>
      </w:r>
      <w:r>
        <w:rPr>
          <w:b/>
          <w:color w:val="808080"/>
        </w:rPr>
        <w:t>]</w:t>
      </w:r>
      <w:r>
        <w:rPr/>
        <w:t xml:space="preserve"> </w:t>
      </w:r>
      <w:r>
        <w:rPr>
          <w:b/>
          <w:color w:val="808080"/>
        </w:rPr>
        <w:t>[</w:t>
      </w:r>
      <w:r>
        <w:rPr/>
        <w:t>Ist</w:t>
      </w:r>
      <w:r>
        <w:rPr>
          <w:b/>
          <w:color w:val="808080"/>
        </w:rPr>
        <w:t>]</w:t>
      </w:r>
      <w:r>
        <w:rPr/>
        <w:t xml:space="preserve"> mein Schild auf mir </w:t>
      </w:r>
      <w:r>
        <w:rPr>
          <w:color w:val="808080"/>
        </w:rPr>
        <w:t>(auf)</w:t>
      </w:r>
      <w:r>
        <w:rPr/>
        <w:t xml:space="preserve"> </w:t>
      </w:r>
      <w:r>
        <w:rPr>
          <w:rStyle w:val="Funotenanker"/>
        </w:rPr>
        <w:footnoteReference w:customMarkFollows="1" w:id="1652"/>
        <w:t>ac</w:t>
      </w:r>
      <w:r>
        <w:rPr/>
        <w:t xml:space="preserve"> Gott, </w:t>
      </w:r>
      <w:r>
        <w:rPr>
          <w:position w:val="8"/>
          <w:sz w:val="19"/>
        </w:rPr>
        <w:t>[[ ℘ &gt;&gt; BibleTOBIBLE:Ps 3:4]][[ ℘ &gt;&gt; BibleTOBIBLE:Ps 18:3]][[ ℘ &gt;&gt; BibleTOBIBLE:Ps 89:19]]</w:t>
      </w:r>
      <w:r>
        <w:rPr/>
        <w:t xml:space="preserve">der Retter </w:t>
      </w:r>
      <w:r>
        <w:rPr>
          <w:b/>
          <w:color w:val="808080"/>
        </w:rPr>
        <w:t>[</w:t>
      </w:r>
      <w:r>
        <w:rPr/>
        <w:t>derer, die</w:t>
      </w:r>
      <w:r>
        <w:rPr>
          <w:b/>
          <w:color w:val="808080"/>
        </w:rPr>
        <w:t>]</w:t>
      </w:r>
      <w:r>
        <w:rPr/>
        <w:t xml:space="preserve"> redlichen Herzens </w:t>
      </w:r>
      <w:r>
        <w:rPr>
          <w:b/>
          <w:color w:val="808080"/>
        </w:rPr>
        <w:t>[</w:t>
      </w:r>
      <w:r>
        <w:rPr/>
        <w:t>sind</w:t>
      </w:r>
      <w:r>
        <w:rPr>
          <w:b/>
          <w:color w:val="808080"/>
        </w:rPr>
        <w:t>]</w:t>
      </w:r>
      <w:r>
        <w:rPr/>
        <w:t xml:space="preserve">. </w:t>
      </w:r>
      <w:r>
        <w:rPr>
          <w:position w:val="8"/>
          <w:sz w:val="19"/>
        </w:rPr>
        <w:t>[[ ℘ &gt;&gt; BibleTOBIBLE:Job 18:6]][[ ℘ &gt;&gt; BibleTOBIBLE:Ps 18:20]][[ ℘ &gt;&gt; BibleTOBIBLE:Ps 112:2]][[ ℘ &gt;&gt; BibleTOBIBLE:Ps 125:4]][[ ℘ &gt;&gt; BibleTOBIBLE:Pr 2:21]]</w:t>
      </w:r>
      <w:r>
        <w:rPr/>
        <w:t xml:space="preserve"> </w:t>
        <w:br/>
        <w:t xml:space="preserve">{{field-off:bible}} </w:t>
        <w:br/>
        <w:t>[[@BibleTOBIBLE:Ps 7:12]]</w:t>
      </w:r>
      <w:r>
        <w:rPr>
          <w:b/>
        </w:rPr>
        <w:t>12</w:t>
      </w:r>
      <w:r>
        <w:rPr/>
        <w:t xml:space="preserve"> {{field-on:bible}} </w:t>
        <w:br/>
        <w:t xml:space="preserve">Gott </w:t>
      </w:r>
      <w:r>
        <w:rPr>
          <w:b/>
          <w:color w:val="808080"/>
        </w:rPr>
        <w:t>[</w:t>
      </w:r>
      <w:r>
        <w:rPr/>
        <w:t>ist</w:t>
      </w:r>
      <w:r>
        <w:rPr>
          <w:b/>
          <w:color w:val="808080"/>
        </w:rPr>
        <w:t>]</w:t>
      </w:r>
      <w:r>
        <w:rPr/>
        <w:t xml:space="preserve"> ein gerechter Richter,</w:t>
      </w:r>
      <w:r>
        <w:rPr>
          <w:b/>
          <w:color w:val="808080"/>
        </w:rPr>
        <w:t>[</w:t>
      </w:r>
      <w:r>
        <w:rPr/>
        <w:t>Darum</w:t>
      </w:r>
      <w:r>
        <w:rPr>
          <w:b/>
          <w:color w:val="808080"/>
        </w:rPr>
        <w:t>]</w:t>
      </w:r>
      <w:r>
        <w:rPr/>
        <w:t xml:space="preserve"> </w:t>
      </w:r>
      <w:r>
        <w:rPr>
          <w:b/>
          <w:color w:val="808080"/>
        </w:rPr>
        <w:t>[</w:t>
      </w:r>
      <w:r>
        <w:rPr/>
        <w:t>ist</w:t>
      </w:r>
      <w:r>
        <w:rPr>
          <w:b/>
          <w:color w:val="808080"/>
        </w:rPr>
        <w:t>]</w:t>
      </w:r>
      <w:r>
        <w:rPr/>
        <w:t xml:space="preserve"> er </w:t>
      </w:r>
      <w:r>
        <w:rPr>
          <w:b/>
          <w:color w:val="808080"/>
        </w:rPr>
        <w:t>[</w:t>
      </w:r>
      <w:r>
        <w:rPr/>
        <w:t>auch</w:t>
      </w:r>
      <w:r>
        <w:rPr>
          <w:b/>
          <w:color w:val="808080"/>
        </w:rPr>
        <w:t>]</w:t>
      </w:r>
      <w:r>
        <w:rPr/>
        <w:t xml:space="preserve"> ein Gott, </w:t>
      </w:r>
      <w:r>
        <w:rPr>
          <w:b/>
          <w:color w:val="808080"/>
        </w:rPr>
        <w:t>[</w:t>
      </w:r>
      <w:r>
        <w:rPr/>
        <w:t>der</w:t>
      </w:r>
      <w:r>
        <w:rPr>
          <w:b/>
          <w:color w:val="808080"/>
        </w:rPr>
        <w:t>]</w:t>
      </w:r>
      <w:r>
        <w:rPr/>
        <w:t xml:space="preserve"> jeden Tag zürnt:</w:t>
      </w:r>
      <w:r>
        <w:rPr>
          <w:rStyle w:val="Funotenanker"/>
        </w:rPr>
        <w:footnoteReference w:customMarkFollows="1" w:id="1653"/>
        <w:t>ad</w:t>
      </w:r>
      <w:r>
        <w:rPr/>
        <w:t xml:space="preserve"> </w:t>
      </w:r>
      <w:r>
        <w:rPr>
          <w:position w:val="8"/>
          <w:sz w:val="19"/>
        </w:rPr>
        <w:t>[[ ℘ &gt;&gt; BibleTOBIBLE:1Sa 2:10]][[ ℘ &gt;&gt; BibleTOBIBLE:Ps 10:15]][[ ℘ &gt;&gt; BibleTOBIBLE:Ps 35:24]][[ ℘ &gt;&gt; BibleTOBIBLE:Pr 11:20]][[ ℘ &gt;&gt; BibleTOBIBLE:Pr 28:18]]</w:t>
      </w:r>
      <w:r>
        <w:rPr/>
        <w:t xml:space="preserve"> </w:t>
        <w:br/>
        <w:t xml:space="preserve">{{field-off:bible}} </w:t>
        <w:br/>
        <w:t>[[@BibleTOBIBLE:Ps 7:13]]</w:t>
      </w:r>
      <w:r>
        <w:rPr>
          <w:b/>
        </w:rPr>
        <w:t>13</w:t>
      </w:r>
      <w:r>
        <w:rPr/>
        <w:t xml:space="preserve"> {{field-on:bible}} </w:t>
        <w:br/>
        <w:t xml:space="preserve">Wenn man sich nicht bekehrt, </w:t>
      </w:r>
      <w:r>
        <w:rPr>
          <w:b/>
          <w:color w:val="808080"/>
        </w:rPr>
        <w:t>[</w:t>
      </w:r>
      <w:r>
        <w:rPr/>
        <w:t>sondern</w:t>
      </w:r>
      <w:r>
        <w:rPr>
          <w:b/>
          <w:color w:val="808080"/>
        </w:rPr>
        <w:t>]</w:t>
      </w:r>
      <w:r>
        <w:rPr/>
        <w:t xml:space="preserve"> sein Schwert wetzt,</w:t>
      </w:r>
      <w:r>
        <w:rPr>
          <w:rStyle w:val="Funotenanker"/>
        </w:rPr>
        <w:footnoteReference w:customMarkFollows="1" w:id="1654"/>
        <w:t>ae</w:t>
      </w:r>
      <w:r>
        <w:rPr/>
        <w:t>Seinen Bogen spannt und ihn aufrichtet</w:t>
      </w:r>
      <w:r>
        <w:rPr>
          <w:rStyle w:val="Funotenanker"/>
        </w:rPr>
        <w:footnoteReference w:customMarkFollows="1" w:id="1655"/>
        <w:t>af</w:t>
      </w:r>
      <w:r>
        <w:rPr/>
        <w:t xml:space="preserve"> - </w:t>
      </w:r>
      <w:r>
        <w:rPr>
          <w:position w:val="8"/>
          <w:sz w:val="19"/>
        </w:rPr>
        <w:t>[[ ℘ &gt;&gt; BibleTOBIBLE:Ps 11:2]][[ ℘ &gt;&gt; BibleTOBIBLE:Ps 64:4]][[ ℘ &gt;&gt; BibleTOBIBLE:Ps 64:8]][[ ℘ &gt;&gt; BibleTOBIBLE:La 3:12]]</w:t>
      </w:r>
      <w:r>
        <w:rPr/>
        <w:t xml:space="preserve"> </w:t>
        <w:br/>
        <w:t xml:space="preserve">{{field-off:bible}} </w:t>
        <w:br/>
        <w:t>[[@BibleTOBIBLE:Ps 7:14]]</w:t>
      </w:r>
      <w:r>
        <w:rPr>
          <w:b/>
        </w:rPr>
        <w:t>14</w:t>
      </w:r>
      <w:r>
        <w:rPr/>
        <w:t xml:space="preserve"> {{field-on:bible}} </w:t>
        <w:br/>
        <w:t xml:space="preserve">für sich </w:t>
      </w:r>
      <w:r>
        <w:rPr>
          <w:b/>
          <w:color w:val="808080"/>
        </w:rPr>
        <w:t>[</w:t>
      </w:r>
      <w:r>
        <w:rPr/>
        <w:t>selbst</w:t>
      </w:r>
      <w:r>
        <w:rPr>
          <w:b/>
          <w:color w:val="808080"/>
        </w:rPr>
        <w:t>]</w:t>
      </w:r>
      <w:r>
        <w:rPr/>
        <w:t xml:space="preserve"> richtet man </w:t>
      </w:r>
      <w:r>
        <w:rPr>
          <w:b/>
          <w:color w:val="808080"/>
        </w:rPr>
        <w:t>[</w:t>
      </w:r>
      <w:r>
        <w:rPr/>
        <w:t>dann</w:t>
      </w:r>
      <w:r>
        <w:rPr>
          <w:b/>
          <w:color w:val="808080"/>
        </w:rPr>
        <w:t>]</w:t>
      </w:r>
      <w:r>
        <w:rPr/>
        <w:t xml:space="preserve"> die tödlichen Waffen</w:t>
      </w:r>
      <w:r>
        <w:rPr>
          <w:b/>
          <w:color w:val="808080"/>
        </w:rPr>
        <w:t>[</w:t>
      </w:r>
      <w:r>
        <w:rPr/>
        <w:t>Und</w:t>
      </w:r>
      <w:r>
        <w:rPr>
          <w:b/>
          <w:color w:val="808080"/>
        </w:rPr>
        <w:t>]</w:t>
      </w:r>
      <w:r>
        <w:rPr/>
        <w:t xml:space="preserve"> macht seine Pfeile zu brennenden</w:t>
      </w:r>
      <w:r>
        <w:rPr>
          <w:rStyle w:val="Funotenanker"/>
        </w:rPr>
        <w:footnoteReference w:customMarkFollows="1" w:id="1656"/>
        <w:t>ag</w:t>
      </w:r>
      <w:r>
        <w:rPr/>
        <w:t>.</w:t>
        <w:br/>
        <w:t xml:space="preserve">{{field-off:bible}} </w:t>
        <w:br/>
        <w:t>[[@BibleTOBIBLE:Ps 7:15]]</w:t>
      </w:r>
      <w:r>
        <w:rPr>
          <w:b/>
        </w:rPr>
        <w:t>15</w:t>
      </w:r>
      <w:r>
        <w:rPr/>
        <w:t xml:space="preserve"> {{field-on:bible}} </w:t>
        <w:br/>
        <w:t xml:space="preserve">Wenn </w:t>
      </w:r>
      <w:r>
        <w:rPr>
          <w:color w:val="808080"/>
        </w:rPr>
        <w:t>(siehe)</w:t>
      </w:r>
      <w:r>
        <w:rPr/>
        <w:t xml:space="preserve"> </w:t>
      </w:r>
      <w:r>
        <w:rPr>
          <w:rStyle w:val="Funotenanker"/>
        </w:rPr>
        <w:footnoteReference w:customMarkFollows="1" w:id="1657"/>
        <w:t>ah</w:t>
      </w:r>
      <w:r>
        <w:rPr/>
        <w:t xml:space="preserve"> man Frevel empfängt,Geht man mit Bosheit schwanger und gebiert - Trug </w:t>
      </w:r>
      <w:r>
        <w:rPr>
          <w:color w:val="808080"/>
        </w:rPr>
        <w:t>(und gebiert Lügen)</w:t>
      </w:r>
      <w:r>
        <w:rPr/>
        <w:t>.</w:t>
      </w:r>
      <w:r>
        <w:rPr>
          <w:rStyle w:val="Funotenanker"/>
        </w:rPr>
        <w:footnoteReference w:customMarkFollows="1" w:id="1658"/>
        <w:t>ai</w:t>
      </w:r>
      <w:r>
        <w:rPr/>
        <w:t xml:space="preserve"> </w:t>
      </w:r>
      <w:r>
        <w:rPr>
          <w:position w:val="8"/>
          <w:sz w:val="19"/>
        </w:rPr>
        <w:t>[[ ℘ &gt;&gt; BibleTOBIBLE:Job 15:35]][[ ℘ &gt;&gt; BibleTOBIBLE:Is 33:11]][[ ℘ &gt;&gt; BibleTOBIBLE:Jas 1:15]]</w:t>
      </w:r>
      <w:r>
        <w:rPr/>
        <w:t xml:space="preserve"> </w:t>
        <w:br/>
        <w:t xml:space="preserve">{{field-off:bible}} </w:t>
        <w:br/>
        <w:t>[[@BibleTOBIBLE:Ps 7:16]]</w:t>
      </w:r>
      <w:r>
        <w:rPr>
          <w:b/>
        </w:rPr>
        <w:t>16</w:t>
      </w:r>
      <w:r>
        <w:rPr/>
        <w:t xml:space="preserve"> {{field-on:bible}} </w:t>
        <w:br/>
        <w:t xml:space="preserve">Gräbt man ein Loch und hebt es aus -Fällt man </w:t>
      </w:r>
      <w:r>
        <w:rPr>
          <w:b/>
          <w:color w:val="808080"/>
        </w:rPr>
        <w:t>[</w:t>
      </w:r>
      <w:r>
        <w:rPr/>
        <w:t>selbst</w:t>
      </w:r>
      <w:r>
        <w:rPr>
          <w:b/>
          <w:color w:val="808080"/>
        </w:rPr>
        <w:t>]</w:t>
      </w:r>
      <w:r>
        <w:rPr/>
        <w:t xml:space="preserve"> in die Grube, </w:t>
      </w:r>
      <w:r>
        <w:rPr>
          <w:b/>
          <w:color w:val="808080"/>
        </w:rPr>
        <w:t>[</w:t>
      </w:r>
      <w:r>
        <w:rPr/>
        <w:t>die</w:t>
      </w:r>
      <w:r>
        <w:rPr>
          <w:b/>
          <w:color w:val="808080"/>
        </w:rPr>
        <w:t>]</w:t>
      </w:r>
      <w:r>
        <w:rPr/>
        <w:t xml:space="preserve"> man machen wollte. </w:t>
      </w:r>
      <w:r>
        <w:rPr>
          <w:position w:val="8"/>
          <w:sz w:val="19"/>
        </w:rPr>
        <w:t>[[ ℘ &gt;&gt; BibleTOBIBLE:Ps 9:16]][[ ℘ &gt;&gt; BibleTOBIBLE:Ps 35:7]][[ ℘ &gt;&gt; BibleTOBIBLE:Ps 57:7]][[ ℘ &gt;&gt; BibleTOBIBLE:Ps 141:10]][[ ℘ &gt;&gt; BibleTOBIBLE:Pr 5:22]][[ ℘ &gt;&gt; BibleTOBIBLE:Pr 26:27]][[ ℘ &gt;&gt; BibleTOBIBLE:Ec 10:8]][[ ℘ &gt;&gt; BibleTOBIBLE:Re 16:6]]</w:t>
      </w:r>
      <w:r>
        <w:rPr/>
        <w:t xml:space="preserve"> </w:t>
        <w:br/>
        <w:t xml:space="preserve">{{field-off:bible}} </w:t>
        <w:br/>
        <w:t>[[@BibleTOBIBLE:Ps 7:17]]</w:t>
      </w:r>
      <w:r>
        <w:rPr>
          <w:b/>
        </w:rPr>
        <w:t>17</w:t>
      </w:r>
      <w:r>
        <w:rPr/>
        <w:t xml:space="preserve"> {{field-on:bible}} </w:t>
        <w:br/>
        <w:t xml:space="preserve">Jemandes Bosheit kehrt auf seinen </w:t>
      </w:r>
      <w:r>
        <w:rPr>
          <w:b/>
          <w:color w:val="808080"/>
        </w:rPr>
        <w:t>[</w:t>
      </w:r>
      <w:r>
        <w:rPr/>
        <w:t>eigenen</w:t>
      </w:r>
      <w:r>
        <w:rPr>
          <w:b/>
          <w:color w:val="808080"/>
        </w:rPr>
        <w:t>]</w:t>
      </w:r>
      <w:r>
        <w:rPr/>
        <w:t xml:space="preserve"> Kopf zurückUnd auf seinen </w:t>
      </w:r>
      <w:r>
        <w:rPr>
          <w:b/>
          <w:color w:val="808080"/>
        </w:rPr>
        <w:t>[</w:t>
      </w:r>
      <w:r>
        <w:rPr/>
        <w:t>eigenen</w:t>
      </w:r>
      <w:r>
        <w:rPr>
          <w:b/>
          <w:color w:val="808080"/>
        </w:rPr>
        <w:t>]</w:t>
      </w:r>
      <w:r>
        <w:rPr/>
        <w:t xml:space="preserve"> Scheitel kommt jemandes Untat hinab. </w:t>
      </w:r>
      <w:r>
        <w:rPr>
          <w:position w:val="8"/>
          <w:sz w:val="19"/>
        </w:rPr>
        <w:t>[[ ℘ &gt;&gt; BibleTOBIBLE:1Ki 2:32]][[ ℘ &gt;&gt; BibleTOBIBLE:Job 4:8]][[ ℘ &gt;&gt; BibleTOBIBLE:Pr 26:27]][[ ℘ &gt;&gt; BibleTOBIBLE:Ec 10:9]][[ ℘ &gt;&gt; BibleTOBIBLE:Ob 1:15]][[ ℘ &gt;&gt; BibleTOBIBLE:Joe 4:4]][[ ℘ &gt;&gt; BibleTOBIBLE:Joe 4:7]]</w:t>
      </w:r>
      <w:r>
        <w:rPr/>
        <w:t xml:space="preserve"> </w:t>
        <w:br/>
        <w:br/>
        <w:t xml:space="preserve">{{field-off:bible}} </w:t>
        <w:br/>
        <w:t>[[@BibleTOBIBLE:Ps 7:18]]</w:t>
      </w:r>
      <w:r>
        <w:rPr>
          <w:b/>
        </w:rPr>
        <w:t>18</w:t>
      </w:r>
      <w:r>
        <w:rPr/>
        <w:t xml:space="preserve"> {{field-on:bible}} </w:t>
        <w:br/>
        <w:t xml:space="preserve">Ich will </w:t>
      </w:r>
      <w:r>
        <w:rPr>
          <w:smallCaps/>
          <w:color w:val="FF0000"/>
        </w:rPr>
        <w:t>JHWH</w:t>
      </w:r>
      <w:r>
        <w:rPr/>
        <w:t xml:space="preserve"> ob </w:t>
      </w:r>
      <w:r>
        <w:rPr>
          <w:color w:val="808080"/>
        </w:rPr>
        <w:t>(gemäß)</w:t>
      </w:r>
      <w:r>
        <w:rPr/>
        <w:t xml:space="preserve"> seiner Gerechtigkeit preisenUnd spielen dem Namen </w:t>
      </w:r>
      <w:r>
        <w:rPr>
          <w:smallCaps/>
          <w:color w:val="FF0000"/>
        </w:rPr>
        <w:t>JHWH</w:t>
      </w:r>
      <w:r>
        <w:rPr/>
        <w:t>s, des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659"/>
        <w:t>Status</w:t>
      </w:r>
      <w:r>
        <w:rPr/>
        <w:t xml:space="preserve"> Für den Chorleiter </w:t>
      </w:r>
      <w:r>
        <w:rPr>
          <w:color w:val="808080"/>
        </w:rPr>
        <w:t>(Dirigenten, Singenden, Musizierenden)</w:t>
      </w:r>
      <w:r>
        <w:rPr/>
        <w:t xml:space="preserve"> </w:t>
      </w:r>
      <w:r>
        <w:rPr>
          <w:rStyle w:val="Funotenanker"/>
        </w:rPr>
        <w:footnoteReference w:customMarkFollows="1" w:id="1660"/>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661"/>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662"/>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663"/>
        <w:t>d</w:t>
      </w:r>
      <w:r>
        <w:rPr/>
        <w:t xml:space="preserve"> wird gepriesen</w:t>
      </w:r>
      <w:r>
        <w:rPr>
          <w:rStyle w:val="Funotenanker"/>
        </w:rPr>
        <w:footnoteReference w:customMarkFollows="1" w:id="1664"/>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665"/>
        <w:t>f</w:t>
      </w:r>
      <w:r>
        <w:rPr/>
        <w:t xml:space="preserve"> Babies</w:t>
      </w:r>
      <w:r>
        <w:rPr>
          <w:rStyle w:val="Funotenanker"/>
        </w:rPr>
        <w:footnoteReference w:customMarkFollows="1" w:id="1666"/>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667"/>
        <w:t>h</w:t>
      </w:r>
      <w:r>
        <w:rPr/>
        <w:t xml:space="preserve"> errichtet </w:t>
      </w:r>
      <w:r>
        <w:rPr>
          <w:color w:val="808080"/>
        </w:rPr>
        <w:t>(grundgelegt)</w:t>
      </w:r>
      <w:r>
        <w:rPr/>
        <w:t xml:space="preserve"> um deiner Gegner willen</w:t>
      </w:r>
      <w:r>
        <w:rPr>
          <w:rStyle w:val="Funotenanker"/>
        </w:rPr>
        <w:footnoteReference w:customMarkFollows="1" w:id="1668"/>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669"/>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670"/>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671"/>
        <w:t>l</w:t>
      </w:r>
      <w:r>
        <w:rPr/>
        <w:t xml:space="preserve">, dass du dich seiner erinnerst </w:t>
      </w:r>
      <w:r>
        <w:rPr>
          <w:color w:val="808080"/>
        </w:rPr>
        <w:t>(dich um es kümmerst)</w:t>
      </w:r>
      <w:r>
        <w:rPr/>
        <w:t xml:space="preserve"> </w:t>
      </w:r>
      <w:r>
        <w:rPr>
          <w:rStyle w:val="Funotenanker"/>
        </w:rPr>
        <w:footnoteReference w:customMarkFollows="1" w:id="1672"/>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673"/>
        <w:t>n</w:t>
      </w:r>
      <w:r>
        <w:rPr/>
        <w:t xml:space="preserve"> </w:t>
      </w:r>
      <w:r>
        <w:rPr>
          <w:color w:val="808080"/>
        </w:rPr>
        <w:t>(der Mensch, der Sohn des Menschen, das Kind des Menschen, der Menschensohn)</w:t>
      </w:r>
      <w:r>
        <w:rPr/>
        <w:t xml:space="preserve"> </w:t>
      </w:r>
      <w:r>
        <w:rPr>
          <w:rStyle w:val="Funotenanker"/>
        </w:rPr>
        <w:footnoteReference w:customMarkFollows="1" w:id="1674"/>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675"/>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676"/>
        <w:t>q</w:t>
      </w:r>
      <w:r>
        <w:rPr/>
        <w:t xml:space="preserve"> um ihn mit Herrlichkeit </w:t>
      </w:r>
      <w:r>
        <w:rPr>
          <w:color w:val="808080"/>
        </w:rPr>
        <w:t>(Hoheit, Würde, Ehre)</w:t>
      </w:r>
      <w:r>
        <w:rPr/>
        <w:t xml:space="preserve"> und Pracht</w:t>
      </w:r>
      <w:r>
        <w:rPr>
          <w:rStyle w:val="Funotenanker"/>
        </w:rPr>
        <w:footnoteReference w:customMarkFollows="1" w:id="1677"/>
        <w:t>r</w:t>
      </w:r>
      <w:r>
        <w:rPr/>
        <w:t xml:space="preserve"> zu krönen </w:t>
      </w:r>
      <w:r>
        <w:rPr>
          <w:color w:val="808080"/>
        </w:rPr>
        <w:t>(segnen, hast ihn mit Herrlichkeit und Pracht gekrönt)</w:t>
      </w:r>
      <w:r>
        <w:rPr/>
        <w:t>.</w:t>
      </w:r>
      <w:r>
        <w:rPr>
          <w:rStyle w:val="Funotenanker"/>
        </w:rPr>
        <w:footnoteReference w:customMarkFollows="1" w:id="1678"/>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679"/>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680"/>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681"/>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682"/>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9]]Kapitel 9</w:t>
      </w:r>
    </w:p>
    <w:p>
      <w:pPr>
        <w:pStyle w:val="Textkrper"/>
        <w:rPr/>
      </w:pPr>
      <w:r>
        <w:rPr/>
        <w:t xml:space="preserve">Die Psalmen 9 und 10 gehören eigentlich zusammen; gemeinsam bilden sie das erste Akrostichon im Psalmenbuch: Jede zweite Doppelzeile soll mit dem nächsten Buchstaben des hebräischen Alphabets beginnen. Das besondere an Ps 9-10 ist aber, dass diese Form nur sehr „unsauber“ durchgehalten wird; v.a. im zweiten Teil - Psalm 10 - wird zwischendurch die alphabetische Ordnung fast völlig ausgesetzt. Diese formale Besonderheit stimmt zusammen mit der Aussage des Psalms (wir folgen hier der Deutung von Benun 2006): Ps 9-10 gehören zu den sog. „Feindklagen“: Ein Beter wird von Feinden bedrängt und beklagt sich darüber bei Gott, damit dieser ihm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2-13 beginnt der eigentliche Psalm, und zwar mit dem „Lobgelübde“: Der Beter hat eine Bitte, und für den Fall, dass Gott ihn erhört, gelobt er, ihn dann vor versammelter Kultgemeinde zu preisen. Das ist ungewöhnlich: Solche Lobgelübde finden sich häufiger in den Klagepsalmen (s, z.B. Ps 13,6; 22,24f.; 59,17f.), doch nie am Anfang eines Psalms und nie mit einer derart breit ausgeführten Kostprobe des später zu leistenden Lobes wie in Vv. 4-13. In Vv. 14 folgt dann erst die „Bitte“, die in Vv. 18-21 noch einmal breiter ausgeführt wird: </w:t>
      </w:r>
      <w:r>
        <w:rPr>
          <w:rStyle w:val="Funotenanker"/>
        </w:rPr>
        <w:footnoteReference w:customMarkFollows="1" w:id="1683"/>
        <w:t>a</w:t>
      </w:r>
      <w:r>
        <w:rPr/>
        <w:t xml:space="preserve"> soll sich seiner erbarmen, da es ihm aufgrund seiner Hasser elend geht. In Vv. 15-17 folgt darauf ein weiteres Lobgelübde, hier eindeutig als Zweck formuliert: Die beiden Kostproben des künftigen Lobes sollen Gott motivieren, der Bitte des Psalmisten in V. 14 nachzukommen. Mit diesem Inhalt stimmt die Form des Akrostichons überein: Bis V. 17 sind trotz aktueller Bedrängnis (s. V. 14) Akrostichon und Welt noch in Ordnung, der Beter blickt im Zwiegespräch mit Gott auf seine Rettung voraus und breitet sozusagen in „akrostisch gefälliger Form“ sein Lobesversprechen vor ihm aus. Doch in V. 19 beginnt mit dem Vorwurf an </w:t>
      </w:r>
      <w:r>
        <w:rPr>
          <w:rStyle w:val="Funotenanker"/>
        </w:rPr>
        <w:footnoteReference w:customMarkFollows="1" w:id="1684"/>
        <w:t>b</w:t>
      </w:r>
      <w:r>
        <w:rPr/>
        <w:t xml:space="preserve"> („Ach!, nicht auf immer werde vergessen der Arme!“) die schöne Ordnung sich auf einmal aufzulösen: Der Vorwurf bricht eine Doppelzeile zu früh aus dem Beter heraus, und zwei Doppelzeilen später findet sich der nächste erwartete Buchstabe nicht. Mit dem Einsatz von Vorwurf und Klage beginnt auch das Akrostichon zu zerfasern, was sich in Psalm 10 fortsetzen wird. </w:t>
        <w:br/>
        <w:br/>
        <w:t>[[@BibleTOBIBLE:Ps 9:1]]</w:t>
      </w:r>
      <w:r>
        <w:rPr>
          <w:b/>
        </w:rPr>
        <w:t>1</w:t>
      </w:r>
      <w:r>
        <w:rPr/>
        <w:t xml:space="preserve"> {{field-on:bible}} </w:t>
      </w:r>
      <w:r>
        <w:rPr>
          <w:rStyle w:val="Funotenanker"/>
        </w:rPr>
        <w:footnoteReference w:customMarkFollows="1" w:id="1685"/>
        <w:t>Status</w:t>
      </w:r>
      <w:r>
        <w:rPr/>
        <w:t xml:space="preserve"> ''Für den Chorleiter </w:t>
      </w:r>
      <w:r>
        <w:rPr>
          <w:color w:val="808080"/>
        </w:rPr>
        <w:t>(Dirigenten, Singenden, Musizierenden)</w:t>
      </w:r>
      <w:r>
        <w:rPr/>
        <w:t>''.</w:t>
      </w:r>
      <w:r>
        <w:rPr>
          <w:rStyle w:val="Funotenanker"/>
        </w:rPr>
        <w:footnoteReference w:customMarkFollows="1" w:id="1686"/>
        <w:t>c</w:t>
      </w:r>
      <w:r>
        <w:rPr/>
        <w:t xml:space="preserve"> `almut labben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„`almut labben“)</w:t>
      </w:r>
      <w:r>
        <w:rPr/>
        <w:t>''</w:t>
      </w:r>
      <w:r>
        <w:rPr>
          <w:rStyle w:val="Funotenanker"/>
        </w:rPr>
        <w:footnoteReference w:customMarkFollows="1" w:id="1687"/>
        <w:t>d</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9:2]]</w:t>
      </w:r>
      <w:r>
        <w:rPr>
          <w:b/>
        </w:rPr>
        <w:t>2</w:t>
      </w:r>
      <w:r>
        <w:rPr/>
        <w:t xml:space="preserve"> {{field-on:bible}} </w:t>
        <w:br/>
      </w:r>
      <w:r>
        <w:rPr>
          <w:b/>
          <w:color w:val="808080"/>
        </w:rPr>
        <w:t>[</w:t>
      </w:r>
      <w:r>
        <w:rPr/>
        <w:t>'''A'''</w:t>
      </w:r>
      <w:r>
        <w:rPr>
          <w:b/>
          <w:color w:val="808080"/>
        </w:rPr>
        <w:t>]</w:t>
      </w:r>
      <w:r>
        <w:rPr/>
        <w:t xml:space="preserve"> </w:t>
      </w:r>
      <w:r>
        <w:rPr>
          <w:rStyle w:val="Funotenanker"/>
        </w:rPr>
        <w:footnoteReference w:customMarkFollows="1" w:id="1688"/>
        <w:t>e</w:t>
      </w:r>
      <w:r>
        <w:rPr/>
        <w:t xml:space="preserve"> Ich will </w:t>
      </w:r>
      <w:r>
        <w:rPr>
          <w:color w:val="808080"/>
        </w:rPr>
        <w:t>(werde)</w:t>
      </w:r>
      <w:r>
        <w:rPr/>
        <w:t xml:space="preserve"> </w:t>
      </w:r>
      <w:r>
        <w:rPr>
          <w:smallCaps/>
          <w:color w:val="FF0000"/>
        </w:rPr>
        <w:t>JHWH</w:t>
      </w:r>
      <w:r>
        <w:rPr/>
        <w:t xml:space="preserve"> preisen </w:t>
      </w:r>
      <w:r>
        <w:rPr>
          <w:color w:val="808080"/>
        </w:rPr>
        <w:t>(danken, bekennen)</w:t>
      </w:r>
      <w:r>
        <w:rPr/>
        <w:t xml:space="preserve"> </w:t>
      </w:r>
      <w:r>
        <w:rPr>
          <w:rStyle w:val="Funotenanker"/>
        </w:rPr>
        <w:footnoteReference w:customMarkFollows="1" w:id="1689"/>
        <w:t>f</w:t>
      </w:r>
      <w:r>
        <w:rPr/>
        <w:t xml:space="preserve"> mit meinem ganzen HerzenIch will erzählen all' deine Wundertaten.</w:t>
        <w:br/>
        <w:t xml:space="preserve">{{field-off:bible}} </w:t>
        <w:br/>
        <w:t>[[@BibleTOBIBLE:Ps 9:3]]</w:t>
      </w:r>
      <w:r>
        <w:rPr>
          <w:b/>
        </w:rPr>
        <w:t>3</w:t>
      </w:r>
      <w:r>
        <w:rPr/>
        <w:t xml:space="preserve"> {{field-on:bible}} </w:t>
        <w:br/>
        <w:t xml:space="preserve">Ich will mich freuen und jubeln über dich,Ich will deinen Namen </w:t>
      </w:r>
      <w:r>
        <w:rPr>
          <w:color w:val="808080"/>
        </w:rPr>
        <w:t>(dich)</w:t>
      </w:r>
      <w:r>
        <w:rPr/>
        <w:t xml:space="preserve"> </w:t>
      </w:r>
      <w:r>
        <w:rPr>
          <w:rStyle w:val="Funotenanker"/>
        </w:rPr>
        <w:footnoteReference w:customMarkFollows="1" w:id="1690"/>
        <w:t>g</w:t>
      </w:r>
      <w:r>
        <w:rPr/>
        <w:t xml:space="preserve"> besingen </w:t>
      </w:r>
      <w:r>
        <w:rPr>
          <w:color w:val="808080"/>
        </w:rPr>
        <w:t>(bespielen)</w:t>
      </w:r>
      <w:r>
        <w:rPr/>
        <w:t>, Höchster</w:t>
      </w:r>
      <w:r>
        <w:rPr>
          <w:b/>
          <w:color w:val="808080"/>
        </w:rPr>
        <w:t>[</w:t>
      </w:r>
      <w:r>
        <w:rPr/>
        <w:t>, mit den Worten</w:t>
      </w:r>
      <w:r>
        <w:rPr>
          <w:b/>
          <w:color w:val="808080"/>
        </w:rPr>
        <w:t>]</w:t>
      </w:r>
      <w:r>
        <w:rPr/>
        <w:t>:</w:t>
      </w:r>
      <w:r>
        <w:rPr>
          <w:rStyle w:val="Funotenanker"/>
        </w:rPr>
        <w:footnoteReference w:customMarkFollows="1" w:id="1691"/>
        <w:t>h</w:t>
      </w:r>
      <w:r>
        <w:rPr/>
        <w:t xml:space="preserve"> </w:t>
      </w:r>
      <w:r>
        <w:rPr>
          <w:rStyle w:val="Funotenanker"/>
        </w:rPr>
        <w:footnoteReference w:customMarkFollows="1" w:id="1692"/>
        <w:t>i</w:t>
      </w:r>
      <w:r>
        <w:rPr/>
        <w:t xml:space="preserve"> </w:t>
        <w:br/>
        <w:br/>
        <w:t xml:space="preserve">{{field-off:bible}} </w:t>
        <w:br/>
        <w:t>[[@BibleTOBIBLE:Ps 9:4]]</w:t>
      </w:r>
      <w:r>
        <w:rPr>
          <w:b/>
        </w:rPr>
        <w:t>4</w:t>
      </w:r>
      <w:r>
        <w:rPr/>
        <w:t xml:space="preserve"> {{field-on:bible}} </w:t>
        <w:br/>
      </w:r>
      <w:r>
        <w:rPr>
          <w:b/>
          <w:color w:val="808080"/>
        </w:rPr>
        <w:t>[</w:t>
      </w:r>
      <w:r>
        <w:rPr/>
        <w:t>'''B'''</w:t>
      </w:r>
      <w:r>
        <w:rPr>
          <w:b/>
          <w:color w:val="808080"/>
        </w:rPr>
        <w:t>]</w:t>
      </w:r>
      <w:r>
        <w:rPr/>
        <w:t xml:space="preserve"> „Als meine Feinde zurückwichen,Mussten sie stolpern</w:t>
      </w:r>
      <w:r>
        <w:rPr>
          <w:rStyle w:val="Funotenanker"/>
        </w:rPr>
        <w:footnoteReference w:customMarkFollows="1" w:id="1693"/>
        <w:t>j</w:t>
      </w:r>
      <w:r>
        <w:rPr/>
        <w:t xml:space="preserve"> und vor dir</w:t>
      </w:r>
      <w:r>
        <w:rPr>
          <w:rStyle w:val="Funotenanker"/>
        </w:rPr>
        <w:footnoteReference w:customMarkFollows="1" w:id="1694"/>
        <w:t>k</w:t>
      </w:r>
      <w:r>
        <w:rPr/>
        <w:t xml:space="preserve"> zugrunde gehen,</w:t>
      </w:r>
      <w:r>
        <w:rPr>
          <w:rStyle w:val="Funotenanker"/>
        </w:rPr>
        <w:footnoteReference w:customMarkFollows="1" w:id="1695"/>
        <w:t>l</w:t>
      </w:r>
      <w:r>
        <w:rPr/>
        <w:t xml:space="preserve"> </w:t>
        <w:br/>
        <w:t xml:space="preserve">{{field-off:bible}} </w:t>
        <w:br/>
        <w:t>[[@BibleTOBIBLE:Ps 9:5]]</w:t>
      </w:r>
      <w:r>
        <w:rPr>
          <w:b/>
        </w:rPr>
        <w:t>5</w:t>
      </w:r>
      <w:r>
        <w:rPr/>
        <w:t xml:space="preserve"> {{field-on:bible}} </w:t>
        <w:br/>
        <w:t xml:space="preserve">Denn du hast mir Recht und mir Gerechtigkeit geschafft,saßest </w:t>
      </w:r>
      <w:r>
        <w:rPr>
          <w:color w:val="808080"/>
        </w:rPr>
        <w:t>(hast dich gesetzt)</w:t>
      </w:r>
      <w:r>
        <w:rPr/>
        <w:t xml:space="preserve"> auf dem Thron als gerechter Richter</w:t>
      </w:r>
      <w:r>
        <w:rPr>
          <w:rStyle w:val="Funotenanker"/>
        </w:rPr>
        <w:footnoteReference w:customMarkFollows="1" w:id="1696"/>
        <w:t>m</w:t>
      </w:r>
      <w:r>
        <w:rPr/>
        <w:t xml:space="preserve"> </w:t>
      </w:r>
      <w:r>
        <w:rPr>
          <w:color w:val="808080"/>
        </w:rPr>
        <w:t xml:space="preserve">(, </w:t>
      </w:r>
      <w:r>
        <w:rPr>
          <w:b/>
          <w:color w:val="808080"/>
        </w:rPr>
        <w:t>[</w:t>
      </w:r>
      <w:r>
        <w:rPr>
          <w:color w:val="808080"/>
        </w:rPr>
        <w:t>hast</w:t>
      </w:r>
      <w:r>
        <w:rPr>
          <w:b/>
          <w:color w:val="808080"/>
        </w:rPr>
        <w:t>]</w:t>
      </w:r>
      <w:r>
        <w:rPr>
          <w:color w:val="808080"/>
        </w:rPr>
        <w:t xml:space="preserve"> gerecht gerichtet)</w:t>
      </w:r>
      <w:r>
        <w:rPr/>
        <w:t>.</w:t>
        <w:br/>
        <w:t xml:space="preserve">{{field-off:bible}} </w:t>
        <w:br/>
        <w:t>[[@BibleTOBIBLE:Ps 9:6]]</w:t>
      </w:r>
      <w:r>
        <w:rPr>
          <w:b/>
        </w:rPr>
        <w:t>6</w:t>
      </w:r>
      <w:r>
        <w:rPr/>
        <w:t xml:space="preserve"> {{field-on:bible}} </w:t>
        <w:br/>
      </w:r>
      <w:r>
        <w:rPr>
          <w:b/>
          <w:color w:val="808080"/>
        </w:rPr>
        <w:t>[</w:t>
      </w:r>
      <w:r>
        <w:rPr/>
        <w:t>'''C'''</w:t>
      </w:r>
      <w:r>
        <w:rPr>
          <w:b/>
          <w:color w:val="808080"/>
        </w:rPr>
        <w:t>]</w:t>
      </w:r>
      <w:r>
        <w:rPr/>
        <w:t xml:space="preserve"> Du hast Nationen</w:t>
      </w:r>
      <w:r>
        <w:rPr>
          <w:rStyle w:val="Funotenanker"/>
        </w:rPr>
        <w:footnoteReference w:customMarkFollows="1" w:id="1697"/>
        <w:t>n</w:t>
      </w:r>
      <w:r>
        <w:rPr/>
        <w:t xml:space="preserve"> niedergemacht </w:t>
      </w:r>
      <w:r>
        <w:rPr>
          <w:color w:val="808080"/>
        </w:rPr>
        <w:t>(gescholten)</w:t>
      </w:r>
      <w:r>
        <w:rPr/>
        <w:t>:</w:t>
      </w:r>
      <w:r>
        <w:rPr>
          <w:rStyle w:val="Funotenanker"/>
        </w:rPr>
        <w:footnoteReference w:customMarkFollows="1" w:id="1698"/>
        <w:t>o</w:t>
      </w:r>
      <w:r>
        <w:rPr/>
        <w:t xml:space="preserve"> Einen Schlechten </w:t>
      </w:r>
      <w:r>
        <w:rPr>
          <w:color w:val="808080"/>
        </w:rPr>
        <w:t>(Schlechte)</w:t>
      </w:r>
      <w:r>
        <w:rPr/>
        <w:t xml:space="preserve"> </w:t>
      </w:r>
      <w:r>
        <w:rPr>
          <w:rStyle w:val="Funotenanker"/>
        </w:rPr>
        <w:footnoteReference w:customMarkFollows="1" w:id="1699"/>
        <w:t>p</w:t>
      </w:r>
      <w:r>
        <w:rPr/>
        <w:t xml:space="preserve"> ließest du zugrunde gehen,Ihren Namen hast du ausgelöscht</w:t>
      </w:r>
      <w:r>
        <w:rPr>
          <w:rStyle w:val="Funotenanker"/>
        </w:rPr>
        <w:footnoteReference w:customMarkFollows="1" w:id="1700"/>
        <w:t>q</w:t>
      </w:r>
      <w:r>
        <w:rPr/>
        <w:t xml:space="preserve"> auf immer und </w:t>
      </w:r>
      <w:r>
        <w:rPr>
          <w:b/>
          <w:color w:val="808080"/>
        </w:rPr>
        <w:t>[</w:t>
      </w:r>
      <w:r>
        <w:rPr/>
        <w:t>für alle</w:t>
      </w:r>
      <w:r>
        <w:rPr>
          <w:b/>
          <w:color w:val="808080"/>
        </w:rPr>
        <w:t>]</w:t>
      </w:r>
      <w:r>
        <w:rPr/>
        <w:t xml:space="preserve"> Zeit.</w:t>
        <w:br/>
        <w:t xml:space="preserve">{{field-off:bible}} </w:t>
        <w:br/>
        <w:t>[[@BibleTOBIBLE:Ps 9:7]]</w:t>
      </w:r>
      <w:r>
        <w:rPr>
          <w:b/>
        </w:rPr>
        <w:t>7</w:t>
      </w:r>
      <w:r>
        <w:rPr/>
        <w:t xml:space="preserve"> {{field-on:bible}} </w:t>
        <w:br/>
        <w:t xml:space="preserve">Der Feind - vernichtet sind </w:t>
      </w:r>
      <w:r>
        <w:rPr>
          <w:b/>
          <w:color w:val="808080"/>
        </w:rPr>
        <w:t>[</w:t>
      </w:r>
      <w:r>
        <w:rPr/>
        <w:t>seine</w:t>
      </w:r>
      <w:r>
        <w:rPr>
          <w:b/>
          <w:color w:val="808080"/>
        </w:rPr>
        <w:t>]</w:t>
      </w:r>
      <w:r>
        <w:rPr/>
        <w:t xml:space="preserve"> Ruinen </w:t>
      </w:r>
      <w:r>
        <w:rPr>
          <w:rStyle w:val="Funotenanker"/>
        </w:rPr>
        <w:footnoteReference w:customMarkFollows="1" w:id="1701"/>
        <w:t>r</w:t>
      </w:r>
      <w:r>
        <w:rPr/>
        <w:t xml:space="preserve">auf ewig;Und Gegner </w:t>
      </w:r>
      <w:r>
        <w:rPr>
          <w:color w:val="808080"/>
        </w:rPr>
        <w:t>(Städte)</w:t>
      </w:r>
      <w:r>
        <w:rPr/>
        <w:t xml:space="preserve"> </w:t>
      </w:r>
      <w:r>
        <w:rPr>
          <w:rStyle w:val="Funotenanker"/>
        </w:rPr>
        <w:footnoteReference w:customMarkFollows="1" w:id="1702"/>
        <w:t>s</w:t>
      </w:r>
      <w:r>
        <w:rPr/>
        <w:t xml:space="preserve"> hast du entwurzelt </w:t>
      </w:r>
      <w:r>
        <w:rPr>
          <w:color w:val="808080"/>
        </w:rPr>
        <w:t>(zerstört?)</w:t>
      </w:r>
      <w:r>
        <w:rPr/>
        <w:t xml:space="preserve">, was an sie erinnert, ist zugrunde gegangen. </w:t>
      </w:r>
      <w:r>
        <w:rPr>
          <w:strike/>
          <w:color w:val="808080"/>
        </w:rPr>
        <w:t>{Sie}</w:t>
      </w:r>
      <w:r>
        <w:rPr/>
        <w:t xml:space="preserve"> </w:t>
      </w:r>
      <w:r>
        <w:rPr>
          <w:rStyle w:val="Funotenanker"/>
        </w:rPr>
        <w:footnoteReference w:customMarkFollows="1" w:id="1703"/>
        <w:t>t</w:t>
      </w:r>
      <w:r>
        <w:rPr/>
        <w:t xml:space="preserve"> </w:t>
        <w:br/>
        <w:t xml:space="preserve">{{field-off:bible}} </w:t>
        <w:br/>
        <w:t>[[@BibleTOBIBLE:Ps 9:8]]</w:t>
      </w:r>
      <w:r>
        <w:rPr>
          <w:b/>
        </w:rPr>
        <w:t>8</w:t>
      </w:r>
      <w:r>
        <w:rPr/>
        <w:t xml:space="preserve"> {{field-on:bible}} </w:t>
        <w:br/>
      </w:r>
      <w:r>
        <w:rPr>
          <w:b/>
          <w:color w:val="808080"/>
        </w:rPr>
        <w:t>[</w:t>
      </w:r>
      <w:r>
        <w:rPr/>
        <w:t xml:space="preserve">'''E''' </w:t>
      </w:r>
      <w:r>
        <w:rPr>
          <w:color w:val="808080"/>
        </w:rPr>
        <w:t>(?)</w:t>
      </w:r>
      <w:r>
        <w:rPr>
          <w:b/>
          <w:color w:val="808080"/>
        </w:rPr>
        <w:t>]</w:t>
      </w:r>
      <w:r>
        <w:rPr/>
        <w:t xml:space="preserve"> </w:t>
      </w:r>
      <w:r>
        <w:rPr>
          <w:b/>
          <w:color w:val="808080"/>
        </w:rPr>
        <w:t>[</w:t>
      </w:r>
      <w:r>
        <w:rPr/>
        <w:t>Sie!</w:t>
      </w:r>
      <w:r>
        <w:rPr>
          <w:b/>
          <w:color w:val="808080"/>
        </w:rPr>
        <w:t>]</w:t>
      </w:r>
      <w:r>
        <w:rPr/>
        <w:t xml:space="preserve"> Doch </w:t>
      </w:r>
      <w:r>
        <w:rPr>
          <w:smallCaps/>
          <w:color w:val="FF0000"/>
        </w:rPr>
        <w:t>JHWH</w:t>
      </w:r>
      <w:r>
        <w:rPr/>
        <w:t xml:space="preserve"> wird für immer thronen.Er hat aufgerichtet seinen Thron zum Gericht,</w:t>
        <w:br/>
        <w:t xml:space="preserve">{{field-off:bible}} </w:t>
        <w:br/>
        <w:t>[[@BibleTOBIBLE:Ps 9:9]]</w:t>
      </w:r>
      <w:r>
        <w:rPr>
          <w:b/>
        </w:rPr>
        <w:t>9</w:t>
      </w:r>
      <w:r>
        <w:rPr/>
        <w:t xml:space="preserve"> {{field-on:bible}} </w:t>
        <w:br/>
        <w:t xml:space="preserve">Um die Welt gerecht zu richten </w:t>
      </w:r>
      <w:r>
        <w:rPr>
          <w:color w:val="808080"/>
        </w:rPr>
        <w:t>(und er wird die Welt gerecht richten)</w:t>
      </w:r>
      <w:r>
        <w:rPr/>
        <w:t xml:space="preserve">,Gericht zu halten </w:t>
      </w:r>
      <w:r>
        <w:rPr>
          <w:color w:val="808080"/>
        </w:rPr>
        <w:t>(Gericht halten wird er)</w:t>
      </w:r>
      <w:r>
        <w:rPr/>
        <w:t xml:space="preserve"> über die Völker recht,</w:t>
        <w:br/>
        <w:t xml:space="preserve">{{field-off:bible}} </w:t>
        <w:br/>
        <w:t>[[@BibleTOBIBLE:Ps 9:10]]</w:t>
      </w:r>
      <w:r>
        <w:rPr>
          <w:b/>
        </w:rPr>
        <w:t>10</w:t>
      </w:r>
      <w:r>
        <w:rPr/>
        <w:t xml:space="preserve"> {{field-on:bible}} </w:t>
        <w:br/>
      </w:r>
      <w:r>
        <w:rPr>
          <w:b/>
          <w:color w:val="808080"/>
        </w:rPr>
        <w:t>[</w:t>
      </w:r>
      <w:r>
        <w:rPr/>
        <w:t>'''F'''</w:t>
      </w:r>
      <w:r>
        <w:rPr>
          <w:b/>
          <w:color w:val="808080"/>
        </w:rPr>
        <w:t>]</w:t>
      </w:r>
      <w:r>
        <w:rPr/>
        <w:t xml:space="preserve"> Damit </w:t>
      </w:r>
      <w:r>
        <w:rPr>
          <w:smallCaps/>
          <w:color w:val="FF0000"/>
        </w:rPr>
        <w:t>JHWH</w:t>
      </w:r>
      <w:r>
        <w:rPr/>
        <w:t xml:space="preserve"> sei </w:t>
      </w:r>
      <w:r>
        <w:rPr>
          <w:color w:val="808080"/>
        </w:rPr>
        <w:t xml:space="preserve">(und </w:t>
      </w:r>
      <w:r>
        <w:rPr>
          <w:smallCaps/>
          <w:color w:val="FF0000"/>
        </w:rPr>
        <w:t>JHWH</w:t>
      </w:r>
      <w:r>
        <w:rPr>
          <w:color w:val="808080"/>
        </w:rPr>
        <w:t xml:space="preserve"> soll sein)</w:t>
      </w:r>
      <w:r>
        <w:rPr/>
        <w:t xml:space="preserve"> eine Zuflucht für die Bedrückten,Eine Zuflucht für Zeiten der Bedrängnis,</w:t>
        <w:br/>
        <w:t xml:space="preserve">{{field-off:bible}} </w:t>
        <w:br/>
        <w:t>[[@BibleTOBIBLE:Ps 9:11]]</w:t>
      </w:r>
      <w:r>
        <w:rPr>
          <w:b/>
        </w:rPr>
        <w:t>11</w:t>
      </w:r>
      <w:r>
        <w:rPr/>
        <w:t xml:space="preserve"> {{field-on:bible}} </w:t>
        <w:br/>
        <w:t xml:space="preserve">Auf dass zu dir flüchten können </w:t>
      </w:r>
      <w:r>
        <w:rPr>
          <w:color w:val="808080"/>
        </w:rPr>
        <w:t>(und zu dir werden/können/dürfen flüchten)</w:t>
      </w:r>
      <w:r>
        <w:rPr/>
        <w:t xml:space="preserve"> </w:t>
      </w:r>
      <w:r>
        <w:rPr>
          <w:b/>
          <w:color w:val="808080"/>
        </w:rPr>
        <w:t>[</w:t>
      </w:r>
      <w:r>
        <w:rPr/>
        <w:t>jene</w:t>
      </w:r>
      <w:r>
        <w:rPr>
          <w:b/>
          <w:color w:val="808080"/>
        </w:rPr>
        <w:t>]</w:t>
      </w:r>
      <w:r>
        <w:rPr/>
        <w:t>, die deinen Namen kennen,</w:t>
      </w:r>
      <w:r>
        <w:rPr>
          <w:rStyle w:val="Funotenanker"/>
        </w:rPr>
        <w:footnoteReference w:customMarkFollows="1" w:id="1704"/>
        <w:t>u</w:t>
      </w:r>
      <w:r>
        <w:rPr/>
        <w:t>Weil du nicht im Stich lässt, die dich suchen,</w:t>
      </w:r>
      <w:r>
        <w:rPr>
          <w:rStyle w:val="Funotenanker"/>
        </w:rPr>
        <w:footnoteReference w:customMarkFollows="1" w:id="1705"/>
        <w:t>v</w:t>
      </w:r>
      <w:r>
        <w:rPr/>
        <w:t xml:space="preserve"> </w:t>
      </w:r>
      <w:r>
        <w:rPr>
          <w:smallCaps/>
          <w:color w:val="FF0000"/>
        </w:rPr>
        <w:t>JHWH</w:t>
      </w:r>
      <w:r>
        <w:rPr/>
        <w:t>.</w:t>
      </w:r>
      <w:r>
        <w:rPr>
          <w:rStyle w:val="Funotenanker"/>
        </w:rPr>
        <w:footnoteReference w:customMarkFollows="1" w:id="1706"/>
        <w:t>w</w:t>
      </w:r>
      <w:r>
        <w:rPr/>
        <w:t xml:space="preserve"> </w:t>
        <w:br/>
        <w:t xml:space="preserve">{{field-off:bible}} </w:t>
        <w:br/>
        <w:t>[[@BibleTOBIBLE:Ps 9:12]]</w:t>
      </w:r>
      <w:r>
        <w:rPr>
          <w:b/>
        </w:rPr>
        <w:t>12</w:t>
      </w:r>
      <w:r>
        <w:rPr/>
        <w:t xml:space="preserve"> {{field-on:bible}} </w:t>
        <w:br/>
      </w:r>
      <w:r>
        <w:rPr>
          <w:b/>
          <w:color w:val="808080"/>
        </w:rPr>
        <w:t>[</w:t>
      </w:r>
      <w:r>
        <w:rPr/>
        <w:t>'''G'''</w:t>
      </w:r>
      <w:r>
        <w:rPr>
          <w:b/>
          <w:color w:val="808080"/>
        </w:rPr>
        <w:t>]</w:t>
      </w:r>
      <w:r>
        <w:rPr/>
        <w:t xml:space="preserve"> Singt </w:t>
      </w:r>
      <w:r>
        <w:rPr>
          <w:smallCaps/>
          <w:color w:val="FF0000"/>
        </w:rPr>
        <w:t>JHWH</w:t>
      </w:r>
      <w:r>
        <w:rPr/>
        <w:t>, der auf dem Zion thront,</w:t>
      </w:r>
      <w:r>
        <w:rPr>
          <w:rStyle w:val="Funotenanker"/>
        </w:rPr>
        <w:footnoteReference w:customMarkFollows="1" w:id="1707"/>
        <w:t>x</w:t>
      </w:r>
      <w:r>
        <w:rPr/>
        <w:t>Verkündet den Völkern seine Taten!</w:t>
        <w:br/>
        <w:t xml:space="preserve">{{field-off:bible}} </w:t>
        <w:br/>
        <w:t>[[@BibleTOBIBLE:Ps 9:13]]</w:t>
      </w:r>
      <w:r>
        <w:rPr>
          <w:b/>
        </w:rPr>
        <w:t>13</w:t>
      </w:r>
      <w:r>
        <w:rPr/>
        <w:t xml:space="preserve"> {{field-on:bible}} </w:t>
        <w:br/>
        <w:t xml:space="preserve">Denn </w:t>
      </w:r>
      <w:r>
        <w:rPr>
          <w:b/>
          <w:color w:val="808080"/>
        </w:rPr>
        <w:t>[</w:t>
      </w:r>
      <w:r>
        <w:rPr/>
        <w:t xml:space="preserve">wie ein </w:t>
      </w:r>
      <w:r>
        <w:rPr>
          <w:color w:val="808080"/>
        </w:rPr>
        <w:t>(als)</w:t>
      </w:r>
      <w:r>
        <w:rPr>
          <w:b/>
          <w:color w:val="808080"/>
        </w:rPr>
        <w:t>]</w:t>
      </w:r>
      <w:r>
        <w:rPr/>
        <w:t xml:space="preserve"> Sucher von Blut</w:t>
      </w:r>
      <w:r>
        <w:rPr>
          <w:rStyle w:val="Funotenanker"/>
        </w:rPr>
        <w:footnoteReference w:customMarkFollows="1" w:id="1708"/>
        <w:t>y</w:t>
      </w:r>
      <w:r>
        <w:rPr/>
        <w:t xml:space="preserve"> </w:t>
      </w:r>
      <w:r>
        <w:rPr>
          <w:color w:val="808080"/>
        </w:rPr>
        <w:t>(Denn er sucht Blut,)</w:t>
      </w:r>
      <w:r>
        <w:rPr/>
        <w:t xml:space="preserve"> denkt er an sie,</w:t>
      </w:r>
      <w:r>
        <w:rPr>
          <w:rStyle w:val="Funotenanker"/>
        </w:rPr>
        <w:footnoteReference w:customMarkFollows="1" w:id="1709"/>
        <w:t>z</w:t>
      </w:r>
      <w:r>
        <w:rPr/>
        <w:t>Er vergisst nicht</w:t>
      </w:r>
      <w:r>
        <w:rPr>
          <w:rStyle w:val="Funotenanker"/>
        </w:rPr>
        <w:footnoteReference w:customMarkFollows="1" w:id="1710"/>
        <w:t>aa</w:t>
      </w:r>
      <w:r>
        <w:rPr/>
        <w:t xml:space="preserve"> das Rufen der Elenden </w:t>
      </w:r>
      <w:r>
        <w:rPr>
          <w:color w:val="808080"/>
        </w:rPr>
        <w:t>(Armen)</w:t>
      </w:r>
      <w:r>
        <w:rPr/>
        <w:t>.“</w:t>
      </w:r>
      <w:r>
        <w:rPr>
          <w:rStyle w:val="Funotenanker"/>
        </w:rPr>
        <w:footnoteReference w:customMarkFollows="1" w:id="1711"/>
        <w:t>ab</w:t>
      </w:r>
      <w:r>
        <w:rPr/>
        <w:t xml:space="preserve"> </w:t>
        <w:br/>
        <w:br/>
        <w:t xml:space="preserve">{{field-off:bible}} </w:t>
        <w:br/>
        <w:t>[[@BibleTOBIBLE:Ps 9:14]]</w:t>
      </w:r>
      <w:r>
        <w:rPr>
          <w:b/>
        </w:rPr>
        <w:t>14</w:t>
      </w:r>
      <w:r>
        <w:rPr/>
        <w:t xml:space="preserve"> {{field-on:bible}} </w:t>
        <w:br/>
      </w:r>
      <w:r>
        <w:rPr>
          <w:b/>
          <w:color w:val="808080"/>
        </w:rPr>
        <w:t>[</w:t>
      </w:r>
      <w:r>
        <w:rPr/>
        <w:t>'''H'''</w:t>
      </w:r>
      <w:r>
        <w:rPr>
          <w:b/>
          <w:color w:val="808080"/>
        </w:rPr>
        <w:t>]</w:t>
      </w:r>
      <w:r>
        <w:rPr/>
        <w:t xml:space="preserve"> Sei mir gnädig, </w:t>
      </w:r>
      <w:r>
        <w:rPr>
          <w:smallCaps/>
          <w:color w:val="FF0000"/>
        </w:rPr>
        <w:t>JHWH</w:t>
      </w:r>
      <w:r>
        <w:rPr/>
        <w:t>! Sieh auf mein Elend</w:t>
      </w:r>
      <w:r>
        <w:rPr>
          <w:rStyle w:val="Funotenanker"/>
        </w:rPr>
        <w:footnoteReference w:customMarkFollows="1" w:id="1712"/>
        <w:t>ac</w:t>
      </w:r>
      <w:r>
        <w:rPr/>
        <w:t xml:space="preserve"> von meinen Hassern,Indem du mich emporhebst </w:t>
      </w:r>
      <w:r>
        <w:rPr>
          <w:color w:val="808080"/>
        </w:rPr>
        <w:t>(</w:t>
      </w:r>
      <w:r>
        <w:rPr>
          <w:b/>
          <w:color w:val="808080"/>
        </w:rPr>
        <w:t>[</w:t>
      </w:r>
      <w:r>
        <w:rPr>
          <w:color w:val="808080"/>
        </w:rPr>
        <w:t>du</w:t>
      </w:r>
      <w:r>
        <w:rPr>
          <w:b/>
          <w:color w:val="808080"/>
        </w:rPr>
        <w:t>]</w:t>
      </w:r>
      <w:r>
        <w:rPr>
          <w:color w:val="808080"/>
        </w:rPr>
        <w:t>, der du mich emporhebst/mich emporgehoben hast/</w:t>
      </w:r>
      <w:r>
        <w:rPr>
          <w:b/>
          <w:color w:val="808080"/>
        </w:rPr>
        <w:t>[</w:t>
      </w:r>
      <w:r>
        <w:rPr>
          <w:color w:val="808080"/>
        </w:rPr>
        <w:t>allein</w:t>
      </w:r>
      <w:r>
        <w:rPr>
          <w:b/>
          <w:color w:val="808080"/>
        </w:rPr>
        <w:t>]</w:t>
      </w:r>
      <w:r>
        <w:rPr>
          <w:color w:val="808080"/>
        </w:rPr>
        <w:t xml:space="preserve"> mich emporheben kann)</w:t>
      </w:r>
      <w:r>
        <w:rPr/>
        <w:t xml:space="preserve"> von den Toren des Todes,</w:t>
      </w:r>
      <w:r>
        <w:rPr>
          <w:rStyle w:val="Funotenanker"/>
        </w:rPr>
        <w:footnoteReference w:customMarkFollows="1" w:id="1713"/>
        <w:t>ad</w:t>
      </w:r>
      <w:r>
        <w:rPr/>
        <w:t xml:space="preserve"> </w:t>
        <w:br/>
        <w:t xml:space="preserve">{{field-off:bible}} </w:t>
        <w:br/>
        <w:t>[[@BibleTOBIBLE:Ps 9:15]]</w:t>
      </w:r>
      <w:r>
        <w:rPr>
          <w:b/>
        </w:rPr>
        <w:t>15</w:t>
      </w:r>
      <w:r>
        <w:rPr/>
        <w:t xml:space="preserve"> {{field-on:bible}} </w:t>
        <w:br/>
        <w:t>Damit ich Lobpreisungen auf dich äußern kann in den Toren der Tochter Zion</w:t>
      </w:r>
      <w:r>
        <w:rPr>
          <w:rStyle w:val="Funotenanker"/>
        </w:rPr>
        <w:footnoteReference w:customMarkFollows="1" w:id="1714"/>
        <w:t>ae</w:t>
      </w:r>
      <w:r>
        <w:rPr/>
        <w:t xml:space="preserve">und jubeln kann über </w:t>
      </w:r>
      <w:r>
        <w:rPr>
          <w:b/>
          <w:color w:val="808080"/>
        </w:rPr>
        <w:t>[</w:t>
      </w:r>
      <w:r>
        <w:rPr/>
        <w:t>meine</w:t>
      </w:r>
      <w:r>
        <w:rPr>
          <w:b/>
          <w:color w:val="808080"/>
        </w:rPr>
        <w:t>]</w:t>
      </w:r>
      <w:r>
        <w:rPr/>
        <w:t xml:space="preserve"> Rettung durch dich </w:t>
      </w:r>
      <w:r>
        <w:rPr>
          <w:b/>
          <w:color w:val="808080"/>
        </w:rPr>
        <w:t>[</w:t>
      </w:r>
      <w:r>
        <w:rPr/>
        <w:t>mit den Worten</w:t>
      </w:r>
      <w:r>
        <w:rPr>
          <w:b/>
          <w:color w:val="808080"/>
        </w:rPr>
        <w:t>]</w:t>
      </w:r>
      <w:r>
        <w:rPr/>
        <w:t>:</w:t>
        <w:br/>
        <w:br/>
        <w:t xml:space="preserve">{{field-off:bible}} </w:t>
        <w:br/>
        <w:t>[[@BibleTOBIBLE:Ps 9:16]]</w:t>
      </w:r>
      <w:r>
        <w:rPr>
          <w:b/>
        </w:rPr>
        <w:t>16</w:t>
      </w:r>
      <w:r>
        <w:rPr/>
        <w:t xml:space="preserve"> {{field-on:bible}} </w:t>
        <w:br/>
      </w:r>
      <w:r>
        <w:rPr>
          <w:b/>
          <w:color w:val="808080"/>
        </w:rPr>
        <w:t>[</w:t>
      </w:r>
      <w:r>
        <w:rPr/>
        <w:t>'''I'''</w:t>
      </w:r>
      <w:r>
        <w:rPr>
          <w:b/>
          <w:color w:val="808080"/>
        </w:rPr>
        <w:t>]</w:t>
      </w:r>
      <w:r>
        <w:rPr/>
        <w:t xml:space="preserve"> „Versunken sind die Nationen im Schacht, </w:t>
      </w:r>
      <w:r>
        <w:rPr>
          <w:b/>
          <w:color w:val="808080"/>
        </w:rPr>
        <w:t>[</w:t>
      </w:r>
      <w:r>
        <w:rPr/>
        <w:t>den</w:t>
      </w:r>
      <w:r>
        <w:rPr>
          <w:b/>
          <w:color w:val="808080"/>
        </w:rPr>
        <w:t>]</w:t>
      </w:r>
      <w:r>
        <w:rPr/>
        <w:t xml:space="preserve"> sie gemacht haben;Im Netz, das sie versteckt haben, hat sich ihr </w:t>
      </w:r>
      <w:r>
        <w:rPr>
          <w:b/>
          <w:color w:val="808080"/>
        </w:rPr>
        <w:t>[</w:t>
      </w:r>
      <w:r>
        <w:rPr/>
        <w:t>eigener</w:t>
      </w:r>
      <w:r>
        <w:rPr>
          <w:b/>
          <w:color w:val="808080"/>
        </w:rPr>
        <w:t>]</w:t>
      </w:r>
      <w:r>
        <w:rPr/>
        <w:t xml:space="preserve"> Fuß verfangen!</w:t>
        <w:br/>
        <w:t xml:space="preserve">{{field-off:bible}} </w:t>
        <w:br/>
        <w:t>[[@BibleTOBIBLE:Ps 9:17]]</w:t>
      </w:r>
      <w:r>
        <w:rPr>
          <w:b/>
        </w:rPr>
        <w:t>17</w:t>
      </w:r>
      <w:r>
        <w:rPr/>
        <w:t xml:space="preserve"> {{field-on:bible}} </w:t>
        <w:br/>
      </w:r>
      <w:r>
        <w:rPr>
          <w:smallCaps/>
          <w:color w:val="FF0000"/>
        </w:rPr>
        <w:t>JHWH</w:t>
      </w:r>
      <w:r>
        <w:rPr/>
        <w:t xml:space="preserve"> hat sich kundgetan, Gericht hat er geübt:Im Werk seiner </w:t>
      </w:r>
      <w:r>
        <w:rPr>
          <w:b/>
          <w:color w:val="808080"/>
        </w:rPr>
        <w:t>[</w:t>
      </w:r>
      <w:r>
        <w:rPr/>
        <w:t>eigenen</w:t>
      </w:r>
      <w:r>
        <w:rPr>
          <w:b/>
          <w:color w:val="808080"/>
        </w:rPr>
        <w:t>]</w:t>
      </w:r>
      <w:r>
        <w:rPr/>
        <w:t xml:space="preserve"> Hände hat er den Schlechten </w:t>
      </w:r>
      <w:r>
        <w:rPr>
          <w:color w:val="808080"/>
        </w:rPr>
        <w:t>(hat sich der Schlechte)</w:t>
      </w:r>
      <w:r>
        <w:rPr/>
        <w:t xml:space="preserve"> </w:t>
      </w:r>
      <w:r>
        <w:rPr>
          <w:rStyle w:val="Funotenanker"/>
        </w:rPr>
        <w:footnoteReference w:customMarkFollows="1" w:id="1715"/>
        <w:t>af</w:t>
      </w:r>
      <w:r>
        <w:rPr/>
        <w:t xml:space="preserve"> verstrickt!“ </w:t>
      </w:r>
      <w:r>
        <w:rPr>
          <w:strike/>
          <w:color w:val="808080"/>
        </w:rPr>
        <w:t>{Higgaion Selah}</w:t>
      </w:r>
      <w:r>
        <w:rPr/>
        <w:t xml:space="preserve"> </w:t>
      </w:r>
      <w:r>
        <w:rPr>
          <w:rStyle w:val="Funotenanker"/>
        </w:rPr>
        <w:footnoteReference w:customMarkFollows="1" w:id="1716"/>
        <w:t>ag</w:t>
      </w:r>
      <w:r>
        <w:rPr/>
        <w:t xml:space="preserve"> </w:t>
        <w:br/>
        <w:br/>
        <w:t xml:space="preserve">{{field-off:bible}} </w:t>
        <w:br/>
        <w:t>[[@BibleTOBIBLE:Ps 9:18]]</w:t>
      </w:r>
      <w:r>
        <w:rPr>
          <w:b/>
        </w:rPr>
        <w:t>18</w:t>
      </w:r>
      <w:r>
        <w:rPr/>
        <w:t xml:space="preserve"> {{field-on:bible}} </w:t>
        <w:br/>
      </w:r>
      <w:r>
        <w:rPr>
          <w:b/>
          <w:color w:val="808080"/>
        </w:rPr>
        <w:t>[</w:t>
      </w:r>
      <w:r>
        <w:rPr/>
        <w:t>'''J'''</w:t>
      </w:r>
      <w:r>
        <w:rPr>
          <w:b/>
          <w:color w:val="808080"/>
        </w:rPr>
        <w:t>]</w:t>
      </w:r>
      <w:r>
        <w:rPr/>
        <w:t xml:space="preserve"> Es mögen Schlechte zur </w:t>
      </w:r>
      <w:r>
        <w:rPr>
          <w:strike/>
          <w:color w:val="808080"/>
        </w:rPr>
        <w:t>{gen}</w:t>
      </w:r>
      <w:r>
        <w:rPr/>
        <w:t xml:space="preserve"> </w:t>
      </w:r>
      <w:r>
        <w:rPr>
          <w:rStyle w:val="Funotenanker"/>
        </w:rPr>
        <w:footnoteReference w:customMarkFollows="1" w:id="1717"/>
        <w:t>ah</w:t>
      </w:r>
      <w:r>
        <w:rPr/>
        <w:t xml:space="preserve"> Scheol</w:t>
      </w:r>
      <w:r>
        <w:rPr>
          <w:rStyle w:val="Funotenanker"/>
        </w:rPr>
        <w:footnoteReference w:customMarkFollows="1" w:id="1718"/>
        <w:t>ai</w:t>
      </w:r>
      <w:r>
        <w:rPr/>
        <w:t xml:space="preserve"> zurückkehren,</w:t>
      </w:r>
      <w:r>
        <w:rPr>
          <w:rStyle w:val="Funotenanker"/>
        </w:rPr>
        <w:footnoteReference w:customMarkFollows="1" w:id="1719"/>
        <w:t>aj</w:t>
      </w:r>
      <w:r>
        <w:rPr/>
        <w:t xml:space="preserve">Alle Nationen, die Gott vergessen </w:t>
      </w:r>
      <w:r>
        <w:rPr>
          <w:b/>
          <w:color w:val="808080"/>
        </w:rPr>
        <w:t>[</w:t>
      </w:r>
      <w:r>
        <w:rPr/>
        <w:t>haben</w:t>
      </w:r>
      <w:r>
        <w:rPr>
          <w:b/>
          <w:color w:val="808080"/>
        </w:rPr>
        <w:t>]</w:t>
      </w:r>
      <w:r>
        <w:rPr/>
        <w:t>.</w:t>
      </w:r>
      <w:r>
        <w:rPr>
          <w:rStyle w:val="Funotenanker"/>
        </w:rPr>
        <w:footnoteReference w:customMarkFollows="1" w:id="1720"/>
        <w:t>ak</w:t>
      </w:r>
      <w:r>
        <w:rPr/>
        <w:t xml:space="preserve"> </w:t>
        <w:br/>
        <w:t xml:space="preserve">{{field-off:bible}} </w:t>
        <w:br/>
        <w:t>[[@BibleTOBIBLE:Ps 9:19]]</w:t>
      </w:r>
      <w:r>
        <w:rPr>
          <w:b/>
        </w:rPr>
        <w:t>19</w:t>
      </w:r>
      <w:r>
        <w:rPr/>
        <w:t xml:space="preserve"> {{field-on:bible}} </w:t>
        <w:br/>
      </w:r>
      <w:r>
        <w:rPr>
          <w:b/>
          <w:color w:val="808080"/>
        </w:rPr>
        <w:t>[</w:t>
      </w:r>
      <w:r>
        <w:rPr/>
        <w:t>'''K'''</w:t>
      </w:r>
      <w:r>
        <w:rPr>
          <w:b/>
          <w:color w:val="808080"/>
        </w:rPr>
        <w:t>]</w:t>
      </w:r>
      <w:r>
        <w:rPr/>
        <w:t xml:space="preserve"> Ach!, </w:t>
      </w:r>
      <w:r>
        <w:rPr>
          <w:color w:val="808080"/>
        </w:rPr>
        <w:t>(Denn)</w:t>
      </w:r>
      <w:r>
        <w:rPr/>
        <w:t xml:space="preserve"> nicht auf immer werde vergessen </w:t>
      </w:r>
      <w:r>
        <w:rPr>
          <w:color w:val="808080"/>
        </w:rPr>
        <w:t>(wird vergessen werden)</w:t>
      </w:r>
      <w:r>
        <w:rPr/>
        <w:t xml:space="preserve"> der Arme,verderbe </w:t>
      </w:r>
      <w:r>
        <w:rPr>
          <w:color w:val="808080"/>
        </w:rPr>
        <w:t>(wird verderben)</w:t>
      </w:r>
      <w:r>
        <w:rPr/>
        <w:t xml:space="preserve"> die Hoffnung der Elenden für </w:t>
      </w:r>
      <w:r>
        <w:rPr>
          <w:b/>
          <w:color w:val="808080"/>
        </w:rPr>
        <w:t>[</w:t>
      </w:r>
      <w:r>
        <w:rPr/>
        <w:t>alle</w:t>
      </w:r>
      <w:r>
        <w:rPr>
          <w:b/>
          <w:color w:val="808080"/>
        </w:rPr>
        <w:t>]</w:t>
      </w:r>
      <w:r>
        <w:rPr/>
        <w:t xml:space="preserve"> Zeit!</w:t>
      </w:r>
      <w:r>
        <w:rPr>
          <w:rStyle w:val="Funotenanker"/>
        </w:rPr>
        <w:footnoteReference w:customMarkFollows="1" w:id="1721"/>
        <w:t>al</w:t>
      </w:r>
      <w:r>
        <w:rPr/>
        <w:t xml:space="preserve"> </w:t>
        <w:br/>
        <w:t xml:space="preserve">{{field-off:bible}} </w:t>
        <w:br/>
        <w:t>[[@BibleTOBIBLE:Ps 9:20]]</w:t>
      </w:r>
      <w:r>
        <w:rPr>
          <w:b/>
        </w:rPr>
        <w:t>20</w:t>
      </w:r>
      <w:r>
        <w:rPr/>
        <w:t xml:space="preserve"> {{field-on:bible}} </w:t>
        <w:br/>
        <w:t xml:space="preserve">Erhebe dich, </w:t>
      </w:r>
      <w:r>
        <w:rPr>
          <w:smallCaps/>
          <w:color w:val="FF0000"/>
        </w:rPr>
        <w:t>JHWH</w:t>
      </w:r>
      <w:r>
        <w:rPr/>
        <w:t xml:space="preserve">! Menschlein </w:t>
      </w:r>
      <w:r>
        <w:rPr>
          <w:color w:val="808080"/>
        </w:rPr>
        <w:t>(Menschen)</w:t>
      </w:r>
      <w:r>
        <w:rPr/>
        <w:t xml:space="preserve"> </w:t>
      </w:r>
      <w:r>
        <w:rPr>
          <w:rStyle w:val="Funotenanker"/>
        </w:rPr>
        <w:footnoteReference w:customMarkFollows="1" w:id="1722"/>
        <w:t>am</w:t>
      </w:r>
      <w:r>
        <w:rPr/>
        <w:t xml:space="preserve"> sollen nicht stark sein!</w:t>
      </w:r>
      <w:r>
        <w:rPr>
          <w:rStyle w:val="Funotenanker"/>
        </w:rPr>
        <w:footnoteReference w:customMarkFollows="1" w:id="1723"/>
        <w:t>an</w:t>
      </w:r>
      <w:r>
        <w:rPr/>
        <w:t>Die Nationen sollen gerichtet werden vor dir!</w:t>
        <w:br/>
        <w:t xml:space="preserve">{{field-off:bible}} </w:t>
        <w:br/>
        <w:t>[[@BibleTOBIBLE:Ps 9:21]]</w:t>
      </w:r>
      <w:r>
        <w:rPr>
          <w:b/>
        </w:rPr>
        <w:t>21</w:t>
      </w:r>
      <w:r>
        <w:rPr/>
        <w:t xml:space="preserve"> {{field-on:bible}} </w:t>
        <w:br/>
        <w:t xml:space="preserve">Setze, </w:t>
      </w:r>
      <w:r>
        <w:rPr>
          <w:smallCaps/>
          <w:color w:val="FF0000"/>
        </w:rPr>
        <w:t>JHWH</w:t>
      </w:r>
      <w:r>
        <w:rPr/>
        <w:t xml:space="preserve">, Furcht in sie </w:t>
      </w:r>
      <w:r>
        <w:rPr>
          <w:color w:val="808080"/>
        </w:rPr>
        <w:t>(ihnen einen Lehrer vor, gib ihnen eine Lehre)</w:t>
      </w:r>
      <w:r>
        <w:rPr/>
        <w:t>!</w:t>
      </w:r>
      <w:r>
        <w:rPr>
          <w:rStyle w:val="Funotenanker"/>
        </w:rPr>
        <w:footnoteReference w:customMarkFollows="1" w:id="1724"/>
        <w:t>ao</w:t>
      </w:r>
      <w:r>
        <w:rPr/>
        <w:t xml:space="preserve">Es sollen wissen Nationen, dass sie </w:t>
      </w:r>
      <w:r>
        <w:rPr>
          <w:b/>
          <w:color w:val="808080"/>
        </w:rPr>
        <w:t>[</w:t>
      </w:r>
      <w:r>
        <w:rPr/>
        <w:t>nur</w:t>
      </w:r>
      <w:r>
        <w:rPr>
          <w:b/>
          <w:color w:val="808080"/>
        </w:rPr>
        <w:t>]</w:t>
      </w:r>
      <w:r>
        <w:rPr/>
        <w:t xml:space="preserve"> Menschlein </w:t>
      </w:r>
      <w:r>
        <w:rPr>
          <w:color w:val="808080"/>
        </w:rPr>
        <w:t>(Menschen)</w:t>
      </w:r>
      <w:r>
        <w:rPr/>
        <w:t xml:space="preserve"> sind! </w:t>
      </w:r>
      <w:r>
        <w:rPr>
          <w:strike/>
          <w:color w:val="808080"/>
        </w:rPr>
        <w:t>{Selah}</w:t>
      </w:r>
      <w:r>
        <w:rPr/>
        <w:t xml:space="preserve"> </w:t>
        <w:br/>
        <w:t xml:space="preserve">{{field-off:bible}} </w:t>
      </w:r>
    </w:p>
    <w:p>
      <w:pPr>
        <w:pStyle w:val="Berschrift3"/>
        <w:rPr/>
      </w:pPr>
      <w:r>
        <w:rPr/>
        <w:t>[[@BibleTOBIBLE:Ps 10]]Kapitel 10</w:t>
      </w:r>
    </w:p>
    <w:p>
      <w:pPr>
        <w:pStyle w:val="Textkrper"/>
        <w:rPr/>
      </w:pPr>
      <w:r>
        <w:rPr/>
        <w:t xml:space="preserve">&lt;small&gt;Ps 10 ist kein eigenständiger Psalm, sondern der zweite Teil des einen Psalms Ps 9-10. Diese Anmerkungen sind daher die Fortsetzung der Anmerkungen zu Psalm 9.&lt;/small&gt; Die Zerfaserung des Akrostichons, die am Ende von Psalm 9 eingesetzt hat, setzt sich in Psalm 10 fort. In Vv. 1-11, dem „Klage“-Abschnitt, in dem Gott die ganze Verderbtheit der Gegner vor Augen geführt werden soll, um ihn zum Handeln zu motivieren, finden sich von den sieben erwarteten Anfangsbuchstaben nur noch zwei; auch besteht der Abschnitt aus vier Zeilen zu wenig. „Erwähnung und Diskussion der Bösen, die den Zusammenbruch der ordentlichen göttlichen Ordnung repräsentieren, finden sich exakt an dem Punkt, an dem auch das Akrostichon zusammenbricht.“ (Benun 2006, S. 6). In Vv. 14-21schließlich wendet sich der Beter wieder mit seiner „Bitte“ an </w:t>
      </w:r>
      <w:r>
        <w:rPr>
          <w:rStyle w:val="Funotenanker"/>
        </w:rPr>
        <w:footnoteReference w:customMarkFollows="1" w:id="1725"/>
        <w:t>a</w:t>
      </w:r>
      <w:r>
        <w:rPr/>
        <w:t xml:space="preserve">, in der immer wieder Appell an einen Wesenszug Gottes und Bitte um Gottes Handeln sich abwechseln: Vv. 14a: Du siehst doch - V. 14b: Untersuche!; V. 14cd: Auf dich kann sich der Verfolge verlassen - V. 15: Räche ihn!; V. 17a: Du hörst doch - Lass dein Ohr horchen! Und von dem Moment an, da er sich von der Meditation seiner Not mit dem Ruf: „Steh auf, </w:t>
      </w:r>
      <w:r>
        <w:rPr>
          <w:rStyle w:val="Funotenanker"/>
        </w:rPr>
        <w:footnoteReference w:customMarkFollows="1" w:id="1726"/>
        <w:t>b</w:t>
      </w:r>
      <w:r>
        <w:rPr/>
        <w:t xml:space="preserve">! ... Vergiss die Elenden doch nicht!“ wieder </w:t>
      </w:r>
      <w:r>
        <w:rPr>
          <w:rStyle w:val="Funotenanker"/>
        </w:rPr>
        <w:footnoteReference w:customMarkFollows="1" w:id="1727"/>
        <w:t>c</w:t>
      </w:r>
      <w:r>
        <w:rPr/>
        <w:t xml:space="preserve"> zuwendet, setzt auch die akrostische Ordnung wieder ein. Der „ordnungslose“ Teil des Psalms fällt zusammen mit dem der Klage über die gottlosen Gegner (Vv. 3b-5b!), der „geordnete“ Teil des Psalms mit dessen Bittgebet an Gott. Es ist, als wolle der Psalm durch seine Form hindurch sagen: Auch, wenn die Welt nicht in Ordnung ist: Solange du nur betest, ist sie es doch, denn: „Auf Gott kann sich verlassen der Verfolgte, weil der der Helfer der Waise ist“ (V. 14). </w:t>
        <w:br/>
        <w:br/>
        <w:t>[[@BibleTOBIBLE:Ps 10:1]]</w:t>
      </w:r>
      <w:r>
        <w:rPr>
          <w:b/>
        </w:rPr>
        <w:t>1</w:t>
      </w:r>
      <w:r>
        <w:rPr/>
        <w:t xml:space="preserve"> {{field-on:bible}} </w:t>
      </w:r>
      <w:r>
        <w:rPr>
          <w:rStyle w:val="Funotenanker"/>
        </w:rPr>
        <w:footnoteReference w:customMarkFollows="1" w:id="1728"/>
        <w:t>Status</w:t>
      </w:r>
      <w:r>
        <w:rPr/>
        <w:t xml:space="preserve"> </w:t>
      </w:r>
      <w:r>
        <w:rPr>
          <w:b/>
          <w:color w:val="808080"/>
        </w:rPr>
        <w:t>[</w:t>
      </w:r>
      <w:r>
        <w:rPr/>
        <w:t>'''L'''</w:t>
      </w:r>
      <w:r>
        <w:rPr>
          <w:b/>
          <w:color w:val="808080"/>
        </w:rPr>
        <w:t>]</w:t>
      </w:r>
      <w:r>
        <w:rPr/>
        <w:t xml:space="preserve"> </w:t>
      </w:r>
      <w:r>
        <w:rPr>
          <w:rStyle w:val="Funotenanker"/>
        </w:rPr>
        <w:footnoteReference w:customMarkFollows="1" w:id="1729"/>
        <w:t>d</w:t>
      </w:r>
      <w:r>
        <w:rPr/>
        <w:t xml:space="preserve"> Warum, o </w:t>
      </w:r>
      <w:r>
        <w:rPr>
          <w:smallCaps/>
          <w:color w:val="FF0000"/>
        </w:rPr>
        <w:t>JHWH</w:t>
      </w:r>
      <w:r>
        <w:rPr/>
        <w:t>, willst du fern stehen,</w:t>
      </w:r>
      <w:r>
        <w:rPr>
          <w:rStyle w:val="Funotenanker"/>
        </w:rPr>
        <w:footnoteReference w:customMarkFollows="1" w:id="1730"/>
        <w:t>e</w:t>
      </w:r>
      <w:r>
        <w:rPr/>
        <w:t xml:space="preserve">Willst du dich verbergen in Zeiten der Bedrängnis? - </w:t>
        <w:br/>
        <w:t xml:space="preserve">{{field-off:bible}} </w:t>
        <w:br/>
        <w:t>[[@BibleTOBIBLE:Ps 10:2]]</w:t>
      </w:r>
      <w:r>
        <w:rPr>
          <w:b/>
        </w:rPr>
        <w:t>2</w:t>
      </w:r>
      <w:r>
        <w:rPr/>
        <w:t xml:space="preserve"> {{field-on:bible}} </w:t>
        <w:br/>
        <w:t xml:space="preserve">In </w:t>
      </w:r>
      <w:r>
        <w:rPr>
          <w:b/>
          <w:color w:val="808080"/>
        </w:rPr>
        <w:t>[</w:t>
      </w:r>
      <w:r>
        <w:rPr/>
        <w:t>seinem</w:t>
      </w:r>
      <w:r>
        <w:rPr>
          <w:b/>
          <w:color w:val="808080"/>
        </w:rPr>
        <w:t>]</w:t>
      </w:r>
      <w:r>
        <w:rPr/>
        <w:t xml:space="preserve"> Hochmut </w:t>
      </w:r>
      <w:r>
        <w:rPr>
          <w:color w:val="808080"/>
        </w:rPr>
        <w:t>(Stolz)</w:t>
      </w:r>
      <w:r>
        <w:rPr/>
        <w:t xml:space="preserve"> verfolgt der Schlechte den Elenden </w:t>
      </w:r>
      <w:r>
        <w:rPr>
          <w:color w:val="808080"/>
        </w:rPr>
        <w:t>(Armen)</w:t>
      </w:r>
      <w:r>
        <w:rPr/>
        <w:t xml:space="preserve"> </w:t>
      </w:r>
      <w:r>
        <w:rPr>
          <w:rStyle w:val="Funotenanker"/>
        </w:rPr>
        <w:footnoteReference w:customMarkFollows="1" w:id="1731"/>
        <w:t>f</w:t>
      </w:r>
      <w:r>
        <w:rPr/>
        <w:t xml:space="preserve"> </w:t>
      </w:r>
      <w:r>
        <w:rPr>
          <w:color w:val="808080"/>
        </w:rPr>
        <w:t>(im Hochmut des Schlechten verfolgt er den Elenden, durch den Stolz des Schlechten brennt der Elende)</w:t>
      </w:r>
      <w:r>
        <w:rPr/>
        <w:t xml:space="preserve"> </w:t>
      </w:r>
      <w:r>
        <w:rPr>
          <w:rStyle w:val="Funotenanker"/>
        </w:rPr>
        <w:footnoteReference w:customMarkFollows="1" w:id="1732"/>
        <w:t>g</w:t>
      </w:r>
      <w:r>
        <w:rPr/>
        <w:t>Sie werden gefangen durch die Ränke, die sie erdacht haben.</w:t>
      </w:r>
      <w:r>
        <w:rPr>
          <w:rStyle w:val="Funotenanker"/>
        </w:rPr>
        <w:footnoteReference w:customMarkFollows="1" w:id="1733"/>
        <w:t>h</w:t>
      </w:r>
      <w:r>
        <w:rPr/>
        <w:t xml:space="preserve"> </w:t>
        <w:br/>
        <w:t xml:space="preserve">{{field-off:bible}} </w:t>
        <w:br/>
        <w:t>[[@BibleTOBIBLE:Ps 10:3]]</w:t>
      </w:r>
      <w:r>
        <w:rPr>
          <w:b/>
        </w:rPr>
        <w:t>3</w:t>
      </w:r>
      <w:r>
        <w:rPr/>
        <w:t xml:space="preserve"> {{field-on:bible}} </w:t>
        <w:br/>
        <w:t xml:space="preserve">Ach!, </w:t>
      </w:r>
      <w:r>
        <w:rPr>
          <w:color w:val="808080"/>
        </w:rPr>
        <w:t>(Denn)</w:t>
      </w:r>
      <w:r>
        <w:rPr/>
        <w:t xml:space="preserve"> der Schlechte rühmt seine Seele für </w:t>
      </w:r>
      <w:r>
        <w:rPr>
          <w:b/>
          <w:color w:val="808080"/>
        </w:rPr>
        <w:t>[</w:t>
      </w:r>
      <w:r>
        <w:rPr/>
        <w:t>ihre</w:t>
      </w:r>
      <w:r>
        <w:rPr>
          <w:b/>
          <w:color w:val="808080"/>
        </w:rPr>
        <w:t>]</w:t>
      </w:r>
      <w:r>
        <w:rPr/>
        <w:t xml:space="preserve"> Lust,</w:t>
      </w:r>
      <w:r>
        <w:rPr>
          <w:rStyle w:val="Funotenanker"/>
        </w:rPr>
        <w:footnoteReference w:customMarkFollows="1" w:id="1734"/>
        <w:t>i</w:t>
      </w:r>
      <w:r>
        <w:rPr/>
        <w:t>Und der Abschneider</w:t>
      </w:r>
      <w:r>
        <w:rPr>
          <w:rStyle w:val="Funotenanker"/>
        </w:rPr>
        <w:footnoteReference w:customMarkFollows="1" w:id="1735"/>
        <w:t>j</w:t>
      </w:r>
      <w:r>
        <w:rPr/>
        <w:t xml:space="preserve"> flucht,</w:t>
      </w:r>
      <w:r>
        <w:rPr>
          <w:rStyle w:val="Funotenanker"/>
        </w:rPr>
        <w:footnoteReference w:customMarkFollows="1" w:id="1736"/>
        <w:t>k</w:t>
      </w:r>
      <w:r>
        <w:rPr/>
        <w:t xml:space="preserve"> verachtet</w:t>
      </w:r>
      <w:r>
        <w:rPr>
          <w:rStyle w:val="Funotenanker"/>
        </w:rPr>
        <w:footnoteReference w:customMarkFollows="1" w:id="1737"/>
        <w:t>l</w:t>
      </w:r>
      <w:r>
        <w:rPr/>
        <w:t xml:space="preserve"> </w:t>
      </w:r>
      <w:r>
        <w:rPr>
          <w:smallCaps/>
          <w:color w:val="FF0000"/>
        </w:rPr>
        <w:t>JHWH</w:t>
      </w:r>
      <w:r>
        <w:rPr/>
        <w:t>.</w:t>
        <w:br/>
        <w:t xml:space="preserve">{{field-off:bible}} </w:t>
        <w:br/>
        <w:t>[[@BibleTOBIBLE:Ps 10:4]]</w:t>
      </w:r>
      <w:r>
        <w:rPr>
          <w:b/>
        </w:rPr>
        <w:t>4</w:t>
      </w:r>
      <w:r>
        <w:rPr/>
        <w:t xml:space="preserve"> {{field-on:bible}} </w:t>
        <w:br/>
        <w:t xml:space="preserve">Der Schlechte, im Hochmut seiner Nase </w:t>
      </w:r>
      <w:r>
        <w:rPr>
          <w:color w:val="808080"/>
        </w:rPr>
        <w:t>(in seiner Hochnäsigkeit)</w:t>
      </w:r>
      <w:r>
        <w:rPr/>
        <w:t xml:space="preserve">, </w:t>
      </w:r>
      <w:r>
        <w:rPr>
          <w:b/>
          <w:color w:val="808080"/>
        </w:rPr>
        <w:t>[</w:t>
      </w:r>
      <w:r>
        <w:rPr/>
        <w:t>denkt:</w:t>
      </w:r>
      <w:r>
        <w:rPr>
          <w:b/>
          <w:color w:val="808080"/>
        </w:rPr>
        <w:t>]</w:t>
      </w:r>
      <w:r>
        <w:rPr/>
        <w:t xml:space="preserve"> </w:t>
      </w:r>
      <w:r>
        <w:rPr>
          <w:rStyle w:val="Funotenanker"/>
        </w:rPr>
        <w:footnoteReference w:customMarkFollows="1" w:id="1738"/>
        <w:t>m</w:t>
      </w:r>
      <w:r>
        <w:rPr/>
        <w:t xml:space="preserve"> „Er sucht nicht!“</w:t>
      </w:r>
      <w:r>
        <w:rPr>
          <w:rStyle w:val="Funotenanker"/>
        </w:rPr>
        <w:footnoteReference w:customMarkFollows="1" w:id="1739"/>
        <w:t>n</w:t>
      </w:r>
      <w:r>
        <w:rPr/>
        <w:t xml:space="preserve">„Es </w:t>
      </w:r>
      <w:r>
        <w:rPr>
          <w:b/>
          <w:color w:val="808080"/>
        </w:rPr>
        <w:t>[</w:t>
      </w:r>
      <w:r>
        <w:rPr/>
        <w:t>gibt</w:t>
      </w:r>
      <w:r>
        <w:rPr>
          <w:b/>
          <w:color w:val="808080"/>
        </w:rPr>
        <w:t>]</w:t>
      </w:r>
      <w:r>
        <w:rPr/>
        <w:t xml:space="preserve"> keinen Gott“</w:t>
      </w:r>
      <w:r>
        <w:rPr>
          <w:rStyle w:val="Funotenanker"/>
        </w:rPr>
        <w:footnoteReference w:customMarkFollows="1" w:id="1740"/>
        <w:t>o</w:t>
      </w:r>
      <w:r>
        <w:rPr/>
        <w:t xml:space="preserve"> </w:t>
      </w:r>
      <w:r>
        <w:rPr>
          <w:b/>
          <w:color w:val="808080"/>
        </w:rPr>
        <w:t>[</w:t>
      </w:r>
      <w:r>
        <w:rPr/>
        <w:t>sind</w:t>
      </w:r>
      <w:r>
        <w:rPr>
          <w:b/>
          <w:color w:val="808080"/>
        </w:rPr>
        <w:t>]</w:t>
      </w:r>
      <w:r>
        <w:rPr/>
        <w:t xml:space="preserve"> all' seine Gedanken.</w:t>
        <w:br/>
        <w:t xml:space="preserve">{{field-off:bible}} </w:t>
        <w:br/>
        <w:t>[[@BibleTOBIBLE:Ps 10:5]]</w:t>
      </w:r>
      <w:r>
        <w:rPr>
          <w:b/>
        </w:rPr>
        <w:t>5</w:t>
      </w:r>
      <w:r>
        <w:rPr/>
        <w:t xml:space="preserve"> {{field-on:bible}} </w:t>
        <w:br/>
        <w:t xml:space="preserve">Profan </w:t>
      </w:r>
      <w:r>
        <w:rPr>
          <w:color w:val="808080"/>
        </w:rPr>
        <w:t>(stark?)</w:t>
      </w:r>
      <w:r>
        <w:rPr/>
        <w:t xml:space="preserve"> </w:t>
      </w:r>
      <w:r>
        <w:rPr>
          <w:rStyle w:val="Funotenanker"/>
        </w:rPr>
        <w:footnoteReference w:customMarkFollows="1" w:id="1741"/>
        <w:t>p</w:t>
      </w:r>
      <w:r>
        <w:rPr/>
        <w:t xml:space="preserve"> sind seine Wege allezeit, Hoch </w:t>
      </w:r>
      <w:r>
        <w:rPr>
          <w:b/>
          <w:color w:val="808080"/>
        </w:rPr>
        <w:t>[</w:t>
      </w:r>
      <w:r>
        <w:rPr/>
        <w:t>sind</w:t>
      </w:r>
      <w:r>
        <w:rPr>
          <w:b/>
          <w:color w:val="808080"/>
        </w:rPr>
        <w:t>]</w:t>
      </w:r>
      <w:r>
        <w:rPr/>
        <w:t xml:space="preserve"> deine Gesetze </w:t>
      </w:r>
      <w:r>
        <w:rPr>
          <w:color w:val="808080"/>
        </w:rPr>
        <w:t>(Gerichte)</w:t>
      </w:r>
      <w:r>
        <w:rPr/>
        <w:t>, fern von ihm;</w:t>
      </w:r>
      <w:r>
        <w:rPr>
          <w:rStyle w:val="Funotenanker"/>
        </w:rPr>
        <w:footnoteReference w:customMarkFollows="1" w:id="1742"/>
        <w:t>q</w:t>
      </w:r>
      <w:r>
        <w:rPr/>
        <w:t>All' seine Gegner, die schnaubt er an.</w:t>
      </w:r>
      <w:r>
        <w:rPr>
          <w:rStyle w:val="Funotenanker"/>
        </w:rPr>
        <w:footnoteReference w:customMarkFollows="1" w:id="1743"/>
        <w:t>r</w:t>
      </w:r>
      <w:r>
        <w:rPr/>
        <w:t xml:space="preserve"> </w:t>
        <w:br/>
        <w:t xml:space="preserve">{{field-off:bible}} </w:t>
        <w:br/>
        <w:t>[[@BibleTOBIBLE:Ps 10:6]]</w:t>
      </w:r>
      <w:r>
        <w:rPr>
          <w:b/>
        </w:rPr>
        <w:t>6</w:t>
      </w:r>
      <w:r>
        <w:rPr/>
        <w:t xml:space="preserve"> {{field-on:bible}} </w:t>
        <w:br/>
        <w:t xml:space="preserve">Er sagt in seinem Herzen </w:t>
      </w:r>
      <w:r>
        <w:rPr>
          <w:color w:val="808080"/>
        </w:rPr>
        <w:t>(sagt sich)</w:t>
      </w:r>
      <w:r>
        <w:rPr/>
        <w:t>: „Ich werde nicht wanken</w:t>
      </w:r>
      <w:r>
        <w:rPr>
          <w:rStyle w:val="Funotenanker"/>
        </w:rPr>
        <w:footnoteReference w:customMarkFollows="1" w:id="1744"/>
        <w:t>s</w:t>
      </w:r>
      <w:r>
        <w:rPr/>
        <w:t xml:space="preserve"> von Geschlecht zu Geschlecht,So dass </w:t>
      </w:r>
      <w:r>
        <w:rPr>
          <w:color w:val="808080"/>
        </w:rPr>
        <w:t xml:space="preserve">(weil; </w:t>
      </w:r>
      <w:r>
        <w:rPr>
          <w:b/>
          <w:color w:val="808080"/>
        </w:rPr>
        <w:t>[</w:t>
      </w:r>
      <w:r>
        <w:rPr>
          <w:color w:val="808080"/>
        </w:rPr>
        <w:t>ich</w:t>
      </w:r>
      <w:r>
        <w:rPr>
          <w:b/>
          <w:color w:val="808080"/>
        </w:rPr>
        <w:t>]</w:t>
      </w:r>
      <w:r>
        <w:rPr>
          <w:color w:val="808080"/>
        </w:rPr>
        <w:t>, der)</w:t>
      </w:r>
      <w:r>
        <w:rPr/>
        <w:t xml:space="preserve"> </w:t>
      </w:r>
      <w:r>
        <w:rPr>
          <w:b/>
          <w:color w:val="808080"/>
        </w:rPr>
        <w:t>[</w:t>
      </w:r>
      <w:r>
        <w:rPr/>
        <w:t>ich</w:t>
      </w:r>
      <w:r>
        <w:rPr>
          <w:b/>
          <w:color w:val="808080"/>
        </w:rPr>
        <w:t>]</w:t>
      </w:r>
      <w:r>
        <w:rPr/>
        <w:t xml:space="preserve"> nicht </w:t>
      </w:r>
      <w:r>
        <w:rPr>
          <w:color w:val="808080"/>
        </w:rPr>
        <w:t>(nie)</w:t>
      </w:r>
      <w:r>
        <w:rPr/>
        <w:t xml:space="preserve"> </w:t>
      </w:r>
      <w:r>
        <w:rPr>
          <w:b/>
          <w:color w:val="808080"/>
        </w:rPr>
        <w:t>[</w:t>
      </w:r>
      <w:r>
        <w:rPr/>
        <w:t>sein werde</w:t>
      </w:r>
      <w:r>
        <w:rPr>
          <w:b/>
          <w:color w:val="808080"/>
        </w:rPr>
        <w:t>]</w:t>
      </w:r>
      <w:r>
        <w:rPr/>
        <w:t xml:space="preserve"> im Unglück.“</w:t>
      </w:r>
      <w:r>
        <w:rPr>
          <w:rStyle w:val="Funotenanker"/>
        </w:rPr>
        <w:footnoteReference w:customMarkFollows="1" w:id="1745"/>
        <w:t>t</w:t>
      </w:r>
      <w:r>
        <w:rPr/>
        <w:t xml:space="preserve"> </w:t>
        <w:br/>
        <w:t xml:space="preserve">{{field-off:bible}} </w:t>
        <w:br/>
        <w:t>[[@BibleTOBIBLE:Ps 10:7]]</w:t>
      </w:r>
      <w:r>
        <w:rPr>
          <w:b/>
        </w:rPr>
        <w:t>7</w:t>
      </w:r>
      <w:r>
        <w:rPr/>
        <w:t xml:space="preserve"> {{field-on:bible}} </w:t>
        <w:br/>
      </w:r>
      <w:r>
        <w:rPr>
          <w:b/>
          <w:color w:val="808080"/>
        </w:rPr>
        <w:t>[</w:t>
      </w:r>
      <w:r>
        <w:rPr/>
        <w:t>Von</w:t>
      </w:r>
      <w:r>
        <w:rPr>
          <w:b/>
          <w:color w:val="808080"/>
        </w:rPr>
        <w:t>]</w:t>
      </w:r>
      <w:r>
        <w:rPr/>
        <w:t xml:space="preserve"> Fluch ist sein Mund voll und </w:t>
      </w:r>
      <w:r>
        <w:rPr>
          <w:b/>
          <w:color w:val="808080"/>
        </w:rPr>
        <w:t>[</w:t>
      </w:r>
      <w:r>
        <w:rPr/>
        <w:t>von</w:t>
      </w:r>
      <w:r>
        <w:rPr>
          <w:b/>
          <w:color w:val="808080"/>
        </w:rPr>
        <w:t>]</w:t>
      </w:r>
      <w:r>
        <w:rPr/>
        <w:t xml:space="preserve"> List und Gewalttätigkeit,Unter seiner Zunge</w:t>
      </w:r>
      <w:r>
        <w:rPr>
          <w:rStyle w:val="Funotenanker"/>
        </w:rPr>
        <w:footnoteReference w:customMarkFollows="1" w:id="1746"/>
        <w:t>u</w:t>
      </w:r>
      <w:r>
        <w:rPr/>
        <w:t xml:space="preserve"> </w:t>
      </w:r>
      <w:r>
        <w:rPr>
          <w:b/>
          <w:color w:val="808080"/>
        </w:rPr>
        <w:t>[</w:t>
      </w:r>
      <w:r>
        <w:rPr/>
        <w:t>ist</w:t>
      </w:r>
      <w:r>
        <w:rPr>
          <w:b/>
          <w:color w:val="808080"/>
        </w:rPr>
        <w:t>]</w:t>
      </w:r>
      <w:r>
        <w:rPr/>
        <w:t xml:space="preserve"> Mühsal und Unheil.</w:t>
        <w:br/>
        <w:t xml:space="preserve">{{field-off:bible}} </w:t>
        <w:br/>
        <w:t>[[@BibleTOBIBLE:Ps 10:8]]</w:t>
      </w:r>
      <w:r>
        <w:rPr>
          <w:b/>
        </w:rPr>
        <w:t>8</w:t>
      </w:r>
      <w:r>
        <w:rPr/>
        <w:t xml:space="preserve"> {{field-on:bible}} </w:t>
        <w:br/>
        <w:t>Er sitzt im Hinterhalt in Dörfern,</w:t>
      </w:r>
      <w:r>
        <w:rPr>
          <w:rStyle w:val="Funotenanker"/>
        </w:rPr>
        <w:footnoteReference w:customMarkFollows="1" w:id="1747"/>
        <w:t>v</w:t>
      </w:r>
      <w:r>
        <w:rPr/>
        <w:t xml:space="preserve">Um insgeheim Unschuldige </w:t>
      </w:r>
      <w:r>
        <w:rPr>
          <w:color w:val="808080"/>
        </w:rPr>
        <w:t>(Wehrlose)</w:t>
      </w:r>
      <w:r>
        <w:rPr/>
        <w:t xml:space="preserve"> zu ermorden </w:t>
      </w:r>
      <w:r>
        <w:rPr>
          <w:color w:val="808080"/>
        </w:rPr>
        <w:t>(wird ... morden)</w:t>
      </w:r>
      <w:r>
        <w:rPr/>
        <w:t>.</w:t>
        <w:br/>
      </w:r>
      <w:r>
        <w:rPr>
          <w:b/>
          <w:color w:val="808080"/>
        </w:rPr>
        <w:t>[</w:t>
      </w:r>
      <w:r>
        <w:rPr/>
        <w:t>'''Q'''</w:t>
      </w:r>
      <w:r>
        <w:rPr>
          <w:b/>
          <w:color w:val="808080"/>
        </w:rPr>
        <w:t>]</w:t>
      </w:r>
      <w:r>
        <w:rPr/>
        <w:t xml:space="preserve"> Seine Augen spähen nach dem Verfolgten</w:t>
      </w:r>
      <w:r>
        <w:rPr>
          <w:rStyle w:val="Funotenanker"/>
        </w:rPr>
        <w:footnoteReference w:customMarkFollows="1" w:id="1748"/>
        <w:t>w</w:t>
      </w:r>
      <w:r>
        <w:rPr/>
        <w:t xml:space="preserve"> </w:t>
        <w:br/>
        <w:t xml:space="preserve">{{field-off:bible}} </w:t>
        <w:br/>
        <w:t>[[@BibleTOBIBLE:Ps 10:9]]</w:t>
      </w:r>
      <w:r>
        <w:rPr>
          <w:b/>
        </w:rPr>
        <w:t>9</w:t>
      </w:r>
      <w:r>
        <w:rPr/>
        <w:t xml:space="preserve"> {{field-on:bible}} </w:t>
        <w:br/>
        <w:t xml:space="preserve">Er lauert in </w:t>
      </w:r>
      <w:r>
        <w:rPr>
          <w:b/>
          <w:color w:val="808080"/>
        </w:rPr>
        <w:t>[</w:t>
      </w:r>
      <w:r>
        <w:rPr/>
        <w:t>seinem</w:t>
      </w:r>
      <w:r>
        <w:rPr>
          <w:b/>
          <w:color w:val="808080"/>
        </w:rPr>
        <w:t>]</w:t>
      </w:r>
      <w:r>
        <w:rPr/>
        <w:t xml:space="preserve"> Versteck wie ein Löwe in einer Höhle - </w:t>
        <w:br/>
        <w:t xml:space="preserve">Er lauert, um den Elenden zu fassen,Fasst den Elenden, indem er ihn in sein </w:t>
      </w:r>
      <w:r>
        <w:rPr>
          <w:color w:val="808080"/>
        </w:rPr>
        <w:t>(mit seinem)</w:t>
      </w:r>
      <w:r>
        <w:rPr/>
        <w:t xml:space="preserve"> Netz zieht.</w:t>
      </w:r>
      <w:r>
        <w:rPr>
          <w:rStyle w:val="Funotenanker"/>
        </w:rPr>
        <w:footnoteReference w:customMarkFollows="1" w:id="1749"/>
        <w:t>x</w:t>
      </w:r>
      <w:r>
        <w:rPr/>
        <w:t xml:space="preserve"> </w:t>
        <w:br/>
        <w:t xml:space="preserve">{{field-off:bible}} </w:t>
        <w:br/>
        <w:t>[[@BibleTOBIBLE:Ps 10:10]]</w:t>
      </w:r>
      <w:r>
        <w:rPr>
          <w:b/>
        </w:rPr>
        <w:t>10</w:t>
      </w:r>
      <w:r>
        <w:rPr/>
        <w:t xml:space="preserve"> {{field-on:bible}} </w:t>
        <w:br/>
        <w:t xml:space="preserve">Der bricht zusammen, sinkt niederUnd fällt in die Klauen </w:t>
      </w:r>
      <w:r>
        <w:rPr>
          <w:color w:val="808080"/>
        </w:rPr>
        <w:t>(durch die Macht)</w:t>
      </w:r>
      <w:r>
        <w:rPr/>
        <w:t xml:space="preserve"> </w:t>
      </w:r>
      <w:r>
        <w:rPr>
          <w:b/>
          <w:color w:val="808080"/>
        </w:rPr>
        <w:t>[</w:t>
      </w:r>
      <w:r>
        <w:rPr/>
        <w:t>der</w:t>
      </w:r>
      <w:r>
        <w:rPr>
          <w:b/>
          <w:color w:val="808080"/>
        </w:rPr>
        <w:t>]</w:t>
      </w:r>
      <w:r>
        <w:rPr/>
        <w:t xml:space="preserve"> Verfolger.</w:t>
      </w:r>
      <w:r>
        <w:rPr>
          <w:rStyle w:val="Funotenanker"/>
        </w:rPr>
        <w:footnoteReference w:customMarkFollows="1" w:id="1750"/>
        <w:t>y</w:t>
      </w:r>
      <w:r>
        <w:rPr/>
        <w:t xml:space="preserve"> </w:t>
        <w:br/>
        <w:t xml:space="preserve">{{field-off:bible}} </w:t>
        <w:br/>
        <w:t>[[@BibleTOBIBLE:Ps 10:11]]</w:t>
      </w:r>
      <w:r>
        <w:rPr>
          <w:b/>
        </w:rPr>
        <w:t>11</w:t>
      </w:r>
      <w:r>
        <w:rPr/>
        <w:t xml:space="preserve"> {{field-on:bible}} </w:t>
        <w:br/>
        <w:t xml:space="preserve">Er spricht in seinem Herzen </w:t>
      </w:r>
      <w:r>
        <w:rPr>
          <w:color w:val="808080"/>
        </w:rPr>
        <w:t>(zu sich)</w:t>
      </w:r>
      <w:r>
        <w:rPr/>
        <w:t>: „Gott vergisst,</w:t>
      </w:r>
      <w:r>
        <w:rPr>
          <w:rStyle w:val="Funotenanker"/>
        </w:rPr>
        <w:footnoteReference w:customMarkFollows="1" w:id="1751"/>
        <w:t>z</w:t>
      </w:r>
      <w:r>
        <w:rPr/>
        <w:t>Verbirgt sein Gesicht,</w:t>
      </w:r>
      <w:r>
        <w:rPr>
          <w:rStyle w:val="Funotenanker"/>
        </w:rPr>
        <w:footnoteReference w:customMarkFollows="1" w:id="1752"/>
        <w:t>aa</w:t>
      </w:r>
      <w:r>
        <w:rPr/>
        <w:t xml:space="preserve"> Sieht nicht auf immer!“</w:t>
      </w:r>
      <w:r>
        <w:rPr>
          <w:rStyle w:val="Funotenanker"/>
        </w:rPr>
        <w:footnoteReference w:customMarkFollows="1" w:id="1753"/>
        <w:t>ab</w:t>
      </w:r>
      <w:r>
        <w:rPr/>
        <w:t xml:space="preserve"> </w:t>
        <w:br/>
        <w:br/>
        <w:t xml:space="preserve">{{field-off:bible}} </w:t>
        <w:br/>
        <w:t>[[@BibleTOBIBLE:Ps 10:12]]</w:t>
      </w:r>
      <w:r>
        <w:rPr>
          <w:b/>
        </w:rPr>
        <w:t>12</w:t>
      </w:r>
      <w:r>
        <w:rPr/>
        <w:t xml:space="preserve"> {{field-on:bible}} </w:t>
        <w:br/>
      </w:r>
      <w:r>
        <w:rPr>
          <w:b/>
          <w:color w:val="808080"/>
        </w:rPr>
        <w:t>[</w:t>
      </w:r>
      <w:r>
        <w:rPr/>
        <w:t>'''S'''</w:t>
      </w:r>
      <w:r>
        <w:rPr>
          <w:b/>
          <w:color w:val="808080"/>
        </w:rPr>
        <w:t>]</w:t>
      </w:r>
      <w:r>
        <w:rPr/>
        <w:t xml:space="preserve"> Steh auf, </w:t>
      </w:r>
      <w:r>
        <w:rPr>
          <w:smallCaps/>
          <w:color w:val="FF0000"/>
        </w:rPr>
        <w:t>JHWH</w:t>
      </w:r>
      <w:r>
        <w:rPr/>
        <w:t xml:space="preserve">! Mein Gott </w:t>
      </w:r>
      <w:r>
        <w:rPr>
          <w:color w:val="808080"/>
        </w:rPr>
        <w:t>(Gott)</w:t>
      </w:r>
      <w:r>
        <w:rPr/>
        <w:t>,</w:t>
      </w:r>
      <w:r>
        <w:rPr>
          <w:rStyle w:val="Funotenanker"/>
        </w:rPr>
        <w:footnoteReference w:customMarkFollows="1" w:id="1754"/>
        <w:t>ac</w:t>
      </w:r>
      <w:r>
        <w:rPr/>
        <w:t xml:space="preserve"> heb deine Hand!Vergiss die Elenden </w:t>
      </w:r>
      <w:r>
        <w:rPr>
          <w:b/>
          <w:color w:val="808080"/>
        </w:rPr>
        <w:t>[</w:t>
      </w:r>
      <w:r>
        <w:rPr/>
        <w:t>doch</w:t>
      </w:r>
      <w:r>
        <w:rPr>
          <w:b/>
          <w:color w:val="808080"/>
        </w:rPr>
        <w:t>]</w:t>
      </w:r>
      <w:r>
        <w:rPr/>
        <w:t xml:space="preserve"> nicht!</w:t>
        <w:br/>
        <w:t xml:space="preserve">{{field-off:bible}} </w:t>
        <w:br/>
        <w:t>[[@BibleTOBIBLE:Ps 10:13]]</w:t>
      </w:r>
      <w:r>
        <w:rPr>
          <w:b/>
        </w:rPr>
        <w:t>13</w:t>
      </w:r>
      <w:r>
        <w:rPr/>
        <w:t xml:space="preserve"> {{field-on:bible}} </w:t>
        <w:br/>
        <w:t xml:space="preserve">Warum verachtet der Schlechte Gott,sagt in seinem Herzen </w:t>
      </w:r>
      <w:r>
        <w:rPr>
          <w:color w:val="808080"/>
        </w:rPr>
        <w:t>(sagt sich)</w:t>
      </w:r>
      <w:r>
        <w:rPr/>
        <w:t>: „Er sucht nicht!“?</w:t>
        <w:br/>
        <w:t xml:space="preserve">{{field-off:bible}} </w:t>
        <w:br/>
        <w:t>[[@BibleTOBIBLE:Ps 10:14]]</w:t>
      </w:r>
      <w:r>
        <w:rPr>
          <w:b/>
        </w:rPr>
        <w:t>14</w:t>
      </w:r>
      <w:r>
        <w:rPr/>
        <w:t xml:space="preserve"> {{field-on:bible}} </w:t>
        <w:br/>
      </w:r>
      <w:r>
        <w:rPr>
          <w:b/>
          <w:color w:val="808080"/>
        </w:rPr>
        <w:t>[</w:t>
      </w:r>
      <w:r>
        <w:rPr/>
        <w:t>'''T'''</w:t>
      </w:r>
      <w:r>
        <w:rPr>
          <w:b/>
          <w:color w:val="808080"/>
        </w:rPr>
        <w:t>]</w:t>
      </w:r>
      <w:r>
        <w:rPr/>
        <w:t xml:space="preserve">Du siehst </w:t>
      </w:r>
      <w:r>
        <w:rPr>
          <w:b/>
          <w:color w:val="808080"/>
        </w:rPr>
        <w:t>[</w:t>
      </w:r>
      <w:r>
        <w:rPr/>
        <w:t>doch</w:t>
      </w:r>
      <w:r>
        <w:rPr>
          <w:b/>
          <w:color w:val="808080"/>
        </w:rPr>
        <w:t>]</w:t>
      </w:r>
      <w:r>
        <w:rPr/>
        <w:t xml:space="preserve">, ach!, du!, Mühsal und Leid.Untersuche </w:t>
      </w:r>
      <w:r>
        <w:rPr>
          <w:b/>
          <w:color w:val="808080"/>
        </w:rPr>
        <w:t>[</w:t>
      </w:r>
      <w:r>
        <w:rPr/>
        <w:t>es</w:t>
      </w:r>
      <w:r>
        <w:rPr>
          <w:b/>
          <w:color w:val="808080"/>
        </w:rPr>
        <w:t>]</w:t>
      </w:r>
      <w:r>
        <w:rPr/>
        <w:t xml:space="preserve">, um </w:t>
      </w:r>
      <w:r>
        <w:rPr>
          <w:color w:val="808080"/>
        </w:rPr>
        <w:t>(indem, so dass)</w:t>
      </w:r>
      <w:r>
        <w:rPr/>
        <w:t xml:space="preserve"> zu geben </w:t>
      </w:r>
      <w:r>
        <w:rPr>
          <w:color w:val="808080"/>
        </w:rPr>
        <w:t>(man gibt, gegeben wird)</w:t>
      </w:r>
      <w:r>
        <w:rPr/>
        <w:t xml:space="preserve"> </w:t>
      </w:r>
      <w:r>
        <w:rPr>
          <w:b/>
          <w:color w:val="808080"/>
        </w:rPr>
        <w:t>[</w:t>
      </w:r>
      <w:r>
        <w:rPr/>
        <w:t xml:space="preserve">es </w:t>
      </w:r>
      <w:r>
        <w:rPr>
          <w:color w:val="808080"/>
        </w:rPr>
        <w:t>(ihn)</w:t>
      </w:r>
      <w:r>
        <w:rPr>
          <w:b/>
          <w:color w:val="808080"/>
        </w:rPr>
        <w:t>]</w:t>
      </w:r>
      <w:r>
        <w:rPr/>
        <w:t xml:space="preserve"> in deine </w:t>
      </w:r>
      <w:r>
        <w:rPr>
          <w:color w:val="808080"/>
        </w:rPr>
        <w:t>(mit deiner, aus deiner)</w:t>
      </w:r>
      <w:r>
        <w:rPr/>
        <w:t xml:space="preserve"> Hand.</w:t>
      </w:r>
      <w:r>
        <w:rPr>
          <w:rStyle w:val="Funotenanker"/>
        </w:rPr>
        <w:footnoteReference w:customMarkFollows="1" w:id="1755"/>
        <w:t>ad</w:t>
      </w:r>
      <w:r>
        <w:rPr/>
        <w:t xml:space="preserve"> </w:t>
        <w:br/>
        <w:t xml:space="preserve">Auf dich kann sich verlassen </w:t>
      </w:r>
      <w:r>
        <w:rPr>
          <w:color w:val="808080"/>
        </w:rPr>
        <w:t>(wird sich verlassen, wird sich/es dir überlassen)</w:t>
      </w:r>
      <w:r>
        <w:rPr/>
        <w:t xml:space="preserve"> der Verfolgte,</w:t>
      </w:r>
      <w:r>
        <w:rPr>
          <w:b/>
          <w:color w:val="808080"/>
        </w:rPr>
        <w:t>[</w:t>
      </w:r>
      <w:r>
        <w:rPr/>
        <w:t>Weil</w:t>
      </w:r>
      <w:r>
        <w:rPr>
          <w:b/>
          <w:color w:val="808080"/>
        </w:rPr>
        <w:t>]</w:t>
      </w:r>
      <w:r>
        <w:rPr/>
        <w:t xml:space="preserve"> der Helfer der Waise du bist.</w:t>
      </w:r>
      <w:r>
        <w:rPr>
          <w:rStyle w:val="Funotenanker"/>
        </w:rPr>
        <w:footnoteReference w:customMarkFollows="1" w:id="1756"/>
        <w:t>ae</w:t>
      </w:r>
      <w:r>
        <w:rPr/>
        <w:t xml:space="preserve"> </w:t>
        <w:br/>
        <w:t xml:space="preserve">{{field-off:bible}} </w:t>
        <w:br/>
        <w:t>[[@BibleTOBIBLE:Ps 10:15]]</w:t>
      </w:r>
      <w:r>
        <w:rPr>
          <w:b/>
        </w:rPr>
        <w:t>15</w:t>
      </w:r>
      <w:r>
        <w:rPr/>
        <w:t xml:space="preserve"> {{field-on:bible}} </w:t>
        <w:br/>
      </w:r>
      <w:r>
        <w:rPr>
          <w:b/>
          <w:color w:val="808080"/>
        </w:rPr>
        <w:t>[</w:t>
      </w:r>
      <w:r>
        <w:rPr/>
        <w:t>'''U'''</w:t>
      </w:r>
      <w:r>
        <w:rPr>
          <w:b/>
          <w:color w:val="808080"/>
        </w:rPr>
        <w:t>]</w:t>
      </w:r>
      <w:r>
        <w:rPr/>
        <w:t xml:space="preserve"> Zerbrich den Arm des Schlechten und des Bösen!Suche</w:t>
      </w:r>
      <w:r>
        <w:rPr>
          <w:rStyle w:val="Funotenanker"/>
        </w:rPr>
        <w:footnoteReference w:customMarkFollows="1" w:id="1757"/>
        <w:t>af</w:t>
      </w:r>
      <w:r>
        <w:rPr/>
        <w:t xml:space="preserve"> sein</w:t>
      </w:r>
      <w:r>
        <w:rPr>
          <w:rStyle w:val="Funotenanker"/>
        </w:rPr>
        <w:footnoteReference w:customMarkFollows="1" w:id="1758"/>
        <w:t>ag</w:t>
      </w:r>
      <w:r>
        <w:rPr/>
        <w:t xml:space="preserve"> Böses </w:t>
      </w:r>
      <w:r>
        <w:rPr>
          <w:color w:val="808080"/>
        </w:rPr>
        <w:t>(Unrecht)</w:t>
      </w:r>
      <w:r>
        <w:rPr/>
        <w:t xml:space="preserve">, </w:t>
      </w:r>
      <w:r>
        <w:rPr>
          <w:b/>
          <w:color w:val="808080"/>
        </w:rPr>
        <w:t>[</w:t>
      </w:r>
      <w:r>
        <w:rPr/>
        <w:t xml:space="preserve">bis </w:t>
      </w:r>
      <w:r>
        <w:rPr>
          <w:color w:val="808080"/>
        </w:rPr>
        <w:t>(so dass)</w:t>
      </w:r>
      <w:r>
        <w:rPr>
          <w:b/>
          <w:color w:val="808080"/>
        </w:rPr>
        <w:t>]</w:t>
      </w:r>
      <w:r>
        <w:rPr/>
        <w:t xml:space="preserve"> du </w:t>
      </w:r>
      <w:r>
        <w:rPr>
          <w:b/>
          <w:color w:val="808080"/>
        </w:rPr>
        <w:t>[</w:t>
      </w:r>
      <w:r>
        <w:rPr/>
        <w:t xml:space="preserve">ihn </w:t>
      </w:r>
      <w:r>
        <w:rPr>
          <w:color w:val="808080"/>
        </w:rPr>
        <w:t>(es)</w:t>
      </w:r>
      <w:r>
        <w:rPr>
          <w:b/>
          <w:color w:val="808080"/>
        </w:rPr>
        <w:t>]</w:t>
      </w:r>
      <w:r>
        <w:rPr/>
        <w:t xml:space="preserve"> nicht mehr findest </w:t>
      </w:r>
      <w:r>
        <w:rPr>
          <w:color w:val="808080"/>
        </w:rPr>
        <w:t>(Sucht man sein Böses, sei es nicht mehr zu finden! Wenn er nach seinem Bösen greift, soll er es nicht finden)</w:t>
      </w:r>
      <w:r>
        <w:rPr/>
        <w:t>!</w:t>
      </w:r>
      <w:r>
        <w:rPr>
          <w:rStyle w:val="Funotenanker"/>
        </w:rPr>
        <w:footnoteReference w:customMarkFollows="1" w:id="1759"/>
        <w:t>ah</w:t>
      </w:r>
      <w:r>
        <w:rPr/>
        <w:t xml:space="preserve"> </w:t>
        <w:br/>
        <w:t xml:space="preserve">{{field-off:bible}} </w:t>
        <w:br/>
        <w:t>[[@BibleTOBIBLE:Ps 10:16]]</w:t>
      </w:r>
      <w:r>
        <w:rPr>
          <w:b/>
        </w:rPr>
        <w:t>16</w:t>
      </w:r>
      <w:r>
        <w:rPr/>
        <w:t xml:space="preserve"> {{field-on:bible}} </w:t>
        <w:br/>
      </w:r>
      <w:r>
        <w:rPr>
          <w:b/>
          <w:color w:val="808080"/>
        </w:rPr>
        <w:t>[</w:t>
      </w:r>
      <w:r>
        <w:rPr/>
        <w:t>Weil</w:t>
      </w:r>
      <w:r>
        <w:rPr>
          <w:b/>
          <w:color w:val="808080"/>
        </w:rPr>
        <w:t>]</w:t>
      </w:r>
      <w:r>
        <w:rPr/>
        <w:t xml:space="preserve"> </w:t>
      </w:r>
      <w:r>
        <w:rPr>
          <w:smallCaps/>
          <w:color w:val="FF0000"/>
        </w:rPr>
        <w:t>JHWH</w:t>
      </w:r>
      <w:r>
        <w:rPr/>
        <w:t xml:space="preserve"> König auf immer und </w:t>
      </w:r>
      <w:r>
        <w:rPr>
          <w:b/>
          <w:color w:val="808080"/>
        </w:rPr>
        <w:t>[</w:t>
      </w:r>
      <w:r>
        <w:rPr/>
        <w:t>für alle</w:t>
      </w:r>
      <w:r>
        <w:rPr>
          <w:b/>
          <w:color w:val="808080"/>
        </w:rPr>
        <w:t>]</w:t>
      </w:r>
      <w:r>
        <w:rPr/>
        <w:t xml:space="preserve"> Zeit </w:t>
      </w:r>
      <w:r>
        <w:rPr>
          <w:b/>
          <w:color w:val="808080"/>
        </w:rPr>
        <w:t>[</w:t>
      </w:r>
      <w:r>
        <w:rPr/>
        <w:t>ist</w:t>
      </w:r>
      <w:r>
        <w:rPr>
          <w:b/>
          <w:color w:val="808080"/>
        </w:rPr>
        <w:t>]</w:t>
      </w:r>
      <w:r>
        <w:rPr/>
        <w:t>,Verderben Nationen</w:t>
      </w:r>
      <w:r>
        <w:rPr>
          <w:rStyle w:val="Funotenanker"/>
        </w:rPr>
        <w:footnoteReference w:customMarkFollows="1" w:id="1760"/>
        <w:t>ai</w:t>
      </w:r>
      <w:r>
        <w:rPr/>
        <w:t xml:space="preserve"> aus seinem Land </w:t>
      </w:r>
      <w:r>
        <w:rPr>
          <w:color w:val="808080"/>
        </w:rPr>
        <w:t>(seiner Erde)</w:t>
      </w:r>
      <w:r>
        <w:rPr/>
        <w:t>.</w:t>
        <w:br/>
        <w:t xml:space="preserve">{{field-off:bible}} </w:t>
        <w:br/>
        <w:t>[[@BibleTOBIBLE:Ps 10:17]]</w:t>
      </w:r>
      <w:r>
        <w:rPr>
          <w:b/>
        </w:rPr>
        <w:t>17</w:t>
      </w:r>
      <w:r>
        <w:rPr/>
        <w:t xml:space="preserve"> {{field-on:bible}} </w:t>
        <w:br/>
      </w:r>
      <w:r>
        <w:rPr>
          <w:b/>
          <w:color w:val="808080"/>
        </w:rPr>
        <w:t>[</w:t>
      </w:r>
      <w:r>
        <w:rPr/>
        <w:t>'''V'''</w:t>
      </w:r>
      <w:r>
        <w:rPr>
          <w:b/>
          <w:color w:val="808080"/>
        </w:rPr>
        <w:t>]</w:t>
      </w:r>
      <w:r>
        <w:rPr/>
        <w:t xml:space="preserve"> Du hörst das Verlangen der Elenden, </w:t>
      </w:r>
      <w:r>
        <w:rPr>
          <w:smallCaps/>
          <w:color w:val="FF0000"/>
        </w:rPr>
        <w:t>JHWH</w:t>
      </w:r>
      <w:r>
        <w:rPr/>
        <w:t xml:space="preserve">.Auf die Ausrichtung ihres Herzens </w:t>
      </w:r>
      <w:r>
        <w:rPr>
          <w:color w:val="808080"/>
        </w:rPr>
        <w:t>(richte ihr Herz aus, richte ihr Herz auf?)</w:t>
      </w:r>
      <w:r>
        <w:rPr/>
        <w:t xml:space="preserve"> </w:t>
      </w:r>
      <w:r>
        <w:rPr>
          <w:rStyle w:val="Funotenanker"/>
        </w:rPr>
        <w:footnoteReference w:customMarkFollows="1" w:id="1761"/>
        <w:t>aj</w:t>
      </w:r>
      <w:r>
        <w:rPr/>
        <w:t xml:space="preserve"> lass </w:t>
      </w:r>
      <w:r>
        <w:rPr>
          <w:color w:val="808080"/>
        </w:rPr>
        <w:t>(du wirst, es soll/wird)</w:t>
      </w:r>
      <w:r>
        <w:rPr/>
        <w:t xml:space="preserve"> horchen dein Ohr,</w:t>
        <w:br/>
        <w:t xml:space="preserve">{{field-off:bible}} </w:t>
        <w:br/>
        <w:t>[[@BibleTOBIBLE:Ps 10:18]]</w:t>
      </w:r>
      <w:r>
        <w:rPr>
          <w:b/>
        </w:rPr>
        <w:t>18</w:t>
      </w:r>
      <w:r>
        <w:rPr/>
        <w:t xml:space="preserve"> {{field-on:bible}} </w:t>
        <w:br/>
        <w:t xml:space="preserve">um Recht zu schaffen </w:t>
      </w:r>
      <w:r>
        <w:rPr>
          <w:color w:val="808080"/>
        </w:rPr>
        <w:t>(indem du Recht schaffst)</w:t>
      </w:r>
      <w:r>
        <w:rPr/>
        <w:t xml:space="preserve"> der Waise und dem Unterdrückten:Es soll nicht weiterhin so weitergehen, dass ein Menschlein aus Erde</w:t>
      </w:r>
      <w:r>
        <w:rPr>
          <w:rStyle w:val="Funotenanker"/>
        </w:rPr>
        <w:footnoteReference w:customMarkFollows="1" w:id="1762"/>
        <w:t>ak</w:t>
      </w:r>
      <w:r>
        <w:rPr/>
        <w:t xml:space="preserve"> Schrecken verbreitet </w:t>
      </w:r>
      <w:r>
        <w:rPr>
          <w:color w:val="808080"/>
        </w:rPr>
        <w:t>(Menschlein aus dem Land herausgeschreckt werden)</w:t>
      </w:r>
      <w:r>
        <w:rPr/>
        <w:t>.</w:t>
        <w:br/>
        <w:t xml:space="preserve">{{field-off:bible}} </w:t>
      </w:r>
    </w:p>
    <w:p>
      <w:pPr>
        <w:pStyle w:val="Berschrift3"/>
        <w:rPr/>
      </w:pPr>
      <w:r>
        <w:rPr/>
        <w:t>[[@BibleTOBIBLE:Ps 11]]Kapitel 11</w:t>
      </w:r>
    </w:p>
    <w:p>
      <w:pPr>
        <w:pStyle w:val="Textkrper"/>
        <w:rPr/>
      </w:pPr>
      <w:r>
        <w:rPr/>
        <w:t xml:space="preserve">Psalm 11 ist ein Vertrauenspsalm in der Form eines fingierten Streitgesprächs zwischen dem Sprecher und den Feinden der </w:t>
      </w:r>
      <w:r>
        <w:rPr>
          <w:rStyle w:val="Funotenanker"/>
        </w:rPr>
        <w:footnoteReference w:customMarkFollows="1" w:id="1763"/>
        <w:t>a</w:t>
      </w:r>
      <w:r>
        <w:rPr/>
        <w:t xml:space="preserve">-Gläubigen (vgl. v.a. Mannati 1979). Ziel des Psalms ist es, über diese Form die in Vv. 4-7 dargelegte Lehre über das Wesen Gottes, sein Verhältnis zu „Aufrechten“ (=zu den rechtgläubigen Israeliten) und „Bösen“ und die daraus resultierende angemessene Haltung eines Rechtgläubigen gerade auch in Notsituationen zu entwickeln (vgl. z.B. Croft 1997, S. 23). V. 1a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1b beginnt der eigentliche Psalm; gleich zur Eröffnung schlägt der Sprecher mit der einleitenden Vertrauenserklärung „Auf </w:t>
      </w:r>
      <w:r>
        <w:rPr>
          <w:rStyle w:val="Funotenanker"/>
        </w:rPr>
        <w:footnoteReference w:customMarkFollows="1" w:id="1764"/>
        <w:t>b</w:t>
      </w:r>
      <w:r>
        <w:rPr/>
        <w:t xml:space="preserve"> vertraue ich“ den Grundton des Psalms an. Kontrastiert wird diese Vertrauenshaltung in Vv. 1c-3 mit einer fingierten Anfrage von Feinden der </w:t>
      </w:r>
      <w:r>
        <w:rPr>
          <w:rStyle w:val="Funotenanker"/>
        </w:rPr>
        <w:footnoteReference w:customMarkFollows="1" w:id="1765"/>
        <w:t>c</w:t>
      </w:r>
      <w:r>
        <w:rPr/>
        <w:t xml:space="preserve">-Verehrer an den Sprecher. Im Hintergrund steht die Vorstellung, dass JHWH inmitten Israels auf dem Zionsberg in seinem Tempel thront und von dort aus seine Verehrer beschützt. Für diese Vorstellung wird der Psalmist in der Anfrage der „Bösen“ verhöhnt: „Flieht doch auf euren Berg! Die ‚Bösen‘ sind ja schon beinahe am Schießen auf die </w:t>
      </w:r>
      <w:r>
        <w:rPr>
          <w:rStyle w:val="Funotenanker"/>
        </w:rPr>
        <w:footnoteReference w:customMarkFollows="1" w:id="1766"/>
        <w:t>d</w:t>
      </w:r>
      <w:r>
        <w:rPr/>
        <w:t xml:space="preserve">-Gläubigen, sind ja schon beinahe an der gänzlichen Vernichtung ihrer Heimat. Wo bleibt denn der Schutz eures ‚Gerechten‘!?“ Doch dieser Hohn trifft den Sprecher nicht im Geringsten; wie eine Kampfansage kann er den Feinden in Vv. 4-7 sein Glaubensbekenntnis entgegenschmettern: </w:t>
      </w:r>
      <w:r>
        <w:rPr>
          <w:rStyle w:val="Funotenanker"/>
        </w:rPr>
        <w:footnoteReference w:customMarkFollows="1" w:id="1767"/>
        <w:t>e</w:t>
      </w:r>
      <w:r>
        <w:rPr/>
        <w:t xml:space="preserve">, der Himmelsgott, der in der Tat in seinem Tempel wohnt, sieht alles. Er kennt die Herzen der Menschen, und in der Tat: Seine Verehrer wird er beschützen, deren Feinde aber vernichten. </w:t>
        <w:br/>
        <w:br/>
        <w:t>[[@BibleTOBIBLE:Ps 11:1]]</w:t>
      </w:r>
      <w:r>
        <w:rPr>
          <w:b/>
        </w:rPr>
        <w:t>1</w:t>
      </w:r>
      <w:r>
        <w:rPr/>
        <w:t xml:space="preserve"> {{field-on:bible}} </w:t>
      </w:r>
      <w:r>
        <w:rPr>
          <w:rStyle w:val="Funotenanker"/>
        </w:rPr>
        <w:footnoteReference w:customMarkFollows="1" w:id="1768"/>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769"/>
        <w:t>f</w:t>
      </w:r>
      <w:r>
        <w:rPr/>
        <w:t xml:space="preserve"> ''Ein Psalm </w:t>
      </w:r>
      <w:r>
        <w:rPr>
          <w:color w:val="808080"/>
        </w:rPr>
        <w:t>(begleitetes Lied)</w:t>
      </w:r>
      <w:r>
        <w:rPr/>
        <w:t xml:space="preserve"> von </w:t>
      </w:r>
      <w:r>
        <w:rPr>
          <w:color w:val="808080"/>
        </w:rPr>
        <w:t>(für, über, nach Art von)</w:t>
      </w:r>
      <w:r>
        <w:rPr/>
        <w:t xml:space="preserve"> David.'' </w:t>
        <w:br/>
        <w:t xml:space="preserve">Auf </w:t>
      </w:r>
      <w:r>
        <w:rPr>
          <w:smallCaps/>
          <w:color w:val="FF0000"/>
        </w:rPr>
        <w:t>JHWH</w:t>
      </w:r>
      <w:r>
        <w:rPr/>
        <w:t xml:space="preserve"> vertraue ich </w:t>
      </w:r>
      <w:r>
        <w:rPr>
          <w:color w:val="808080"/>
        </w:rPr>
        <w:t xml:space="preserve">(zu </w:t>
      </w:r>
      <w:r>
        <w:rPr>
          <w:smallCaps/>
          <w:color w:val="FF0000"/>
        </w:rPr>
        <w:t>JHWH</w:t>
      </w:r>
      <w:r>
        <w:rPr>
          <w:color w:val="808080"/>
        </w:rPr>
        <w:t xml:space="preserve"> fliehe ich/bin ich geflohen)</w:t>
      </w:r>
      <w:r>
        <w:rPr/>
        <w:t xml:space="preserve">.Wie </w:t>
      </w:r>
      <w:r>
        <w:rPr>
          <w:b/>
          <w:color w:val="808080"/>
        </w:rPr>
        <w:t>[</w:t>
      </w:r>
      <w:r>
        <w:rPr/>
        <w:t>könnt</w:t>
      </w:r>
      <w:r>
        <w:rPr>
          <w:b/>
          <w:color w:val="808080"/>
        </w:rPr>
        <w:t>]</w:t>
      </w:r>
      <w:r>
        <w:rPr/>
        <w:t xml:space="preserve"> ihr</w:t>
      </w:r>
      <w:r>
        <w:rPr>
          <w:rStyle w:val="Funotenanker"/>
        </w:rPr>
        <w:footnoteReference w:customMarkFollows="1" w:id="1770"/>
        <w:t>g</w:t>
      </w:r>
      <w:r>
        <w:rPr/>
        <w:t xml:space="preserve"> </w:t>
      </w:r>
      <w:r>
        <w:rPr>
          <w:b/>
          <w:color w:val="808080"/>
        </w:rPr>
        <w:t>[</w:t>
      </w:r>
      <w:r>
        <w:rPr/>
        <w:t>da</w:t>
      </w:r>
      <w:r>
        <w:rPr>
          <w:b/>
          <w:color w:val="808080"/>
        </w:rPr>
        <w:t>]</w:t>
      </w:r>
      <w:r>
        <w:rPr/>
        <w:t xml:space="preserve"> zu mir </w:t>
      </w:r>
      <w:r>
        <w:rPr>
          <w:color w:val="808080"/>
        </w:rPr>
        <w:t>(zu meiner Seele)</w:t>
      </w:r>
      <w:r>
        <w:rPr/>
        <w:t xml:space="preserve"> </w:t>
      </w:r>
      <w:r>
        <w:rPr>
          <w:rStyle w:val="Funotenanker"/>
        </w:rPr>
        <w:footnoteReference w:customMarkFollows="1" w:id="1771"/>
        <w:t>h</w:t>
      </w:r>
      <w:r>
        <w:rPr/>
        <w:t xml:space="preserve"> sagen:</w:t>
      </w:r>
      <w:r>
        <w:rPr>
          <w:rStyle w:val="Funotenanker"/>
        </w:rPr>
        <w:footnoteReference w:customMarkFollows="1" w:id="1772"/>
        <w:t>i</w:t>
      </w:r>
      <w:r>
        <w:rPr/>
        <w:t xml:space="preserve"> </w:t>
        <w:br/>
        <w:t>„Flieht auf euren Berg</w:t>
      </w:r>
      <w:r>
        <w:rPr>
          <w:rStyle w:val="Funotenanker"/>
        </w:rPr>
        <w:footnoteReference w:customMarkFollows="1" w:id="1773"/>
        <w:t>j</w:t>
      </w:r>
      <w:r>
        <w:rPr/>
        <w:t xml:space="preserve"> </w:t>
      </w:r>
      <w:r>
        <w:rPr>
          <w:b/>
          <w:color w:val="808080"/>
        </w:rPr>
        <w:t>[</w:t>
      </w:r>
      <w:r>
        <w:rPr/>
        <w:t>wie</w:t>
      </w:r>
      <w:r>
        <w:rPr>
          <w:b/>
          <w:color w:val="808080"/>
        </w:rPr>
        <w:t>]</w:t>
      </w:r>
      <w:r>
        <w:rPr/>
        <w:t xml:space="preserve"> ein Vogel!</w:t>
      </w:r>
      <w:r>
        <w:rPr>
          <w:rStyle w:val="Funotenanker"/>
        </w:rPr>
        <w:footnoteReference w:customMarkFollows="1" w:id="1774"/>
        <w:t>k</w:t>
      </w:r>
      <w:r>
        <w:rPr/>
        <w:t xml:space="preserve"> </w:t>
      </w:r>
      <w:r>
        <w:rPr>
          <w:color w:val="808080"/>
        </w:rPr>
        <w:t>(</w:t>
      </w:r>
      <w:r>
        <w:rPr>
          <w:b/>
          <w:color w:val="808080"/>
        </w:rPr>
        <w:t>[</w:t>
      </w:r>
      <w:r>
        <w:rPr>
          <w:color w:val="808080"/>
        </w:rPr>
        <w:t>wie</w:t>
      </w:r>
      <w:r>
        <w:rPr>
          <w:b/>
          <w:color w:val="808080"/>
        </w:rPr>
        <w:t>]</w:t>
      </w:r>
      <w:r>
        <w:rPr>
          <w:color w:val="808080"/>
        </w:rPr>
        <w:t xml:space="preserve"> Vögel; flieh auf euren Berg, Vogel!, flieh/flieht ins Gebirge wie ein Vogel/wie Vögel!)</w:t>
      </w:r>
      <w:r>
        <w:rPr/>
        <w:t xml:space="preserve"> </w:t>
      </w:r>
      <w:r>
        <w:rPr>
          <w:rStyle w:val="Funotenanker"/>
        </w:rPr>
        <w:footnoteReference w:customMarkFollows="1" w:id="1775"/>
        <w:t>l</w:t>
      </w:r>
      <w:r>
        <w:rPr/>
        <w:t xml:space="preserve"> </w:t>
        <w:br/>
        <w:t xml:space="preserve">{{field-off:bible}} </w:t>
        <w:br/>
        <w:t>[[@BibleTOBIBLE:Ps 11:2]]</w:t>
      </w:r>
      <w:r>
        <w:rPr>
          <w:b/>
        </w:rPr>
        <w:t>2</w:t>
      </w:r>
      <w:r>
        <w:rPr/>
        <w:t xml:space="preserve"> {{field-on:bible}} </w:t>
        <w:br/>
        <w:t>Denn siehe,</w:t>
      </w:r>
      <w:r>
        <w:rPr>
          <w:rStyle w:val="Funotenanker"/>
        </w:rPr>
        <w:footnoteReference w:customMarkFollows="1" w:id="1776"/>
        <w:t>m</w:t>
      </w:r>
      <w:r>
        <w:rPr/>
        <w:t xml:space="preserve"> die Bösen wollen den Bogen spannen,</w:t>
        <w:br/>
        <w:t>Sie wollen den Pfeil auf die Sehne legen</w:t>
      </w:r>
      <w:r>
        <w:rPr>
          <w:rStyle w:val="Funotenanker"/>
        </w:rPr>
        <w:footnoteReference w:customMarkFollows="1" w:id="1777"/>
        <w:t>n</w:t>
      </w:r>
      <w:r>
        <w:rPr/>
        <w:t>Um im Dunkel</w:t>
      </w:r>
      <w:r>
        <w:rPr>
          <w:rStyle w:val="Funotenanker"/>
        </w:rPr>
        <w:footnoteReference w:customMarkFollows="1" w:id="1778"/>
        <w:t>o</w:t>
      </w:r>
      <w:r>
        <w:rPr/>
        <w:t xml:space="preserve"> auf die zu schießen, die aufrechten Herzens sind.</w:t>
        <w:br/>
        <w:t xml:space="preserve">{{field-off:bible}} </w:t>
        <w:br/>
        <w:t>[[@BibleTOBIBLE:Ps 11:3]]</w:t>
      </w:r>
      <w:r>
        <w:rPr>
          <w:b/>
        </w:rPr>
        <w:t>3</w:t>
      </w:r>
      <w:r>
        <w:rPr/>
        <w:t xml:space="preserve"> {{field-on:bible}} </w:t>
        <w:br/>
        <w:t xml:space="preserve">Ja, </w:t>
      </w:r>
      <w:r>
        <w:rPr>
          <w:color w:val="808080"/>
        </w:rPr>
        <w:t>(denn)</w:t>
      </w:r>
      <w:r>
        <w:rPr/>
        <w:t xml:space="preserve"> </w:t>
      </w:r>
      <w:r>
        <w:rPr>
          <w:b/>
          <w:color w:val="808080"/>
        </w:rPr>
        <w:t>[</w:t>
      </w:r>
      <w:r>
        <w:rPr/>
        <w:t>selbst</w:t>
      </w:r>
      <w:r>
        <w:rPr>
          <w:b/>
          <w:color w:val="808080"/>
        </w:rPr>
        <w:t>]</w:t>
      </w:r>
      <w:r>
        <w:rPr/>
        <w:t xml:space="preserve"> die Fundamente</w:t>
      </w:r>
      <w:r>
        <w:rPr>
          <w:rStyle w:val="Funotenanker"/>
        </w:rPr>
        <w:footnoteReference w:customMarkFollows="1" w:id="1779"/>
        <w:t>p</w:t>
      </w:r>
      <w:r>
        <w:rPr/>
        <w:t xml:space="preserve"> sollen </w:t>
      </w:r>
      <w:r>
        <w:rPr>
          <w:color w:val="808080"/>
        </w:rPr>
        <w:t>(werden)</w:t>
      </w:r>
      <w:r>
        <w:rPr/>
        <w:t xml:space="preserve"> eingerissen werden - Was </w:t>
      </w:r>
      <w:r>
        <w:rPr>
          <w:b/>
          <w:color w:val="808080"/>
        </w:rPr>
        <w:t>[</w:t>
      </w:r>
      <w:r>
        <w:rPr/>
        <w:t>also</w:t>
      </w:r>
      <w:r>
        <w:rPr>
          <w:b/>
          <w:color w:val="808080"/>
        </w:rPr>
        <w:t>]</w:t>
      </w:r>
      <w:r>
        <w:rPr/>
        <w:t xml:space="preserve"> tut der Gerechte?“</w:t>
      </w:r>
      <w:r>
        <w:rPr>
          <w:rStyle w:val="Funotenanker"/>
        </w:rPr>
        <w:footnoteReference w:customMarkFollows="1" w:id="1780"/>
        <w:t>q</w:t>
      </w:r>
      <w:r>
        <w:rPr/>
        <w:t xml:space="preserve"> </w:t>
        <w:br/>
        <w:br/>
        <w:t xml:space="preserve">{{field-off:bible}} </w:t>
        <w:br/>
        <w:t>[[@BibleTOBIBLE:Ps 11:4]]</w:t>
      </w:r>
      <w:r>
        <w:rPr>
          <w:b/>
        </w:rPr>
        <w:t>4</w:t>
      </w:r>
      <w:r>
        <w:rPr/>
        <w:t xml:space="preserve"> {{field-on:bible}} </w:t>
        <w:br/>
      </w:r>
      <w:r>
        <w:rPr>
          <w:smallCaps/>
          <w:color w:val="FF0000"/>
        </w:rPr>
        <w:t>JHWH</w:t>
      </w:r>
      <w:r>
        <w:rPr/>
        <w:t xml:space="preserve">, </w:t>
      </w:r>
      <w:r>
        <w:rPr>
          <w:b/>
          <w:color w:val="808080"/>
        </w:rPr>
        <w:t>[</w:t>
      </w:r>
      <w:r>
        <w:rPr/>
        <w:t>der</w:t>
      </w:r>
      <w:r>
        <w:rPr>
          <w:b/>
          <w:color w:val="808080"/>
        </w:rPr>
        <w:t>]</w:t>
      </w:r>
      <w:r>
        <w:rPr/>
        <w:t xml:space="preserve"> in seinem heiligen Tempel </w:t>
      </w:r>
      <w:r>
        <w:rPr>
          <w:color w:val="808080"/>
        </w:rPr>
        <w:t>(Palast)</w:t>
      </w:r>
      <w:r>
        <w:rPr/>
        <w:t xml:space="preserve"> </w:t>
      </w:r>
      <w:r>
        <w:rPr>
          <w:b/>
          <w:color w:val="808080"/>
        </w:rPr>
        <w:t>[</w:t>
      </w:r>
      <w:r>
        <w:rPr/>
        <w:t>ist</w:t>
      </w:r>
      <w:r>
        <w:rPr>
          <w:b/>
          <w:color w:val="808080"/>
        </w:rPr>
        <w:t>]</w:t>
      </w:r>
      <w:r>
        <w:rPr/>
        <w:t xml:space="preserve">, </w:t>
      </w:r>
      <w:r>
        <w:rPr>
          <w:color w:val="808080"/>
        </w:rPr>
        <w:t>(</w:t>
      </w:r>
      <w:r>
        <w:rPr>
          <w:smallCaps/>
          <w:color w:val="FF0000"/>
        </w:rPr>
        <w:t>JHWH</w:t>
      </w:r>
      <w:r>
        <w:rPr>
          <w:color w:val="808080"/>
        </w:rPr>
        <w:t xml:space="preserve"> ist in seinem heiligen Tempel; ist JHWH in seinem heiligen Tempel?)</w:t>
      </w:r>
      <w:r>
        <w:rPr/>
        <w:t xml:space="preserve"> </w:t>
      </w:r>
      <w:r>
        <w:rPr>
          <w:smallCaps/>
          <w:color w:val="FF0000"/>
        </w:rPr>
        <w:t>JHWH</w:t>
      </w:r>
      <w:r>
        <w:rPr/>
        <w:t xml:space="preserve">, </w:t>
      </w:r>
      <w:r>
        <w:rPr>
          <w:b/>
          <w:color w:val="808080"/>
        </w:rPr>
        <w:t>[</w:t>
      </w:r>
      <w:r>
        <w:rPr/>
        <w:t>der</w:t>
      </w:r>
      <w:r>
        <w:rPr>
          <w:b/>
          <w:color w:val="808080"/>
        </w:rPr>
        <w:t>]</w:t>
      </w:r>
      <w:r>
        <w:rPr/>
        <w:t xml:space="preserve"> im Himmel seinen Thron </w:t>
      </w:r>
      <w:r>
        <w:rPr>
          <w:b/>
          <w:color w:val="808080"/>
        </w:rPr>
        <w:t>[</w:t>
      </w:r>
      <w:r>
        <w:rPr/>
        <w:t>hat</w:t>
      </w:r>
      <w:r>
        <w:rPr>
          <w:b/>
          <w:color w:val="808080"/>
        </w:rPr>
        <w:t>]</w:t>
      </w:r>
      <w:r>
        <w:rPr/>
        <w:t xml:space="preserve"> </w:t>
      </w:r>
      <w:r>
        <w:rPr>
          <w:color w:val="808080"/>
        </w:rPr>
        <w:t>(</w:t>
      </w:r>
      <w:r>
        <w:rPr>
          <w:smallCaps/>
          <w:color w:val="FF0000"/>
        </w:rPr>
        <w:t>JHWH</w:t>
      </w:r>
      <w:r>
        <w:rPr>
          <w:color w:val="808080"/>
        </w:rPr>
        <w:t>s Thron ist im Himmel; ist JHWHs Thron im Himmel?)</w:t>
      </w:r>
      <w:r>
        <w:rPr/>
        <w:t xml:space="preserve"> -</w:t>
      </w:r>
      <w:r>
        <w:rPr>
          <w:rStyle w:val="Funotenanker"/>
        </w:rPr>
        <w:footnoteReference w:customMarkFollows="1" w:id="1781"/>
        <w:t>r</w:t>
      </w:r>
      <w:r>
        <w:rPr/>
        <w:t xml:space="preserve"> </w:t>
        <w:br/>
        <w:t>Seine Augen blicken,</w:t>
      </w:r>
      <w:r>
        <w:rPr>
          <w:rStyle w:val="Funotenanker"/>
        </w:rPr>
        <w:footnoteReference w:customMarkFollows="1" w:id="1782"/>
        <w:t>s</w:t>
      </w:r>
      <w:r>
        <w:rPr/>
        <w:t>Seine Augen</w:t>
      </w:r>
      <w:r>
        <w:rPr>
          <w:rStyle w:val="Funotenanker"/>
        </w:rPr>
        <w:footnoteReference w:customMarkFollows="1" w:id="1783"/>
        <w:t>t</w:t>
      </w:r>
      <w:r>
        <w:rPr/>
        <w:t xml:space="preserve"> prüfen die Menschensöhne.</w:t>
      </w:r>
      <w:r>
        <w:rPr>
          <w:rStyle w:val="Funotenanker"/>
        </w:rPr>
        <w:footnoteReference w:customMarkFollows="1" w:id="1784"/>
        <w:t>u</w:t>
      </w:r>
      <w:r>
        <w:rPr/>
        <w:t xml:space="preserve"> </w:t>
        <w:br/>
        <w:t xml:space="preserve">{{field-off:bible}} </w:t>
        <w:br/>
        <w:t>[[@BibleTOBIBLE:Ps 11:5]]</w:t>
      </w:r>
      <w:r>
        <w:rPr>
          <w:b/>
        </w:rPr>
        <w:t>5</w:t>
      </w:r>
      <w:r>
        <w:rPr/>
        <w:t xml:space="preserve"> {{field-on:bible}} </w:t>
        <w:br/>
      </w:r>
      <w:r>
        <w:rPr>
          <w:smallCaps/>
          <w:color w:val="FF0000"/>
        </w:rPr>
        <w:t>JHWH</w:t>
      </w:r>
      <w:r>
        <w:rPr/>
        <w:t xml:space="preserve">, der Gerechte, prüft. </w:t>
      </w:r>
      <w:r>
        <w:rPr>
          <w:color w:val="808080"/>
        </w:rPr>
        <w:t xml:space="preserve">(JHWH </w:t>
      </w:r>
      <w:r>
        <w:rPr>
          <w:b/>
          <w:color w:val="808080"/>
        </w:rPr>
        <w:t>[</w:t>
      </w:r>
      <w:r>
        <w:rPr>
          <w:color w:val="808080"/>
        </w:rPr>
        <w:t>ist</w:t>
      </w:r>
      <w:r>
        <w:rPr>
          <w:b/>
          <w:color w:val="808080"/>
        </w:rPr>
        <w:t>]</w:t>
      </w:r>
      <w:r>
        <w:rPr>
          <w:color w:val="808080"/>
        </w:rPr>
        <w:t xml:space="preserve"> gerecht. Er prüft.)</w:t>
      </w:r>
      <w:r>
        <w:rPr/>
        <w:t xml:space="preserve"> - Und den Bösen und den Gewalt Liebenden hasst er </w:t>
      </w:r>
      <w:r>
        <w:rPr>
          <w:color w:val="808080"/>
        </w:rPr>
        <w:t>(hasst seine Seele)</w:t>
      </w:r>
      <w:r>
        <w:rPr/>
        <w:t>.</w:t>
      </w:r>
      <w:r>
        <w:rPr>
          <w:rStyle w:val="Funotenanker"/>
        </w:rPr>
        <w:footnoteReference w:customMarkFollows="1" w:id="1785"/>
        <w:t>v</w:t>
      </w:r>
      <w:r>
        <w:rPr/>
        <w:t xml:space="preserve"> </w:t>
        <w:br/>
        <w:t xml:space="preserve">{{field-off:bible}} </w:t>
        <w:br/>
        <w:t>[[@BibleTOBIBLE:Ps 11:6]]</w:t>
      </w:r>
      <w:r>
        <w:rPr>
          <w:b/>
        </w:rPr>
        <w:t>6</w:t>
      </w:r>
      <w:r>
        <w:rPr/>
        <w:t xml:space="preserve"> {{field-on:bible}} </w:t>
        <w:br/>
        <w:t xml:space="preserve">Er wird </w:t>
      </w:r>
      <w:r>
        <w:rPr>
          <w:color w:val="808080"/>
        </w:rPr>
        <w:t>(soll)</w:t>
      </w:r>
      <w:r>
        <w:rPr/>
        <w:t xml:space="preserve"> </w:t>
      </w:r>
      <w:r>
        <w:rPr>
          <w:rStyle w:val="Funotenanker"/>
        </w:rPr>
        <w:footnoteReference w:customMarkFollows="1" w:id="1786"/>
        <w:t>w</w:t>
      </w:r>
      <w:r>
        <w:rPr/>
        <w:t xml:space="preserve"> regnen lassen auf </w:t>
      </w:r>
      <w:r>
        <w:rPr>
          <w:b/>
          <w:color w:val="808080"/>
        </w:rPr>
        <w:t>[</w:t>
      </w:r>
      <w:r>
        <w:rPr/>
        <w:t>die</w:t>
      </w:r>
      <w:r>
        <w:rPr>
          <w:b/>
          <w:color w:val="808080"/>
        </w:rPr>
        <w:t>]</w:t>
      </w:r>
      <w:r>
        <w:rPr/>
        <w:t xml:space="preserve"> Bösen Schlingen </w:t>
      </w:r>
      <w:r>
        <w:rPr>
          <w:color w:val="808080"/>
        </w:rPr>
        <w:t>(Kohle?)</w:t>
      </w:r>
      <w:r>
        <w:rPr/>
        <w:t>:</w:t>
      </w:r>
      <w:r>
        <w:rPr>
          <w:rStyle w:val="Funotenanker"/>
        </w:rPr>
        <w:footnoteReference w:customMarkFollows="1" w:id="1787"/>
        <w:t>x</w:t>
      </w:r>
      <w:r>
        <w:rPr/>
        <w:t>Feuer, Schwefel</w:t>
      </w:r>
      <w:r>
        <w:rPr>
          <w:rStyle w:val="Funotenanker"/>
        </w:rPr>
        <w:footnoteReference w:customMarkFollows="1" w:id="1788"/>
        <w:t>y</w:t>
      </w:r>
      <w:r>
        <w:rPr/>
        <w:t xml:space="preserve"> und gewaltiger </w:t>
      </w:r>
      <w:r>
        <w:rPr>
          <w:color w:val="808080"/>
        </w:rPr>
        <w:t>(glühender)</w:t>
      </w:r>
      <w:r>
        <w:rPr/>
        <w:t xml:space="preserve"> Wind </w:t>
      </w:r>
      <w:r>
        <w:rPr>
          <w:b/>
          <w:color w:val="808080"/>
        </w:rPr>
        <w:t>[</w:t>
      </w:r>
      <w:r>
        <w:rPr/>
        <w:t>ist</w:t>
      </w:r>
      <w:r>
        <w:rPr>
          <w:b/>
          <w:color w:val="808080"/>
        </w:rPr>
        <w:t>]</w:t>
      </w:r>
      <w:r>
        <w:rPr/>
        <w:t xml:space="preserve"> der Anteil ihres Bechers.</w:t>
      </w:r>
      <w:r>
        <w:rPr>
          <w:rStyle w:val="Funotenanker"/>
        </w:rPr>
        <w:footnoteReference w:customMarkFollows="1" w:id="1789"/>
        <w:t>z</w:t>
      </w:r>
      <w:r>
        <w:rPr/>
        <w:t xml:space="preserve"> </w:t>
        <w:br/>
        <w:t xml:space="preserve">{{field-off:bible}} </w:t>
        <w:br/>
        <w:t>[[@BibleTOBIBLE:Ps 11:7]]</w:t>
      </w:r>
      <w:r>
        <w:rPr>
          <w:b/>
        </w:rPr>
        <w:t>7</w:t>
      </w:r>
      <w:r>
        <w:rPr/>
        <w:t xml:space="preserve"> {{field-on:bible}} </w:t>
        <w:br/>
        <w:t xml:space="preserve">Weil </w:t>
      </w:r>
      <w:r>
        <w:rPr>
          <w:smallCaps/>
          <w:color w:val="FF0000"/>
        </w:rPr>
        <w:t>JHWH</w:t>
      </w:r>
      <w:r>
        <w:rPr/>
        <w:t xml:space="preserve"> gerecht </w:t>
      </w:r>
      <w:r>
        <w:rPr>
          <w:color w:val="808080"/>
        </w:rPr>
        <w:t>(der Gerechte)</w:t>
      </w:r>
      <w:r>
        <w:rPr/>
        <w:t xml:space="preserve"> ist </w:t>
      </w:r>
      <w:r>
        <w:rPr>
          <w:color w:val="808080"/>
        </w:rPr>
        <w:t xml:space="preserve">(denn </w:t>
      </w:r>
      <w:r>
        <w:rPr>
          <w:smallCaps/>
          <w:color w:val="FF0000"/>
        </w:rPr>
        <w:t>JHWH</w:t>
      </w:r>
      <w:r>
        <w:rPr>
          <w:color w:val="808080"/>
        </w:rPr>
        <w:t xml:space="preserve"> ist gerecht.)</w:t>
      </w:r>
      <w:r>
        <w:rPr/>
        <w:t xml:space="preserve">, Gerechtigkeit liebt </w:t>
      </w:r>
      <w:r>
        <w:rPr>
          <w:color w:val="808080"/>
        </w:rPr>
        <w:t>(liebt er Gerechtigkeit.)</w:t>
      </w:r>
      <w:r>
        <w:rPr/>
        <w:t>,Wird</w:t>
      </w:r>
      <w:r>
        <w:rPr>
          <w:rStyle w:val="Funotenanker"/>
        </w:rPr>
        <w:footnoteReference w:customMarkFollows="1" w:id="1790"/>
        <w:t>aa</w:t>
      </w:r>
      <w:r>
        <w:rPr/>
        <w:t xml:space="preserve"> ein Aufrechter sein Gesicht sehen </w:t>
      </w:r>
      <w:r>
        <w:rPr>
          <w:color w:val="808080"/>
        </w:rPr>
        <w:t>(wird sein Gesicht auf einen Aufrechten sehen?)</w:t>
      </w:r>
      <w:r>
        <w:rPr/>
        <w:t>.</w:t>
      </w:r>
      <w:r>
        <w:rPr>
          <w:rStyle w:val="Funotenanker"/>
        </w:rPr>
        <w:footnoteReference w:customMarkFollows="1" w:id="1791"/>
        <w:t>ab</w:t>
      </w:r>
      <w:r>
        <w:rPr/>
        <w:t xml:space="preserve"> </w:t>
        <w:br/>
        <w:t xml:space="preserve">{{field-off:bible}} </w:t>
      </w:r>
    </w:p>
    <w:p>
      <w:pPr>
        <w:pStyle w:val="Berschrift3"/>
        <w:rPr/>
      </w:pPr>
      <w:r>
        <w:rPr/>
        <w:t>[[@BibleTOBIBLE:Ps 12]]Kapitel 12</w:t>
      </w:r>
    </w:p>
    <w:p>
      <w:pPr>
        <w:pStyle w:val="Textkrper"/>
        <w:rPr/>
      </w:pPr>
      <w:r>
        <w:rPr/>
        <w:t xml:space="preserve">Psalm 12 gehört zu den sog. „Feindklagen“: Eine Gruppe Frommer wird von Feinden bedrängt und der Psalmist beklagt sich darüber bei Gott, damit dieser ihnen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2-3 beginnt der eigentliche Psalm zunächst mit der kurzen „Anrufung“ in V. 2a, die </w:t>
      </w:r>
      <w:r>
        <w:rPr>
          <w:rStyle w:val="Funotenanker"/>
        </w:rPr>
        <w:footnoteReference w:customMarkFollows="1" w:id="1792"/>
        <w:t>a</w:t>
      </w:r>
      <w:r>
        <w:rPr/>
        <w:t xml:space="preserve">s Aufmerksamkeit auf den Beter lenken soll. Darauf folgt eine „Klage“: Die Frommen und Treuen, d.h. (auch): die </w:t>
      </w:r>
      <w:r>
        <w:rPr>
          <w:rStyle w:val="Funotenanker"/>
        </w:rPr>
        <w:footnoteReference w:customMarkFollows="1" w:id="1793"/>
        <w:t>b</w:t>
      </w:r>
      <w:r>
        <w:rPr/>
        <w:t xml:space="preserve">-Gläubigen schwinden dahin; statt Frömmigkeit und Treue herrscht allüberall ein Geist der Lüge, Glattzüngigkeit und „Doppelherzigkeit“. Thematisch und sogar stilistisch entsprechen diesen Versen Vv. 8-9: Weil „der Fromme“ und „die Treuen“ dahinschwinden (V. 2), soll </w:t>
      </w:r>
      <w:r>
        <w:rPr>
          <w:rStyle w:val="Funotenanker"/>
        </w:rPr>
        <w:footnoteReference w:customMarkFollows="1" w:id="1794"/>
        <w:t>c</w:t>
      </w:r>
      <w:r>
        <w:rPr/>
        <w:t xml:space="preserve"> „sie“ behüten und „ihn“ beschützen (V. 8; zwei sog. „N-Shifts“, s. FN m). Allüberall herrscht Lüge (V. 3); ja: die Bösen sind allgegenwärtig (V. 9). In Vv. 4-5 folgt die „Verwünschung“ der Feinde (vgl. Gerstenberger 1991, S. 80): </w:t>
      </w:r>
      <w:r>
        <w:rPr>
          <w:rStyle w:val="Funotenanker"/>
        </w:rPr>
        <w:footnoteReference w:customMarkFollows="1" w:id="1795"/>
        <w:t>d</w:t>
      </w:r>
      <w:r>
        <w:rPr/>
        <w:t xml:space="preserve"> soll die Bösen vernichten. Diese Verwünschung ist suggestiv formuliert: in diesem Abschnitt wird nicht mehr die Allgegenwart der Lüge beklagt, sondern die Vermessenheit der Bösen, die sich mit Lippen und Zunge sogar gegen Gott auflehnen - Gott soll zum Handeln bewegt werden. Diese Verwünschung der Feinde wird in Vv. 6-7 kontrastiert mit einem Wunsch über die „Elenden und Armen“. Erwünscht wird ein Heilsorakel vonseiten Gottes, der in diesem Orakel die Rettung der Armen ankündigt. Und ganz im Gegensatz zu den Lügenreden der Bösen sollen diese Worte Gottes wahre Worte sein, „reine“ Worte, rein wie siebenfach geläutertes Silber. Diesem Wunsch wird dann in V. 8 mit einer direkt an Gott gerichteten „Bitte“ Ausdruck verliehen: Gott möge die Armen und Elenden beschützen und behüten. Daran schließt sich, um Gott zum Handeln zu motivieren, in V. 9 eine weitere Miniklage über die aktuelle Situation an: Gottes Heilsorakel ist noch nicht ergangen; weiterhin finden sich allüberall die Bösen und weiterhin ist „das Verachtenswerte hoch bei den Menschenkindern.“ Die „Selbigkeit“ des Status Quo wird darüber hinaus nicht nur durch die thematischen und stilistischen Entsprechungen zwischen Vv. 2-3 und Vv. 8-9 unterstrichen, sondern zusätzlich noch mit der Wiederholung der Fügung „Menschenkinder“ aus V. 2. Sehr treffend schließt daher an Ps 12 der 13. Psalm an, der da beginnt: „Bis wann, </w:t>
      </w:r>
      <w:r>
        <w:rPr>
          <w:rStyle w:val="Funotenanker"/>
        </w:rPr>
        <w:footnoteReference w:customMarkFollows="1" w:id="1796"/>
        <w:t>e</w:t>
      </w:r>
      <w:r>
        <w:rPr/>
        <w:t xml:space="preserve">, willst du mich so gänzlich vergessen?“ Wann endlich ändert sich der Status Quo? Hilf doch, </w:t>
      </w:r>
      <w:r>
        <w:rPr>
          <w:rStyle w:val="Funotenanker"/>
        </w:rPr>
        <w:footnoteReference w:customMarkFollows="1" w:id="1797"/>
        <w:t>f</w:t>
      </w:r>
      <w:r>
        <w:rPr/>
        <w:t xml:space="preserve">! </w:t>
        <w:br/>
        <w:br/>
        <w:t>[[@BibleTOBIBLE:Ps 12:1]]</w:t>
      </w:r>
      <w:r>
        <w:rPr>
          <w:b/>
        </w:rPr>
        <w:t>1</w:t>
      </w:r>
      <w:r>
        <w:rPr/>
        <w:t xml:space="preserve"> {{field-on:bible}} </w:t>
      </w:r>
      <w:r>
        <w:rPr>
          <w:rStyle w:val="Funotenanker"/>
        </w:rPr>
        <w:footnoteReference w:customMarkFollows="1" w:id="1798"/>
        <w:t>Status</w:t>
      </w:r>
      <w:r>
        <w:rPr/>
        <w:t xml:space="preserve"> ''Für den Chorleiter </w:t>
      </w:r>
      <w:r>
        <w:rPr>
          <w:color w:val="808080"/>
        </w:rPr>
        <w:t>(Dirigenten, Singenden, Musizierenden)</w:t>
      </w:r>
      <w:r>
        <w:rPr/>
        <w:t>''.</w:t>
      </w:r>
      <w:r>
        <w:rPr>
          <w:rStyle w:val="Funotenanker"/>
        </w:rPr>
        <w:footnoteReference w:customMarkFollows="1" w:id="1799"/>
        <w:t>g</w:t>
      </w:r>
      <w:r>
        <w:rPr/>
        <w:t xml:space="preserve"> `al-hascheminit ''</w:t>
      </w:r>
      <w:r>
        <w:rPr>
          <w:color w:val="808080"/>
        </w:rPr>
        <w:t>(</w:t>
      </w:r>
      <w:r>
        <w:rPr>
          <w:b/>
          <w:color w:val="808080"/>
        </w:rPr>
        <w:t>[</w:t>
      </w:r>
      <w:r>
        <w:rPr>
          <w:color w:val="808080"/>
        </w:rPr>
        <w:t>Vorzutragen</w:t>
      </w:r>
      <w:r>
        <w:rPr>
          <w:b/>
          <w:color w:val="808080"/>
        </w:rPr>
        <w:t>]</w:t>
      </w:r>
      <w:r>
        <w:rPr>
          <w:color w:val="808080"/>
        </w:rPr>
        <w:t xml:space="preserve"> von Basstimmen;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800"/>
        <w:t>h</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12:2]]</w:t>
      </w:r>
      <w:r>
        <w:rPr>
          <w:b/>
        </w:rPr>
        <w:t>2</w:t>
      </w:r>
      <w:r>
        <w:rPr/>
        <w:t xml:space="preserve"> {{field-on:bible}} </w:t>
        <w:br/>
        <w:t xml:space="preserve">Hilf </w:t>
      </w:r>
      <w:r>
        <w:rPr>
          <w:color w:val="808080"/>
        </w:rPr>
        <w:t>(Rette)</w:t>
      </w:r>
      <w:r>
        <w:rPr/>
        <w:t>,</w:t>
      </w:r>
      <w:r>
        <w:rPr>
          <w:rStyle w:val="Funotenanker"/>
        </w:rPr>
        <w:footnoteReference w:customMarkFollows="1" w:id="1801"/>
        <w:t>i</w:t>
      </w:r>
      <w:r>
        <w:rPr/>
        <w:t xml:space="preserve"> </w:t>
      </w:r>
      <w:r>
        <w:rPr>
          <w:smallCaps/>
          <w:color w:val="FF0000"/>
        </w:rPr>
        <w:t>JHWH</w:t>
      </w:r>
      <w:r>
        <w:rPr/>
        <w:t xml:space="preserve">, denn </w:t>
      </w:r>
      <w:r>
        <w:rPr>
          <w:b/>
          <w:color w:val="808080"/>
        </w:rPr>
        <w:t>[</w:t>
      </w:r>
      <w:r>
        <w:rPr/>
        <w:t>der</w:t>
      </w:r>
      <w:r>
        <w:rPr>
          <w:b/>
          <w:color w:val="808080"/>
        </w:rPr>
        <w:t>]</w:t>
      </w:r>
      <w:r>
        <w:rPr/>
        <w:t xml:space="preserve"> Fromme </w:t>
      </w:r>
      <w:r>
        <w:rPr>
          <w:color w:val="808080"/>
        </w:rPr>
        <w:t>(Frömmigkeit)</w:t>
      </w:r>
      <w:r>
        <w:rPr/>
        <w:t xml:space="preserve"> endet </w:t>
      </w:r>
      <w:r>
        <w:rPr>
          <w:color w:val="808080"/>
        </w:rPr>
        <w:t>(ist geendet)</w:t>
      </w:r>
      <w:r>
        <w:rPr/>
        <w:t xml:space="preserve">,Denn </w:t>
      </w:r>
      <w:r>
        <w:rPr>
          <w:b/>
          <w:color w:val="808080"/>
        </w:rPr>
        <w:t>[</w:t>
      </w:r>
      <w:r>
        <w:rPr/>
        <w:t>die</w:t>
      </w:r>
      <w:r>
        <w:rPr>
          <w:b/>
          <w:color w:val="808080"/>
        </w:rPr>
        <w:t>]</w:t>
      </w:r>
      <w:r>
        <w:rPr/>
        <w:t xml:space="preserve"> Treuen </w:t>
      </w:r>
      <w:r>
        <w:rPr>
          <w:color w:val="808080"/>
        </w:rPr>
        <w:t>(Treue)</w:t>
      </w:r>
      <w:r>
        <w:rPr/>
        <w:t xml:space="preserve"> gehen zugrunde </w:t>
      </w:r>
      <w:r>
        <w:rPr>
          <w:color w:val="808080"/>
        </w:rPr>
        <w:t>(sind zugrunde gegangen)</w:t>
      </w:r>
      <w:r>
        <w:rPr/>
        <w:t xml:space="preserve"> </w:t>
      </w:r>
      <w:r>
        <w:rPr>
          <w:rStyle w:val="Funotenanker"/>
        </w:rPr>
        <w:footnoteReference w:customMarkFollows="1" w:id="1802"/>
        <w:t>j</w:t>
      </w:r>
      <w:r>
        <w:rPr/>
        <w:t xml:space="preserve"> unter den Menschenkindern!</w:t>
        <w:br/>
        <w:t xml:space="preserve">{{field-off:bible}} </w:t>
        <w:br/>
        <w:t>[[@BibleTOBIBLE:Ps 12:3]]</w:t>
      </w:r>
      <w:r>
        <w:rPr>
          <w:b/>
        </w:rPr>
        <w:t>3</w:t>
      </w:r>
      <w:r>
        <w:rPr/>
        <w:t xml:space="preserve"> {{field-on:bible}} </w:t>
        <w:br/>
        <w:t>Erlogenes sagt jeder seinem Nächsten;</w:t>
      </w:r>
      <w:r>
        <w:rPr>
          <w:rStyle w:val="Funotenanker"/>
        </w:rPr>
        <w:footnoteReference w:customMarkFollows="1" w:id="1803"/>
        <w:t>k</w:t>
      </w:r>
      <w:r>
        <w:rPr/>
        <w:t xml:space="preserve"> </w:t>
      </w:r>
      <w:r>
        <w:rPr>
          <w:b/>
          <w:color w:val="808080"/>
        </w:rPr>
        <w:t>[</w:t>
      </w:r>
      <w:r>
        <w:rPr/>
        <w:t>Mit</w:t>
      </w:r>
      <w:r>
        <w:rPr>
          <w:b/>
          <w:color w:val="808080"/>
        </w:rPr>
        <w:t>]</w:t>
      </w:r>
      <w:r>
        <w:rPr/>
        <w:t xml:space="preserve"> glatter Lippe,</w:t>
      </w:r>
      <w:r>
        <w:rPr>
          <w:rStyle w:val="Funotenanker"/>
        </w:rPr>
        <w:footnoteReference w:customMarkFollows="1" w:id="1804"/>
        <w:t>l</w:t>
      </w:r>
      <w:r>
        <w:rPr/>
        <w:t xml:space="preserve"> mit Herz und Herz</w:t>
      </w:r>
      <w:r>
        <w:rPr>
          <w:rStyle w:val="Funotenanker"/>
        </w:rPr>
        <w:footnoteReference w:customMarkFollows="1" w:id="1805"/>
        <w:t>m</w:t>
      </w:r>
      <w:r>
        <w:rPr/>
        <w:t xml:space="preserve"> sprechen sie!</w:t>
        <w:br/>
        <w:br/>
        <w:t xml:space="preserve">{{field-off:bible}} </w:t>
        <w:br/>
        <w:t>[[@BibleTOBIBLE:Ps 12:4]]</w:t>
      </w:r>
      <w:r>
        <w:rPr>
          <w:b/>
        </w:rPr>
        <w:t>4</w:t>
      </w:r>
      <w:r>
        <w:rPr/>
        <w:t xml:space="preserve"> {{field-on:bible}} </w:t>
        <w:br/>
      </w:r>
      <w:r>
        <w:rPr>
          <w:smallCaps/>
          <w:color w:val="FF0000"/>
        </w:rPr>
        <w:t>JHWH</w:t>
      </w:r>
      <w:r>
        <w:rPr/>
        <w:t xml:space="preserve"> möge vernichten </w:t>
      </w:r>
      <w:r>
        <w:rPr>
          <w:color w:val="808080"/>
        </w:rPr>
        <w:t>(abschneiden)</w:t>
      </w:r>
      <w:r>
        <w:rPr/>
        <w:t xml:space="preserve"> alle glatten Lippen,</w:t>
      </w:r>
      <w:r>
        <w:rPr>
          <w:b/>
          <w:color w:val="808080"/>
        </w:rPr>
        <w:t>[</w:t>
      </w:r>
      <w:r>
        <w:rPr/>
        <w:t>Die</w:t>
      </w:r>
      <w:r>
        <w:rPr>
          <w:b/>
          <w:color w:val="808080"/>
        </w:rPr>
        <w:t>]</w:t>
      </w:r>
      <w:r>
        <w:rPr/>
        <w:t xml:space="preserve"> Zunge, die Großes </w:t>
      </w:r>
      <w:r>
        <w:rPr>
          <w:color w:val="808080"/>
        </w:rPr>
        <w:t>(Vermessenes)</w:t>
      </w:r>
      <w:r>
        <w:rPr/>
        <w:t xml:space="preserve"> spricht,</w:t>
        <w:br/>
        <w:t xml:space="preserve">{{field-off:bible}} </w:t>
        <w:br/>
        <w:t>[[@BibleTOBIBLE:Ps 12:5]]</w:t>
      </w:r>
      <w:r>
        <w:rPr>
          <w:b/>
        </w:rPr>
        <w:t>5</w:t>
      </w:r>
      <w:r>
        <w:rPr/>
        <w:t xml:space="preserve"> {{field-on:bible}} </w:t>
        <w:br/>
      </w:r>
      <w:r>
        <w:rPr>
          <w:b/>
          <w:color w:val="808080"/>
        </w:rPr>
        <w:t>[</w:t>
      </w:r>
      <w:r>
        <w:rPr/>
        <w:t>Sie</w:t>
      </w:r>
      <w:r>
        <w:rPr>
          <w:b/>
          <w:color w:val="808080"/>
        </w:rPr>
        <w:t>]</w:t>
      </w:r>
      <w:r>
        <w:rPr/>
        <w:t xml:space="preserve">, sie </w:t>
      </w:r>
      <w:r>
        <w:rPr>
          <w:b/>
          <w:color w:val="808080"/>
        </w:rPr>
        <w:t>[</w:t>
      </w:r>
      <w:r>
        <w:rPr/>
        <w:t>vorher</w:t>
      </w:r>
      <w:r>
        <w:rPr>
          <w:b/>
          <w:color w:val="808080"/>
        </w:rPr>
        <w:t>]</w:t>
      </w:r>
      <w:r>
        <w:rPr/>
        <w:t xml:space="preserve"> gesagt haben: „Mit unserer Zunge sind wir stark </w:t>
      </w:r>
      <w:r>
        <w:rPr>
          <w:color w:val="808080"/>
        </w:rPr>
        <w:t>(unserer Zunge verschaffen wir Stärke?, über unsere Zunge herrschen wir?)</w:t>
      </w:r>
      <w:r>
        <w:rPr/>
        <w:t xml:space="preserve">Unsere Lippen </w:t>
      </w:r>
      <w:r>
        <w:rPr>
          <w:b/>
          <w:color w:val="808080"/>
        </w:rPr>
        <w:t>[</w:t>
      </w:r>
      <w:r>
        <w:rPr/>
        <w:t>sind</w:t>
      </w:r>
      <w:r>
        <w:rPr>
          <w:b/>
          <w:color w:val="808080"/>
        </w:rPr>
        <w:t>]</w:t>
      </w:r>
      <w:r>
        <w:rPr/>
        <w:t xml:space="preserve"> mit uns </w:t>
      </w:r>
      <w:r>
        <w:rPr>
          <w:color w:val="808080"/>
        </w:rPr>
        <w:t>(gehören uns)</w:t>
      </w:r>
      <w:r>
        <w:rPr/>
        <w:t xml:space="preserve"> - wer </w:t>
      </w:r>
      <w:r>
        <w:rPr>
          <w:b/>
          <w:color w:val="808080"/>
        </w:rPr>
        <w:t>[</w:t>
      </w:r>
      <w:r>
        <w:rPr/>
        <w:t>also</w:t>
      </w:r>
      <w:r>
        <w:rPr>
          <w:b/>
          <w:color w:val="808080"/>
        </w:rPr>
        <w:t>]</w:t>
      </w:r>
      <w:r>
        <w:rPr/>
        <w:t xml:space="preserve"> </w:t>
      </w:r>
      <w:r>
        <w:rPr>
          <w:b/>
          <w:color w:val="808080"/>
        </w:rPr>
        <w:t>[</w:t>
      </w:r>
      <w:r>
        <w:rPr/>
        <w:t>will da</w:t>
      </w:r>
      <w:r>
        <w:rPr>
          <w:b/>
          <w:color w:val="808080"/>
        </w:rPr>
        <w:t>]</w:t>
      </w:r>
      <w:r>
        <w:rPr/>
        <w:t xml:space="preserve"> Herr über uns </w:t>
      </w:r>
      <w:r>
        <w:rPr>
          <w:b/>
          <w:color w:val="808080"/>
        </w:rPr>
        <w:t>[</w:t>
      </w:r>
      <w:r>
        <w:rPr/>
        <w:t>sein</w:t>
      </w:r>
      <w:r>
        <w:rPr>
          <w:b/>
          <w:color w:val="808080"/>
        </w:rPr>
        <w:t>]</w:t>
      </w:r>
      <w:r>
        <w:rPr/>
        <w:t>?“</w:t>
        <w:br/>
        <w:br/>
        <w:t xml:space="preserve">{{field-off:bible}} </w:t>
        <w:br/>
        <w:t>[[@BibleTOBIBLE:Ps 12:6]]</w:t>
      </w:r>
      <w:r>
        <w:rPr>
          <w:b/>
        </w:rPr>
        <w:t>6</w:t>
      </w:r>
      <w:r>
        <w:rPr/>
        <w:t xml:space="preserve"> {{field-on:bible}} </w:t>
        <w:br/>
        <w:t xml:space="preserve">„Wegen der Gewalt gegen </w:t>
      </w:r>
      <w:r>
        <w:rPr>
          <w:b/>
          <w:color w:val="808080"/>
        </w:rPr>
        <w:t>[</w:t>
      </w:r>
      <w:r>
        <w:rPr/>
        <w:t>die</w:t>
      </w:r>
      <w:r>
        <w:rPr>
          <w:b/>
          <w:color w:val="808080"/>
        </w:rPr>
        <w:t>]</w:t>
      </w:r>
      <w:r>
        <w:rPr/>
        <w:t xml:space="preserve"> Elenden, wegen dem Ächzen </w:t>
      </w:r>
      <w:r>
        <w:rPr>
          <w:b/>
          <w:color w:val="808080"/>
        </w:rPr>
        <w:t>[</w:t>
      </w:r>
      <w:r>
        <w:rPr/>
        <w:t>der</w:t>
      </w:r>
      <w:r>
        <w:rPr>
          <w:b/>
          <w:color w:val="808080"/>
        </w:rPr>
        <w:t>]</w:t>
      </w:r>
      <w:r>
        <w:rPr/>
        <w:t xml:space="preserve"> Armen - Jetzt werde </w:t>
      </w:r>
      <w:r>
        <w:rPr>
          <w:color w:val="808080"/>
        </w:rPr>
        <w:t>(will)</w:t>
      </w:r>
      <w:r>
        <w:rPr/>
        <w:t xml:space="preserve"> ich mich erheben“,</w:t>
      </w:r>
      <w:r>
        <w:rPr>
          <w:rStyle w:val="Funotenanker"/>
        </w:rPr>
        <w:footnoteReference w:customMarkFollows="1" w:id="1806"/>
        <w:t>n</w:t>
      </w:r>
      <w:r>
        <w:rPr/>
        <w:t xml:space="preserve"> möge </w:t>
      </w:r>
      <w:r>
        <w:rPr>
          <w:color w:val="808080"/>
        </w:rPr>
        <w:t>(wird)</w:t>
      </w:r>
      <w:r>
        <w:rPr/>
        <w:t xml:space="preserve"> </w:t>
      </w:r>
      <w:r>
        <w:rPr>
          <w:smallCaps/>
          <w:color w:val="FF0000"/>
        </w:rPr>
        <w:t>JHWH</w:t>
      </w:r>
      <w:r>
        <w:rPr/>
        <w:t xml:space="preserve"> sprechen </w:t>
      </w:r>
      <w:r>
        <w:rPr>
          <w:color w:val="808080"/>
        </w:rPr>
        <w:t xml:space="preserve">(spricht </w:t>
      </w:r>
      <w:r>
        <w:rPr>
          <w:smallCaps/>
          <w:color w:val="FF0000"/>
        </w:rPr>
        <w:t>JHWH</w:t>
      </w:r>
      <w:r>
        <w:rPr>
          <w:color w:val="808080"/>
        </w:rPr>
        <w:t>?)</w:t>
      </w:r>
      <w:r>
        <w:rPr/>
        <w:t>;</w:t>
      </w:r>
      <w:r>
        <w:rPr>
          <w:rStyle w:val="Funotenanker"/>
        </w:rPr>
        <w:footnoteReference w:customMarkFollows="1" w:id="1807"/>
        <w:t>o</w:t>
      </w:r>
      <w:r>
        <w:rPr/>
        <w:t xml:space="preserve">„Ich werde </w:t>
      </w:r>
      <w:r>
        <w:rPr>
          <w:color w:val="808080"/>
        </w:rPr>
        <w:t>(will)</w:t>
      </w:r>
      <w:r>
        <w:rPr/>
        <w:t xml:space="preserve"> in Sicherheit bringen </w:t>
      </w:r>
      <w:r>
        <w:rPr>
          <w:color w:val="808080"/>
        </w:rPr>
        <w:t>(ins Heil versetzen)</w:t>
      </w:r>
      <w:r>
        <w:rPr/>
        <w:t xml:space="preserve"> </w:t>
      </w:r>
      <w:r>
        <w:rPr>
          <w:b/>
          <w:color w:val="808080"/>
        </w:rPr>
        <w:t>[</w:t>
      </w:r>
      <w:r>
        <w:rPr/>
        <w:t>den, der</w:t>
      </w:r>
      <w:r>
        <w:rPr>
          <w:b/>
          <w:color w:val="808080"/>
        </w:rPr>
        <w:t>]</w:t>
      </w:r>
      <w:r>
        <w:rPr/>
        <w:t xml:space="preserve"> danach seufzt </w:t>
      </w:r>
      <w:r>
        <w:rPr>
          <w:color w:val="808080"/>
        </w:rPr>
        <w:t>(gegen den man schnaubt, will seinen Zeugen in Sicherheit bringen, will ihm zum Heil einen Zeugen stellen)</w:t>
      </w:r>
      <w:r>
        <w:rPr/>
        <w:t>.“</w:t>
      </w:r>
      <w:r>
        <w:rPr>
          <w:rStyle w:val="Funotenanker"/>
        </w:rPr>
        <w:footnoteReference w:customMarkFollows="1" w:id="1808"/>
        <w:t>p</w:t>
      </w:r>
      <w:r>
        <w:rPr/>
        <w:t xml:space="preserve"> </w:t>
        <w:br/>
        <w:t xml:space="preserve">{{field-off:bible}} </w:t>
        <w:br/>
        <w:t>[[@BibleTOBIBLE:Ps 12:7]]</w:t>
      </w:r>
      <w:r>
        <w:rPr>
          <w:b/>
        </w:rPr>
        <w:t>7</w:t>
      </w:r>
      <w:r>
        <w:rPr/>
        <w:t xml:space="preserve"> {{field-on:bible}} </w:t>
        <w:br/>
      </w:r>
      <w:r>
        <w:rPr>
          <w:b/>
          <w:color w:val="808080"/>
        </w:rPr>
        <w:t>[</w:t>
      </w:r>
      <w:r>
        <w:rPr/>
        <w:t>Und diese</w:t>
      </w:r>
      <w:r>
        <w:rPr>
          <w:b/>
          <w:color w:val="808080"/>
        </w:rPr>
        <w:t>]</w:t>
      </w:r>
      <w:r>
        <w:rPr/>
        <w:t xml:space="preserve"> Aussagen von </w:t>
      </w:r>
      <w:r>
        <w:rPr>
          <w:smallCaps/>
          <w:color w:val="FF0000"/>
        </w:rPr>
        <w:t>JHWH</w:t>
      </w:r>
      <w:r>
        <w:rPr/>
        <w:t xml:space="preserve"> </w:t>
      </w:r>
      <w:r>
        <w:rPr>
          <w:b/>
          <w:color w:val="808080"/>
        </w:rPr>
        <w:t>[</w:t>
      </w:r>
      <w:r>
        <w:rPr/>
        <w:t xml:space="preserve">mögen sein </w:t>
      </w:r>
      <w:r>
        <w:rPr>
          <w:color w:val="808080"/>
        </w:rPr>
        <w:t>(sind)</w:t>
      </w:r>
      <w:r>
        <w:rPr>
          <w:b/>
          <w:color w:val="808080"/>
        </w:rPr>
        <w:t>]</w:t>
      </w:r>
      <w:r>
        <w:rPr/>
        <w:t xml:space="preserve"> reine Aussagen,Silber, </w:t>
      </w:r>
      <w:r>
        <w:rPr>
          <w:b/>
          <w:color w:val="808080"/>
        </w:rPr>
        <w:t>[</w:t>
      </w:r>
      <w:r>
        <w:rPr/>
        <w:t>das</w:t>
      </w:r>
      <w:r>
        <w:rPr>
          <w:b/>
          <w:color w:val="808080"/>
        </w:rPr>
        <w:t>]</w:t>
      </w:r>
      <w:r>
        <w:rPr/>
        <w:t xml:space="preserve"> geläutert </w:t>
      </w:r>
      <w:r>
        <w:rPr>
          <w:b/>
          <w:color w:val="808080"/>
        </w:rPr>
        <w:t>[</w:t>
      </w:r>
      <w:r>
        <w:rPr/>
        <w:t>wurde</w:t>
      </w:r>
      <w:r>
        <w:rPr>
          <w:b/>
          <w:color w:val="808080"/>
        </w:rPr>
        <w:t>]</w:t>
      </w:r>
      <w:r>
        <w:rPr/>
        <w:t xml:space="preserve"> ???,</w:t>
      </w:r>
      <w:r>
        <w:rPr>
          <w:rStyle w:val="Funotenanker"/>
        </w:rPr>
        <w:footnoteReference w:customMarkFollows="1" w:id="1809"/>
        <w:t>q</w:t>
      </w:r>
      <w:r>
        <w:rPr/>
        <w:t xml:space="preserve"> </w:t>
      </w:r>
      <w:r>
        <w:rPr>
          <w:b/>
          <w:color w:val="808080"/>
        </w:rPr>
        <w:t>[</w:t>
      </w:r>
      <w:r>
        <w:rPr/>
        <w:t>Das</w:t>
      </w:r>
      <w:r>
        <w:rPr>
          <w:b/>
          <w:color w:val="808080"/>
        </w:rPr>
        <w:t>]</w:t>
      </w:r>
      <w:r>
        <w:rPr/>
        <w:t xml:space="preserve"> siebenfach in die Erde veredelt </w:t>
      </w:r>
      <w:r>
        <w:rPr>
          <w:b/>
          <w:color w:val="808080"/>
        </w:rPr>
        <w:t>[</w:t>
      </w:r>
      <w:r>
        <w:rPr/>
        <w:t>wurde</w:t>
      </w:r>
      <w:r>
        <w:rPr>
          <w:b/>
          <w:color w:val="808080"/>
        </w:rPr>
        <w:t>]</w:t>
      </w:r>
      <w:r>
        <w:rPr/>
        <w:t>.</w:t>
        <w:br/>
        <w:br/>
        <w:t xml:space="preserve">{{field-off:bible}} </w:t>
        <w:br/>
        <w:t>[[@BibleTOBIBLE:Ps 12:8]]</w:t>
      </w:r>
      <w:r>
        <w:rPr>
          <w:b/>
        </w:rPr>
        <w:t>8</w:t>
      </w:r>
      <w:r>
        <w:rPr/>
        <w:t xml:space="preserve"> {{field-on:bible}} </w:t>
        <w:br/>
        <w:t xml:space="preserve">Du, </w:t>
      </w:r>
      <w:r>
        <w:rPr>
          <w:smallCaps/>
          <w:color w:val="FF0000"/>
        </w:rPr>
        <w:t>JHWH</w:t>
      </w:r>
      <w:r>
        <w:rPr/>
        <w:t>,</w:t>
      </w:r>
      <w:r>
        <w:rPr>
          <w:rStyle w:val="Funotenanker"/>
        </w:rPr>
        <w:footnoteReference w:customMarkFollows="1" w:id="1810"/>
        <w:t>r</w:t>
      </w:r>
      <w:r>
        <w:rPr/>
        <w:t xml:space="preserve"> mögest </w:t>
      </w:r>
      <w:r>
        <w:rPr>
          <w:color w:val="808080"/>
        </w:rPr>
        <w:t>(wirst)</w:t>
      </w:r>
      <w:r>
        <w:rPr/>
        <w:t xml:space="preserve"> sie</w:t>
      </w:r>
      <w:r>
        <w:rPr>
          <w:rStyle w:val="Funotenanker"/>
        </w:rPr>
        <w:footnoteReference w:customMarkFollows="1" w:id="1811"/>
        <w:t>s</w:t>
      </w:r>
      <w:r>
        <w:rPr/>
        <w:t xml:space="preserve"> behüten </w:t>
      </w:r>
      <w:r>
        <w:rPr>
          <w:color w:val="808080"/>
        </w:rPr>
        <w:t>(sie (=die Worte) halten?)</w:t>
      </w:r>
      <w:r>
        <w:rPr/>
        <w:t xml:space="preserve">,Mögest </w:t>
      </w:r>
      <w:r>
        <w:rPr>
          <w:color w:val="808080"/>
        </w:rPr>
        <w:t>(wirst)</w:t>
      </w:r>
      <w:r>
        <w:rPr/>
        <w:t xml:space="preserve"> ihn schützen vor diesem </w:t>
      </w:r>
      <w:r>
        <w:rPr>
          <w:color w:val="808080"/>
        </w:rPr>
        <w:t>(dem)</w:t>
      </w:r>
      <w:r>
        <w:rPr/>
        <w:t xml:space="preserve"> Geschlecht auf ewig </w:t>
      </w:r>
      <w:r>
        <w:rPr>
          <w:color w:val="808080"/>
        </w:rPr>
        <w:t xml:space="preserve">(diesem Geschlecht, das ewig </w:t>
      </w:r>
      <w:r>
        <w:rPr>
          <w:b/>
          <w:color w:val="808080"/>
        </w:rPr>
        <w:t>[</w:t>
      </w:r>
      <w:r>
        <w:rPr>
          <w:color w:val="808080"/>
        </w:rPr>
        <w:t>währt</w:t>
      </w:r>
      <w:r>
        <w:rPr>
          <w:b/>
          <w:color w:val="808080"/>
        </w:rPr>
        <w:t>]</w:t>
      </w:r>
      <w:r>
        <w:rPr>
          <w:color w:val="808080"/>
        </w:rPr>
        <w:t>)</w:t>
      </w:r>
      <w:r>
        <w:rPr/>
        <w:t>!</w:t>
        <w:br/>
        <w:t xml:space="preserve">{{field-off:bible}} </w:t>
        <w:br/>
        <w:t>[[@BibleTOBIBLE:Ps 12:9]]</w:t>
      </w:r>
      <w:r>
        <w:rPr>
          <w:b/>
        </w:rPr>
        <w:t>9</w:t>
      </w:r>
      <w:r>
        <w:rPr/>
        <w:t xml:space="preserve"> {{field-on:bible}} </w:t>
        <w:br/>
        <w:t xml:space="preserve">Rings </w:t>
      </w:r>
      <w:r>
        <w:rPr>
          <w:color w:val="808080"/>
        </w:rPr>
        <w:t>(im Kreis)</w:t>
      </w:r>
      <w:r>
        <w:rPr/>
        <w:t xml:space="preserve"> gehen Böse einher,Da Verachtenswertes hoch ist </w:t>
      </w:r>
      <w:r>
        <w:rPr>
          <w:color w:val="808080"/>
        </w:rPr>
        <w:t>(wird)</w:t>
      </w:r>
      <w:r>
        <w:rPr/>
        <w:t xml:space="preserve"> </w:t>
      </w:r>
      <w:r>
        <w:rPr>
          <w:rStyle w:val="Funotenanker"/>
        </w:rPr>
        <w:footnoteReference w:customMarkFollows="1" w:id="1812"/>
        <w:t>t</w:t>
      </w:r>
      <w:r>
        <w:rPr/>
        <w:t xml:space="preserve"> bei den Menschenkindern.</w:t>
      </w:r>
      <w:r>
        <w:rPr>
          <w:rStyle w:val="Funotenanker"/>
        </w:rPr>
        <w:footnoteReference w:customMarkFollows="1" w:id="1813"/>
        <w:t>u</w:t>
      </w:r>
      <w:r>
        <w:rPr/>
        <w:t xml:space="preserve"> </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814"/>
        <w:t>Status</w:t>
      </w:r>
      <w:r>
        <w:rPr/>
        <w:t xml:space="preserve"> Für den den Chorleiter </w:t>
      </w:r>
      <w:r>
        <w:rPr>
          <w:color w:val="808080"/>
        </w:rPr>
        <w:t>(Dirigenten, Singenden, Musizierenden)</w:t>
      </w:r>
      <w:r>
        <w:rPr/>
        <w:t>.</w:t>
      </w:r>
      <w:r>
        <w:rPr>
          <w:rStyle w:val="Funotenanker"/>
        </w:rPr>
        <w:footnoteReference w:customMarkFollows="1" w:id="1815"/>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816"/>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817"/>
        <w:t>c</w:t>
      </w:r>
      <w:r>
        <w:rPr/>
        <w:t xml:space="preserve"> vergessen</w:t>
      </w:r>
      <w:r>
        <w:rPr>
          <w:rStyle w:val="Funotenanker"/>
        </w:rPr>
        <w:footnoteReference w:customMarkFollows="1" w:id="1818"/>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819"/>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820"/>
        <w:t>f</w:t>
      </w:r>
      <w:r>
        <w:rPr/>
        <w:t xml:space="preserve"> in meine Seele</w:t>
      </w:r>
      <w:r>
        <w:rPr>
          <w:rStyle w:val="Funotenanker"/>
        </w:rPr>
        <w:footnoteReference w:customMarkFollows="1" w:id="1821"/>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822"/>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823"/>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824"/>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825"/>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826"/>
        <w:t>l</w:t>
      </w:r>
      <w:r>
        <w:rPr/>
        <w:t xml:space="preserve">, antworte mir, </w:t>
      </w:r>
      <w:r>
        <w:rPr>
          <w:smallCaps/>
          <w:color w:val="FF0000"/>
        </w:rPr>
        <w:t>JHWH</w:t>
      </w:r>
      <w:r>
        <w:rPr/>
        <w:t>!</w:t>
      </w:r>
      <w:r>
        <w:rPr>
          <w:rStyle w:val="Funotenanker"/>
        </w:rPr>
        <w:footnoteReference w:customMarkFollows="1" w:id="1827"/>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828"/>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829"/>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830"/>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831"/>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832"/>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833"/>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14]]Kapitel 14</w:t>
      </w:r>
    </w:p>
    <w:p>
      <w:pPr>
        <w:pStyle w:val="Textkrper"/>
        <w:rPr/>
      </w:pPr>
      <w:r>
        <w:rPr/>
        <w:t>Psalm 14 ist ein weisheitlicher Klagepsalm. In V. 1 wird die Verderbtheit der gesamten Menschheit beklagt. Dieser Zustand wird in Vv. 2-6 zum Anlass für eine Besinnung über das vergangene Handeln Gottes in ähnlicher Situation: Eine Prüfung Gottes ergab, dass die gesamte Menschheit verdorben ist und sich sowohl ihren Mitmenschen als auch Gott gegenüber unangemessen verhält. Vv. 5f. schildern das Resultat dieser Prüfung: Die Übeltäter „erschraken einen Schrecken“, weil Gott sich erzürnt auf die Seite seines von ihnen unterdrückten Volkes stellte. In V. 7 schließt an diese Besinnung der Wunsch an, dass Gott doch auch jetzt wieder ebenso handeln möge: Gott möge das Geschick der von gänzlich verderbten Feinden unterdrückten Israeliten wenden, so dass sie wieder Grund zu Jubel und Freude haben. In Vv. 1-4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1834"/>
        <w:t>a</w:t>
      </w:r>
      <w:r>
        <w:rPr/>
        <w:t xml:space="preserve">s Volk frisst“ und selbst beim „Brot-fressen“ keinen Gedanken an den verschwendet, dem er dieses Brot verdankt. Einige Worte noch zu zwei überlieferungsgeschichtlich ungemein spannenden Besonderheiten des Psalms: (1) Psalm 14 ist doppelt überliefert und findet sich noch einmal in leicht abgewandelter Form als Psalm 53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(2) Eine weitere überlieferungsgeschichtliche Besonderheit findet sich in LXX, VUL und selbst einigen jüngeren heb. Handschriften: Paulus zitiert Ps 14,3 in Röm 3,12 und schließt daran in Vv. 13-18 eine Blütenlese aus anderen atl. Bibelstellen an. Ein LXX-Schreiber hat diese Blütenlese als Bestandteil von Ps 14 angesehen und sie nach V. 3 eingefügt, was von dort aus dann in VUL und besagte heb. Mss übernommen worden ist. </w:t>
        <w:br/>
        <w:br/>
        <w:t>[[@BibleTOBIBLE:Ps 14:1]]</w:t>
      </w:r>
      <w:r>
        <w:rPr>
          <w:b/>
        </w:rPr>
        <w:t>1</w:t>
      </w:r>
      <w:r>
        <w:rPr/>
        <w:t xml:space="preserve"> {{field-on:bible}} </w:t>
      </w:r>
      <w:r>
        <w:rPr>
          <w:rStyle w:val="Funotenanker"/>
        </w:rPr>
        <w:footnoteReference w:customMarkFollows="1" w:id="1835"/>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36"/>
        <w:t>b</w:t>
      </w:r>
      <w:r>
        <w:rPr/>
        <w:t xml:space="preserve"> ''Von </w:t>
      </w:r>
      <w:r>
        <w:rPr>
          <w:color w:val="808080"/>
        </w:rPr>
        <w:t>(für, über, nach Art von)</w:t>
      </w:r>
      <w:r>
        <w:rPr/>
        <w:t xml:space="preserve"> David.''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1837"/>
        <w:t>c</w:t>
      </w:r>
      <w:r>
        <w:rPr/>
        <w:t xml:space="preserve"> </w:t>
        <w:br/>
        <w:t xml:space="preserve">Sie begehen, verbrechen </w:t>
      </w:r>
      <w:r>
        <w:rPr>
          <w:color w:val="808080"/>
        </w:rPr>
        <w:t>(begingen, verbrachen)</w:t>
      </w:r>
      <w:r>
        <w:rPr/>
        <w:t xml:space="preserve"> Übeltat</w:t>
      </w:r>
      <w:r>
        <w:rPr>
          <w:rStyle w:val="Funotenanker"/>
        </w:rPr>
        <w:footnoteReference w:customMarkFollows="1" w:id="1838"/>
        <w:t>d</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14:2]]</w:t>
      </w:r>
      <w:r>
        <w:rPr>
          <w:b/>
        </w:rPr>
        <w:t>2</w:t>
      </w:r>
      <w:r>
        <w:rPr/>
        <w:t xml:space="preserve"> {{field-on:bible}} </w:t>
        <w:br/>
      </w:r>
      <w:r>
        <w:rPr>
          <w:smallCaps/>
          <w:color w:val="FF0000"/>
        </w:rPr>
        <w:t>JHWH</w:t>
      </w:r>
      <w:r>
        <w:rPr/>
        <w:t xml:space="preserve">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1839"/>
        <w:t>e</w:t>
      </w:r>
      <w:r>
        <w:rPr/>
        <w:t xml:space="preserve"> </w:t>
        <w:br/>
        <w:t xml:space="preserve">{{field-off:bible}} </w:t>
        <w:br/>
        <w:t>[[@BibleTOBIBLE:Ps 14:3]]</w:t>
      </w:r>
      <w:r>
        <w:rPr>
          <w:b/>
        </w:rPr>
        <w:t>3</w:t>
      </w:r>
      <w:r>
        <w:rPr/>
        <w:t xml:space="preserve"> {{field-on:bible}} </w:t>
        <w:br/>
        <w:t xml:space="preserve">„Die Gesamtheit ist </w:t>
      </w:r>
      <w:r>
        <w:rPr>
          <w:color w:val="808080"/>
        </w:rPr>
        <w:t>(war)</w:t>
      </w:r>
      <w:r>
        <w:rPr/>
        <w:t xml:space="preserve"> abgefallen,Sämtlich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14:4]]</w:t>
      </w:r>
      <w:r>
        <w:rPr>
          <w:b/>
        </w:rPr>
        <w:t>4</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alle Übel-Täter,</w:t>
      </w:r>
      <w:r>
        <w:rPr>
          <w:b/>
          <w:color w:val="808080"/>
        </w:rPr>
        <w:t>[</w:t>
      </w:r>
      <w:r>
        <w:rPr/>
        <w:t>Die</w:t>
      </w:r>
      <w:r>
        <w:rPr>
          <w:b/>
          <w:color w:val="808080"/>
        </w:rPr>
        <w:t>]</w:t>
      </w:r>
      <w:r>
        <w:rPr/>
        <w:t xml:space="preserve"> mein Volk fressen?</w:t>
        <w:br/>
        <w:t>Sie fressen Brot,</w:t>
      </w:r>
      <w:r>
        <w:rPr>
          <w:rStyle w:val="Funotenanker"/>
        </w:rPr>
        <w:footnoteReference w:customMarkFollows="1" w:id="1840"/>
        <w:t>f</w:t>
      </w:r>
      <w:r>
        <w:rPr/>
        <w:t xml:space="preserve"> </w:t>
      </w:r>
      <w:r>
        <w:rPr>
          <w:b/>
          <w:color w:val="808080"/>
        </w:rPr>
        <w:t>[</w:t>
      </w:r>
      <w:r>
        <w:rPr/>
        <w:t>Doch</w:t>
      </w:r>
      <w:r>
        <w:rPr>
          <w:b/>
          <w:color w:val="808080"/>
        </w:rPr>
        <w:t>]</w:t>
      </w:r>
      <w:r>
        <w:rPr/>
        <w:t xml:space="preserve"> </w:t>
      </w:r>
      <w:r>
        <w:rPr>
          <w:smallCaps/>
          <w:color w:val="FF0000"/>
        </w:rPr>
        <w:t>JHWH</w:t>
      </w:r>
      <w:r>
        <w:rPr/>
        <w:t xml:space="preserve"> rufen sie nicht an.“</w:t>
        <w:br/>
        <w:br/>
        <w:t xml:space="preserve">{{field-off:bible}} </w:t>
        <w:br/>
        <w:t>[[@BibleTOBIBLE:Ps 14:5]]</w:t>
      </w:r>
      <w:r>
        <w:rPr>
          <w:b/>
        </w:rPr>
        <w:t>5</w:t>
      </w:r>
      <w:r>
        <w:rPr/>
        <w:t xml:space="preserve"> {{field-on:bible}} </w:t>
        <w:br/>
        <w:t>Da erschraken sie einen Schrecken,</w:t>
      </w:r>
      <w:r>
        <w:rPr>
          <w:rStyle w:val="Funotenanker"/>
        </w:rPr>
        <w:footnoteReference w:customMarkFollows="1" w:id="1841"/>
        <w:t>g</w:t>
      </w:r>
      <w:r>
        <w:rPr/>
        <w:t xml:space="preserve">Weil Gott mit </w:t>
      </w:r>
      <w:r>
        <w:rPr>
          <w:b/>
          <w:color w:val="808080"/>
        </w:rPr>
        <w:t>[</w:t>
      </w:r>
      <w:r>
        <w:rPr/>
        <w:t>dem</w:t>
      </w:r>
      <w:r>
        <w:rPr>
          <w:b/>
          <w:color w:val="808080"/>
        </w:rPr>
        <w:t>]</w:t>
      </w:r>
      <w:r>
        <w:rPr/>
        <w:t xml:space="preserve"> gerechten Geschlecht </w:t>
      </w:r>
      <w:r>
        <w:rPr>
          <w:b/>
          <w:color w:val="808080"/>
        </w:rPr>
        <w:t>[</w:t>
      </w:r>
      <w:r>
        <w:rPr/>
        <w:t>war</w:t>
      </w:r>
      <w:r>
        <w:rPr>
          <w:b/>
          <w:color w:val="808080"/>
        </w:rPr>
        <w:t>]</w:t>
      </w:r>
      <w:r>
        <w:rPr/>
        <w:t>:</w:t>
      </w:r>
      <w:r>
        <w:rPr>
          <w:rStyle w:val="Funotenanker"/>
        </w:rPr>
        <w:footnoteReference w:customMarkFollows="1" w:id="1842"/>
        <w:t>h</w:t>
      </w:r>
      <w:r>
        <w:rPr/>
        <w:t xml:space="preserve"> </w:t>
        <w:br/>
        <w:t xml:space="preserve">{{field-off:bible}} </w:t>
        <w:br/>
        <w:t>[[@BibleTOBIBLE:Ps 14:6]]</w:t>
      </w:r>
      <w:r>
        <w:rPr>
          <w:b/>
        </w:rPr>
        <w:t>6</w:t>
      </w:r>
      <w:r>
        <w:rPr/>
        <w:t xml:space="preserve"> {{field-on:bible}} </w:t>
        <w:br/>
        <w:t>„</w:t>
      </w:r>
      <w:r>
        <w:rPr>
          <w:b/>
          <w:color w:val="808080"/>
        </w:rPr>
        <w:t>[</w:t>
      </w:r>
      <w:r>
        <w:rPr/>
        <w:t>Die</w:t>
      </w:r>
      <w:r>
        <w:rPr>
          <w:b/>
          <w:color w:val="808080"/>
        </w:rPr>
        <w:t>]</w:t>
      </w:r>
      <w:r>
        <w:rPr/>
        <w:t xml:space="preserve"> Plän</w:t>
      </w:r>
      <w:r>
        <w:rPr>
          <w:b/>
          <w:color w:val="808080"/>
        </w:rPr>
        <w:t>[</w:t>
      </w:r>
      <w:r>
        <w:rPr/>
        <w:t>e</w:t>
      </w:r>
      <w:r>
        <w:rPr>
          <w:b/>
          <w:color w:val="808080"/>
        </w:rPr>
        <w:t>]</w:t>
      </w:r>
      <w:r>
        <w:rPr/>
        <w:t xml:space="preserve"> des Armen wollt ihr zuschanden machen,Doch </w:t>
      </w:r>
      <w:r>
        <w:rPr>
          <w:smallCaps/>
          <w:color w:val="FF0000"/>
        </w:rPr>
        <w:t>JHWH</w:t>
      </w:r>
      <w:r>
        <w:rPr/>
        <w:t xml:space="preserve"> </w:t>
      </w:r>
      <w:r>
        <w:rPr>
          <w:b/>
          <w:color w:val="808080"/>
        </w:rPr>
        <w:t>[</w:t>
      </w:r>
      <w:r>
        <w:rPr/>
        <w:t>ist</w:t>
      </w:r>
      <w:r>
        <w:rPr>
          <w:b/>
          <w:color w:val="808080"/>
        </w:rPr>
        <w:t>]</w:t>
      </w:r>
      <w:r>
        <w:rPr/>
        <w:t xml:space="preserve"> sein Schutz!“</w:t>
        <w:br/>
        <w:br/>
        <w:t xml:space="preserve">{{field-off:bible}} </w:t>
        <w:br/>
        <w:t>[[@BibleTOBIBLE:Ps 14:7]]</w:t>
      </w:r>
      <w:r>
        <w:rPr>
          <w:b/>
        </w:rPr>
        <w:t>7</w:t>
      </w:r>
      <w:r>
        <w:rPr/>
        <w:t xml:space="preserve"> {{field-on:bible}} </w:t>
        <w:br/>
        <w:t>Möge es doch vom Zion</w:t>
      </w:r>
      <w:r>
        <w:rPr>
          <w:rStyle w:val="Funotenanker"/>
        </w:rPr>
        <w:footnoteReference w:customMarkFollows="1" w:id="1843"/>
        <w:t>i</w:t>
      </w:r>
      <w:r>
        <w:rPr/>
        <w:t xml:space="preserve"> Rettung für Israel geben!</w:t>
      </w:r>
      <w:r>
        <w:rPr>
          <w:rStyle w:val="Funotenanker"/>
        </w:rPr>
        <w:footnoteReference w:customMarkFollows="1" w:id="1844"/>
        <w:t>j</w:t>
      </w:r>
      <w:r>
        <w:rPr/>
        <w:t xml:space="preserve"> </w:t>
        <w:br/>
        <w:t xml:space="preserve">Wenn </w:t>
      </w:r>
      <w:r>
        <w:rPr>
          <w:smallCaps/>
          <w:color w:val="FF0000"/>
        </w:rPr>
        <w:t>JHWH</w:t>
      </w:r>
      <w:r>
        <w:rPr/>
        <w:t xml:space="preserve"> das Geschick </w:t>
      </w:r>
      <w:r>
        <w:rPr>
          <w:color w:val="808080"/>
        </w:rPr>
        <w:t>(die Gefangenschaft)</w:t>
      </w:r>
      <w:r>
        <w:rPr/>
        <w:t xml:space="preserve"> seines Volkes wendet,Möge Jakob</w:t>
      </w:r>
      <w:r>
        <w:rPr>
          <w:rStyle w:val="Funotenanker"/>
        </w:rPr>
        <w:footnoteReference w:customMarkFollows="1" w:id="1845"/>
        <w:t>k</w:t>
      </w:r>
      <w:r>
        <w:rPr/>
        <w:t xml:space="preserve"> jubeln, Israel sich freuen!</w:t>
        <w:br/>
        <w:t xml:space="preserve">{{field-off:bible}} </w:t>
      </w:r>
    </w:p>
    <w:p>
      <w:pPr>
        <w:pStyle w:val="Berschrift3"/>
        <w:rPr/>
      </w:pPr>
      <w:r>
        <w:rPr/>
        <w:t>[[@BibleTOBIBLE:Ps 16]]Kapitel 16</w:t>
      </w:r>
    </w:p>
    <w:p>
      <w:pPr>
        <w:pStyle w:val="Textkrper"/>
        <w:rPr/>
      </w:pPr>
      <w:r>
        <w:rPr/>
        <w:br/>
        <w:t>[[@BibleTOBIBLE:Ps 16:10]]</w:t>
      </w:r>
      <w:r>
        <w:rPr>
          <w:b/>
        </w:rPr>
        <w:t>10</w:t>
      </w:r>
      <w:r>
        <w:rPr/>
        <w:t xml:space="preserve"> {{field-on:bible}}Denn du wirst meine Seele nicht dem Scheol überlassen, du wirst deinen Frommen nicht dem Sehen der Grube </w:t>
      </w:r>
      <w:r>
        <w:rPr>
          <w:color w:val="808080"/>
        </w:rPr>
        <w:t>(des Grabes)</w:t>
      </w:r>
      <w:r>
        <w:rPr/>
        <w:t xml:space="preserve"> hingeben</w:t>
      </w:r>
      <w:r>
        <w:rPr>
          <w:rStyle w:val="Funotenanker"/>
        </w:rPr>
        <w:footnoteReference w:customMarkFollows="1" w:id="1846"/>
        <w:t>a</w:t>
      </w:r>
      <w:r>
        <w:rPr/>
        <w:t xml:space="preserve">.{{field-off:bible}} </w:t>
        <w:br/>
        <w:t>[[@BibleTOBIBLE:Ps 16:11]]</w:t>
      </w:r>
      <w:r>
        <w:rPr>
          <w:b/>
        </w:rPr>
        <w:t>11</w:t>
      </w:r>
      <w:r>
        <w:rPr/>
        <w:t xml:space="preserve"> {{field-on:bible}}Du wirst mir kundtun </w:t>
      </w:r>
      <w:r>
        <w:rPr>
          <w:color w:val="808080"/>
        </w:rPr>
        <w:t>(mich erkennen lassen)</w:t>
      </w:r>
      <w:r>
        <w:rPr/>
        <w:t xml:space="preserve"> den Weg </w:t>
      </w:r>
      <w:r>
        <w:rPr>
          <w:color w:val="808080"/>
        </w:rPr>
        <w:t>(Pfad)</w:t>
      </w:r>
      <w:r>
        <w:rPr/>
        <w:t xml:space="preserve"> des Lebens; </w:t>
      </w:r>
      <w:r>
        <w:rPr>
          <w:b/>
          <w:color w:val="808080"/>
        </w:rPr>
        <w:t>[</w:t>
      </w:r>
      <w:r>
        <w:rPr/>
        <w:t>eine</w:t>
      </w:r>
      <w:r>
        <w:rPr>
          <w:b/>
          <w:color w:val="808080"/>
        </w:rPr>
        <w:t>]</w:t>
      </w:r>
      <w:r>
        <w:rPr/>
        <w:t xml:space="preserve"> Fülle </w:t>
      </w:r>
      <w:r>
        <w:rPr>
          <w:color w:val="808080"/>
        </w:rPr>
        <w:t>(Sättigung)</w:t>
      </w:r>
      <w:r>
        <w:rPr/>
        <w:t xml:space="preserve"> der Freuden ist vor deinem Angesicht, Annehmlichkeiten </w:t>
      </w:r>
      <w:r>
        <w:rPr>
          <w:color w:val="808080"/>
        </w:rPr>
        <w:t>(Freuden, Liebliches)</w:t>
      </w:r>
      <w:r>
        <w:rPr/>
        <w:t xml:space="preserve"> in deiner Rechten allezeit</w:t>
      </w:r>
      <w:r>
        <w:rPr>
          <w:rStyle w:val="Funotenanker"/>
        </w:rPr>
        <w:footnoteReference w:customMarkFollows="1" w:id="1847"/>
        <w:t>b</w:t>
      </w:r>
      <w:r>
        <w:rPr/>
        <w:t xml:space="preserve">.{{field-off:bible}} </w:t>
      </w:r>
    </w:p>
    <w:p>
      <w:pPr>
        <w:pStyle w:val="Berschrift3"/>
        <w:rPr/>
      </w:pPr>
      <w:r>
        <w:rPr/>
        <w:t>[[@BibleTOBIBLE:Ps 18]]Kapitel 18</w:t>
      </w:r>
    </w:p>
    <w:p>
      <w:pPr>
        <w:pStyle w:val="Textkrper"/>
        <w:rPr/>
      </w:pPr>
      <w:r>
        <w:rPr/>
        <w:br/>
        <w:t>[[@BibleTOBIBLE:Ps 18:31]]</w:t>
      </w:r>
      <w:r>
        <w:rPr>
          <w:b/>
        </w:rPr>
        <w:t>31</w:t>
      </w:r>
      <w:r>
        <w:rPr/>
        <w:t xml:space="preserve"> {{field-on:bible}}Gott - vollkommen </w:t>
      </w:r>
      <w:r>
        <w:rPr>
          <w:color w:val="808080"/>
        </w:rPr>
        <w:t>(vollständig, einwandfrei)</w:t>
      </w:r>
      <w:r>
        <w:rPr/>
        <w:t xml:space="preserve"> </w:t>
      </w:r>
      <w:r>
        <w:rPr>
          <w:b/>
          <w:color w:val="808080"/>
        </w:rPr>
        <w:t>[</w:t>
      </w:r>
      <w:r>
        <w:rPr/>
        <w:t>ist</w:t>
      </w:r>
      <w:r>
        <w:rPr>
          <w:b/>
          <w:color w:val="808080"/>
        </w:rPr>
        <w:t>]</w:t>
      </w:r>
      <w:r>
        <w:rPr/>
        <w:t xml:space="preserve"> sein Weg. Das Wort </w:t>
      </w:r>
      <w:r>
        <w:rPr>
          <w:smallCaps/>
          <w:color w:val="FF0000"/>
        </w:rPr>
        <w:t>JHWH</w:t>
      </w:r>
      <w:r>
        <w:rPr/>
        <w:t xml:space="preserve">s ist geläutert, </w:t>
      </w:r>
      <w:r>
        <w:rPr>
          <w:b/>
          <w:color w:val="808080"/>
        </w:rPr>
        <w:t>[</w:t>
      </w:r>
      <w:r>
        <w:rPr/>
        <w:t>ein</w:t>
      </w:r>
      <w:r>
        <w:rPr>
          <w:b/>
          <w:color w:val="808080"/>
        </w:rPr>
        <w:t>]</w:t>
      </w:r>
      <w:r>
        <w:rPr/>
        <w:t xml:space="preserve"> Schild </w:t>
      </w:r>
      <w:r>
        <w:rPr>
          <w:b/>
          <w:color w:val="808080"/>
        </w:rPr>
        <w:t>[</w:t>
      </w:r>
      <w:r>
        <w:rPr/>
        <w:t>ist</w:t>
      </w:r>
      <w:r>
        <w:rPr>
          <w:b/>
          <w:color w:val="808080"/>
        </w:rPr>
        <w:t>]</w:t>
      </w:r>
      <w:r>
        <w:rPr/>
        <w:t xml:space="preserve"> er für alle, die Zuflucht suchen bei ihm.{{field-off:bible}}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848"/>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849"/>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850"/>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ihrer Religion auch im JHWH-Kult zu entdecken und erleichtert ihnen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851"/>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852"/>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853"/>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854"/>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855"/>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856"/>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857"/>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858"/>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859"/>
        <w:t>Status</w:t>
      </w:r>
      <w:r>
        <w:rPr/>
        <w:t xml:space="preserve"> Für den Chorleiter </w:t>
      </w:r>
      <w:r>
        <w:rPr>
          <w:color w:val="808080"/>
        </w:rPr>
        <w:t>(Dirigenten, Singenden, Musizierenden)</w:t>
      </w:r>
      <w:r>
        <w:rPr/>
        <w:t>.</w:t>
      </w:r>
      <w:r>
        <w:rPr>
          <w:rStyle w:val="Funotenanker"/>
        </w:rPr>
        <w:footnoteReference w:customMarkFollows="1" w:id="1860"/>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861"/>
        <w:t>m</w:t>
      </w:r>
      <w:r>
        <w:rPr/>
        <w:t xml:space="preserve"> </w:t>
      </w:r>
      <w:r>
        <w:rPr>
          <w:color w:val="808080"/>
        </w:rPr>
        <w:t>(Die Himmel verkünden)</w:t>
      </w:r>
      <w:r>
        <w:rPr/>
        <w:t xml:space="preserve"> </w:t>
      </w:r>
      <w:r>
        <w:rPr>
          <w:rStyle w:val="Funotenanker"/>
        </w:rPr>
        <w:footnoteReference w:customMarkFollows="1" w:id="1862"/>
        <w:t>n</w:t>
      </w:r>
      <w:r>
        <w:rPr/>
        <w:t xml:space="preserve"> die Herrlichkeit </w:t>
      </w:r>
      <w:r>
        <w:rPr>
          <w:color w:val="808080"/>
        </w:rPr>
        <w:t>(Lichtglanz, Glorie)</w:t>
      </w:r>
      <w:r>
        <w:rPr/>
        <w:t xml:space="preserve"> </w:t>
      </w:r>
      <w:r>
        <w:rPr>
          <w:rStyle w:val="Funotenanker"/>
        </w:rPr>
        <w:footnoteReference w:customMarkFollows="1" w:id="1863"/>
        <w:t>o</w:t>
      </w:r>
      <w:r>
        <w:rPr/>
        <w:t xml:space="preserve"> Gottes„ und das Walten </w:t>
      </w:r>
      <w:r>
        <w:rPr>
          <w:color w:val="808080"/>
        </w:rPr>
        <w:t>(Werk)</w:t>
      </w:r>
      <w:r>
        <w:rPr/>
        <w:t xml:space="preserve"> </w:t>
      </w:r>
      <w:r>
        <w:rPr>
          <w:rStyle w:val="Funotenanker"/>
        </w:rPr>
        <w:footnoteReference w:customMarkFollows="1" w:id="1864"/>
        <w:t>p</w:t>
      </w:r>
      <w:r>
        <w:rPr/>
        <w:t xml:space="preserve"> seiner Hände </w:t>
      </w:r>
      <w:r>
        <w:rPr>
          <w:color w:val="808080"/>
        </w:rPr>
        <w:t>(sein Walten)</w:t>
      </w:r>
      <w:r>
        <w:rPr/>
        <w:t xml:space="preserve"> </w:t>
      </w:r>
      <w:r>
        <w:rPr>
          <w:rStyle w:val="Funotenanker"/>
        </w:rPr>
        <w:footnoteReference w:customMarkFollows="1" w:id="1865"/>
        <w:t>q</w:t>
      </w:r>
      <w:r>
        <w:rPr/>
        <w:t xml:space="preserve"> macht kund das Firmament </w:t>
      </w:r>
      <w:r>
        <w:rPr>
          <w:color w:val="808080"/>
        </w:rPr>
        <w:t>(Himmelsgewölbe)</w:t>
      </w:r>
      <w:r>
        <w:rPr/>
        <w:t xml:space="preserve"> </w:t>
      </w:r>
      <w:r>
        <w:rPr>
          <w:rStyle w:val="Funotenanker"/>
        </w:rPr>
        <w:footnoteReference w:customMarkFollows="1" w:id="1866"/>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867"/>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868"/>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1869"/>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1870"/>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1871"/>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1872"/>
        <w:t>x</w:t>
      </w:r>
      <w:r>
        <w:rPr/>
        <w:t xml:space="preserve"> ihr Reden.“Der Sonne </w:t>
      </w:r>
      <w:r>
        <w:rPr>
          <w:color w:val="808080"/>
        </w:rPr>
        <w:t>(dem Sonnenball)</w:t>
      </w:r>
      <w:r>
        <w:rPr/>
        <w:t xml:space="preserve"> </w:t>
      </w:r>
      <w:r>
        <w:rPr>
          <w:rStyle w:val="Funotenanker"/>
        </w:rPr>
        <w:footnoteReference w:customMarkFollows="1" w:id="1873"/>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1874"/>
        <w:t>z</w:t>
      </w:r>
      <w:r>
        <w:rPr/>
        <w:t xml:space="preserve"> ein Zelt aus </w:t>
      </w:r>
      <w:r>
        <w:rPr>
          <w:color w:val="808080"/>
        </w:rPr>
        <w:t>(an)</w:t>
      </w:r>
      <w:r>
        <w:rPr/>
        <w:t xml:space="preserve"> ihm</w:t>
      </w:r>
      <w:r>
        <w:rPr>
          <w:rStyle w:val="Funotenanker"/>
        </w:rPr>
        <w:footnoteReference w:customMarkFollows="1" w:id="1875"/>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1876"/>
        <w:t>ab</w:t>
      </w:r>
      <w:r>
        <w:rPr/>
        <w:t xml:space="preserve"> aus seinem Brautzelt </w:t>
      </w:r>
      <w:r>
        <w:rPr>
          <w:color w:val="808080"/>
        </w:rPr>
        <w:t>(Zelt)</w:t>
      </w:r>
      <w:r>
        <w:rPr/>
        <w:t xml:space="preserve"> </w:t>
      </w:r>
      <w:r>
        <w:rPr>
          <w:rStyle w:val="Funotenanker"/>
        </w:rPr>
        <w:footnoteReference w:customMarkFollows="1" w:id="1877"/>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1878"/>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1879"/>
        <w:t>ae</w:t>
      </w:r>
      <w:r>
        <w:rPr/>
        <w:t xml:space="preserve"> des Himmels </w:t>
      </w:r>
      <w:r>
        <w:rPr>
          <w:color w:val="808080"/>
        </w:rPr>
        <w:t>(der Himmel</w:t>
      </w:r>
      <w:r>
        <w:rPr/>
        <w:t xml:space="preserve"> </w:t>
      </w:r>
      <w:r>
        <w:rPr>
          <w:rStyle w:val="Funotenanker"/>
        </w:rPr>
        <w:footnoteReference w:customMarkFollows="1" w:id="1880"/>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1881"/>
        <w:t>ag</w:t>
      </w:r>
      <w:r>
        <w:rPr/>
        <w:t xml:space="preserve"> verborgen.“{{field-off:bible}} </w:t>
        <w:br/>
        <w:t>[[@BibleTOBIBLE:Ps 19:8]]</w:t>
      </w:r>
      <w:r>
        <w:rPr>
          <w:b/>
        </w:rPr>
        <w:t>8</w:t>
      </w:r>
      <w:r>
        <w:rPr/>
        <w:t xml:space="preserve"> {{field-on:bible}}Das Gesetz</w:t>
      </w:r>
      <w:r>
        <w:rPr>
          <w:rStyle w:val="Funotenanker"/>
        </w:rPr>
        <w:footnoteReference w:customMarkFollows="1" w:id="1882"/>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1883"/>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1884"/>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1885"/>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1886"/>
        <w:t>al</w:t>
      </w:r>
      <w:r>
        <w:rPr/>
        <w:t xml:space="preserve"> - macht die Augen hell</w:t>
      </w:r>
      <w:r>
        <w:rPr>
          <w:rStyle w:val="Funotenanker"/>
        </w:rPr>
        <w:footnoteReference w:customMarkFollows="1" w:id="1887"/>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1888"/>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1889"/>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1890"/>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1891"/>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1892"/>
        <w:t>ar</w:t>
      </w:r>
      <w:r>
        <w:rPr/>
        <w:t xml:space="preserve">,“{{field-off:bible}} </w:t>
        <w:br/>
        <w:t>[[@BibleTOBIBLE:Ps 19:12]]</w:t>
      </w:r>
      <w:r>
        <w:rPr>
          <w:b/>
        </w:rPr>
        <w:t>12</w:t>
      </w:r>
      <w:r>
        <w:rPr/>
        <w:t xml:space="preserve"> {{field-on:bible}}wird auch</w:t>
      </w:r>
      <w:r>
        <w:rPr>
          <w:rStyle w:val="Funotenanker"/>
        </w:rPr>
        <w:footnoteReference w:customMarkFollows="1" w:id="1893"/>
        <w:t>as</w:t>
      </w:r>
      <w:r>
        <w:rPr/>
        <w:t xml:space="preserve"> dein Sklave</w:t>
      </w:r>
      <w:r>
        <w:rPr>
          <w:rStyle w:val="Funotenanker"/>
        </w:rPr>
        <w:footnoteReference w:customMarkFollows="1" w:id="1894"/>
        <w:t>at</w:t>
      </w:r>
      <w:r>
        <w:rPr/>
        <w:t xml:space="preserve"> gewarnt </w:t>
      </w:r>
      <w:r>
        <w:rPr>
          <w:color w:val="808080"/>
        </w:rPr>
        <w:t>(erleuchtet)</w:t>
      </w:r>
      <w:r>
        <w:rPr/>
        <w:t xml:space="preserve"> </w:t>
      </w:r>
      <w:r>
        <w:rPr>
          <w:rStyle w:val="Funotenanker"/>
        </w:rPr>
        <w:footnoteReference w:customMarkFollows="1" w:id="1895"/>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1896"/>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1897"/>
        <w:t>aw</w:t>
      </w:r>
      <w:r>
        <w:rPr/>
        <w:t xml:space="preserve"> Versehen </w:t>
      </w:r>
      <w:r>
        <w:rPr>
          <w:color w:val="808080"/>
        </w:rPr>
        <w:t>(versehentliche Fehler)</w:t>
      </w:r>
      <w:r>
        <w:rPr/>
        <w:t xml:space="preserve"> </w:t>
      </w:r>
      <w:r>
        <w:rPr>
          <w:rStyle w:val="Funotenanker"/>
        </w:rPr>
        <w:footnoteReference w:customMarkFollows="1" w:id="1898"/>
        <w:t>ax</w:t>
      </w:r>
      <w:r>
        <w:rPr/>
        <w:t xml:space="preserve"> - wer bemerkt sie</w:t>
      </w:r>
      <w:r>
        <w:rPr>
          <w:rStyle w:val="Funotenanker"/>
        </w:rPr>
        <w:footnoteReference w:customMarkFollows="1" w:id="1899"/>
        <w:t>ay</w:t>
      </w:r>
      <w:r>
        <w:rPr/>
        <w:t xml:space="preserve">?„ Von den Verborgenen </w:t>
      </w:r>
      <w:r>
        <w:rPr>
          <w:color w:val="808080"/>
        </w:rPr>
        <w:t>(ungewollte Sünden)</w:t>
      </w:r>
      <w:r>
        <w:rPr/>
        <w:t xml:space="preserve"> </w:t>
      </w:r>
      <w:r>
        <w:rPr>
          <w:rStyle w:val="Funotenanker"/>
        </w:rPr>
        <w:footnoteReference w:customMarkFollows="1" w:id="1900"/>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1901"/>
        <w:t>ba</w:t>
      </w:r>
      <w:r>
        <w:rPr/>
        <w:t xml:space="preserve"> halte zurück deinen Sklaven,„ Lass sie mich nicht beherrschen!</w:t>
      </w:r>
      <w:r>
        <w:rPr>
          <w:rStyle w:val="Funotenanker"/>
        </w:rPr>
        <w:footnoteReference w:customMarkFollows="1" w:id="1902"/>
        <w:t>bb</w:t>
      </w:r>
      <w:r>
        <w:rPr/>
        <w:t xml:space="preserve">“Dann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1903"/>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sich-Äußern meines Herzens </w:t>
      </w:r>
      <w:r>
        <w:rPr>
          <w:color w:val="808080"/>
        </w:rPr>
        <w:t>(meine Äußerungen)</w:t>
      </w:r>
      <w:r>
        <w:rPr/>
        <w:t xml:space="preserve"> vor deinem Gesicht </w:t>
      </w:r>
      <w:r>
        <w:rPr>
          <w:color w:val="808080"/>
        </w:rPr>
        <w:t>(vor dir)</w:t>
      </w:r>
      <w:r>
        <w:rPr/>
        <w:t xml:space="preserve"> </w:t>
      </w:r>
      <w:r>
        <w:rPr>
          <w:rStyle w:val="Funotenanker"/>
        </w:rPr>
        <w:footnoteReference w:customMarkFollows="1" w:id="1904"/>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t xml:space="preserve">Psalm 22 ist für Christen und Juden ein gleichermaßen zentraler Psalm, weil er im Neuen Testament als das Gebet Christi am Kreuz zitiert und im Midrasch zu den Psalmen und anderen frühjüdischen Schriften als das Gebet der Esther geschildert wird (vgl. dazu Menn 2000, S. 317ff.). Auch sonst gibt es vielfache Bezüge zwischen Psalm 22 und der Passion Christi, vgl. V. 2 mit Mk 15,34 parr., V. 8 mit Mk 15,29 par., V. 9 mit Mk 15,30 parr., V. 17 mit dem johanneischen Gedanken, Jesus sei ans Kreuz genagelt worden und V. 19 mit Mk 15,24 parr. Es handelt sich bei Psalm 22 um einen bittenden „Klagepsalm“ eines von Feinden bedrängten Beters, der sich wegen dieser Bedrängung als von Gott verlassen sieht. Die einzelnen typischen Bestandteile dieser Psalmengattung sind klar erkennbar: V. 1 ist die sog. „Psalmenüberschrift“. Diese Überschriften wurden den Psalmen nachträglich hinzugefügt; über ihren Sinn weiß man immer noch nichts Genaueres und auch die Bedeutung der einzelnen Vokabeln ist hier wie oft unklar. Doch da es sich um nachträgliche Hinzufügungen handelt, wirkt sich das glücklicherweise nicht allzu nachteilig auf das Verstndnis des Psalms im Ganzen aus. Der eigentliche Psalm beginnt in Vv. 2f. mit der dreifachen „Invokation“, mit der der Beter die Aufmerksamkeit Gottes auf sich lenken will (2x „mein Gott“, 1x „meine Gottheit“). Daran schließt sich in Vv. 2-11.13-19 direkt die „Klage“ an, mit der Beter in zwei Durchgängen sein Geschick beklagt. Im ersten liegt der Fokus darauf, dass er sich als von Gott verlassen sieht, im zweiten auf der Bedrängung durch seine Feinde, durch die er vor Panik dem Sterben nahe ist. In Vv. 12.20-22 findet sich die „Bitte“: Gott soll ihn beschützen und sein Leben vor seinen Feinden bewahren. Und in Vv. 23-32 folgt ein sog. „Dankgelübde“: Wenn Gott dieser seiner Bitte nachkommt, wird er dafür Gott vor der versammelten Kultgemeinde preisen und für Gott und die Kultgemeinde ein Dankopfermahl stiften. Ein besonderer Zug findet sich dabei in Vv. 28-32, wo unterstützend hervorgehoben wird, wie sehr auch Gott davon profitieren würde, wenn er dem Beter hilft: Der Bericht von seinem rettenden Handeln wird auch zu den andersgläubigen Völkern dringen und beeindruckt von der Rettungsmacht Gottes werden darauf auch diese sich zu Gott bekehren, so dass Gott dadurch zum „König der ganzen Welt“ und zum „Herrscher über alle Völker“ wird. </w:t>
        <w:br/>
        <w:br/>
        <w:t>[[@BibleTOBIBLE:Ps 22:1]]</w:t>
      </w:r>
      <w:r>
        <w:rPr>
          <w:b/>
        </w:rPr>
        <w:t>1</w:t>
      </w:r>
      <w:r>
        <w:rPr/>
        <w:t xml:space="preserve"> {{field-on:bible}} </w:t>
      </w:r>
      <w:r>
        <w:rPr>
          <w:rStyle w:val="Funotenanker"/>
        </w:rPr>
        <w:footnoteReference w:customMarkFollows="1" w:id="1905"/>
        <w:t>Status</w:t>
      </w:r>
      <w:r>
        <w:rPr/>
        <w:t xml:space="preserve"> ''Für den Chorleiter </w:t>
      </w:r>
      <w:r>
        <w:rPr>
          <w:color w:val="808080"/>
        </w:rPr>
        <w:t>(Dirigenten, Singenden, Musizierenden)</w:t>
      </w:r>
      <w:r>
        <w:rPr/>
        <w:t>''.</w:t>
      </w:r>
      <w:r>
        <w:rPr>
          <w:rStyle w:val="Funotenanker"/>
        </w:rPr>
        <w:footnoteReference w:customMarkFollows="1" w:id="1906"/>
        <w:t>a</w:t>
      </w:r>
      <w:r>
        <w:rPr/>
        <w:t xml:space="preserve"> ''Nach „Hirschkuh der Mörgenröte“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„Hirschkuh der Morgenröte“)</w:t>
      </w:r>
      <w:r>
        <w:rPr/>
        <w:t>.''</w:t>
      </w:r>
      <w:r>
        <w:rPr>
          <w:rStyle w:val="Funotenanker"/>
        </w:rPr>
        <w:footnoteReference w:customMarkFollows="1" w:id="1907"/>
        <w:t>b</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22:2]]</w:t>
      </w:r>
      <w:r>
        <w:rPr>
          <w:b/>
        </w:rPr>
        <w:t>2</w:t>
      </w:r>
      <w:r>
        <w:rPr/>
        <w:t xml:space="preserve"> {{field-on:bible}} </w:t>
        <w:br/>
        <w:t xml:space="preserve">Mein Gott, mein Gott, warum hast du mich verlassen, </w:t>
      </w:r>
      <w:r>
        <w:rPr>
          <w:b/>
          <w:color w:val="808080"/>
        </w:rPr>
        <w:t>[</w:t>
      </w:r>
      <w:r>
        <w:rPr/>
        <w:t>Warum</w:t>
      </w:r>
      <w:r>
        <w:rPr>
          <w:b/>
          <w:color w:val="808080"/>
        </w:rPr>
        <w:t>]</w:t>
      </w:r>
      <w:r>
        <w:rPr/>
        <w:t xml:space="preserve"> </w:t>
      </w:r>
      <w:r>
        <w:rPr>
          <w:b/>
          <w:color w:val="808080"/>
        </w:rPr>
        <w:t>[</w:t>
      </w:r>
      <w:r>
        <w:rPr/>
        <w:t>bist du</w:t>
      </w:r>
      <w:r>
        <w:rPr>
          <w:b/>
          <w:color w:val="808080"/>
        </w:rPr>
        <w:t>]</w:t>
      </w:r>
      <w:r>
        <w:rPr/>
        <w:t xml:space="preserve"> fern von meiner Rettung </w:t>
      </w:r>
      <w:r>
        <w:rPr>
          <w:color w:val="808080"/>
        </w:rPr>
        <w:t>(von meinem Schreien)</w:t>
      </w:r>
      <w:r>
        <w:rPr/>
        <w:t>,</w:t>
      </w:r>
      <w:r>
        <w:rPr>
          <w:rStyle w:val="Funotenanker"/>
        </w:rPr>
        <w:footnoteReference w:customMarkFollows="1" w:id="1908"/>
        <w:t>c</w:t>
      </w:r>
      <w:r>
        <w:rPr/>
        <w:t xml:space="preserve"> </w:t>
      </w:r>
      <w:r>
        <w:rPr>
          <w:b/>
          <w:color w:val="808080"/>
        </w:rPr>
        <w:t>[</w:t>
      </w:r>
      <w:r>
        <w:rPr/>
        <w:t>von den</w:t>
      </w:r>
      <w:r>
        <w:rPr>
          <w:b/>
          <w:color w:val="808080"/>
        </w:rPr>
        <w:t>]</w:t>
      </w:r>
      <w:r>
        <w:rPr/>
        <w:t xml:space="preserve"> den Worten meiner Klage </w:t>
      </w:r>
      <w:r>
        <w:rPr>
          <w:color w:val="808080"/>
        </w:rPr>
        <w:t xml:space="preserve">([warum] </w:t>
      </w:r>
      <w:r>
        <w:rPr>
          <w:b/>
          <w:color w:val="808080"/>
        </w:rPr>
        <w:t>[</w:t>
      </w:r>
      <w:r>
        <w:rPr>
          <w:color w:val="808080"/>
        </w:rPr>
        <w:t>sind</w:t>
      </w:r>
      <w:r>
        <w:rPr>
          <w:b/>
          <w:color w:val="808080"/>
        </w:rPr>
        <w:t>]</w:t>
      </w:r>
      <w:r>
        <w:rPr>
          <w:color w:val="808080"/>
        </w:rPr>
        <w:t xml:space="preserve"> die Worte meiner Klage fern von meiner Rettung; [warum] </w:t>
      </w:r>
      <w:r>
        <w:rPr>
          <w:b/>
          <w:color w:val="808080"/>
        </w:rPr>
        <w:t>[</w:t>
      </w:r>
      <w:r>
        <w:rPr>
          <w:color w:val="808080"/>
        </w:rPr>
        <w:t>bist du</w:t>
      </w:r>
      <w:r>
        <w:rPr>
          <w:b/>
          <w:color w:val="808080"/>
        </w:rPr>
        <w:t>]</w:t>
      </w:r>
      <w:r>
        <w:rPr>
          <w:color w:val="808080"/>
        </w:rPr>
        <w:t xml:space="preserve"> fern von meiner Rettung, [fern von] </w:t>
      </w:r>
      <w:r>
        <w:rPr>
          <w:b/>
          <w:color w:val="808080"/>
        </w:rPr>
        <w:t>[</w:t>
      </w:r>
      <w:r>
        <w:rPr>
          <w:color w:val="808080"/>
        </w:rPr>
        <w:t>meinen</w:t>
      </w:r>
      <w:r>
        <w:rPr>
          <w:b/>
          <w:color w:val="808080"/>
        </w:rPr>
        <w:t>]</w:t>
      </w:r>
      <w:r>
        <w:rPr>
          <w:color w:val="808080"/>
        </w:rPr>
        <w:t xml:space="preserve"> Worten, oh du meine Hilfe)</w:t>
      </w:r>
      <w:r>
        <w:rPr/>
        <w:t>?</w:t>
        <w:br/>
        <w:t xml:space="preserve">{{field-off:bible}} </w:t>
        <w:br/>
        <w:t>[[@BibleTOBIBLE:Ps 22:3]]</w:t>
      </w:r>
      <w:r>
        <w:rPr>
          <w:b/>
        </w:rPr>
        <w:t>3</w:t>
      </w:r>
      <w:r>
        <w:rPr/>
        <w:t xml:space="preserve"> {{field-on:bible}} </w:t>
        <w:br/>
        <w:t xml:space="preserve">Meine Gottheit, ich rufe Tag - doch du antwortest nicht </w:t>
      </w:r>
      <w:r>
        <w:rPr>
          <w:color w:val="808080"/>
        </w:rPr>
        <w:t>(erhörst mich nicht)</w:t>
      </w:r>
      <w:r>
        <w:rPr/>
        <w:t xml:space="preserve"> ,</w:t>
      </w:r>
      <w:r>
        <w:rPr>
          <w:rStyle w:val="Funotenanker"/>
        </w:rPr>
        <w:footnoteReference w:customMarkFollows="1" w:id="1909"/>
        <w:t>d</w:t>
      </w:r>
      <w:r>
        <w:rPr/>
        <w:t xml:space="preserve"> Und Nacht - doch </w:t>
      </w:r>
      <w:r>
        <w:rPr>
          <w:b/>
          <w:color w:val="808080"/>
        </w:rPr>
        <w:t>[</w:t>
      </w:r>
      <w:r>
        <w:rPr/>
        <w:t>es gibt</w:t>
      </w:r>
      <w:r>
        <w:rPr>
          <w:b/>
          <w:color w:val="808080"/>
        </w:rPr>
        <w:t>]</w:t>
      </w:r>
      <w:r>
        <w:rPr/>
        <w:t xml:space="preserve"> nicht Ruhe für mich.</w:t>
      </w:r>
      <w:r>
        <w:rPr>
          <w:rStyle w:val="Funotenanker"/>
        </w:rPr>
        <w:footnoteReference w:customMarkFollows="1" w:id="1910"/>
        <w:t>e</w:t>
      </w:r>
      <w:r>
        <w:rPr/>
        <w:t xml:space="preserve"> </w:t>
        <w:br/>
        <w:br/>
        <w:t xml:space="preserve">{{field-off:bible}} </w:t>
        <w:br/>
        <w:t>[[@BibleTOBIBLE:Ps 22:4]]</w:t>
      </w:r>
      <w:r>
        <w:rPr>
          <w:b/>
        </w:rPr>
        <w:t>4</w:t>
      </w:r>
      <w:r>
        <w:rPr/>
        <w:t xml:space="preserve"> {{field-on:bible}} </w:t>
        <w:br/>
      </w:r>
      <w:r>
        <w:rPr>
          <w:b/>
          <w:color w:val="808080"/>
        </w:rPr>
        <w:t>[</w:t>
      </w:r>
      <w:r>
        <w:rPr/>
        <w:t>Auf</w:t>
      </w:r>
      <w:r>
        <w:rPr>
          <w:b/>
          <w:color w:val="808080"/>
        </w:rPr>
        <w:t>]</w:t>
      </w:r>
      <w:r>
        <w:rPr/>
        <w:t xml:space="preserve"> </w:t>
      </w:r>
      <w:r>
        <w:rPr>
          <w:rStyle w:val="Funotenanker"/>
        </w:rPr>
        <w:footnoteReference w:customMarkFollows="1" w:id="1911"/>
        <w:t>f</w:t>
      </w:r>
      <w:r>
        <w:rPr/>
        <w:t xml:space="preserve"> dich - den Heiligen,Der du thronst über den Lobgesängen Israels</w:t>
      </w:r>
      <w:r>
        <w:rPr>
          <w:rStyle w:val="Funotenanker"/>
        </w:rPr>
        <w:footnoteReference w:customMarkFollows="1" w:id="1912"/>
        <w:t>g</w:t>
      </w:r>
      <w:r>
        <w:rPr/>
        <w:t xml:space="preserve"> </w:t>
      </w:r>
      <w:r>
        <w:rPr>
          <w:color w:val="808080"/>
        </w:rPr>
        <w:t>(Dabei thronst du doch als der Heilige / über den Lobgesängen Israels; Dabei bist du doch heilig/der Heilige, / thronst über den Lobgesängen Israels)</w:t>
      </w:r>
      <w:r>
        <w:rPr/>
        <w:t xml:space="preserve"> - </w:t>
        <w:br/>
        <w:t xml:space="preserve">{{field-off:bible}} </w:t>
        <w:br/>
        <w:t>[[@BibleTOBIBLE:Ps 22:5]]</w:t>
      </w:r>
      <w:r>
        <w:rPr>
          <w:b/>
        </w:rPr>
        <w:t>5</w:t>
      </w:r>
      <w:r>
        <w:rPr/>
        <w:t xml:space="preserve"> {{field-on:bible}} </w:t>
        <w:br/>
        <w:t xml:space="preserve">Auf dich vertrauten </w:t>
      </w:r>
      <w:r>
        <w:rPr>
          <w:b/>
          <w:color w:val="808080"/>
        </w:rPr>
        <w:t>[</w:t>
      </w:r>
      <w:r>
        <w:rPr/>
        <w:t>doch schon</w:t>
      </w:r>
      <w:r>
        <w:rPr>
          <w:b/>
          <w:color w:val="808080"/>
        </w:rPr>
        <w:t>]</w:t>
      </w:r>
      <w:r>
        <w:rPr/>
        <w:t xml:space="preserve"> unsere Vorfahren:</w:t>
        <w:br/>
        <w:t>Sie vertrauten - und du hast sie befreit.</w:t>
        <w:br/>
        <w:t xml:space="preserve">{{field-off:bible}} </w:t>
        <w:br/>
        <w:t>[[@BibleTOBIBLE:Ps 22:6]]</w:t>
      </w:r>
      <w:r>
        <w:rPr>
          <w:b/>
        </w:rPr>
        <w:t>6</w:t>
      </w:r>
      <w:r>
        <w:rPr/>
        <w:t xml:space="preserve"> {{field-on:bible}} </w:t>
        <w:br/>
        <w:t>Zu dir schrien sie - und wurden gerettet, Auf dich vertrauten sie - und wurden nicht zuschanden.</w:t>
        <w:br/>
        <w:br/>
        <w:t xml:space="preserve">{{field-off:bible}} </w:t>
        <w:br/>
        <w:t>[[@BibleTOBIBLE:Ps 22:7]]</w:t>
      </w:r>
      <w:r>
        <w:rPr>
          <w:b/>
        </w:rPr>
        <w:t>7</w:t>
      </w:r>
      <w:r>
        <w:rPr/>
        <w:t xml:space="preserve"> {{field-on:bible}} </w:t>
        <w:br/>
        <w:t xml:space="preserve">Ich aber bin ein Wurm und kein Mensch </w:t>
      </w:r>
      <w:r>
        <w:rPr>
          <w:color w:val="808080"/>
        </w:rPr>
        <w:t>(Bin ich etwa ein Wurm und kein Mensch!? / Bin ja der Leute Spott...)</w:t>
      </w:r>
      <w:r>
        <w:rPr/>
        <w:t>Der Leute Spott und verachtet vom Volk.</w:t>
        <w:br/>
        <w:t xml:space="preserve">{{field-off:bible}} </w:t>
        <w:br/>
        <w:t>[[@BibleTOBIBLE:Ps 22:8]]</w:t>
      </w:r>
      <w:r>
        <w:rPr>
          <w:b/>
        </w:rPr>
        <w:t>8</w:t>
      </w:r>
      <w:r>
        <w:rPr/>
        <w:t xml:space="preserve"> {{field-on:bible}} </w:t>
        <w:br/>
        <w:t>Alle, die mich sehen, verhöhnen mich, Reißen die Lippe</w:t>
      </w:r>
      <w:r>
        <w:rPr>
          <w:b/>
          <w:color w:val="808080"/>
        </w:rPr>
        <w:t>[</w:t>
      </w:r>
      <w:r>
        <w:rPr/>
        <w:t>n</w:t>
      </w:r>
      <w:r>
        <w:rPr>
          <w:b/>
          <w:color w:val="808080"/>
        </w:rPr>
        <w:t>]</w:t>
      </w:r>
      <w:r>
        <w:rPr/>
        <w:t xml:space="preserve"> auf, schütteln den Kopf</w:t>
      </w:r>
      <w:r>
        <w:rPr>
          <w:rStyle w:val="Funotenanker"/>
        </w:rPr>
        <w:footnoteReference w:customMarkFollows="1" w:id="1913"/>
        <w:t>h</w:t>
      </w:r>
      <w:r>
        <w:rPr/>
        <w:t xml:space="preserve"> </w:t>
      </w:r>
      <w:r>
        <w:rPr>
          <w:b/>
          <w:color w:val="808080"/>
        </w:rPr>
        <w:t>[</w:t>
      </w:r>
      <w:r>
        <w:rPr/>
        <w:t>und spotten:</w:t>
      </w:r>
      <w:r>
        <w:rPr>
          <w:b/>
          <w:color w:val="808080"/>
        </w:rPr>
        <w:t>]</w:t>
      </w:r>
      <w:r>
        <w:rPr/>
        <w:t xml:space="preserve"> </w:t>
      </w:r>
      <w:r>
        <w:rPr>
          <w:rStyle w:val="Funotenanker"/>
        </w:rPr>
        <w:footnoteReference w:customMarkFollows="1" w:id="1914"/>
        <w:t>i</w:t>
      </w:r>
      <w:r>
        <w:rPr/>
        <w:t xml:space="preserve"> </w:t>
        <w:br/>
        <w:t xml:space="preserve">{{field-off:bible}} </w:t>
        <w:br/>
        <w:t>[[@BibleTOBIBLE:Ps 22:9]]</w:t>
      </w:r>
      <w:r>
        <w:rPr>
          <w:b/>
        </w:rPr>
        <w:t>9</w:t>
      </w:r>
      <w:r>
        <w:rPr/>
        <w:t xml:space="preserve"> {{field-on:bible}} </w:t>
        <w:br/>
        <w:t xml:space="preserve">„Wälze </w:t>
      </w:r>
      <w:r>
        <w:rPr>
          <w:color w:val="808080"/>
        </w:rPr>
        <w:t>(Er hat gewälzt)</w:t>
      </w:r>
      <w:r>
        <w:rPr/>
        <w:t xml:space="preserve"> </w:t>
      </w:r>
      <w:r>
        <w:rPr>
          <w:b/>
          <w:color w:val="808080"/>
        </w:rPr>
        <w:t>[</w:t>
      </w:r>
      <w:r>
        <w:rPr/>
        <w:t xml:space="preserve">es </w:t>
      </w:r>
      <w:r>
        <w:rPr>
          <w:color w:val="808080"/>
        </w:rPr>
        <w:t>(dich)</w:t>
      </w:r>
      <w:r>
        <w:rPr>
          <w:b/>
          <w:color w:val="808080"/>
        </w:rPr>
        <w:t>]</w:t>
      </w:r>
      <w:r>
        <w:rPr/>
        <w:t xml:space="preserve"> </w:t>
      </w:r>
      <w:r>
        <w:rPr>
          <w:rStyle w:val="Funotenanker"/>
        </w:rPr>
        <w:footnoteReference w:customMarkFollows="1" w:id="1915"/>
        <w:t>j</w:t>
      </w:r>
      <w:r>
        <w:rPr/>
        <w:t xml:space="preserve"> auf </w:t>
      </w:r>
      <w:r>
        <w:rPr>
          <w:smallCaps/>
          <w:color w:val="FF0000"/>
        </w:rPr>
        <w:t>JHWH</w:t>
      </w:r>
      <w:r>
        <w:rPr/>
        <w:t xml:space="preserve">! Der wird </w:t>
      </w:r>
      <w:r>
        <w:rPr>
          <w:color w:val="808080"/>
        </w:rPr>
        <w:t>(soll)</w:t>
      </w:r>
      <w:r>
        <w:rPr/>
        <w:t xml:space="preserve"> ihn retten, Der wird </w:t>
      </w:r>
      <w:r>
        <w:rPr>
          <w:color w:val="808080"/>
        </w:rPr>
        <w:t>(soll)</w:t>
      </w:r>
      <w:r>
        <w:rPr/>
        <w:t xml:space="preserve"> ihn befreien - er hat ja Gefallen an ihm </w:t>
      </w:r>
      <w:r>
        <w:rPr>
          <w:color w:val="808080"/>
        </w:rPr>
        <w:t>(er ist ja so gläubig)</w:t>
      </w:r>
      <w:r>
        <w:rPr/>
        <w:t>!“</w:t>
      </w:r>
      <w:r>
        <w:rPr>
          <w:rStyle w:val="Funotenanker"/>
        </w:rPr>
        <w:footnoteReference w:customMarkFollows="1" w:id="1916"/>
        <w:t>k</w:t>
      </w:r>
      <w:r>
        <w:rPr/>
        <w:t xml:space="preserve"> </w:t>
        <w:br/>
        <w:br/>
        <w:t xml:space="preserve">{{field-off:bible}} </w:t>
        <w:br/>
        <w:t>[[@BibleTOBIBLE:Ps 22:10]]</w:t>
      </w:r>
      <w:r>
        <w:rPr>
          <w:b/>
        </w:rPr>
        <w:t>10</w:t>
      </w:r>
      <w:r>
        <w:rPr/>
        <w:t xml:space="preserve"> {{field-on:bible}} </w:t>
        <w:br/>
        <w:t xml:space="preserve">Ach! </w:t>
      </w:r>
      <w:r>
        <w:rPr>
          <w:color w:val="808080"/>
        </w:rPr>
        <w:t>(So ists!, Denn)</w:t>
      </w:r>
      <w:r>
        <w:rPr/>
        <w:t xml:space="preserve"> Du </w:t>
      </w:r>
      <w:r>
        <w:rPr>
          <w:b/>
          <w:color w:val="808080"/>
        </w:rPr>
        <w:t>[</w:t>
      </w:r>
      <w:r>
        <w:rPr/>
        <w:t>warst</w:t>
      </w:r>
      <w:r>
        <w:rPr>
          <w:b/>
          <w:color w:val="808080"/>
        </w:rPr>
        <w:t>]</w:t>
      </w:r>
      <w:r>
        <w:rPr/>
        <w:t xml:space="preserve"> es </w:t>
      </w:r>
      <w:r>
        <w:rPr>
          <w:b/>
          <w:color w:val="808080"/>
        </w:rPr>
        <w:t>[</w:t>
      </w:r>
      <w:r>
        <w:rPr/>
        <w:t>doch</w:t>
      </w:r>
      <w:r>
        <w:rPr>
          <w:b/>
          <w:color w:val="808080"/>
        </w:rPr>
        <w:t>]</w:t>
      </w:r>
      <w:r>
        <w:rPr/>
        <w:t>, der mich aus dem Schoß hervorbrechen ließ,</w:t>
      </w:r>
      <w:r>
        <w:rPr>
          <w:rStyle w:val="Funotenanker"/>
        </w:rPr>
        <w:footnoteReference w:customMarkFollows="1" w:id="1917"/>
        <w:t>l</w:t>
      </w:r>
      <w:r>
        <w:rPr/>
        <w:t xml:space="preserve">Der mir Vertrauen einflößte </w:t>
      </w:r>
      <w:r>
        <w:rPr>
          <w:color w:val="808080"/>
        </w:rPr>
        <w:t>(dem ich vertraute)</w:t>
      </w:r>
      <w:r>
        <w:rPr/>
        <w:t xml:space="preserve"> </w:t>
      </w:r>
      <w:r>
        <w:rPr>
          <w:rStyle w:val="Funotenanker"/>
        </w:rPr>
        <w:footnoteReference w:customMarkFollows="1" w:id="1918"/>
        <w:t>m</w:t>
      </w:r>
      <w:r>
        <w:rPr/>
        <w:t xml:space="preserve"> </w:t>
      </w:r>
      <w:r>
        <w:rPr>
          <w:b/>
          <w:color w:val="808080"/>
        </w:rPr>
        <w:t>[</w:t>
      </w:r>
      <w:r>
        <w:rPr/>
        <w:t>schon</w:t>
      </w:r>
      <w:r>
        <w:rPr>
          <w:b/>
          <w:color w:val="808080"/>
        </w:rPr>
        <w:t>]</w:t>
      </w:r>
      <w:r>
        <w:rPr/>
        <w:t xml:space="preserve"> an der Brust meiner Mutter.</w:t>
        <w:br/>
        <w:t xml:space="preserve">{{field-off:bible}} </w:t>
        <w:br/>
        <w:t>[[@BibleTOBIBLE:Ps 22:11]]</w:t>
      </w:r>
      <w:r>
        <w:rPr>
          <w:b/>
        </w:rPr>
        <w:t>11</w:t>
      </w:r>
      <w:r>
        <w:rPr/>
        <w:t xml:space="preserve"> {{field-on:bible}} </w:t>
        <w:br/>
        <w:t xml:space="preserve">Auf dich bin ich geworfen </w:t>
      </w:r>
      <w:r>
        <w:rPr>
          <w:b/>
          <w:color w:val="808080"/>
        </w:rPr>
        <w:t>[</w:t>
      </w:r>
      <w:r>
        <w:rPr/>
        <w:t>schon</w:t>
      </w:r>
      <w:r>
        <w:rPr>
          <w:b/>
          <w:color w:val="808080"/>
        </w:rPr>
        <w:t>]</w:t>
      </w:r>
      <w:r>
        <w:rPr/>
        <w:t xml:space="preserve"> vom Mutterleib an,</w:t>
      </w:r>
      <w:r>
        <w:rPr>
          <w:rStyle w:val="Funotenanker"/>
        </w:rPr>
        <w:footnoteReference w:customMarkFollows="1" w:id="1919"/>
        <w:t>n</w:t>
      </w:r>
      <w:r>
        <w:rPr/>
        <w:t xml:space="preserve"> </w:t>
      </w:r>
      <w:r>
        <w:rPr>
          <w:b/>
          <w:color w:val="808080"/>
        </w:rPr>
        <w:t>[</w:t>
      </w:r>
      <w:r>
        <w:rPr/>
        <w:t>Schon</w:t>
      </w:r>
      <w:r>
        <w:rPr>
          <w:b/>
          <w:color w:val="808080"/>
        </w:rPr>
        <w:t>]</w:t>
      </w:r>
      <w:r>
        <w:rPr/>
        <w:t xml:space="preserve"> von meiner Mutter Schoß an bist du mein Gott.</w:t>
        <w:br/>
        <w:br/>
        <w:t xml:space="preserve">{{field-off:bible}} </w:t>
        <w:br/>
        <w:t>[[@BibleTOBIBLE:Ps 22:12]]</w:t>
      </w:r>
      <w:r>
        <w:rPr>
          <w:b/>
        </w:rPr>
        <w:t>12</w:t>
      </w:r>
      <w:r>
        <w:rPr/>
        <w:t xml:space="preserve"> {{field-on:bible}} </w:t>
        <w:br/>
        <w:t xml:space="preserve">Sei nicht fern von mir, Denn die Enge </w:t>
      </w:r>
      <w:r>
        <w:rPr>
          <w:color w:val="808080"/>
        </w:rPr>
        <w:t>(Bedrängnis)</w:t>
      </w:r>
      <w:r>
        <w:rPr/>
        <w:t xml:space="preserve"> </w:t>
      </w:r>
      <w:r>
        <w:rPr>
          <w:b/>
          <w:color w:val="808080"/>
        </w:rPr>
        <w:t>[</w:t>
      </w:r>
      <w:r>
        <w:rPr/>
        <w:t>ist</w:t>
      </w:r>
      <w:r>
        <w:rPr>
          <w:b/>
          <w:color w:val="808080"/>
        </w:rPr>
        <w:t>]</w:t>
      </w:r>
      <w:r>
        <w:rPr/>
        <w:t xml:space="preserve"> nahe;</w:t>
      </w:r>
      <w:r>
        <w:rPr>
          <w:rStyle w:val="Funotenanker"/>
        </w:rPr>
        <w:footnoteReference w:customMarkFollows="1" w:id="1920"/>
        <w:t>o</w:t>
      </w:r>
      <w:r>
        <w:rPr/>
        <w:t xml:space="preserve"> </w:t>
      </w:r>
      <w:r>
        <w:rPr>
          <w:b/>
          <w:color w:val="808080"/>
        </w:rPr>
        <w:t>[</w:t>
      </w:r>
      <w:r>
        <w:rPr/>
        <w:t>Denn</w:t>
      </w:r>
      <w:r>
        <w:rPr>
          <w:b/>
          <w:color w:val="808080"/>
        </w:rPr>
        <w:t>]</w:t>
      </w:r>
      <w:r>
        <w:rPr/>
        <w:t xml:space="preserve"> kein Beschützer ist da.</w:t>
        <w:br/>
        <w:t xml:space="preserve">{{field-off:bible}} </w:t>
        <w:br/>
        <w:t>[[@BibleTOBIBLE:Ps 22:13]]</w:t>
      </w:r>
      <w:r>
        <w:rPr>
          <w:b/>
        </w:rPr>
        <w:t>13</w:t>
      </w:r>
      <w:r>
        <w:rPr/>
        <w:t xml:space="preserve"> {{field-on:bible}} </w:t>
        <w:br/>
        <w:t xml:space="preserve">Es umgeben mich mächtige </w:t>
      </w:r>
      <w:r>
        <w:rPr>
          <w:color w:val="808080"/>
        </w:rPr>
        <w:t>(zahlreiche)</w:t>
      </w:r>
      <w:r>
        <w:rPr/>
        <w:t xml:space="preserve"> Stiere, Gewaltige Baschan</w:t>
      </w:r>
      <w:r>
        <w:rPr>
          <w:b/>
          <w:color w:val="808080"/>
        </w:rPr>
        <w:t>[</w:t>
      </w:r>
      <w:r>
        <w:rPr/>
        <w:t>stiere</w:t>
      </w:r>
      <w:r>
        <w:rPr>
          <w:b/>
          <w:color w:val="808080"/>
        </w:rPr>
        <w:t>]</w:t>
      </w:r>
      <w:r>
        <w:rPr/>
        <w:t xml:space="preserve"> </w:t>
      </w:r>
      <w:r>
        <w:rPr>
          <w:rStyle w:val="Funotenanker"/>
        </w:rPr>
        <w:footnoteReference w:customMarkFollows="1" w:id="1921"/>
        <w:t>p</w:t>
      </w:r>
      <w:r>
        <w:rPr/>
        <w:t xml:space="preserve"> umringen mich.</w:t>
        <w:br/>
        <w:t xml:space="preserve">{{field-off:bible}} </w:t>
        <w:br/>
        <w:t>[[@BibleTOBIBLE:Ps 22:14]]</w:t>
      </w:r>
      <w:r>
        <w:rPr>
          <w:b/>
        </w:rPr>
        <w:t>14</w:t>
      </w:r>
      <w:r>
        <w:rPr/>
        <w:t xml:space="preserve"> {{field-on:bible}} </w:t>
        <w:br/>
        <w:t xml:space="preserve">Es sperren ihr Maul auf gegen michReißende, brüllende Löwen </w:t>
      </w:r>
      <w:r>
        <w:rPr>
          <w:color w:val="808080"/>
        </w:rPr>
        <w:t xml:space="preserve">(Sie sperren ihr Maul gegen mich auf / </w:t>
      </w:r>
      <w:r>
        <w:rPr>
          <w:b/>
          <w:color w:val="808080"/>
        </w:rPr>
        <w:t>[</w:t>
      </w:r>
      <w:r>
        <w:rPr>
          <w:color w:val="808080"/>
        </w:rPr>
        <w:t>wie</w:t>
      </w:r>
      <w:r>
        <w:rPr>
          <w:b/>
          <w:color w:val="808080"/>
        </w:rPr>
        <w:t>]</w:t>
      </w:r>
      <w:r>
        <w:rPr>
          <w:color w:val="808080"/>
        </w:rPr>
        <w:t xml:space="preserve"> ein reißender, brüllender Löwe)</w:t>
      </w:r>
      <w:r>
        <w:rPr/>
        <w:t>.</w:t>
      </w:r>
      <w:r>
        <w:rPr>
          <w:rStyle w:val="Funotenanker"/>
        </w:rPr>
        <w:footnoteReference w:customMarkFollows="1" w:id="1922"/>
        <w:t>q</w:t>
      </w:r>
      <w:r>
        <w:rPr/>
        <w:t xml:space="preserve"> </w:t>
        <w:br/>
        <w:br/>
        <w:t xml:space="preserve">{{field-off:bible}} </w:t>
        <w:br/>
        <w:t>[[@BibleTOBIBLE:Ps 22:15]]</w:t>
      </w:r>
      <w:r>
        <w:rPr>
          <w:b/>
        </w:rPr>
        <w:t>15</w:t>
      </w:r>
      <w:r>
        <w:rPr/>
        <w:t xml:space="preserve"> {{field-on:bible}} </w:t>
        <w:br/>
        <w:t xml:space="preserve">Wie Wasser bin ich ausgeschüttet,Und es sind gelöst all meine Gebeine. </w:t>
        <w:br/>
        <w:t xml:space="preserve">Es ist mein Herz wie </w:t>
      </w:r>
      <w:r>
        <w:rPr>
          <w:strike/>
          <w:color w:val="808080"/>
        </w:rPr>
        <w:t>{das}</w:t>
      </w:r>
      <w:r>
        <w:rPr/>
        <w:t xml:space="preserve"> </w:t>
      </w:r>
      <w:r>
        <w:rPr>
          <w:rStyle w:val="Funotenanker"/>
        </w:rPr>
        <w:footnoteReference w:customMarkFollows="1" w:id="1923"/>
        <w:t>r</w:t>
      </w:r>
      <w:r>
        <w:rPr/>
        <w:t xml:space="preserve"> Wachs -Es zerschmilzt in meiner Brust.</w:t>
      </w:r>
      <w:r>
        <w:rPr>
          <w:rStyle w:val="Funotenanker"/>
        </w:rPr>
        <w:footnoteReference w:customMarkFollows="1" w:id="1924"/>
        <w:t>s</w:t>
      </w:r>
      <w:r>
        <w:rPr/>
        <w:t xml:space="preserve"> </w:t>
        <w:br/>
        <w:t xml:space="preserve">{{field-off:bible}} </w:t>
        <w:br/>
        <w:t>[[@BibleTOBIBLE:Ps 22:16]]</w:t>
      </w:r>
      <w:r>
        <w:rPr>
          <w:b/>
        </w:rPr>
        <w:t>16</w:t>
      </w:r>
      <w:r>
        <w:rPr/>
        <w:t xml:space="preserve"> {{field-on:bible}} </w:t>
        <w:br/>
        <w:t xml:space="preserve">Trocken wie eine </w:t>
      </w:r>
      <w:r>
        <w:rPr>
          <w:b/>
          <w:color w:val="808080"/>
        </w:rPr>
        <w:t>[</w:t>
      </w:r>
      <w:r>
        <w:rPr/>
        <w:t>Ton</w:t>
      </w:r>
      <w:r>
        <w:rPr>
          <w:b/>
          <w:color w:val="808080"/>
        </w:rPr>
        <w:t>]</w:t>
      </w:r>
      <w:r>
        <w:rPr/>
        <w:t xml:space="preserve">scherbe ist meine Kraft </w:t>
      </w:r>
      <w:r>
        <w:rPr>
          <w:color w:val="808080"/>
        </w:rPr>
        <w:t>(Kehle)</w:t>
      </w:r>
      <w:r>
        <w:rPr/>
        <w:t>,</w:t>
      </w:r>
      <w:r>
        <w:rPr>
          <w:rStyle w:val="Funotenanker"/>
        </w:rPr>
        <w:footnoteReference w:customMarkFollows="1" w:id="1925"/>
        <w:t>t</w:t>
      </w:r>
      <w:r>
        <w:rPr/>
        <w:t xml:space="preserve"> Meine Zunge klebt mir am Gaumen.</w:t>
      </w:r>
      <w:r>
        <w:rPr>
          <w:rStyle w:val="Funotenanker"/>
        </w:rPr>
        <w:footnoteReference w:customMarkFollows="1" w:id="1926"/>
        <w:t>u</w:t>
      </w:r>
      <w:r>
        <w:rPr/>
        <w:t xml:space="preserve"> </w:t>
        <w:br/>
      </w:r>
      <w:r>
        <w:rPr>
          <w:b/>
          <w:color w:val="808080"/>
        </w:rPr>
        <w:t>[</w:t>
      </w:r>
      <w:r>
        <w:rPr/>
        <w:t>Bald</w:t>
      </w:r>
      <w:r>
        <w:rPr>
          <w:b/>
          <w:color w:val="808080"/>
        </w:rPr>
        <w:t>]</w:t>
      </w:r>
      <w:r>
        <w:rPr/>
        <w:t xml:space="preserve"> wirst du mich in den Staub des Todes legen</w:t>
      </w:r>
      <w:r>
        <w:rPr>
          <w:rStyle w:val="Funotenanker"/>
        </w:rPr>
        <w:footnoteReference w:customMarkFollows="1" w:id="1927"/>
        <w:t>v</w:t>
      </w:r>
      <w:r>
        <w:rPr/>
        <w:t xml:space="preserve"> können </w:t>
      </w:r>
      <w:r>
        <w:rPr>
          <w:color w:val="808080"/>
        </w:rPr>
        <w:t>(Willst du mich in den Staub des Todes legen?)</w:t>
      </w:r>
      <w:r>
        <w:rPr/>
        <w:t>.</w:t>
        <w:br/>
        <w:br/>
        <w:t xml:space="preserve">{{field-off:bible}} </w:t>
        <w:br/>
        <w:t>[[@BibleTOBIBLE:Ps 22:17]]</w:t>
      </w:r>
      <w:r>
        <w:rPr>
          <w:b/>
        </w:rPr>
        <w:t>17</w:t>
      </w:r>
      <w:r>
        <w:rPr/>
        <w:t xml:space="preserve"> {{field-on:bible}} </w:t>
        <w:br/>
        <w:t xml:space="preserve">Ach!, Es umgeben mich Hunde, Eine Rotte von Übeltätern umzingelt </w:t>
      </w:r>
      <w:r>
        <w:rPr>
          <w:color w:val="808080"/>
        </w:rPr>
        <w:t>(umkreist)</w:t>
      </w:r>
      <w:r>
        <w:rPr/>
        <w:t xml:space="preserve"> mich. </w:t>
        <w:br/>
        <w:t xml:space="preserve">Aufgegraben sind </w:t>
      </w:r>
      <w:r>
        <w:rPr>
          <w:color w:val="808080"/>
        </w:rPr>
        <w:t xml:space="preserve">([wie] {der} </w:t>
      </w:r>
      <w:r>
        <w:rPr>
          <w:b/>
          <w:color w:val="808080"/>
        </w:rPr>
        <w:t>[</w:t>
      </w:r>
      <w:r>
        <w:rPr>
          <w:color w:val="808080"/>
        </w:rPr>
        <w:t>ein</w:t>
      </w:r>
      <w:r>
        <w:rPr>
          <w:b/>
          <w:color w:val="808080"/>
        </w:rPr>
        <w:t>]</w:t>
      </w:r>
      <w:r>
        <w:rPr>
          <w:color w:val="808080"/>
        </w:rPr>
        <w:t xml:space="preserve"> Löwe, gebunden sind)</w:t>
      </w:r>
      <w:r>
        <w:rPr/>
        <w:t xml:space="preserve"> </w:t>
      </w:r>
      <w:r>
        <w:rPr>
          <w:rStyle w:val="Funotenanker"/>
        </w:rPr>
        <w:footnoteReference w:customMarkFollows="1" w:id="1928"/>
        <w:t>w</w:t>
      </w:r>
      <w:r>
        <w:rPr/>
        <w:t xml:space="preserve"> meine Hände und Füße.</w:t>
        <w:br/>
        <w:t xml:space="preserve">{{field-off:bible}} </w:t>
        <w:br/>
        <w:t>[[@BibleTOBIBLE:Ps 22:18]]</w:t>
      </w:r>
      <w:r>
        <w:rPr>
          <w:b/>
        </w:rPr>
        <w:t>18</w:t>
      </w:r>
      <w:r>
        <w:rPr/>
        <w:t xml:space="preserve"> {{field-on:bible}} </w:t>
        <w:br/>
        <w:t>Zählen kann ich all meine Knochen.</w:t>
      </w:r>
      <w:r>
        <w:rPr>
          <w:rStyle w:val="Funotenanker"/>
        </w:rPr>
        <w:footnoteReference w:customMarkFollows="1" w:id="1929"/>
        <w:t>x</w:t>
      </w:r>
      <w:r>
        <w:rPr/>
        <w:t xml:space="preserve"> </w:t>
        <w:br/>
        <w:t>Und sie wollen sich weiden, sich an mir ergötzen,</w:t>
        <w:br/>
        <w:t xml:space="preserve">{{field-off:bible}} </w:t>
        <w:br/>
        <w:t>[[@BibleTOBIBLE:Ps 22:19]]</w:t>
      </w:r>
      <w:r>
        <w:rPr>
          <w:b/>
        </w:rPr>
        <w:t>19</w:t>
      </w:r>
      <w:r>
        <w:rPr/>
        <w:t xml:space="preserve"> {{field-on:bible}} </w:t>
        <w:br/>
        <w:t>Sie wollen meine Kleider unter sich aufteilenUnd das Los um mein Gewand werfen!</w:t>
      </w:r>
      <w:r>
        <w:rPr>
          <w:rStyle w:val="Funotenanker"/>
        </w:rPr>
        <w:footnoteReference w:customMarkFollows="1" w:id="1930"/>
        <w:t>y</w:t>
      </w:r>
      <w:r>
        <w:rPr/>
        <w:t xml:space="preserve"> </w:t>
        <w:br/>
        <w:br/>
        <w:t xml:space="preserve">{{field-off:bible}} </w:t>
        <w:br/>
        <w:t>[[@BibleTOBIBLE:Ps 22:20]]</w:t>
      </w:r>
      <w:r>
        <w:rPr>
          <w:b/>
        </w:rPr>
        <w:t>20</w:t>
      </w:r>
      <w:r>
        <w:rPr/>
        <w:t xml:space="preserve"> {{field-on:bible}} </w:t>
        <w:br/>
        <w:t xml:space="preserve">Aber du, </w:t>
      </w:r>
      <w:r>
        <w:rPr>
          <w:smallCaps/>
          <w:color w:val="FF0000"/>
        </w:rPr>
        <w:t>JHWH</w:t>
      </w:r>
      <w:r>
        <w:rPr/>
        <w:t>, sei nicht fern,</w:t>
      </w:r>
      <w:r>
        <w:rPr>
          <w:rStyle w:val="Funotenanker"/>
        </w:rPr>
        <w:footnoteReference w:customMarkFollows="1" w:id="1931"/>
        <w:t>z</w:t>
      </w:r>
      <w:r>
        <w:rPr/>
        <w:t>Meine Hilfe, eile zu meiner Hilfe!</w:t>
      </w:r>
      <w:r>
        <w:rPr>
          <w:rStyle w:val="Funotenanker"/>
        </w:rPr>
        <w:footnoteReference w:customMarkFollows="1" w:id="1932"/>
        <w:t>aa</w:t>
      </w:r>
      <w:r>
        <w:rPr/>
        <w:t xml:space="preserve"> </w:t>
        <w:br/>
        <w:t xml:space="preserve">{{field-off:bible}} </w:t>
        <w:br/>
        <w:t>[[@BibleTOBIBLE:Ps 22:21]]</w:t>
      </w:r>
      <w:r>
        <w:rPr>
          <w:b/>
        </w:rPr>
        <w:t>21</w:t>
      </w:r>
      <w:r>
        <w:rPr/>
        <w:t xml:space="preserve"> {{field-on:bible}} </w:t>
        <w:br/>
        <w:t>Bewahre vor dem Schwert mein Leben, Vor der Gewalt der Hunde</w:t>
      </w:r>
      <w:r>
        <w:rPr>
          <w:rStyle w:val="Funotenanker"/>
        </w:rPr>
        <w:footnoteReference w:customMarkFollows="1" w:id="1933"/>
        <w:t>ab</w:t>
      </w:r>
      <w:r>
        <w:rPr/>
        <w:t xml:space="preserve"> mein Einziges!</w:t>
      </w:r>
      <w:r>
        <w:rPr>
          <w:rStyle w:val="Funotenanker"/>
        </w:rPr>
        <w:footnoteReference w:customMarkFollows="1" w:id="1934"/>
        <w:t>ac</w:t>
      </w:r>
      <w:r>
        <w:rPr/>
        <w:t xml:space="preserve"> </w:t>
        <w:br/>
        <w:t xml:space="preserve">{{field-off:bible}} </w:t>
        <w:br/>
        <w:t>[[@BibleTOBIBLE:Ps 22:22]]</w:t>
      </w:r>
      <w:r>
        <w:rPr>
          <w:b/>
        </w:rPr>
        <w:t>22</w:t>
      </w:r>
      <w:r>
        <w:rPr/>
        <w:t xml:space="preserve"> {{field-on:bible}} </w:t>
        <w:br/>
        <w:t>Rette mich aus dem Rachen der Löwen,</w:t>
      </w:r>
      <w:r>
        <w:rPr>
          <w:rStyle w:val="Funotenanker"/>
        </w:rPr>
        <w:footnoteReference w:customMarkFollows="1" w:id="1935"/>
        <w:t>ad</w:t>
      </w:r>
      <w:r>
        <w:rPr/>
        <w:t xml:space="preserve"> Vor den Hörnern der Wildstiere mein Elendes </w:t>
      </w:r>
      <w:r>
        <w:rPr>
          <w:color w:val="808080"/>
        </w:rPr>
        <w:t>(erhöre mich, du erhörst mich/hast mich erhört)</w:t>
      </w:r>
      <w:r>
        <w:rPr/>
        <w:t>.</w:t>
      </w:r>
      <w:r>
        <w:rPr>
          <w:rStyle w:val="Funotenanker"/>
        </w:rPr>
        <w:footnoteReference w:customMarkFollows="1" w:id="1936"/>
        <w:t>ae</w:t>
      </w:r>
      <w:r>
        <w:rPr/>
        <w:t xml:space="preserve"> </w:t>
        <w:br/>
        <w:br/>
        <w:t xml:space="preserve">{{field-off:bible}} </w:t>
        <w:br/>
        <w:t>[[@BibleTOBIBLE:Ps 22:23]]</w:t>
      </w:r>
      <w:r>
        <w:rPr>
          <w:b/>
        </w:rPr>
        <w:t>23</w:t>
      </w:r>
      <w:r>
        <w:rPr/>
        <w:t xml:space="preserve"> {{field-on:bible}} </w:t>
        <w:br/>
        <w:t>Ich will deinen Namen</w:t>
      </w:r>
      <w:r>
        <w:rPr>
          <w:rStyle w:val="Funotenanker"/>
        </w:rPr>
        <w:footnoteReference w:customMarkFollows="1" w:id="1937"/>
        <w:t>af</w:t>
      </w:r>
      <w:r>
        <w:rPr/>
        <w:t xml:space="preserve"> meinen Brüdern verkünden, In der Kultgemeinde will ich dich preisen:</w:t>
      </w:r>
      <w:r>
        <w:rPr>
          <w:rStyle w:val="Funotenanker"/>
        </w:rPr>
        <w:footnoteReference w:customMarkFollows="1" w:id="1938"/>
        <w:t>ag</w:t>
      </w:r>
      <w:r>
        <w:rPr/>
        <w:t xml:space="preserve"> </w:t>
        <w:br/>
        <w:t xml:space="preserve">{{field-off:bible}} </w:t>
        <w:br/>
        <w:t>[[@BibleTOBIBLE:Ps 22:24]]</w:t>
      </w:r>
      <w:r>
        <w:rPr>
          <w:b/>
        </w:rPr>
        <w:t>24</w:t>
      </w:r>
      <w:r>
        <w:rPr/>
        <w:t xml:space="preserve"> {{field-on:bible}} </w:t>
        <w:br/>
        <w:t xml:space="preserve">„Die ihr </w:t>
      </w:r>
      <w:r>
        <w:rPr>
          <w:smallCaps/>
          <w:color w:val="FF0000"/>
        </w:rPr>
        <w:t>JHWH</w:t>
      </w:r>
      <w:r>
        <w:rPr/>
        <w:t xml:space="preserve"> fürchtet </w:t>
      </w:r>
      <w:r>
        <w:rPr>
          <w:color w:val="808080"/>
        </w:rPr>
        <w:t>(verehrt)</w:t>
      </w:r>
      <w:r>
        <w:rPr/>
        <w:t>, preist ihn, Alle Nachkommen Jakobs,</w:t>
      </w:r>
      <w:r>
        <w:rPr>
          <w:rStyle w:val="Funotenanker"/>
        </w:rPr>
        <w:footnoteReference w:customMarkFollows="1" w:id="1939"/>
        <w:t>ah</w:t>
      </w:r>
      <w:r>
        <w:rPr/>
        <w:t xml:space="preserve"> ehret ihn, Erschauert</w:t>
      </w:r>
      <w:r>
        <w:rPr>
          <w:rStyle w:val="Funotenanker"/>
        </w:rPr>
        <w:footnoteReference w:customMarkFollows="1" w:id="1940"/>
        <w:t>ai</w:t>
      </w:r>
      <w:r>
        <w:rPr/>
        <w:t xml:space="preserve"> vor ihm, alle Nachkommen Israels,</w:t>
        <w:br/>
        <w:t xml:space="preserve">{{field-off:bible}} </w:t>
        <w:br/>
        <w:t>[[@BibleTOBIBLE:Ps 22:25]]</w:t>
      </w:r>
      <w:r>
        <w:rPr>
          <w:b/>
        </w:rPr>
        <w:t>25</w:t>
      </w:r>
      <w:r>
        <w:rPr/>
        <w:t xml:space="preserve"> {{field-on:bible}} </w:t>
        <w:br/>
        <w:t>Denn er hat nicht verachtet und nicht verabscheut Das Elend des Elenden,</w:t>
        <w:br/>
        <w:t>Er hat nicht sein Gesicht vor ihm verborgen,</w:t>
      </w:r>
      <w:r>
        <w:rPr>
          <w:rStyle w:val="Funotenanker"/>
        </w:rPr>
        <w:footnoteReference w:customMarkFollows="1" w:id="1941"/>
        <w:t>aj</w:t>
      </w:r>
      <w:r>
        <w:rPr/>
        <w:t>Und als er zu ihm schrie, erhörte er ihn!“</w:t>
        <w:br/>
        <w:br/>
        <w:t xml:space="preserve">{{field-off:bible}} </w:t>
        <w:br/>
        <w:t>[[@BibleTOBIBLE:Ps 22:26]]</w:t>
      </w:r>
      <w:r>
        <w:rPr>
          <w:b/>
        </w:rPr>
        <w:t>26</w:t>
      </w:r>
      <w:r>
        <w:rPr/>
        <w:t xml:space="preserve"> {{field-on:bible}} </w:t>
        <w:br/>
        <w:t xml:space="preserve">Von dir </w:t>
      </w:r>
      <w:r>
        <w:rPr>
          <w:b/>
          <w:color w:val="808080"/>
        </w:rPr>
        <w:t>[</w:t>
      </w:r>
      <w:r>
        <w:rPr/>
        <w:t>wird sein</w:t>
      </w:r>
      <w:r>
        <w:rPr>
          <w:b/>
          <w:color w:val="808080"/>
        </w:rPr>
        <w:t>]</w:t>
      </w:r>
      <w:r>
        <w:rPr/>
        <w:t xml:space="preserve"> mein Lobgesang in großer Kultgemeinde,</w:t>
      </w:r>
      <w:r>
        <w:rPr>
          <w:rStyle w:val="Funotenanker"/>
        </w:rPr>
        <w:footnoteReference w:customMarkFollows="1" w:id="1942"/>
        <w:t>ak</w:t>
      </w:r>
      <w:r>
        <w:rPr/>
        <w:t xml:space="preserve"> Meine Gelübde werde ich vor denen erfüllen, die ihn fürchten </w:t>
      </w:r>
      <w:r>
        <w:rPr>
          <w:color w:val="808080"/>
        </w:rPr>
        <w:t>(verehren)</w:t>
      </w:r>
      <w:r>
        <w:rPr/>
        <w:t>:</w:t>
      </w:r>
      <w:r>
        <w:rPr>
          <w:rStyle w:val="Funotenanker"/>
        </w:rPr>
        <w:footnoteReference w:customMarkFollows="1" w:id="1943"/>
        <w:t>al</w:t>
      </w:r>
      <w:r>
        <w:rPr/>
        <w:t xml:space="preserve"> </w:t>
        <w:br/>
        <w:t xml:space="preserve">{{field-off:bible}} </w:t>
        <w:br/>
        <w:t>[[@BibleTOBIBLE:Ps 22:27]]</w:t>
      </w:r>
      <w:r>
        <w:rPr>
          <w:b/>
        </w:rPr>
        <w:t>27</w:t>
      </w:r>
      <w:r>
        <w:rPr/>
        <w:t xml:space="preserve"> {{field-on:bible}} </w:t>
        <w:br/>
        <w:t>„Die Elenden</w:t>
      </w:r>
      <w:r>
        <w:rPr>
          <w:rStyle w:val="Funotenanker"/>
        </w:rPr>
        <w:footnoteReference w:customMarkFollows="1" w:id="1944"/>
        <w:t>am</w:t>
      </w:r>
      <w:r>
        <w:rPr/>
        <w:t xml:space="preserve"> sollen essen und satt werden </w:t>
      </w:r>
      <w:r>
        <w:rPr>
          <w:color w:val="808080"/>
        </w:rPr>
        <w:t>(sollen sich satt essen)</w:t>
      </w:r>
      <w:r>
        <w:rPr/>
        <w:t xml:space="preserve">,Es sollen </w:t>
      </w:r>
      <w:r>
        <w:rPr>
          <w:smallCaps/>
          <w:color w:val="FF0000"/>
        </w:rPr>
        <w:t>JHWH</w:t>
      </w:r>
      <w:r>
        <w:rPr/>
        <w:t xml:space="preserve"> preisen, die ihn verehren.</w:t>
      </w:r>
      <w:r>
        <w:rPr>
          <w:rStyle w:val="Funotenanker"/>
        </w:rPr>
        <w:footnoteReference w:customMarkFollows="1" w:id="1945"/>
        <w:t>an</w:t>
      </w:r>
      <w:r>
        <w:rPr/>
        <w:t xml:space="preserve"> </w:t>
        <w:br/>
        <w:t>Aufleben soll euer Herz für immer!“</w:t>
      </w:r>
      <w:r>
        <w:rPr>
          <w:rStyle w:val="Funotenanker"/>
        </w:rPr>
        <w:footnoteReference w:customMarkFollows="1" w:id="1946"/>
        <w:t>ao</w:t>
      </w:r>
      <w:r>
        <w:rPr/>
        <w:t xml:space="preserve"> </w:t>
        <w:br/>
        <w:br/>
        <w:t xml:space="preserve">{{field-off:bible}} </w:t>
        <w:br/>
        <w:t>[[@BibleTOBIBLE:Ps 22:28]]</w:t>
      </w:r>
      <w:r>
        <w:rPr>
          <w:b/>
        </w:rPr>
        <w:t>28</w:t>
      </w:r>
      <w:r>
        <w:rPr/>
        <w:t xml:space="preserve"> {{field-on:bible}} </w:t>
        <w:br/>
        <w:t xml:space="preserve">Es werden </w:t>
      </w:r>
      <w:r>
        <w:rPr>
          <w:color w:val="808080"/>
        </w:rPr>
        <w:t>(sollen)</w:t>
      </w:r>
      <w:r>
        <w:rPr/>
        <w:t xml:space="preserve"> </w:t>
      </w:r>
      <w:r>
        <w:rPr>
          <w:b/>
          <w:color w:val="808080"/>
        </w:rPr>
        <w:t>[</w:t>
      </w:r>
      <w:r>
        <w:rPr/>
        <w:t>davon</w:t>
      </w:r>
      <w:r>
        <w:rPr>
          <w:b/>
          <w:color w:val="808080"/>
        </w:rPr>
        <w:t>]</w:t>
      </w:r>
      <w:r>
        <w:rPr/>
        <w:t xml:space="preserve"> </w:t>
      </w:r>
      <w:r>
        <w:rPr>
          <w:rStyle w:val="Funotenanker"/>
        </w:rPr>
        <w:footnoteReference w:customMarkFollows="1" w:id="1947"/>
        <w:t>ap</w:t>
      </w:r>
      <w:r>
        <w:rPr/>
        <w:t xml:space="preserve"> berichten und </w:t>
      </w:r>
      <w:r>
        <w:rPr>
          <w:color w:val="808080"/>
        </w:rPr>
        <w:t xml:space="preserve">(Sie werden </w:t>
      </w:r>
      <w:r>
        <w:rPr>
          <w:b/>
          <w:color w:val="808080"/>
        </w:rPr>
        <w:t>[</w:t>
      </w:r>
      <w:r>
        <w:rPr>
          <w:color w:val="808080"/>
        </w:rPr>
        <w:t>davon</w:t>
      </w:r>
      <w:r>
        <w:rPr>
          <w:b/>
          <w:color w:val="808080"/>
        </w:rPr>
        <w:t>]</w:t>
      </w:r>
      <w:r>
        <w:rPr>
          <w:color w:val="808080"/>
        </w:rPr>
        <w:t xml:space="preserve"> berichten und dann werden)</w:t>
      </w:r>
      <w:r>
        <w:rPr/>
        <w:t xml:space="preserve"> zu </w:t>
      </w:r>
      <w:r>
        <w:rPr>
          <w:smallCaps/>
          <w:color w:val="FF0000"/>
        </w:rPr>
        <w:t>JHWH</w:t>
      </w:r>
      <w:r>
        <w:rPr/>
        <w:t xml:space="preserve"> umkehren Alle Enden der Erde</w:t>
      </w:r>
      <w:r>
        <w:rPr>
          <w:rStyle w:val="Funotenanker"/>
        </w:rPr>
        <w:footnoteReference w:customMarkFollows="1" w:id="1948"/>
        <w:t>aq</w:t>
      </w:r>
      <w:r>
        <w:rPr/>
        <w:t xml:space="preserve"> </w:t>
        <w:br/>
        <w:t xml:space="preserve">Und vor dir </w:t>
      </w:r>
      <w:r>
        <w:rPr>
          <w:color w:val="808080"/>
        </w:rPr>
        <w:t>(vor ihm)</w:t>
      </w:r>
      <w:r>
        <w:rPr/>
        <w:t xml:space="preserve"> </w:t>
      </w:r>
      <w:r>
        <w:rPr>
          <w:rStyle w:val="Funotenanker"/>
        </w:rPr>
        <w:footnoteReference w:customMarkFollows="1" w:id="1949"/>
        <w:t>ar</w:t>
      </w:r>
      <w:r>
        <w:rPr/>
        <w:t xml:space="preserve"> werden </w:t>
      </w:r>
      <w:r>
        <w:rPr>
          <w:color w:val="808080"/>
        </w:rPr>
        <w:t>(sollen)</w:t>
      </w:r>
      <w:r>
        <w:rPr/>
        <w:t xml:space="preserve"> sich niederwerfen Alle Sippen der Völker </w:t>
      </w:r>
      <w:r>
        <w:rPr>
          <w:b/>
          <w:color w:val="808080"/>
        </w:rPr>
        <w:t>[</w:t>
      </w:r>
      <w:r>
        <w:rPr/>
        <w:t>mit den Worten:</w:t>
      </w:r>
      <w:r>
        <w:rPr>
          <w:b/>
          <w:color w:val="808080"/>
        </w:rPr>
        <w:t>]</w:t>
      </w:r>
      <w:r>
        <w:rPr/>
        <w:t xml:space="preserve"> </w:t>
      </w:r>
      <w:r>
        <w:rPr>
          <w:rStyle w:val="Funotenanker"/>
        </w:rPr>
        <w:footnoteReference w:customMarkFollows="1" w:id="1950"/>
        <w:t>as</w:t>
      </w:r>
      <w:r>
        <w:rPr/>
        <w:t xml:space="preserve"> </w:t>
        <w:br/>
        <w:t xml:space="preserve">{{field-off:bible}} </w:t>
        <w:br/>
        <w:t>[[@BibleTOBIBLE:Ps 22:29]]</w:t>
      </w:r>
      <w:r>
        <w:rPr>
          <w:b/>
        </w:rPr>
        <w:t>29</w:t>
      </w:r>
      <w:r>
        <w:rPr/>
        <w:t xml:space="preserve"> {{field-on:bible}} </w:t>
        <w:br/>
        <w:t>„</w:t>
      </w:r>
      <w:r>
        <w:rPr>
          <w:strike/>
          <w:color w:val="808080"/>
        </w:rPr>
        <w:t>{Ja!}</w:t>
      </w:r>
      <w:r>
        <w:rPr/>
        <w:t xml:space="preserve"> </w:t>
      </w:r>
      <w:r>
        <w:rPr>
          <w:color w:val="808080"/>
        </w:rPr>
        <w:t>(Ja!, Denn)</w:t>
      </w:r>
      <w:r>
        <w:rPr/>
        <w:t xml:space="preserve"> </w:t>
      </w:r>
      <w:r>
        <w:rPr>
          <w:smallCaps/>
          <w:color w:val="FF0000"/>
        </w:rPr>
        <w:t>JHWH</w:t>
      </w:r>
      <w:r>
        <w:rPr/>
        <w:t xml:space="preserve">s </w:t>
      </w:r>
      <w:r>
        <w:rPr>
          <w:b/>
          <w:color w:val="808080"/>
        </w:rPr>
        <w:t>[</w:t>
      </w:r>
      <w:r>
        <w:rPr/>
        <w:t xml:space="preserve">ist </w:t>
      </w:r>
      <w:r>
        <w:rPr>
          <w:color w:val="808080"/>
        </w:rPr>
        <w:t>(das)</w:t>
      </w:r>
      <w:r>
        <w:rPr>
          <w:b/>
          <w:color w:val="808080"/>
        </w:rPr>
        <w:t>]</w:t>
      </w:r>
      <w:r>
        <w:rPr/>
        <w:t xml:space="preserve"> das KönigtumUnd er </w:t>
      </w:r>
      <w:r>
        <w:rPr>
          <w:b/>
          <w:color w:val="808080"/>
        </w:rPr>
        <w:t>[</w:t>
      </w:r>
      <w:r>
        <w:rPr/>
        <w:t xml:space="preserve">ist </w:t>
      </w:r>
      <w:r>
        <w:rPr>
          <w:color w:val="808080"/>
        </w:rPr>
        <w:t>(sei)</w:t>
      </w:r>
      <w:r>
        <w:rPr>
          <w:b/>
          <w:color w:val="808080"/>
        </w:rPr>
        <w:t>]</w:t>
      </w:r>
      <w:r>
        <w:rPr/>
        <w:t xml:space="preserve"> Herrscher über die Völker.“</w:t>
        <w:br/>
        <w:t xml:space="preserve">{{field-off:bible}} </w:t>
        <w:br/>
        <w:t>[[@BibleTOBIBLE:Ps 22:30]]</w:t>
      </w:r>
      <w:r>
        <w:rPr>
          <w:b/>
        </w:rPr>
        <w:t>30</w:t>
      </w:r>
      <w:r>
        <w:rPr/>
        <w:t xml:space="preserve"> {{field-on:bible}} </w:t>
        <w:br/>
        <w:t xml:space="preserve">Ja, vor ihm werden sich niederwerfen </w:t>
      </w:r>
      <w:r>
        <w:rPr>
          <w:color w:val="808080"/>
        </w:rPr>
        <w:t>(Es aßen und warfen sich nieder)</w:t>
      </w:r>
      <w:r>
        <w:rPr/>
        <w:t xml:space="preserve"> </w:t>
      </w:r>
      <w:r>
        <w:rPr>
          <w:rStyle w:val="Funotenanker"/>
        </w:rPr>
        <w:footnoteReference w:customMarkFollows="1" w:id="1951"/>
        <w:t>at</w:t>
      </w:r>
      <w:r>
        <w:rPr/>
        <w:t xml:space="preserve"> alle Fetten der Erde,Vor seinem Gesicht</w:t>
      </w:r>
      <w:r>
        <w:rPr>
          <w:rStyle w:val="Funotenanker"/>
        </w:rPr>
        <w:footnoteReference w:customMarkFollows="1" w:id="1952"/>
        <w:t>au</w:t>
      </w:r>
      <w:r>
        <w:rPr/>
        <w:t xml:space="preserve"> sich alle beugen, die in den Staub sinken. </w:t>
        <w:br/>
        <w:t xml:space="preserve">Und </w:t>
      </w:r>
      <w:r>
        <w:rPr>
          <w:b/>
          <w:color w:val="808080"/>
        </w:rPr>
        <w:t>[</w:t>
      </w:r>
      <w:r>
        <w:rPr/>
        <w:t>wer</w:t>
      </w:r>
      <w:r>
        <w:rPr>
          <w:b/>
          <w:color w:val="808080"/>
        </w:rPr>
        <w:t>]</w:t>
      </w:r>
      <w:r>
        <w:rPr/>
        <w:t xml:space="preserve"> seine Seele nicht am Leben erhalten konnte,</w:t>
        <w:br/>
        <w:t xml:space="preserve">{{field-off:bible}} </w:t>
        <w:br/>
        <w:t>[[@BibleTOBIBLE:Ps 22:31]]</w:t>
      </w:r>
      <w:r>
        <w:rPr>
          <w:b/>
        </w:rPr>
        <w:t>31</w:t>
      </w:r>
      <w:r>
        <w:rPr/>
        <w:t xml:space="preserve"> {{field-on:bible}} </w:t>
        <w:br/>
      </w:r>
      <w:r>
        <w:rPr>
          <w:b/>
          <w:color w:val="808080"/>
        </w:rPr>
        <w:t>[</w:t>
      </w:r>
      <w:r>
        <w:rPr/>
        <w:t>bei dem</w:t>
      </w:r>
      <w:r>
        <w:rPr>
          <w:b/>
          <w:color w:val="808080"/>
        </w:rPr>
        <w:t>]</w:t>
      </w:r>
      <w:r>
        <w:rPr/>
        <w:t xml:space="preserve"> werden </w:t>
      </w:r>
      <w:r>
        <w:rPr>
          <w:b/>
          <w:color w:val="808080"/>
        </w:rPr>
        <w:t>[</w:t>
      </w:r>
      <w:r>
        <w:rPr/>
        <w:t>seine</w:t>
      </w:r>
      <w:r>
        <w:rPr>
          <w:b/>
          <w:color w:val="808080"/>
        </w:rPr>
        <w:t>]</w:t>
      </w:r>
      <w:r>
        <w:rPr/>
        <w:t xml:space="preserve"> Nachkommen ihm dienen.</w:t>
      </w:r>
      <w:r>
        <w:rPr>
          <w:rStyle w:val="Funotenanker"/>
        </w:rPr>
        <w:footnoteReference w:customMarkFollows="1" w:id="1953"/>
        <w:t>av</w:t>
      </w:r>
      <w:r>
        <w:rPr/>
        <w:t xml:space="preserve"> </w:t>
        <w:br/>
        <w:t xml:space="preserve">Erzählen wird man vom Herrn der Generation, </w:t>
        <w:br/>
        <w:t xml:space="preserve">{{field-off:bible}} </w:t>
        <w:br/>
        <w:t>[[@BibleTOBIBLE:Ps 22:32]]</w:t>
      </w:r>
      <w:r>
        <w:rPr>
          <w:b/>
        </w:rPr>
        <w:t>32</w:t>
      </w:r>
      <w:r>
        <w:rPr/>
        <w:t xml:space="preserve"> {{field-on:bible}} </w:t>
        <w:br/>
        <w:t>die noch kommen wird</w:t>
      </w:r>
      <w:r>
        <w:rPr>
          <w:rStyle w:val="Funotenanker"/>
        </w:rPr>
        <w:footnoteReference w:customMarkFollows="1" w:id="1954"/>
        <w:t>aw</w:t>
      </w:r>
      <w:r>
        <w:rPr/>
        <w:t xml:space="preserve"> Und verkünden seine Gerechtigkeit dem Volk, das noch geboren wird:</w:t>
        <w:br/>
        <w:t xml:space="preserve">„Er hat gehandelt </w:t>
      </w:r>
      <w:r>
        <w:rPr>
          <w:color w:val="808080"/>
        </w:rPr>
        <w:t xml:space="preserve">(hat </w:t>
      </w:r>
      <w:r>
        <w:rPr>
          <w:b/>
          <w:color w:val="808080"/>
        </w:rPr>
        <w:t>[</w:t>
      </w:r>
      <w:r>
        <w:rPr>
          <w:color w:val="808080"/>
        </w:rPr>
        <w:t>es</w:t>
      </w:r>
      <w:r>
        <w:rPr>
          <w:b/>
          <w:color w:val="808080"/>
        </w:rPr>
        <w:t>]</w:t>
      </w:r>
      <w:r>
        <w:rPr>
          <w:color w:val="808080"/>
        </w:rPr>
        <w:t xml:space="preserve"> vollbracht)</w:t>
      </w:r>
      <w:r>
        <w:rPr/>
        <w:t>!“</w:t>
        <w:br/>
        <w:t xml:space="preserve">{{field-off:bible}}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1955"/>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1956"/>
        <w:t>a</w:t>
      </w:r>
      <w:r>
        <w:rPr/>
        <w:t xml:space="preserve"> Nichts fehlt mir </w:t>
      </w:r>
      <w:r>
        <w:rPr>
          <w:color w:val="808080"/>
        </w:rPr>
        <w:t>(wird mir fehlen)</w:t>
      </w:r>
      <w:r>
        <w:rPr/>
        <w:t xml:space="preserve"> </w:t>
      </w:r>
      <w:r>
        <w:rPr>
          <w:rStyle w:val="Funotenanker"/>
        </w:rPr>
        <w:footnoteReference w:customMarkFollows="1" w:id="1957"/>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1958"/>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1959"/>
        <w:t>d</w:t>
      </w:r>
      <w:r>
        <w:rPr/>
        <w:t xml:space="preserve"> ausruhen </w:t>
      </w:r>
      <w:r>
        <w:rPr>
          <w:color w:val="808080"/>
        </w:rPr>
        <w:t>(hinlegen, rasten)</w:t>
      </w:r>
      <w:r>
        <w:rPr/>
        <w:t xml:space="preserve"> kann</w:t>
      </w:r>
      <w:r>
        <w:rPr>
          <w:rStyle w:val="Funotenanker"/>
        </w:rPr>
        <w:footnoteReference w:customMarkFollows="1" w:id="1960"/>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1961"/>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1962"/>
        <w:t>g</w:t>
      </w:r>
      <w:r>
        <w:rPr/>
        <w:t xml:space="preserve"> bringt er zurück </w:t>
      </w:r>
      <w:r>
        <w:rPr>
          <w:color w:val="808080"/>
        </w:rPr>
        <w:t>(wird er erneuern, erfrischt er)</w:t>
      </w:r>
      <w:r>
        <w:rPr/>
        <w:t xml:space="preserve"> </w:t>
      </w:r>
      <w:r>
        <w:rPr>
          <w:rStyle w:val="Funotenanker"/>
        </w:rPr>
        <w:footnoteReference w:customMarkFollows="1" w:id="1963"/>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1964"/>
        <w:t>i</w:t>
      </w:r>
      <w:r>
        <w:rPr/>
        <w:t xml:space="preserve"> gehe </w:t>
      </w:r>
      <w:r>
        <w:rPr>
          <w:color w:val="808080"/>
        </w:rPr>
        <w:t>(gehen werde/muss/sollte, gerate</w:t>
      </w:r>
      <w:r>
        <w:rPr/>
        <w:t xml:space="preserve"> </w:t>
      </w:r>
      <w:r>
        <w:rPr>
          <w:rStyle w:val="Funotenanker"/>
        </w:rPr>
        <w:footnoteReference w:customMarkFollows="1" w:id="1965"/>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1966"/>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1967"/>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1968"/>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1969"/>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1970"/>
        <w:t>o</w:t>
      </w:r>
      <w:r>
        <w:rPr/>
        <w:t xml:space="preserve"> </w:t>
      </w:r>
      <w:r>
        <w:rPr>
          <w:color w:val="808080"/>
        </w:rPr>
        <w:t>(meines Feindes</w:t>
      </w:r>
      <w:r>
        <w:rPr/>
        <w:t xml:space="preserve"> </w:t>
      </w:r>
      <w:r>
        <w:rPr>
          <w:rStyle w:val="Funotenanker"/>
        </w:rPr>
        <w:footnoteReference w:customMarkFollows="1" w:id="1971"/>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1972"/>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1973"/>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1974"/>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1975"/>
        <w:t>t</w:t>
      </w:r>
      <w:r>
        <w:rPr/>
        <w:t xml:space="preserve"> </w:t>
      </w:r>
      <w:r>
        <w:rPr>
          <w:color w:val="808080"/>
        </w:rPr>
        <w:t>zurückkehren)</w:t>
      </w:r>
      <w:r>
        <w:rPr/>
        <w:t xml:space="preserve"> </w:t>
      </w:r>
      <w:r>
        <w:rPr>
          <w:rStyle w:val="Funotenanker"/>
        </w:rPr>
        <w:footnoteReference w:customMarkFollows="1" w:id="1976"/>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1977"/>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1978"/>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1979"/>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1980"/>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1981"/>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1982"/>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1983"/>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1984"/>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1985"/>
        <w:t>Status</w:t>
      </w:r>
      <w:r>
        <w:rPr/>
        <w:t xml:space="preserve"> Von David. </w:t>
      </w:r>
      <w:r>
        <w:rPr>
          <w:smallCaps/>
          <w:color w:val="FF0000"/>
        </w:rPr>
        <w:t>JHWH</w:t>
      </w:r>
      <w:r>
        <w:rPr/>
        <w:t xml:space="preserve"> ist mein Licht und mein Heil, vor wem sollte ich mich fürchten? JHWH ist meines Lebens Schutzburg, vor wem sollte ich erschrecken?{{field-off:bible}}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1986"/>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1987"/>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1988"/>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1989"/>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1990"/>
        <w:t>a</w:t>
      </w:r>
      <w:r>
        <w:rPr/>
        <w:t xml:space="preserve">.{{field-off:bible}} </w:t>
        <w:br/>
        <w:t>[[@BibleTOBIBLE:Ps 29:9]]</w:t>
      </w:r>
      <w:r>
        <w:rPr>
          <w:b/>
        </w:rPr>
        <w:t>9</w:t>
      </w:r>
      <w:r>
        <w:rPr/>
        <w:t xml:space="preserve"> {{field-on:bible}}Die Stimme Jhwhs lässt große Bäume</w:t>
      </w:r>
      <w:r>
        <w:rPr>
          <w:rStyle w:val="Funotenanker"/>
        </w:rPr>
        <w:footnoteReference w:customMarkFollows="1" w:id="1991"/>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1992"/>
        <w:t>Status</w:t>
      </w:r>
      <w:r>
        <w:rPr/>
        <w:t xml:space="preserve"> Ein Psalm </w:t>
      </w:r>
      <w:r>
        <w:rPr>
          <w:color w:val="808080"/>
        </w:rPr>
        <w:t>(begleitetes Lied)</w:t>
      </w:r>
      <w:r>
        <w:rPr/>
        <w:t>. Ein Lied zur Tempelweihe</w:t>
      </w:r>
      <w:r>
        <w:rPr>
          <w:rStyle w:val="Funotenanker"/>
        </w:rPr>
        <w:footnoteReference w:customMarkFollows="1" w:id="1993"/>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1994"/>
        <w:t>b</w:t>
      </w:r>
      <w:r>
        <w:rPr/>
        <w:t xml:space="preserve"> du mich herausgeschöpft </w:t>
      </w:r>
      <w:r>
        <w:rPr>
          <w:color w:val="808080"/>
        </w:rPr>
        <w:t>(emporgezogen)</w:t>
      </w:r>
      <w:r>
        <w:rPr/>
        <w:t xml:space="preserve"> </w:t>
      </w:r>
      <w:r>
        <w:rPr>
          <w:rStyle w:val="Funotenanker"/>
        </w:rPr>
        <w:footnoteReference w:customMarkFollows="1" w:id="1995"/>
        <w:t>c</w:t>
      </w:r>
      <w:r>
        <w:rPr/>
        <w:t xml:space="preserve"> </w:t>
      </w:r>
      <w:r>
        <w:rPr>
          <w:rStyle w:val="Funotenanker"/>
        </w:rPr>
        <w:footnoteReference w:customMarkFollows="1" w:id="1996"/>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1997"/>
        <w:t>e</w:t>
      </w:r>
      <w:r>
        <w:rPr/>
        <w:t xml:space="preserve"> sich nicht über mich </w:t>
      </w:r>
      <w:r>
        <w:rPr>
          <w:color w:val="808080"/>
        </w:rPr>
        <w:t>(meine meinigen Feinde sich nicht)</w:t>
      </w:r>
      <w:r>
        <w:rPr/>
        <w:t xml:space="preserve"> </w:t>
      </w:r>
      <w:r>
        <w:rPr>
          <w:rStyle w:val="Funotenanker"/>
        </w:rPr>
        <w:footnoteReference w:customMarkFollows="1" w:id="1998"/>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1999"/>
        <w:t>g</w:t>
      </w:r>
      <w:r>
        <w:rPr/>
        <w:t xml:space="preserve"> aus dem Scheol </w:t>
      </w:r>
      <w:r>
        <w:rPr>
          <w:color w:val="808080"/>
        </w:rPr>
        <w:t>(aus der Unterwelt, aus der Totenwelt)</w:t>
      </w:r>
      <w:r>
        <w:rPr/>
        <w:t xml:space="preserve"> heraufgeholt</w:t>
      </w:r>
      <w:r>
        <w:rPr>
          <w:rStyle w:val="Funotenanker"/>
        </w:rPr>
        <w:footnoteReference w:customMarkFollows="1" w:id="2000"/>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2001"/>
        <w:t>i</w:t>
      </w:r>
      <w:r>
        <w:rPr/>
        <w:t xml:space="preserve"> Hinabgefahrenen </w:t>
      </w:r>
      <w:r>
        <w:rPr>
          <w:color w:val="808080"/>
        </w:rPr>
        <w:t>(bewahrt vom Hinabfahren)</w:t>
      </w:r>
      <w:r>
        <w:rPr/>
        <w:t xml:space="preserve"> </w:t>
      </w:r>
      <w:r>
        <w:rPr>
          <w:rStyle w:val="Funotenanker"/>
        </w:rPr>
        <w:footnoteReference w:customMarkFollows="1" w:id="2002"/>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2003"/>
        <w:t>k</w:t>
      </w:r>
      <w:r>
        <w:rPr/>
        <w:t xml:space="preserve"> </w:t>
      </w:r>
      <w:r>
        <w:rPr>
          <w:smallCaps/>
          <w:color w:val="FF0000"/>
        </w:rPr>
        <w:t>JHWH</w:t>
      </w:r>
      <w:r>
        <w:rPr/>
        <w:t>, ihr seine Frommen</w:t>
      </w:r>
      <w:r>
        <w:rPr>
          <w:rStyle w:val="Funotenanker"/>
        </w:rPr>
        <w:footnoteReference w:customMarkFollows="1" w:id="2004"/>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2005"/>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2006"/>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2007"/>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2008"/>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2009"/>
        <w:t>q</w:t>
      </w:r>
      <w:r>
        <w:rPr/>
        <w:t xml:space="preserve"> in meiner Sorglosigkeit sprach: „Niemals werde ich wanken</w:t>
      </w:r>
      <w:r>
        <w:rPr>
          <w:rStyle w:val="Funotenanker"/>
        </w:rPr>
        <w:footnoteReference w:customMarkFollows="1" w:id="2010"/>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2011"/>
        <w:t>s</w:t>
      </w:r>
      <w:r>
        <w:rPr/>
        <w:t xml:space="preserve">, mich in deiner Gunst standhafter als die starken </w:t>
      </w:r>
      <w:r>
        <w:rPr>
          <w:color w:val="808080"/>
        </w:rPr>
        <w:t>(sicheren)</w:t>
      </w:r>
      <w:r>
        <w:rPr/>
        <w:t xml:space="preserve"> Berge gemacht hast,</w:t>
      </w:r>
      <w:r>
        <w:rPr>
          <w:rStyle w:val="Funotenanker"/>
        </w:rPr>
        <w:footnoteReference w:customMarkFollows="1" w:id="2012"/>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2013"/>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war bestürzt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2014"/>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2015"/>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2016"/>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2017"/>
        <w:t>y</w:t>
      </w:r>
      <w:r>
        <w:rPr/>
        <w:t>?</w:t>
        <w:br/>
        <w:t xml:space="preserve">Kann Lehm </w:t>
      </w:r>
      <w:r>
        <w:rPr>
          <w:color w:val="808080"/>
        </w:rPr>
        <w:t>(Staub, können Tote)</w:t>
      </w:r>
      <w:r>
        <w:rPr/>
        <w:t xml:space="preserve"> </w:t>
      </w:r>
      <w:r>
        <w:rPr>
          <w:rStyle w:val="Funotenanker"/>
        </w:rPr>
        <w:footnoteReference w:customMarkFollows="1" w:id="2018"/>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2019"/>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2020"/>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2021"/>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2022"/>
        <w:t>ad</w:t>
      </w:r>
      <w:r>
        <w:rPr/>
        <w:t xml:space="preserve"> will ich </w:t>
      </w:r>
      <w:r>
        <w:rPr>
          <w:color w:val="808080"/>
        </w:rPr>
        <w:t>(</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 </w:t>
      </w:r>
      <w:r>
        <w:rPr>
          <w:b/>
          <w:color w:val="808080"/>
        </w:rPr>
        <w:t>[</w:t>
      </w:r>
      <w:r>
        <w:rPr>
          <w:color w:val="808080"/>
        </w:rPr>
        <w:t>meine</w:t>
      </w:r>
      <w:r>
        <w:rPr>
          <w:b/>
          <w:color w:val="808080"/>
        </w:rPr>
        <w:t>]</w:t>
      </w:r>
      <w:r>
        <w:rPr>
          <w:color w:val="808080"/>
        </w:rPr>
        <w:t xml:space="preserve"> Leber, </w:t>
      </w:r>
      <w:r>
        <w:rPr>
          <w:b/>
          <w:color w:val="808080"/>
        </w:rPr>
        <w:t>[</w:t>
      </w:r>
      <w:r>
        <w:rPr>
          <w:color w:val="808080"/>
        </w:rPr>
        <w:t>mein</w:t>
      </w:r>
      <w:r>
        <w:rPr>
          <w:b/>
          <w:color w:val="808080"/>
        </w:rPr>
        <w:t>]</w:t>
      </w:r>
      <w:r>
        <w:rPr>
          <w:color w:val="808080"/>
        </w:rPr>
        <w:t xml:space="preserve"> Herz)</w:t>
      </w:r>
      <w:r>
        <w:rPr/>
        <w:t xml:space="preserve"> </w:t>
      </w:r>
      <w:r>
        <w:rPr>
          <w:rStyle w:val="Funotenanker"/>
        </w:rPr>
        <w:footnoteReference w:customMarkFollows="1" w:id="2023"/>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2024"/>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2025"/>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t xml:space="preserve">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2026"/>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2027"/>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2028"/>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2029"/>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2030"/>
        <w:t>e</w:t>
      </w:r>
      <w:r>
        <w:rPr/>
        <w:t xml:space="preserve"> </w:t>
        <w:br/>
        <w:t>Ich gehe</w:t>
      </w:r>
      <w:r>
        <w:rPr>
          <w:rStyle w:val="Funotenanker"/>
        </w:rPr>
        <w:footnoteReference w:customMarkFollows="1" w:id="2031"/>
        <w:t>f</w:t>
      </w:r>
      <w:r>
        <w:rPr/>
        <w:t xml:space="preserve"> </w:t>
      </w:r>
      <w:r>
        <w:rPr>
          <w:b/>
          <w:color w:val="808080"/>
        </w:rPr>
        <w:t>[</w:t>
      </w:r>
      <w:r>
        <w:rPr/>
        <w:t>in einer</w:t>
      </w:r>
      <w:r>
        <w:rPr>
          <w:b/>
          <w:color w:val="808080"/>
        </w:rPr>
        <w:t>]</w:t>
      </w:r>
      <w:r>
        <w:rPr/>
        <w:t xml:space="preserve"> großen</w:t>
      </w:r>
      <w:r>
        <w:rPr>
          <w:rStyle w:val="Funotenanker"/>
        </w:rPr>
        <w:footnoteReference w:customMarkFollows="1" w:id="2032"/>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2033"/>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2034"/>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53]]Kapitel 53</w:t>
      </w:r>
    </w:p>
    <w:p>
      <w:pPr>
        <w:pStyle w:val="Textkrper"/>
        <w:rPr/>
      </w:pPr>
      <w:r>
        <w:rPr/>
        <w:t>Psalm 53 ist ein weisheitlicher Klagepsalm. V. 1 nennt man meist die „Überschrift“. Diese Überschriften wurden den Psalmen nachträglich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2 beginnt der eigentliche Psalm damit, dass die Verderbtheit der gesamten Menschheit beklagt wird. Dieser Zustand wird in Vv. 3-6 zum Anlass für eine Besinnung über das vergangene Handeln Gottes in ähnlicher Situation: Eine Prüfung Gottes ergab, dass die gesamte Menschheit verdorben ist und sich sowohl ihren Mitmenschen als auch Gott gegenüber unangemessen verhält. V. 6 schildern das Resultat dieser Prüfung: Gott sorgte dafür, dass die Übeltäter „einen Schrecken erschraken, wie es noch nie einen Schrecken gab“, indem er dafür sorgte, dass sein Volk seine Okkupanten bezwingen konnte. In V. 7 schließt an diese Besinnung der Wunsch an, dass Gott doch auch jetzt wieder ebenso handeln möge: Gott möge das Geschick der von gänzlich verderbten Feinden unterdrückten Israeliten wenden, so dass sie wieder Grund zu Jubel und Freude haben. In Vv. 2-5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2035"/>
        <w:t>a</w:t>
      </w:r>
      <w:r>
        <w:rPr/>
        <w:t xml:space="preserve">s Volk frisst“ und selbst beim „Brot-fressen“ keinen Gedanken an den verschwendet, dem er dieses Brot verdankt. Ein Letztes: Psalm 53 ist doppelt überliefert und findet sich noch einmal in leicht abgewandelter Form als Psalm 14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w:t>
        <w:br/>
        <w:br/>
        <w:t>[[@BibleTOBIBLE:Ps 53:1]]</w:t>
      </w:r>
      <w:r>
        <w:rPr>
          <w:b/>
        </w:rPr>
        <w:t>1</w:t>
      </w:r>
      <w:r>
        <w:rPr/>
        <w:t xml:space="preserve"> {{field-on:bible}} </w:t>
      </w:r>
      <w:r>
        <w:rPr>
          <w:rStyle w:val="Funotenanker"/>
        </w:rPr>
        <w:footnoteReference w:customMarkFollows="1" w:id="2036"/>
        <w:t>Status</w:t>
      </w:r>
      <w:r>
        <w:rPr/>
        <w:t xml:space="preserve"> ''Für den Chorleiter</w:t>
      </w:r>
      <w:r>
        <w:rPr>
          <w:rStyle w:val="Funotenanker"/>
        </w:rPr>
        <w:footnoteReference w:customMarkFollows="1" w:id="2037"/>
        <w:t>b</w:t>
      </w:r>
      <w:r>
        <w:rPr/>
        <w:t xml:space="preserve">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 `al-machalat.</w:t>
      </w:r>
      <w:r>
        <w:rPr>
          <w:rStyle w:val="Funotenanker"/>
        </w:rPr>
        <w:footnoteReference w:customMarkFollows="1" w:id="2038"/>
        <w:t>c</w:t>
      </w:r>
      <w:r>
        <w:rPr/>
        <w:t xml:space="preserve"> ''Ein Lehrgedicht </w:t>
      </w:r>
      <w:r>
        <w:rPr>
          <w:color w:val="808080"/>
        </w:rPr>
        <w:t>(?)</w:t>
      </w:r>
      <w:r>
        <w:rPr/>
        <w:t xml:space="preserve"> von </w:t>
      </w:r>
      <w:r>
        <w:rPr>
          <w:color w:val="808080"/>
        </w:rPr>
        <w:t>(für, über, nach Art von)</w:t>
      </w:r>
      <w:r>
        <w:rPr/>
        <w:t xml:space="preserve"> David.'' </w:t>
        <w:br/>
        <w:t xml:space="preserve">{{field-off:bible}} </w:t>
        <w:br/>
        <w:t>[[@BibleTOBIBLE:Ps 53:2]]</w:t>
      </w:r>
      <w:r>
        <w:rPr>
          <w:b/>
        </w:rPr>
        <w:t>2</w:t>
      </w:r>
      <w:r>
        <w:rPr/>
        <w:t xml:space="preserve"> {{field-on:bible}}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2039"/>
        <w:t>d</w:t>
      </w:r>
      <w:r>
        <w:rPr/>
        <w:t xml:space="preserve"> </w:t>
        <w:br/>
        <w:t xml:space="preserve">Sie begehen und verbrechen </w:t>
      </w:r>
      <w:r>
        <w:rPr>
          <w:color w:val="808080"/>
        </w:rPr>
        <w:t>(begingen und verbrachen)</w:t>
      </w:r>
      <w:r>
        <w:rPr/>
        <w:t xml:space="preserve"> Untat</w:t>
      </w:r>
      <w:r>
        <w:rPr>
          <w:rStyle w:val="Funotenanker"/>
        </w:rPr>
        <w:footnoteReference w:customMarkFollows="1" w:id="2040"/>
        <w:t>e</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53:3]]</w:t>
      </w:r>
      <w:r>
        <w:rPr>
          <w:b/>
        </w:rPr>
        <w:t>3</w:t>
      </w:r>
      <w:r>
        <w:rPr/>
        <w:t xml:space="preserve"> {{field-on:bible}} </w:t>
        <w:br/>
        <w:t xml:space="preserve">Gott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2041"/>
        <w:t>f</w:t>
      </w:r>
      <w:r>
        <w:rPr/>
        <w:t xml:space="preserve"> </w:t>
        <w:br/>
        <w:t xml:space="preserve">{{field-off:bible}} </w:t>
        <w:br/>
        <w:t>[[@BibleTOBIBLE:Ps 53:4]]</w:t>
      </w:r>
      <w:r>
        <w:rPr>
          <w:b/>
        </w:rPr>
        <w:t>4</w:t>
      </w:r>
      <w:r>
        <w:rPr/>
        <w:t xml:space="preserve"> {{field-on:bible}} </w:t>
        <w:br/>
        <w:t xml:space="preserve">„Sie alle sind </w:t>
      </w:r>
      <w:r>
        <w:rPr>
          <w:color w:val="808080"/>
        </w:rPr>
        <w:t>(waren)</w:t>
      </w:r>
      <w:r>
        <w:rPr/>
        <w:t xml:space="preserve"> abgewichen,Sämtlich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53:5]]</w:t>
      </w:r>
      <w:r>
        <w:rPr>
          <w:b/>
        </w:rPr>
        <w:t>5</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w:t>
      </w:r>
      <w:r>
        <w:rPr>
          <w:b/>
          <w:color w:val="808080"/>
        </w:rPr>
        <w:t>[</w:t>
      </w:r>
      <w:r>
        <w:rPr/>
        <w:t>die</w:t>
      </w:r>
      <w:r>
        <w:rPr>
          <w:b/>
          <w:color w:val="808080"/>
        </w:rPr>
        <w:t>]</w:t>
      </w:r>
      <w:r>
        <w:rPr/>
        <w:t xml:space="preserve"> Übel-Täter,</w:t>
      </w:r>
      <w:r>
        <w:rPr>
          <w:b/>
          <w:color w:val="808080"/>
        </w:rPr>
        <w:t>[</w:t>
      </w:r>
      <w:r>
        <w:rPr/>
        <w:t>Die</w:t>
      </w:r>
      <w:r>
        <w:rPr>
          <w:b/>
          <w:color w:val="808080"/>
        </w:rPr>
        <w:t>]</w:t>
      </w:r>
      <w:r>
        <w:rPr/>
        <w:t xml:space="preserve"> mein Volk fressen?</w:t>
        <w:br/>
        <w:t>Sie fressen Brot,</w:t>
      </w:r>
      <w:r>
        <w:rPr>
          <w:rStyle w:val="Funotenanker"/>
        </w:rPr>
        <w:footnoteReference w:customMarkFollows="1" w:id="2042"/>
        <w:t>g</w:t>
      </w:r>
      <w:r>
        <w:rPr/>
        <w:t xml:space="preserve"> </w:t>
      </w:r>
      <w:r>
        <w:rPr>
          <w:b/>
          <w:color w:val="808080"/>
        </w:rPr>
        <w:t>[</w:t>
      </w:r>
      <w:r>
        <w:rPr/>
        <w:t>Doch</w:t>
      </w:r>
      <w:r>
        <w:rPr>
          <w:b/>
          <w:color w:val="808080"/>
        </w:rPr>
        <w:t>]</w:t>
      </w:r>
      <w:r>
        <w:rPr/>
        <w:t xml:space="preserve"> Gott rufen sie nicht an.“</w:t>
        <w:br/>
        <w:br/>
        <w:t xml:space="preserve">{{field-off:bible}} </w:t>
        <w:br/>
        <w:t>[[@BibleTOBIBLE:Ps 53:6]]</w:t>
      </w:r>
      <w:r>
        <w:rPr>
          <w:b/>
        </w:rPr>
        <w:t>6</w:t>
      </w:r>
      <w:r>
        <w:rPr/>
        <w:t xml:space="preserve"> {{field-on:bible}} </w:t>
        <w:br/>
        <w:t>Da erschraken sie einen Schrecken,</w:t>
      </w:r>
      <w:r>
        <w:rPr>
          <w:b/>
          <w:color w:val="808080"/>
        </w:rPr>
        <w:t>[</w:t>
      </w:r>
      <w:r>
        <w:rPr/>
        <w:t>Wie es</w:t>
      </w:r>
      <w:r>
        <w:rPr>
          <w:b/>
          <w:color w:val="808080"/>
        </w:rPr>
        <w:t>]</w:t>
      </w:r>
      <w:r>
        <w:rPr/>
        <w:t xml:space="preserve"> nie </w:t>
      </w:r>
      <w:r>
        <w:rPr>
          <w:b/>
          <w:color w:val="808080"/>
        </w:rPr>
        <w:t>[</w:t>
      </w:r>
      <w:r>
        <w:rPr/>
        <w:t>zuvor</w:t>
      </w:r>
      <w:r>
        <w:rPr>
          <w:b/>
          <w:color w:val="808080"/>
        </w:rPr>
        <w:t>]</w:t>
      </w:r>
      <w:r>
        <w:rPr/>
        <w:t xml:space="preserve"> Schrecken gab,</w:t>
      </w:r>
      <w:r>
        <w:rPr>
          <w:rStyle w:val="Funotenanker"/>
        </w:rPr>
        <w:footnoteReference w:customMarkFollows="1" w:id="2043"/>
        <w:t>h</w:t>
      </w:r>
      <w:r>
        <w:rPr/>
        <w:t xml:space="preserve"> </w:t>
        <w:br/>
        <w:t>Denn Gott zerstreute die Knochen des bei dir Lagernden;</w:t>
      </w:r>
      <w:r>
        <w:rPr>
          <w:rStyle w:val="Funotenanker"/>
        </w:rPr>
        <w:footnoteReference w:customMarkFollows="1" w:id="2044"/>
        <w:t>i</w:t>
      </w:r>
      <w:r>
        <w:rPr/>
        <w:t xml:space="preserve">Du machtest </w:t>
      </w:r>
      <w:r>
        <w:rPr>
          <w:b/>
          <w:color w:val="808080"/>
        </w:rPr>
        <w:t>[</w:t>
      </w:r>
      <w:r>
        <w:rPr/>
        <w:t>ihn</w:t>
      </w:r>
      <w:r>
        <w:rPr>
          <w:b/>
          <w:color w:val="808080"/>
        </w:rPr>
        <w:t>]</w:t>
      </w:r>
      <w:r>
        <w:rPr/>
        <w:t xml:space="preserve"> zuschanden, denn Gott verwarf sie.</w:t>
        <w:br/>
        <w:br/>
        <w:t xml:space="preserve">{{field-off:bible}} </w:t>
        <w:br/>
        <w:t>[[@BibleTOBIBLE:Ps 53:7]]</w:t>
      </w:r>
      <w:r>
        <w:rPr>
          <w:b/>
        </w:rPr>
        <w:t>7</w:t>
      </w:r>
      <w:r>
        <w:rPr/>
        <w:t xml:space="preserve"> {{field-on:bible}} </w:t>
        <w:br/>
        <w:t>Möge es doch vom Zion</w:t>
      </w:r>
      <w:r>
        <w:rPr>
          <w:rStyle w:val="Funotenanker"/>
        </w:rPr>
        <w:footnoteReference w:customMarkFollows="1" w:id="2045"/>
        <w:t>j</w:t>
      </w:r>
      <w:r>
        <w:rPr/>
        <w:t xml:space="preserve"> Rettung für Israel geben!</w:t>
      </w:r>
      <w:r>
        <w:rPr>
          <w:rStyle w:val="Funotenanker"/>
        </w:rPr>
        <w:footnoteReference w:customMarkFollows="1" w:id="2046"/>
        <w:t>k</w:t>
      </w:r>
      <w:r>
        <w:rPr/>
        <w:t xml:space="preserve"> </w:t>
        <w:br/>
        <w:t xml:space="preserve">Wenn Gott das Geschick </w:t>
      </w:r>
      <w:r>
        <w:rPr>
          <w:color w:val="808080"/>
        </w:rPr>
        <w:t>(die Gefangenschaft)</w:t>
      </w:r>
      <w:r>
        <w:rPr/>
        <w:t xml:space="preserve"> seines Volkes wendet,Möge Jakob</w:t>
      </w:r>
      <w:r>
        <w:rPr>
          <w:rStyle w:val="Funotenanker"/>
        </w:rPr>
        <w:footnoteReference w:customMarkFollows="1" w:id="2047"/>
        <w:t>l</w:t>
      </w:r>
      <w:r>
        <w:rPr/>
        <w:t xml:space="preserve"> jubeln, Israel sich freuen!</w:t>
        <w:br/>
        <w:t xml:space="preserve">{{field-off:bible}}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2048"/>
        <w:t>a</w:t>
      </w:r>
      <w:r>
        <w:rPr/>
        <w:t xml:space="preserve"> </w:t>
        <w:br/>
        <w:br/>
        <w:t>[[@BibleTOBIBLE:Ps 67:1]]</w:t>
      </w:r>
      <w:r>
        <w:rPr>
          <w:b/>
        </w:rPr>
        <w:t>1</w:t>
      </w:r>
      <w:r>
        <w:rPr/>
        <w:t xml:space="preserve"> {{field-on:bible}} </w:t>
      </w:r>
      <w:r>
        <w:rPr>
          <w:rStyle w:val="Funotenanker"/>
        </w:rPr>
        <w:footnoteReference w:customMarkFollows="1" w:id="2049"/>
        <w:t>Status</w:t>
      </w:r>
      <w:r>
        <w:rPr/>
        <w:t xml:space="preserve"> Für den obersten Musiker </w:t>
      </w:r>
      <w:r>
        <w:rPr>
          <w:color w:val="808080"/>
        </w:rPr>
        <w:t>(Chorleiter, Dirigenten, Aufseher, vorzusingen)</w:t>
      </w:r>
      <w:r>
        <w:rPr/>
        <w:t xml:space="preserve"> </w:t>
      </w:r>
      <w:r>
        <w:rPr>
          <w:rStyle w:val="Funotenanker"/>
        </w:rPr>
        <w:footnoteReference w:customMarkFollows="1" w:id="2050"/>
        <w:t>b</w:t>
      </w:r>
      <w:r>
        <w:rPr/>
        <w:t xml:space="preserve">. Mit Saiteninstrumenten </w:t>
      </w:r>
      <w:r>
        <w:rPr>
          <w:color w:val="808080"/>
        </w:rPr>
        <w:t>(fröhlicher Musik, Zupfinstrumenten)</w:t>
      </w:r>
      <w:r>
        <w:rPr/>
        <w:t xml:space="preserve"> </w:t>
      </w:r>
      <w:r>
        <w:rPr>
          <w:rStyle w:val="Funotenanker"/>
        </w:rPr>
        <w:footnoteReference w:customMarkFollows="1" w:id="2051"/>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2052"/>
        <w:t>d</w:t>
      </w:r>
      <w:r>
        <w:rPr/>
        <w:t>,</w:t>
      </w:r>
      <w:r>
        <w:rPr>
          <w:position w:val="8"/>
          <w:sz w:val="19"/>
        </w:rPr>
        <w:t>[[ ℘ &gt;&gt; BibleTOBIBLE:Nu 6:24]]</w:t>
      </w:r>
      <w:r>
        <w:rPr/>
        <w:t xml:space="preserve"> </w:t>
      </w:r>
      <w:r>
        <w:rPr>
          <w:rStyle w:val="Funotenanker"/>
        </w:rPr>
        <w:footnoteReference w:customMarkFollows="1" w:id="2053"/>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2054"/>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2055"/>
        <w:t>g</w:t>
      </w:r>
      <w:r>
        <w:rPr/>
        <w:t xml:space="preserve"> deine rettende Kraft </w:t>
      </w:r>
      <w:r>
        <w:rPr>
          <w:color w:val="808080"/>
        </w:rPr>
        <w:t>(Hilfe, Rettung, dein Eingeifen, Heil)</w:t>
      </w:r>
      <w:r>
        <w:rPr/>
        <w:t xml:space="preserve"> </w:t>
      </w:r>
      <w:r>
        <w:rPr>
          <w:rStyle w:val="Funotenanker"/>
        </w:rPr>
        <w:footnoteReference w:customMarkFollows="1" w:id="2056"/>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2057"/>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2058"/>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2059"/>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2060"/>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2061"/>
        <w:t>m</w:t>
      </w:r>
      <w:r>
        <w:rPr/>
        <w:t>!</w:t>
        <w:br/>
        <w:t xml:space="preserve">{{field-off:bible}} </w:t>
      </w:r>
    </w:p>
    <w:p>
      <w:pPr>
        <w:pStyle w:val="Berschrift3"/>
        <w:rPr/>
      </w:pPr>
      <w:r>
        <w:rPr/>
        <w:t>[[@BibleTOBIBLE:Ps 68]]Kapitel 68</w:t>
      </w:r>
    </w:p>
    <w:p>
      <w:pPr>
        <w:pStyle w:val="Textkrper"/>
        <w:rPr/>
      </w:pPr>
      <w:r>
        <w:rPr/>
        <w:br/>
        <w:t>[[@BibleTOBIBLE:Ps 68:20]]</w:t>
      </w:r>
      <w:r>
        <w:rPr>
          <w:b/>
        </w:rPr>
        <w:t>20</w:t>
      </w:r>
      <w:r>
        <w:rPr/>
        <w:t xml:space="preserve"> {{field-on:bible}}Gelobt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2062"/>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2063"/>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2064"/>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2065"/>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2066"/>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2067"/>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2068"/>
        <w:t>Status</w:t>
      </w:r>
      <w:r>
        <w:rPr/>
        <w:t xml:space="preserve"> Ein Gesang. Ein Lied. Von den Söhnen des Korach. Für den Musikleiter. Zu singen nach Machalat</w:t>
      </w:r>
      <w:r>
        <w:rPr>
          <w:rStyle w:val="Funotenanker"/>
        </w:rPr>
        <w:footnoteReference w:customMarkFollows="1" w:id="2069"/>
        <w:t>a</w:t>
      </w:r>
      <w:r>
        <w:rPr/>
        <w:t>. Ein Maskil</w:t>
      </w:r>
      <w:r>
        <w:rPr>
          <w:rStyle w:val="Funotenanker"/>
        </w:rPr>
        <w:footnoteReference w:customMarkFollows="1" w:id="2070"/>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2071"/>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2072"/>
        <w:t>d</w:t>
      </w:r>
      <w:r>
        <w:rPr/>
        <w:t xml:space="preserve"> gestiegen sind. Ich bin wie ein Mann ohne Hilfe </w:t>
      </w:r>
      <w:r>
        <w:rPr>
          <w:color w:val="808080"/>
        </w:rPr>
        <w:t>(Stärke)</w:t>
      </w:r>
      <w:r>
        <w:rPr/>
        <w:t xml:space="preserve"> </w:t>
      </w:r>
      <w:r>
        <w:rPr>
          <w:rStyle w:val="Funotenanker"/>
        </w:rPr>
        <w:footnoteReference w:customMarkFollows="1" w:id="2073"/>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2074"/>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2075"/>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2076"/>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2077"/>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2078"/>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2079"/>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2080"/>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2081"/>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t>Thema dieses Klagepsalms und Klagegebets ist die menschliche Vergänglichkeit. Im Zentrum steht Vers 12 mit der Bitte an Gott, uns zu guter Erkenntnis angesichts unseres sicheren Todes zu führen: „Lehre uns, unsere Tage zu zählen“.</w:t>
      </w:r>
      <w:r>
        <w:rPr>
          <w:rStyle w:val="Funotenanker"/>
        </w:rPr>
        <w:footnoteReference w:customMarkFollows="1" w:id="2082"/>
        <w:t>a</w:t>
      </w:r>
      <w:r>
        <w:rPr/>
        <w:t xml:space="preserve"> Der Psalm ist Mose zugeordnet und verweist sprachlich auf das Bittgebet des Mose (Exodus 32), das Lied des Mose (Deuteronomium 32) und den Segen des Mose (Deuteronomium 33) – siehe Parallelstellenangaben.</w:t>
      </w:r>
      <w:r>
        <w:rPr>
          <w:rStyle w:val="Funotenanker"/>
        </w:rPr>
        <w:footnoteReference w:customMarkFollows="1" w:id="2083"/>
        <w:t>b</w:t>
      </w:r>
      <w:r>
        <w:rPr/>
        <w:t xml:space="preserve"> Der Text beginnt mit einer Gottesanrufung. Die Verse 1–2 rufen in Erinnerung, dass der ewige Gottes die Menschen stets [vor Gefahren] geschützt hat. Auf die Betonung der göttlichen Ewigkeit folgt dann in 3–10 eine Vergänglichkeitsklage und Anklage Gottes</w:t>
      </w:r>
      <w:r>
        <w:rPr>
          <w:rStyle w:val="Funotenanker"/>
        </w:rPr>
        <w:footnoteReference w:customMarkFollows="1" w:id="2084"/>
        <w:t>c</w:t>
      </w:r>
      <w:r>
        <w:rPr/>
        <w:t>. In klaren Worten wird beschrieben, dass Gott die Menschen sterben lässt. Die Kürze des menschlichen Lebens steht in Kontrast zur Existenz Gottes. Diese Klage mündet in Vers 11–12 in die Bitte an Gott, die Sterblichkeit akzeptieren zu können, so dass „ das Leben als Gottes Gabe angenommen und erfüllt gelebt werden kann“</w:t>
      </w:r>
      <w:r>
        <w:rPr>
          <w:rStyle w:val="Funotenanker"/>
        </w:rPr>
        <w:footnoteReference w:customMarkFollows="1" w:id="2085"/>
        <w:t>d</w:t>
      </w:r>
      <w:r>
        <w:rPr/>
        <w:t>. Nun folgt ein „Bitten um ein Eingreifen Gottes (V 11–16) mit Ausblick in eine heilvollere Zukunft (V 17)“</w:t>
      </w:r>
      <w:r>
        <w:rPr>
          <w:rStyle w:val="Funotenanker"/>
        </w:rPr>
        <w:footnoteReference w:customMarkFollows="1" w:id="2086"/>
        <w:t>e</w:t>
      </w:r>
      <w:r>
        <w:rPr/>
        <w:t xml:space="preserve">. Dieser Schlussteil des Psalms nimmt sprachliche Motive vom Anfang auf (3: Kehrt zurück [Menschen], 11: Kehre zurück [Gott]; Tag; Morgen). Zugleich bildet er inhaltlich eine Brücke zum folgenden Psalm 91 (Verheißung einer guten Zukunft) uns sprachlich zu Psalm 92 (Dank). </w:t>
        <w:br/>
        <w:br/>
        <w:t>[[@BibleTOBIBLE:Ps 90:1]]</w:t>
      </w:r>
      <w:r>
        <w:rPr>
          <w:b/>
        </w:rPr>
        <w:t>1</w:t>
      </w:r>
      <w:r>
        <w:rPr/>
        <w:t xml:space="preserve"> {{field-on:bible}} </w:t>
      </w:r>
      <w:r>
        <w:rPr>
          <w:rStyle w:val="Funotenanker"/>
        </w:rPr>
        <w:footnoteReference w:customMarkFollows="1" w:id="2087"/>
        <w:t>Status</w:t>
      </w:r>
      <w:r>
        <w:rPr/>
        <w:t xml:space="preserve"> Ein Gebet von Mose, dem Mann Gottes: </w:t>
      </w:r>
      <w:r>
        <w:rPr>
          <w:position w:val="8"/>
          <w:sz w:val="19"/>
        </w:rPr>
        <w:t>[[ ℘ &gt;&gt; BibleTOBIBLE:Dt 33:1]]</w:t>
      </w:r>
      <w:r>
        <w:rPr/>
        <w:t xml:space="preserve"> </w:t>
        <w:br/>
        <w:t xml:space="preserve">Mein Herr </w:t>
      </w:r>
      <w:r>
        <w:rPr>
          <w:color w:val="808080"/>
        </w:rPr>
        <w:t>(Herr)</w:t>
      </w:r>
      <w:r>
        <w:rPr/>
        <w:t xml:space="preserve">, eine </w:t>
      </w:r>
      <w:r>
        <w:rPr>
          <w:b/>
          <w:color w:val="808080"/>
        </w:rPr>
        <w:t>[</w:t>
      </w:r>
      <w:r>
        <w:rPr/>
        <w:t>sichere</w:t>
      </w:r>
      <w:r>
        <w:rPr>
          <w:b/>
          <w:color w:val="808080"/>
        </w:rPr>
        <w:t>]</w:t>
      </w:r>
      <w:r>
        <w:rPr/>
        <w:t xml:space="preserv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2088"/>
        <w:t>f</w:t>
      </w:r>
      <w:r>
        <w:rPr/>
        <w:t xml:space="preserve">. </w:t>
      </w:r>
      <w:r>
        <w:rPr>
          <w:position w:val="8"/>
          <w:sz w:val="19"/>
        </w:rPr>
        <w:t>[[ ℘ &gt;&gt; BibleTOBIBLE:Dt 32:7]][[ ℘ &gt;&gt; BibleTOBIBLE:Dt 33:27]]</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2089"/>
        <w:t>g</w:t>
      </w:r>
      <w:r>
        <w:rPr/>
        <w:t xml:space="preserve"> hervorgebracht </w:t>
      </w:r>
      <w:r>
        <w:rPr>
          <w:color w:val="808080"/>
        </w:rPr>
        <w:t>(geboren)</w:t>
      </w:r>
      <w:r>
        <w:rPr/>
        <w:t xml:space="preserve"> </w:t>
      </w:r>
      <w:r>
        <w:rPr>
          <w:rStyle w:val="Funotenanker"/>
        </w:rPr>
        <w:footnoteReference w:customMarkFollows="1" w:id="2090"/>
        <w:t>h</w:t>
      </w:r>
      <w:r>
        <w:rPr/>
        <w:t xml:space="preserve"> hattest</w:t>
      </w:r>
      <w:r>
        <w:rPr>
          <w:rStyle w:val="Funotenanker"/>
        </w:rPr>
        <w:footnoteReference w:customMarkFollows="1" w:id="2091"/>
        <w:t>i</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2092"/>
        <w:t>j</w:t>
      </w:r>
      <w:r>
        <w:rPr/>
        <w:t>.</w:t>
      </w:r>
      <w:r>
        <w:rPr>
          <w:position w:val="8"/>
          <w:sz w:val="19"/>
        </w:rPr>
        <w:t>[[ ℘ &gt;&gt; BibleTOBIBLE:Dt 33:15]]</w:t>
      </w:r>
      <w:r>
        <w:rPr/>
        <w:t xml:space="preserve"> </w:t>
        <w:br/>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2093"/>
        <w:t>k</w:t>
      </w:r>
      <w:r>
        <w:rPr/>
        <w:t xml:space="preserve"> </w:t>
      </w:r>
      <w:r>
        <w:rPr>
          <w:position w:val="8"/>
          <w:sz w:val="19"/>
        </w:rPr>
        <w:t>[[ ℘ &gt;&gt; BibleTOBIBLE:Ge 3:19]]</w:t>
      </w:r>
      <w:r>
        <w:rPr/>
        <w:t xml:space="preserve"> und sprichst: „Kehrt zurück </w:t>
      </w:r>
      <w:r>
        <w:rPr>
          <w:color w:val="808080"/>
        </w:rPr>
        <w:t>(kehrt um)</w:t>
      </w:r>
      <w:r>
        <w:rPr/>
        <w:t xml:space="preserve"> </w:t>
      </w:r>
      <w:r>
        <w:rPr>
          <w:rStyle w:val="Funotenanker"/>
        </w:rPr>
        <w:footnoteReference w:customMarkFollows="1" w:id="2094"/>
        <w:t>l</w:t>
      </w:r>
      <w:r>
        <w:rPr/>
        <w:t xml:space="preserve">, ihr Kinder des Menschen </w:t>
      </w:r>
      <w:r>
        <w:rPr>
          <w:color w:val="808080"/>
        </w:rPr>
        <w:t>(Adams Söhne, 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2095"/>
        <w:t>m</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2096"/>
        <w:t>n</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2097"/>
        <w:t>o</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2098"/>
        <w:t>p</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2099"/>
        <w:t>q</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2100"/>
        <w:t>r</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2101"/>
        <w:t>s</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mit Kraft </w:t>
      </w:r>
      <w:r>
        <w:rPr>
          <w:color w:val="808080"/>
        </w:rPr>
        <w:t xml:space="preserve">(durch </w:t>
      </w:r>
      <w:r>
        <w:rPr>
          <w:b/>
          <w:color w:val="808080"/>
        </w:rPr>
        <w:t>[</w:t>
      </w:r>
      <w:r>
        <w:rPr>
          <w:color w:val="808080"/>
        </w:rPr>
        <w:t>deine</w:t>
      </w:r>
      <w:r>
        <w:rPr>
          <w:b/>
          <w:color w:val="808080"/>
        </w:rPr>
        <w:t>]</w:t>
      </w:r>
      <w:r>
        <w:rPr>
          <w:color w:val="808080"/>
        </w:rPr>
        <w:t xml:space="preserve"> Kraft </w:t>
      </w:r>
      <w:r>
        <w:rPr>
          <w:b/>
          <w:color w:val="808080"/>
        </w:rPr>
        <w:t>[</w:t>
      </w:r>
      <w:r>
        <w:rPr>
          <w:color w:val="808080"/>
        </w:rPr>
        <w:t>unterstützt</w:t>
      </w:r>
      <w:r>
        <w:rPr>
          <w:b/>
          <w:color w:val="808080"/>
        </w:rPr>
        <w:t>]</w:t>
      </w:r>
      <w:r>
        <w:rPr>
          <w:color w:val="808080"/>
        </w:rPr>
        <w:t xml:space="preserve"> </w:t>
      </w:r>
      <w:r>
        <w:rPr>
          <w:rStyle w:val="Funotenanker"/>
        </w:rPr>
        <w:footnoteReference w:customMarkFollows="1" w:id="2102"/>
        <w:t>t</w:t>
      </w:r>
      <w:r>
        <w:rPr/>
        <w:t xml:space="preserve"> </w:t>
      </w:r>
      <w:r>
        <w:rPr>
          <w:color w:val="808080"/>
        </w:rPr>
        <w:t>, wenn in Kraft)</w:t>
      </w:r>
      <w:r>
        <w:rPr/>
        <w:t xml:space="preserve"> achtzig Jahre.</w:t>
        <w:br/>
      </w:r>
      <w:r>
        <w:rPr>
          <w:strike/>
          <w:color w:val="808080"/>
        </w:rPr>
        <w:t>{und}</w:t>
      </w:r>
      <w:r>
        <w:rPr/>
        <w:t xml:space="preserve"> Ihr Stolz</w:t>
      </w:r>
      <w:r>
        <w:rPr>
          <w:rStyle w:val="Funotenanker"/>
        </w:rPr>
        <w:footnoteReference w:customMarkFollows="1" w:id="2103"/>
        <w:t>u</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die Furcht vor dir </w:t>
      </w:r>
      <w:r>
        <w:rPr>
          <w:color w:val="808080"/>
        </w:rPr>
        <w:t>(deine Furcht)</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r>
      <w:r>
        <w:rPr>
          <w:position w:val="8"/>
          <w:sz w:val="19"/>
        </w:rPr>
        <w:t>[[ ℘ &gt;&gt; BibleTOBIBLE:Ex 32:12]][[ ℘ &gt;&gt; BibleTOBIBLE:Dt 32:26]]</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2104"/>
        <w:t>v</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2105"/>
        <w:t>w</w:t>
      </w:r>
      <w:r>
        <w:rPr/>
        <w:t xml:space="preserve"> deinen Knechten </w:t>
      </w:r>
      <w:r>
        <w:rPr>
          <w:color w:val="808080"/>
        </w:rPr>
        <w:t>(Sklaven, Dienern)</w:t>
      </w:r>
      <w:r>
        <w:rPr/>
        <w:t xml:space="preserve"> dein Handeln und deine Herrlichkeit </w:t>
      </w:r>
      <w:r>
        <w:rPr>
          <w:color w:val="808080"/>
        </w:rPr>
        <w:t>(Glanz, Majestät, Macht)</w:t>
      </w:r>
      <w:r>
        <w:rPr/>
        <w:t xml:space="preserve"> ihren Kindern </w:t>
      </w:r>
      <w:r>
        <w:rPr>
          <w:color w:val="808080"/>
        </w:rPr>
        <w:t>(Söhnen)</w:t>
      </w:r>
      <w:r>
        <w:rPr/>
        <w:t xml:space="preserve">! </w:t>
      </w:r>
      <w:r>
        <w:rPr>
          <w:position w:val="8"/>
          <w:sz w:val="19"/>
        </w:rPr>
        <w:t>[[ ℘ &gt;&gt; BibleTOBIBLE:Dt 32:18]]</w:t>
      </w:r>
      <w:r>
        <w:rPr/>
        <w:t xml:space="preserve"> </w:t>
        <w:br/>
        <w:br/>
        <w:t xml:space="preserve">{{field-off:bible}} </w:t>
        <w:br/>
        <w:t>[[@BibleTOBIBLE:Ps 90:17]]</w:t>
      </w:r>
      <w:r>
        <w:rPr>
          <w:b/>
        </w:rPr>
        <w:t>17</w:t>
      </w:r>
      <w:r>
        <w:rPr/>
        <w:t xml:space="preserve"> {{field-on:bible}} </w:t>
        <w:br/>
        <w:t xml:space="preserve">Die Freundlichkeit </w:t>
      </w:r>
      <w:r>
        <w:rPr>
          <w:color w:val="808080"/>
        </w:rPr>
        <w:t>(Gunst)</w:t>
      </w:r>
      <w:r>
        <w:rPr/>
        <w:t xml:space="preserve"> des Herrn </w:t>
      </w:r>
      <w:r>
        <w:rPr>
          <w:color w:val="808080"/>
        </w:rPr>
        <w:t>(meines 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2106"/>
        <w:t>x</w:t>
      </w:r>
      <w:r>
        <w:rPr/>
        <w:t xml:space="preserve"> über uns, und </w:t>
      </w:r>
      <w:r>
        <w:rPr>
          <w:color w:val="808080"/>
        </w:rPr>
        <w:t>(ja)</w:t>
      </w:r>
      <w:r>
        <w:rPr/>
        <w:t xml:space="preserve"> das Werk unserer Hände, festige es! </w:t>
        <w:br/>
        <w:t xml:space="preserve">{{field-off:bible}} </w:t>
      </w:r>
    </w:p>
    <w:p>
      <w:pPr>
        <w:pStyle w:val="Berschrift3"/>
        <w:rPr/>
      </w:pPr>
      <w:r>
        <w:rPr/>
        <w:t>[[@BibleTOBIBLE:Ps 91]]Kapitel 91</w:t>
      </w:r>
    </w:p>
    <w:p>
      <w:pPr>
        <w:pStyle w:val="Textkrper"/>
        <w:rPr/>
      </w:pPr>
      <w:r>
        <w:rPr/>
        <w:br/>
        <w:t>[[@BibleTOBIBLE:Ps 91:1]]</w:t>
      </w:r>
      <w:r>
        <w:rPr>
          <w:b/>
        </w:rPr>
        <w:t>1</w:t>
      </w:r>
      <w:r>
        <w:rPr/>
        <w:t xml:space="preserve"> {{field-on:bible}}Wer im Schutz des Höchsten </w:t>
      </w:r>
      <w:r>
        <w:rPr>
          <w:color w:val="808080"/>
        </w:rPr>
        <w:t>(Eljon)</w:t>
      </w:r>
      <w:r>
        <w:rPr/>
        <w:t xml:space="preserve"> sitzt </w:t>
      </w:r>
      <w:r>
        <w:rPr>
          <w:color w:val="808080"/>
        </w:rPr>
        <w:t>(wohnt)</w:t>
      </w:r>
      <w:r>
        <w:rPr/>
        <w:t xml:space="preserve">, bleibt im Schatten des Allmächtigen </w:t>
      </w:r>
      <w:r>
        <w:rPr>
          <w:color w:val="808080"/>
        </w:rPr>
        <w:t>(Schaddai)</w:t>
      </w:r>
      <w:r>
        <w:rPr/>
        <w:t xml:space="preserve">.{{field-off:bible}} </w:t>
        <w:br/>
        <w:t>[[@BibleTOBIBLE:Ps 91:2]]</w:t>
      </w:r>
      <w:r>
        <w:rPr>
          <w:b/>
        </w:rPr>
        <w:t>2</w:t>
      </w:r>
      <w:r>
        <w:rPr/>
        <w:t xml:space="preserve"> {{field-on:bible}}Ich sage zu </w:t>
      </w:r>
      <w:r>
        <w:rPr>
          <w:smallCaps/>
          <w:color w:val="FF0000"/>
        </w:rPr>
        <w:t>JHWH</w:t>
      </w:r>
      <w:r>
        <w:rPr/>
        <w:t xml:space="preserve">: Meine Zuflucht und meine Burg, mein Gott, ich vertraue auf ihn.{{field-off:bible}}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2107"/>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2108"/>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2109"/>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2110"/>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2111"/>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2112"/>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2113"/>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2114"/>
        <w:t>a</w:t>
      </w:r>
      <w:r>
        <w:rPr/>
        <w:t xml:space="preserve"> </w:t>
      </w:r>
      <w:r>
        <w:rPr>
          <w:color w:val="808080"/>
        </w:rPr>
        <w:t>)</w:t>
      </w:r>
      <w:r>
        <w:rPr/>
        <w:t xml:space="preserve"> </w:t>
      </w:r>
      <w:r>
        <w:rPr>
          <w:rStyle w:val="Funotenanker"/>
        </w:rPr>
        <w:footnoteReference w:customMarkFollows="1" w:id="2115"/>
        <w:t>b</w:t>
      </w:r>
      <w:r>
        <w:rPr/>
        <w:t xml:space="preserve">. </w:t>
        <w:br/>
        <w:t xml:space="preserve">Jubelt </w:t>
      </w:r>
      <w:r>
        <w:rPr>
          <w:color w:val="808080"/>
        </w:rPr>
        <w:t>(schreit vor Freude)</w:t>
      </w:r>
      <w:r>
        <w:rPr/>
        <w:t xml:space="preserve"> </w:t>
      </w:r>
      <w:r>
        <w:rPr>
          <w:rStyle w:val="Funotenanker"/>
        </w:rPr>
        <w:footnoteReference w:customMarkFollows="1" w:id="2116"/>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2117"/>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2118"/>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2119"/>
        <w:t>f</w:t>
      </w:r>
      <w:r>
        <w:rPr/>
        <w:t xml:space="preserve"> in Freudengeschrei </w:t>
      </w:r>
      <w:r>
        <w:rPr>
          <w:color w:val="808080"/>
        </w:rPr>
        <w:t>(Freudenliedern)</w:t>
      </w:r>
      <w:r>
        <w:rPr/>
        <w:t xml:space="preserve"> </w:t>
      </w:r>
      <w:r>
        <w:rPr>
          <w:rStyle w:val="Funotenanker"/>
        </w:rPr>
        <w:footnoteReference w:customMarkFollows="1" w:id="2120"/>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2121"/>
        <w:t>h</w:t>
      </w:r>
      <w:r>
        <w:rPr/>
        <w:t>!</w:t>
        <w:br/>
        <w:br/>
        <w:t xml:space="preserve">Er hat uns erschaffen, sein sind wir </w:t>
      </w:r>
      <w:r>
        <w:rPr>
          <w:color w:val="808080"/>
        </w:rPr>
        <w:t>(und nicht wir)</w:t>
      </w:r>
      <w:r>
        <w:rPr/>
        <w:t xml:space="preserve"> </w:t>
      </w:r>
      <w:r>
        <w:rPr>
          <w:rStyle w:val="Funotenanker"/>
        </w:rPr>
        <w:footnoteReference w:customMarkFollows="1" w:id="2122"/>
        <w:t>i</w:t>
      </w:r>
      <w:r>
        <w:rPr/>
        <w:t xml:space="preserve"> </w:t>
      </w:r>
      <w:r>
        <w:rPr>
          <w:b/>
          <w:color w:val="808080"/>
        </w:rPr>
        <w:t>[</w:t>
      </w:r>
      <w:r>
        <w:rPr/>
        <w:t>wir sind</w:t>
      </w:r>
      <w:r>
        <w:rPr>
          <w:b/>
          <w:color w:val="808080"/>
        </w:rPr>
        <w:t>]</w:t>
      </w:r>
      <w:r>
        <w:rPr/>
        <w:t xml:space="preserve"> </w:t>
      </w:r>
      <w:r>
        <w:rPr>
          <w:rStyle w:val="Funotenanker"/>
        </w:rPr>
        <w:footnoteReference w:customMarkFollows="1" w:id="2123"/>
        <w:t>j</w:t>
      </w:r>
      <w:r>
        <w:rPr/>
        <w:t xml:space="preserve"> sein Volk und die Herde seiner Weide</w:t>
      </w:r>
      <w:r>
        <w:rPr>
          <w:rStyle w:val="Funotenanker"/>
        </w:rPr>
        <w:footnoteReference w:customMarkFollows="1" w:id="2124"/>
        <w:t>k</w:t>
      </w:r>
      <w:r>
        <w:rPr/>
        <w:t>.</w:t>
      </w:r>
      <w:r>
        <w:rPr>
          <w:rStyle w:val="Funotenanker"/>
        </w:rPr>
        <w:footnoteReference w:customMarkFollows="1" w:id="2125"/>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2126"/>
        <w:t>m</w:t>
      </w:r>
      <w:r>
        <w:rPr/>
        <w:t xml:space="preserve"> mit Danklied </w:t>
      </w:r>
      <w:r>
        <w:rPr>
          <w:color w:val="808080"/>
        </w:rPr>
        <w:t>(Dankopfer, Loblied)</w:t>
      </w:r>
      <w:r>
        <w:rPr/>
        <w:t xml:space="preserve"> </w:t>
      </w:r>
      <w:r>
        <w:rPr>
          <w:rStyle w:val="Funotenanker"/>
        </w:rPr>
        <w:footnoteReference w:customMarkFollows="1" w:id="2127"/>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2128"/>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2129"/>
        <w:t>p</w:t>
      </w:r>
      <w:r>
        <w:rPr/>
        <w:t xml:space="preserve"> seinem Namen </w:t>
      </w:r>
      <w:r>
        <w:rPr>
          <w:color w:val="808080"/>
        </w:rPr>
        <w:t>(ihm)</w:t>
      </w:r>
      <w:r>
        <w:rPr/>
        <w:t xml:space="preserve"> </w:t>
      </w:r>
      <w:r>
        <w:rPr>
          <w:rStyle w:val="Funotenanker"/>
        </w:rPr>
        <w:footnoteReference w:customMarkFollows="1" w:id="2130"/>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2131"/>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104]]Kapitel 104</w:t>
      </w:r>
    </w:p>
    <w:p>
      <w:pPr>
        <w:pStyle w:val="Textkrper"/>
        <w:rPr/>
      </w:pPr>
      <w:r>
        <w:rPr/>
        <w:br/>
        <w:t>[[@BibleTOBIBLE:Ps 104:1]]</w:t>
      </w:r>
      <w:r>
        <w:rPr>
          <w:b/>
        </w:rPr>
        <w:t>1</w:t>
      </w:r>
      <w:r>
        <w:rPr/>
        <w:t xml:space="preserve"> {{field-on:bible}}''</w:t>
      </w:r>
      <w:r>
        <w:rPr>
          <w:color w:val="808080"/>
        </w:rPr>
        <w:t>(</w:t>
      </w:r>
      <w:r>
        <w:rPr>
          <w:b/>
          <w:color w:val="808080"/>
        </w:rPr>
        <w:t>[</w:t>
      </w:r>
      <w:r>
        <w:rPr>
          <w:color w:val="808080"/>
        </w:rPr>
        <w:t>Von (für, nach Art von) David</w:t>
      </w:r>
      <w:r>
        <w:rPr>
          <w:b/>
          <w:color w:val="808080"/>
        </w:rPr>
        <w:t>]</w:t>
      </w:r>
      <w:r>
        <w:rPr>
          <w:color w:val="808080"/>
        </w:rPr>
        <w:t>)</w:t>
      </w:r>
      <w:r>
        <w:rPr/>
        <w:t>''</w:t>
      </w:r>
      <w:r>
        <w:rPr>
          <w:rStyle w:val="Funotenanker"/>
        </w:rPr>
        <w:footnoteReference w:customMarkFollows="1" w:id="2132"/>
        <w:t>a</w:t>
      </w:r>
      <w:r>
        <w:rPr/>
        <w:t xml:space="preserve"> </w:t>
        <w:br/>
        <w:br/>
        <w:t xml:space="preserve">Preise, meine Seele, </w:t>
      </w:r>
      <w:r>
        <w:rPr>
          <w:smallCaps/>
          <w:color w:val="FF0000"/>
        </w:rPr>
        <w:t>JHWH</w:t>
      </w:r>
      <w:r>
        <w:rPr/>
        <w:t>!</w:t>
      </w:r>
      <w:r>
        <w:rPr>
          <w:rStyle w:val="Funotenanker"/>
        </w:rPr>
        <w:footnoteReference w:customMarkFollows="1" w:id="2133"/>
        <w:t>b</w:t>
      </w:r>
      <w:r>
        <w:rPr/>
        <w:t xml:space="preserve"> </w:t>
        <w:br/>
        <w:br/>
      </w:r>
      <w:r>
        <w:rPr>
          <w:smallCaps/>
          <w:color w:val="FF0000"/>
        </w:rPr>
        <w:t>JHWH</w:t>
      </w:r>
      <w:r>
        <w:rPr/>
        <w:t>, mein Gott,</w:t>
      </w:r>
      <w:r>
        <w:rPr>
          <w:rStyle w:val="Funotenanker"/>
        </w:rPr>
        <w:footnoteReference w:customMarkFollows="1" w:id="2134"/>
        <w:t>c</w:t>
      </w:r>
      <w:r>
        <w:rPr/>
        <w:t xml:space="preserve"> </w:t>
      </w:r>
      <w:r>
        <w:rPr>
          <w:b/>
          <w:color w:val="808080"/>
        </w:rPr>
        <w:t>[</w:t>
      </w:r>
      <w:r>
        <w:rPr/>
        <w:t>du bist</w:t>
      </w:r>
      <w:r>
        <w:rPr>
          <w:b/>
          <w:color w:val="808080"/>
        </w:rPr>
        <w:t>]</w:t>
      </w:r>
      <w:r>
        <w:rPr/>
        <w:t xml:space="preserve"> </w:t>
      </w:r>
      <w:r>
        <w:rPr>
          <w:color w:val="808080"/>
        </w:rPr>
        <w:t>(</w:t>
      </w:r>
      <w:r>
        <w:rPr>
          <w:b/>
          <w:color w:val="808080"/>
        </w:rPr>
        <w:t>[</w:t>
      </w:r>
      <w:r>
        <w:rPr>
          <w:color w:val="808080"/>
        </w:rPr>
        <w:t>ist</w:t>
      </w:r>
      <w:r>
        <w:rPr>
          <w:b/>
          <w:color w:val="808080"/>
        </w:rPr>
        <w:t>]</w:t>
      </w:r>
      <w:r>
        <w:rPr>
          <w:color w:val="808080"/>
        </w:rPr>
        <w:t>)</w:t>
      </w:r>
      <w:r>
        <w:rPr/>
        <w:t xml:space="preserve"> sehr groß!</w:t>
        <w:br/>
        <w:t xml:space="preserve">Du bist bekleidet </w:t>
      </w:r>
      <w:r>
        <w:rPr>
          <w:color w:val="808080"/>
        </w:rPr>
        <w:t>(hast dich bekleidet)</w:t>
      </w:r>
      <w:r>
        <w:rPr/>
        <w:t xml:space="preserve"> mit Majestät und Herrlichkeit </w:t>
      </w:r>
      <w:r>
        <w:rPr>
          <w:color w:val="808080"/>
        </w:rPr>
        <w:t>(majestätischer Herrlichkeit/Pracht)</w:t>
      </w:r>
      <w:r>
        <w:rPr/>
        <w:t>,</w:t>
      </w:r>
      <w:r>
        <w:rPr>
          <w:rStyle w:val="Funotenanker"/>
        </w:rPr>
        <w:footnoteReference w:customMarkFollows="1" w:id="2135"/>
        <w:t>d</w:t>
      </w:r>
      <w:r>
        <w:rPr/>
        <w:t xml:space="preserve"> </w:t>
        <w:br/>
        <w:t xml:space="preserve">{{field-off:bible}} </w:t>
        <w:br/>
        <w:t>[[@BibleTOBIBLE:Ps 104:2]]</w:t>
      </w:r>
      <w:r>
        <w:rPr>
          <w:b/>
        </w:rPr>
        <w:t>2</w:t>
      </w:r>
      <w:r>
        <w:rPr/>
        <w:t xml:space="preserve"> {{field-on:bible}} </w:t>
        <w:br/>
      </w:r>
      <w:r>
        <w:rPr>
          <w:b/>
          <w:color w:val="808080"/>
        </w:rPr>
        <w:t>[</w:t>
      </w:r>
      <w:r>
        <w:rPr/>
        <w:t>Bist</w:t>
      </w:r>
      <w:r>
        <w:rPr>
          <w:b/>
          <w:color w:val="808080"/>
        </w:rPr>
        <w:t>]</w:t>
      </w:r>
      <w:r>
        <w:rPr/>
        <w:t xml:space="preserve"> mit Licht wie mit einem Mantel umhüllt </w:t>
      </w:r>
      <w:r>
        <w:rPr>
          <w:color w:val="808080"/>
        </w:rPr>
        <w:t>(verhüllt, ein Eingehüllter)</w:t>
      </w:r>
      <w:r>
        <w:rPr/>
        <w:t>,</w:t>
      </w:r>
      <w:r>
        <w:rPr>
          <w:rStyle w:val="Funotenanker"/>
        </w:rPr>
        <w:footnoteReference w:customMarkFollows="1" w:id="2136"/>
        <w:t>e</w:t>
      </w:r>
      <w:r>
        <w:rPr/>
        <w:t xml:space="preserve"> </w:t>
      </w:r>
      <w:r>
        <w:rPr>
          <w:rStyle w:val="Funotenanker"/>
        </w:rPr>
        <w:footnoteReference w:customMarkFollows="1" w:id="2137"/>
        <w:t>f</w:t>
      </w:r>
      <w:r>
        <w:rPr/>
        <w:t xml:space="preserve"> </w:t>
      </w:r>
      <w:r>
        <w:rPr>
          <w:position w:val="8"/>
          <w:sz w:val="19"/>
        </w:rPr>
        <w:t>[[ ℘ &gt;&gt; BibleTOBIBLE:Job 36:30]][[ ℘ &gt;&gt; BibleTOBIBLE:Hab 3:4]][[ ℘ &gt;&gt; BibleTOBIBLE:Re 12:1]]</w:t>
      </w:r>
      <w:r>
        <w:rPr/>
        <w:t xml:space="preserve"> </w:t>
        <w:br/>
        <w:br/>
      </w:r>
      <w:r>
        <w:rPr>
          <w:b/>
          <w:color w:val="808080"/>
        </w:rPr>
        <w:t>[</w:t>
      </w:r>
      <w:r>
        <w:rPr/>
        <w:t>Oh, du</w:t>
      </w:r>
      <w:r>
        <w:rPr>
          <w:b/>
          <w:color w:val="808080"/>
        </w:rPr>
        <w:t>]</w:t>
      </w:r>
      <w:r>
        <w:rPr/>
        <w:t xml:space="preserve"> </w:t>
      </w:r>
      <w:r>
        <w:rPr>
          <w:rStyle w:val="Funotenanker"/>
        </w:rPr>
        <w:footnoteReference w:customMarkFollows="1" w:id="2138"/>
        <w:t>g</w:t>
      </w:r>
      <w:r>
        <w:rPr/>
        <w:t xml:space="preserve"> </w:t>
      </w:r>
      <w:r>
        <w:rPr>
          <w:b/>
          <w:color w:val="808080"/>
        </w:rPr>
        <w:t>[</w:t>
      </w:r>
      <w:r>
        <w:rPr/>
        <w:t>bists</w:t>
      </w:r>
      <w:r>
        <w:rPr>
          <w:b/>
          <w:color w:val="808080"/>
        </w:rPr>
        <w:t>]</w:t>
      </w:r>
      <w:r>
        <w:rPr/>
        <w:t>, der den Himmel wie eine Zeltdecke ausspannte</w:t>
      </w:r>
      <w:r>
        <w:rPr>
          <w:rStyle w:val="Funotenanker"/>
        </w:rPr>
        <w:footnoteReference w:customMarkFollows="1" w:id="2139"/>
        <w:t>h</w:t>
      </w:r>
      <w:r>
        <w:rPr/>
        <w:t xml:space="preserve"> </w:t>
      </w:r>
      <w:r>
        <w:rPr>
          <w:color w:val="808080"/>
        </w:rPr>
        <w:t>(bist ausspannend)</w:t>
      </w:r>
      <w:r>
        <w:rPr/>
        <w:t xml:space="preserve">, </w:t>
      </w:r>
      <w:r>
        <w:rPr>
          <w:position w:val="8"/>
          <w:sz w:val="19"/>
        </w:rPr>
        <w:t>[[ ℘ &gt;&gt; BibleTOBIBLE:Is 40:22]]</w:t>
      </w:r>
      <w:r>
        <w:rPr/>
        <w:t xml:space="preserve"> </w:t>
        <w:br/>
        <w:t xml:space="preserve">{{field-off:bible}} </w:t>
        <w:br/>
        <w:t>[[@BibleTOBIBLE:Ps 104:3]]</w:t>
      </w:r>
      <w:r>
        <w:rPr>
          <w:b/>
        </w:rPr>
        <w:t>3</w:t>
      </w:r>
      <w:r>
        <w:rPr/>
        <w:t xml:space="preserve"> {{field-on:bible}} </w:t>
        <w:br/>
      </w:r>
      <w:r>
        <w:rPr>
          <w:b/>
          <w:color w:val="808080"/>
        </w:rPr>
        <w:t>[</w:t>
      </w:r>
      <w:r>
        <w:rPr/>
        <w:t>Bist</w:t>
      </w:r>
      <w:r>
        <w:rPr>
          <w:b/>
          <w:color w:val="808080"/>
        </w:rPr>
        <w:t>]</w:t>
      </w:r>
      <w:r>
        <w:rPr/>
        <w:t xml:space="preserve"> der, der bälkte </w:t>
      </w:r>
      <w:r>
        <w:rPr>
          <w:color w:val="808080"/>
        </w:rPr>
        <w:t>(zimmerte)</w:t>
      </w:r>
      <w:r>
        <w:rPr/>
        <w:t xml:space="preserve"> im </w:t>
      </w:r>
      <w:r>
        <w:rPr>
          <w:color w:val="808080"/>
        </w:rPr>
        <w:t>(mit)</w:t>
      </w:r>
      <w:r>
        <w:rPr/>
        <w:t xml:space="preserve"> Wasser ein Obergemach</w:t>
      </w:r>
      <w:r>
        <w:rPr>
          <w:rStyle w:val="Funotenanker"/>
        </w:rPr>
        <w:footnoteReference w:customMarkFollows="1" w:id="2140"/>
        <w:t>i</w:t>
      </w:r>
      <w:r>
        <w:rPr/>
        <w:t xml:space="preserve"> </w:t>
      </w:r>
      <w:r>
        <w:rPr>
          <w:position w:val="8"/>
          <w:sz w:val="19"/>
        </w:rPr>
        <w:t>[[ ℘ &gt;&gt; BibleTOBIBLE:Am 9:6]]</w:t>
      </w:r>
      <w:r>
        <w:rPr/>
        <w:t xml:space="preserve"> </w:t>
        <w:br/>
      </w:r>
      <w:r>
        <w:rPr>
          <w:b/>
          <w:color w:val="808080"/>
        </w:rPr>
        <w:t>[</w:t>
      </w:r>
      <w:r>
        <w:rPr/>
        <w:t>Bist</w:t>
      </w:r>
      <w:r>
        <w:rPr>
          <w:b/>
          <w:color w:val="808080"/>
        </w:rPr>
        <w:t>]</w:t>
      </w:r>
      <w:r>
        <w:rPr/>
        <w:t xml:space="preserve"> der, der dort</w:t>
      </w:r>
      <w:r>
        <w:rPr>
          <w:rStyle w:val="Funotenanker"/>
        </w:rPr>
        <w:footnoteReference w:customMarkFollows="1" w:id="2141"/>
        <w:t>j</w:t>
      </w:r>
      <w:r>
        <w:rPr/>
        <w:t xml:space="preserve"> Wolken </w:t>
      </w:r>
      <w:r>
        <w:rPr>
          <w:b/>
          <w:color w:val="808080"/>
        </w:rPr>
        <w:t>[</w:t>
      </w:r>
      <w:r>
        <w:rPr/>
        <w:t>als</w:t>
      </w:r>
      <w:r>
        <w:rPr>
          <w:b/>
          <w:color w:val="808080"/>
        </w:rPr>
        <w:t>]</w:t>
      </w:r>
      <w:r>
        <w:rPr/>
        <w:t xml:space="preserve"> seinen Wagen </w:t>
      </w:r>
      <w:r>
        <w:rPr>
          <w:color w:val="808080"/>
        </w:rPr>
        <w:t>(sein Fahrzeug)</w:t>
      </w:r>
      <w:r>
        <w:rPr/>
        <w:t xml:space="preserve"> </w:t>
      </w:r>
      <w:r>
        <w:rPr>
          <w:b/>
          <w:color w:val="808080"/>
        </w:rPr>
        <w:t>[</w:t>
      </w:r>
      <w:r>
        <w:rPr/>
        <w:t>hat</w:t>
      </w:r>
      <w:r>
        <w:rPr>
          <w:b/>
          <w:color w:val="808080"/>
        </w:rPr>
        <w:t>]</w:t>
      </w:r>
      <w:r>
        <w:rPr/>
        <w:t>,</w:t>
      </w:r>
      <w:r>
        <w:rPr>
          <w:rStyle w:val="Funotenanker"/>
        </w:rPr>
        <w:footnoteReference w:customMarkFollows="1" w:id="2142"/>
        <w:t>k</w:t>
      </w:r>
      <w:r>
        <w:rPr/>
        <w:t xml:space="preserve"> </w:t>
      </w:r>
      <w:r>
        <w:rPr>
          <w:position w:val="8"/>
          <w:sz w:val="19"/>
        </w:rPr>
        <w:t>[[ ℘ &gt;&gt; BibleTOBIBLE:Dt 33:26]][[ ℘ &gt;&gt; BibleTOBIBLE:2Sa 22:12]][[ ℘ &gt;&gt; BibleTOBIBLE:Ps 18:12]][[ ℘ &gt;&gt; BibleTOBIBLE:Ps 68:5]][[ ℘ &gt;&gt; BibleTOBIBLE:Is 19:1]]</w:t>
      </w:r>
      <w:r>
        <w:rPr/>
        <w:t xml:space="preserve"> </w:t>
      </w:r>
      <w:r>
        <w:rPr>
          <w:b/>
          <w:color w:val="808080"/>
        </w:rPr>
        <w:t>[</w:t>
      </w:r>
      <w:r>
        <w:rPr/>
        <w:t>Bist</w:t>
      </w:r>
      <w:r>
        <w:rPr>
          <w:b/>
          <w:color w:val="808080"/>
        </w:rPr>
        <w:t>]</w:t>
      </w:r>
      <w:r>
        <w:rPr/>
        <w:t xml:space="preserve"> der, der sich fortbewegt </w:t>
      </w:r>
      <w:r>
        <w:rPr>
          <w:color w:val="808080"/>
        </w:rPr>
        <w:t xml:space="preserve">(bist </w:t>
      </w:r>
      <w:r>
        <w:rPr>
          <w:b/>
          <w:color w:val="808080"/>
        </w:rPr>
        <w:t>[</w:t>
      </w:r>
      <w:r>
        <w:rPr>
          <w:color w:val="808080"/>
        </w:rPr>
        <w:t>dich</w:t>
      </w:r>
      <w:r>
        <w:rPr>
          <w:b/>
          <w:color w:val="808080"/>
        </w:rPr>
        <w:t>]</w:t>
      </w:r>
      <w:r>
        <w:rPr>
          <w:color w:val="808080"/>
        </w:rPr>
        <w:t xml:space="preserve"> fortbewegend)</w:t>
      </w:r>
      <w:r>
        <w:rPr/>
        <w:t xml:space="preserve"> auf den Flügeln des Windes</w:t>
      </w:r>
      <w:r>
        <w:rPr>
          <w:rStyle w:val="Funotenanker"/>
        </w:rPr>
        <w:footnoteReference w:customMarkFollows="1" w:id="2143"/>
        <w:t>l</w:t>
      </w:r>
      <w:r>
        <w:rPr/>
        <w:t>,</w:t>
      </w:r>
      <w:r>
        <w:rPr>
          <w:rStyle w:val="Funotenanker"/>
        </w:rPr>
        <w:footnoteReference w:customMarkFollows="1" w:id="2144"/>
        <w:t>m</w:t>
      </w:r>
      <w:r>
        <w:rPr/>
        <w:t xml:space="preserve"> </w:t>
      </w:r>
      <w:r>
        <w:rPr>
          <w:position w:val="8"/>
          <w:sz w:val="19"/>
        </w:rPr>
        <w:t>[[ ℘ &gt;&gt; BibleTOBIBLE:2Sa 22:11]][[ ℘ &gt;&gt; BibleTOBIBLE:Ps 18:11]][[ ℘ &gt;&gt; BibleTOBIBLE:Eze 9:3]][[ ℘ &gt;&gt; BibleTOBIBLE:Eze 10:4]][[ ℘ &gt;&gt; BibleTOBIBLE:Eze 10:18]][[ ℘ &gt;&gt; BibleTOBIBLE:Eze 11:22]]</w:t>
      </w:r>
      <w:r>
        <w:rPr/>
        <w:t xml:space="preserve"> </w:t>
        <w:br/>
        <w:t xml:space="preserve">{{field-off:bible}} </w:t>
        <w:br/>
        <w:t>[[@BibleTOBIBLE:Ps 104:4]]</w:t>
      </w:r>
      <w:r>
        <w:rPr>
          <w:b/>
        </w:rPr>
        <w:t>4</w:t>
      </w:r>
      <w:r>
        <w:rPr/>
        <w:t xml:space="preserve"> {{field-on:bible}} </w:t>
        <w:br/>
      </w:r>
      <w:r>
        <w:rPr>
          <w:b/>
          <w:color w:val="808080"/>
        </w:rPr>
        <w:t>[</w:t>
      </w:r>
      <w:r>
        <w:rPr/>
        <w:t>Bists</w:t>
      </w:r>
      <w:r>
        <w:rPr>
          <w:b/>
          <w:color w:val="808080"/>
        </w:rPr>
        <w:t>]</w:t>
      </w:r>
      <w:r>
        <w:rPr/>
        <w:t xml:space="preserve">, der macht </w:t>
      </w:r>
      <w:r>
        <w:rPr>
          <w:color w:val="808080"/>
        </w:rPr>
        <w:t>(bist machend)</w:t>
      </w:r>
      <w:r>
        <w:rPr/>
        <w:t xml:space="preserve"> zu seinen Boten Winde</w:t>
      </w:r>
      <w:r>
        <w:rPr>
          <w:rStyle w:val="Funotenanker"/>
        </w:rPr>
        <w:footnoteReference w:customMarkFollows="1" w:id="2145"/>
        <w:t>n</w:t>
      </w:r>
      <w:r>
        <w:rPr/>
        <w:t xml:space="preserve"> </w:t>
      </w:r>
      <w:r>
        <w:rPr>
          <w:color w:val="808080"/>
        </w:rPr>
        <w:t>(seine Boten zu Winden)</w:t>
      </w:r>
      <w:r>
        <w:rPr/>
        <w:t>,</w:t>
      </w:r>
      <w:r>
        <w:rPr>
          <w:rStyle w:val="Funotenanker"/>
        </w:rPr>
        <w:footnoteReference w:customMarkFollows="1" w:id="2146"/>
        <w:t>o</w:t>
      </w:r>
      <w:r>
        <w:rPr/>
        <w:t xml:space="preserve">Zu seinen Dienern </w:t>
      </w:r>
      <w:r>
        <w:rPr>
          <w:color w:val="808080"/>
        </w:rPr>
        <w:t xml:space="preserve">(Seine Diener </w:t>
      </w:r>
      <w:r>
        <w:rPr>
          <w:b/>
          <w:color w:val="808080"/>
        </w:rPr>
        <w:t>[</w:t>
      </w:r>
      <w:r>
        <w:rPr>
          <w:color w:val="808080"/>
        </w:rPr>
        <w:t>sind</w:t>
      </w:r>
      <w:r>
        <w:rPr>
          <w:b/>
          <w:color w:val="808080"/>
        </w:rPr>
        <w:t>]</w:t>
      </w:r>
      <w:r>
        <w:rPr>
          <w:color w:val="808080"/>
        </w:rPr>
        <w:t>)</w:t>
      </w:r>
      <w:r>
        <w:rPr/>
        <w:t xml:space="preserve"> flammendes Feuer </w:t>
      </w:r>
      <w:r>
        <w:rPr>
          <w:color w:val="808080"/>
        </w:rPr>
        <w:t xml:space="preserve">(Flamme </w:t>
      </w:r>
      <w:r>
        <w:rPr>
          <w:b/>
          <w:color w:val="808080"/>
        </w:rPr>
        <w:t>[</w:t>
      </w:r>
      <w:r>
        <w:rPr>
          <w:color w:val="808080"/>
        </w:rPr>
        <w:t>und</w:t>
      </w:r>
      <w:r>
        <w:rPr>
          <w:b/>
          <w:color w:val="808080"/>
        </w:rPr>
        <w:t>]</w:t>
      </w:r>
      <w:r>
        <w:rPr>
          <w:color w:val="808080"/>
        </w:rPr>
        <w:t xml:space="preserve"> Feuer)</w:t>
      </w:r>
      <w:r>
        <w:rPr/>
        <w:t>,</w:t>
      </w:r>
      <w:r>
        <w:rPr>
          <w:rStyle w:val="Funotenanker"/>
        </w:rPr>
        <w:footnoteReference w:customMarkFollows="1" w:id="2147"/>
        <w:t>p</w:t>
      </w:r>
      <w:r>
        <w:rPr/>
        <w:t xml:space="preserve"> </w:t>
      </w:r>
      <w:r>
        <w:rPr>
          <w:position w:val="8"/>
          <w:sz w:val="19"/>
        </w:rPr>
        <w:t>[[ ℘ &gt;&gt; BibleTOBIBLE:Eze 1:13]][[ ℘ &gt;&gt; BibleTOBIBLE:Joe 2:3]][[ ℘ &gt;&gt; BibleTOBIBLE:Heb 1:7]][[ ℘ &gt;&gt; BibleTOBIBLE:Re 4:5]]</w:t>
      </w:r>
      <w:r>
        <w:rPr/>
        <w:t xml:space="preserve"> </w:t>
        <w:br/>
        <w:t xml:space="preserve">{{field-off:bible}} </w:t>
        <w:br/>
        <w:t>[[@BibleTOBIBLE:Ps 104:5]]</w:t>
      </w:r>
      <w:r>
        <w:rPr>
          <w:b/>
        </w:rPr>
        <w:t>5</w:t>
      </w:r>
      <w:r>
        <w:rPr/>
        <w:t xml:space="preserve"> {{field-on:bible}} </w:t>
        <w:br/>
      </w:r>
      <w:r>
        <w:rPr>
          <w:b/>
          <w:color w:val="808080"/>
        </w:rPr>
        <w:t>[</w:t>
      </w:r>
      <w:r>
        <w:rPr/>
        <w:t>Bists,</w:t>
      </w:r>
      <w:r>
        <w:rPr>
          <w:b/>
          <w:color w:val="808080"/>
        </w:rPr>
        <w:t>]</w:t>
      </w:r>
      <w:r>
        <w:rPr/>
        <w:t xml:space="preserve"> der gründete </w:t>
      </w:r>
      <w:r>
        <w:rPr>
          <w:color w:val="808080"/>
        </w:rPr>
        <w:t>(bist gründend, er gründete)</w:t>
      </w:r>
      <w:r>
        <w:rPr/>
        <w:t xml:space="preserve"> </w:t>
      </w:r>
      <w:r>
        <w:rPr>
          <w:rStyle w:val="Funotenanker"/>
        </w:rPr>
        <w:footnoteReference w:customMarkFollows="1" w:id="2148"/>
        <w:t>q</w:t>
      </w:r>
      <w:r>
        <w:rPr/>
        <w:t xml:space="preserve"> die Erde auf ihre Fundamente,</w:t>
      </w:r>
      <w:r>
        <w:rPr>
          <w:rStyle w:val="Funotenanker"/>
        </w:rPr>
        <w:footnoteReference w:customMarkFollows="1" w:id="2149"/>
        <w:t>r</w:t>
      </w:r>
      <w:r>
        <w:rPr/>
        <w:t xml:space="preserve"> </w:t>
      </w:r>
      <w:r>
        <w:rPr>
          <w:position w:val="8"/>
          <w:sz w:val="19"/>
        </w:rPr>
        <w:t>[[ ℘ &gt;&gt; BibleTOBIBLE:Is 48:13]][[ ℘ &gt;&gt; BibleTOBIBLE:Is 51:13]][[ ℘ &gt;&gt; BibleTOBIBLE:Am 9:6]][[ ℘ &gt;&gt; BibleTOBIBLE:Zec 12:1]][[ ℘ &gt;&gt; BibleTOBIBLE:Job 38:4]][[ ℘ &gt;&gt; BibleTOBIBLE:Ps 102:25]]</w:t>
      </w:r>
      <w:r>
        <w:rPr/>
        <w:t xml:space="preserve">Damit sie nicht wanken wird auf immer und ewig. </w:t>
      </w:r>
      <w:r>
        <w:rPr>
          <w:position w:val="8"/>
          <w:sz w:val="19"/>
        </w:rPr>
        <w:t>[[ ℘ &gt;&gt; BibleTOBIBLE:1Ch 16:30]]</w:t>
      </w:r>
      <w:r>
        <w:rPr/>
        <w:t xml:space="preserve"> </w:t>
        <w:br/>
        <w:t xml:space="preserve">{{field-off:bible}} </w:t>
        <w:br/>
        <w:t>[[@BibleTOBIBLE:Ps 104:6]]</w:t>
      </w:r>
      <w:r>
        <w:rPr>
          <w:b/>
        </w:rPr>
        <w:t>6</w:t>
      </w:r>
      <w:r>
        <w:rPr/>
        <w:t xml:space="preserve"> {{field-on:bible}} </w:t>
        <w:br/>
        <w:t>Das Urmeer bedecktest du wie mit einem</w:t>
      </w:r>
      <w:r>
        <w:rPr>
          <w:rStyle w:val="Funotenanker"/>
        </w:rPr>
        <w:footnoteReference w:customMarkFollows="1" w:id="2150"/>
        <w:t>s</w:t>
      </w:r>
      <w:r>
        <w:rPr/>
        <w:t xml:space="preserve"> Gewand</w:t>
      </w:r>
      <w:r>
        <w:rPr>
          <w:rStyle w:val="Funotenanker"/>
        </w:rPr>
        <w:footnoteReference w:customMarkFollows="1" w:id="2151"/>
        <w:t>t</w:t>
      </w:r>
      <w:r>
        <w:rPr/>
        <w:t>.</w:t>
      </w:r>
      <w:r>
        <w:rPr>
          <w:rStyle w:val="Funotenanker"/>
        </w:rPr>
        <w:footnoteReference w:customMarkFollows="1" w:id="2152"/>
        <w:t>u</w:t>
      </w:r>
      <w:r>
        <w:rPr/>
        <w:t xml:space="preserve"> </w:t>
      </w:r>
      <w:r>
        <w:rPr>
          <w:position w:val="8"/>
          <w:sz w:val="19"/>
        </w:rPr>
        <w:t>[[ ℘ &gt;&gt; BibleTOBIBLE:Ps 38:9]]</w:t>
      </w:r>
      <w:r>
        <w:rPr/>
        <w:t xml:space="preserve"> </w:t>
        <w:br/>
        <w:br/>
        <w:t xml:space="preserve">Auf </w:t>
      </w:r>
      <w:r>
        <w:rPr>
          <w:color w:val="808080"/>
        </w:rPr>
        <w:t>(über)</w:t>
      </w:r>
      <w:r>
        <w:rPr/>
        <w:t xml:space="preserve"> den Bergen sollten Wasser stehen </w:t>
      </w:r>
      <w:r>
        <w:rPr>
          <w:color w:val="808080"/>
        </w:rPr>
        <w:t>(sich stellen)</w:t>
      </w:r>
      <w:r>
        <w:rPr/>
        <w:t>:</w:t>
        <w:br/>
        <w:t xml:space="preserve">{{field-off:bible}} </w:t>
        <w:br/>
        <w:t>[[@BibleTOBIBLE:Ps 104:7]]</w:t>
      </w:r>
      <w:r>
        <w:rPr>
          <w:b/>
        </w:rPr>
        <w:t>7</w:t>
      </w:r>
      <w:r>
        <w:rPr/>
        <w:t xml:space="preserve"> {{field-on:bible}} </w:t>
        <w:br/>
        <w:t xml:space="preserve">Vor deinem Schelten mussten </w:t>
      </w:r>
      <w:r>
        <w:rPr>
          <w:color w:val="808080"/>
        </w:rPr>
        <w:t>(sollten)</w:t>
      </w:r>
      <w:r>
        <w:rPr/>
        <w:t xml:space="preserve"> sie fliehen,Vor dem Klang deines Donnerns </w:t>
      </w:r>
      <w:r>
        <w:rPr>
          <w:color w:val="808080"/>
        </w:rPr>
        <w:t>(deiner donnernden Stimme)</w:t>
      </w:r>
      <w:r>
        <w:rPr/>
        <w:t xml:space="preserve"> mussten </w:t>
      </w:r>
      <w:r>
        <w:rPr>
          <w:color w:val="808080"/>
        </w:rPr>
        <w:t>(sollten)</w:t>
      </w:r>
      <w:r>
        <w:rPr/>
        <w:t xml:space="preserve"> sie fortlaufen, </w:t>
      </w:r>
      <w:r>
        <w:rPr>
          <w:position w:val="8"/>
          <w:sz w:val="19"/>
        </w:rPr>
        <w:t>[[ ℘ &gt;&gt; BibleTOBIBLE:Ps 18:6]][[ ℘ &gt;&gt; BibleTOBIBLE:Ps 114:3]][[ ℘ &gt;&gt; BibleTOBIBLE:Is 50:2]][[ ℘ &gt;&gt; BibleTOBIBLE:Na 1:4]][[ ℘ &gt;&gt; BibleTOBIBLE:Mk 4:39]]</w:t>
      </w:r>
      <w:r>
        <w:rPr/>
        <w:t xml:space="preserve"> </w:t>
        <w:br/>
        <w:t xml:space="preserve">{{field-off:bible}} </w:t>
        <w:br/>
        <w:t>[[@BibleTOBIBLE:Ps 104:8]]</w:t>
      </w:r>
      <w:r>
        <w:rPr>
          <w:b/>
        </w:rPr>
        <w:t>8</w:t>
      </w:r>
      <w:r>
        <w:rPr/>
        <w:t xml:space="preserve"> {{field-on:bible}} </w:t>
        <w:br/>
        <w:t xml:space="preserve">Mussten </w:t>
      </w:r>
      <w:r>
        <w:rPr>
          <w:color w:val="808080"/>
        </w:rPr>
        <w:t>(sollten)</w:t>
      </w:r>
      <w:r>
        <w:rPr/>
        <w:t xml:space="preserve"> hinaufziehen </w:t>
      </w:r>
      <w:r>
        <w:rPr>
          <w:b/>
          <w:color w:val="808080"/>
        </w:rPr>
        <w:t>[</w:t>
      </w:r>
      <w:r>
        <w:rPr/>
        <w:t>auf</w:t>
      </w:r>
      <w:r>
        <w:rPr>
          <w:b/>
          <w:color w:val="808080"/>
        </w:rPr>
        <w:t>]</w:t>
      </w:r>
      <w:r>
        <w:rPr/>
        <w:t xml:space="preserve"> Berge,Mussten </w:t>
      </w:r>
      <w:r>
        <w:rPr>
          <w:color w:val="808080"/>
        </w:rPr>
        <w:t>(sollten)</w:t>
      </w:r>
      <w:r>
        <w:rPr/>
        <w:t xml:space="preserve"> hinabsteigen </w:t>
      </w:r>
      <w:r>
        <w:rPr>
          <w:b/>
          <w:color w:val="808080"/>
        </w:rPr>
        <w:t>[</w:t>
      </w:r>
      <w:r>
        <w:rPr/>
        <w:t>in</w:t>
      </w:r>
      <w:r>
        <w:rPr>
          <w:b/>
          <w:color w:val="808080"/>
        </w:rPr>
        <w:t>]</w:t>
      </w:r>
      <w:r>
        <w:rPr/>
        <w:t xml:space="preserve"> Täler</w:t>
      </w:r>
      <w:r>
        <w:rPr>
          <w:rStyle w:val="Funotenanker"/>
        </w:rPr>
        <w:footnoteReference w:customMarkFollows="1" w:id="2153"/>
        <w:t>v</w:t>
      </w:r>
      <w:r>
        <w:rPr/>
        <w:t xml:space="preserve">Zum Ort, den du ihnen gegründet hast. </w:t>
      </w:r>
      <w:r>
        <w:rPr>
          <w:position w:val="8"/>
          <w:sz w:val="19"/>
        </w:rPr>
        <w:t>[[ ℘ &gt;&gt; BibleTOBIBLE:Ge 1:9]]</w:t>
      </w:r>
      <w:r>
        <w:rPr/>
        <w:t xml:space="preserve"> </w:t>
        <w:br/>
        <w:t xml:space="preserve">{{field-off:bible}} </w:t>
        <w:br/>
        <w:t>[[@BibleTOBIBLE:Ps 104:9]]</w:t>
      </w:r>
      <w:r>
        <w:rPr>
          <w:b/>
        </w:rPr>
        <w:t>9</w:t>
      </w:r>
      <w:r>
        <w:rPr/>
        <w:t xml:space="preserve"> {{field-on:bible}} </w:t>
        <w:br/>
      </w:r>
      <w:r>
        <w:rPr>
          <w:b/>
          <w:color w:val="808080"/>
        </w:rPr>
        <w:t>[</w:t>
      </w:r>
      <w:r>
        <w:rPr/>
        <w:t>Die</w:t>
      </w:r>
      <w:r>
        <w:rPr>
          <w:b/>
          <w:color w:val="808080"/>
        </w:rPr>
        <w:t>]</w:t>
      </w:r>
      <w:r>
        <w:rPr/>
        <w:t xml:space="preserve"> Grenze, </w:t>
      </w:r>
      <w:r>
        <w:rPr>
          <w:b/>
          <w:color w:val="808080"/>
        </w:rPr>
        <w:t>[</w:t>
      </w:r>
      <w:r>
        <w:rPr/>
        <w:t>die</w:t>
      </w:r>
      <w:r>
        <w:rPr>
          <w:b/>
          <w:color w:val="808080"/>
        </w:rPr>
        <w:t>]</w:t>
      </w:r>
      <w:r>
        <w:rPr/>
        <w:t xml:space="preserve"> du gesetzt hast, dürfen sie nicht übertreten, Dürfen nicht zurückkehren, um die Erde zu bedecken </w:t>
      </w:r>
      <w:r>
        <w:rPr>
          <w:color w:val="808080"/>
        </w:rPr>
        <w:t>(dürfen die Erde nicht wieder bedecken)</w:t>
      </w:r>
      <w:r>
        <w:rPr/>
        <w:t xml:space="preserve">. </w:t>
      </w:r>
      <w:r>
        <w:rPr>
          <w:position w:val="8"/>
          <w:sz w:val="19"/>
        </w:rPr>
        <w:t>[[ ℘ &gt;&gt; BibleTOBIBLE:Job 38:8]][[ ℘ &gt;&gt; BibleTOBIBLE:Pr 8:29]][[ ℘ &gt;&gt; BibleTOBIBLE:Je 5:22]]</w:t>
      </w:r>
      <w:r>
        <w:rPr/>
        <w:t xml:space="preserve"> </w:t>
        <w:br/>
        <w:br/>
        <w:t xml:space="preserve">{{field-off:bible}} </w:t>
        <w:br/>
        <w:t>[[@BibleTOBIBLE:Ps 104:10]]</w:t>
      </w:r>
      <w:r>
        <w:rPr>
          <w:b/>
        </w:rPr>
        <w:t>10</w:t>
      </w:r>
      <w:r>
        <w:rPr/>
        <w:t xml:space="preserve"> {{field-on:bible}} </w:t>
        <w:br/>
      </w:r>
      <w:r>
        <w:rPr>
          <w:b/>
          <w:color w:val="808080"/>
        </w:rPr>
        <w:t>[</w:t>
      </w:r>
      <w:r>
        <w:rPr/>
        <w:t>Oh, du</w:t>
      </w:r>
      <w:r>
        <w:rPr>
          <w:b/>
          <w:color w:val="808080"/>
        </w:rPr>
        <w:t>]</w:t>
      </w:r>
      <w:r>
        <w:rPr/>
        <w:t xml:space="preserve"> </w:t>
      </w:r>
      <w:r>
        <w:rPr>
          <w:b/>
          <w:color w:val="808080"/>
        </w:rPr>
        <w:t>[</w:t>
      </w:r>
      <w:r>
        <w:rPr/>
        <w:t>bist</w:t>
      </w:r>
      <w:r>
        <w:rPr>
          <w:b/>
          <w:color w:val="808080"/>
        </w:rPr>
        <w:t>]</w:t>
      </w:r>
      <w:r>
        <w:rPr/>
        <w:t xml:space="preserve"> der, der entsendet Quellen in Wadis – </w:t>
      </w:r>
      <w:r>
        <w:rPr>
          <w:position w:val="8"/>
          <w:sz w:val="19"/>
        </w:rPr>
        <w:t>[[ ℘ &gt;&gt; BibleTOBIBLE:Ps 78:15]][[ ℘ &gt;&gt; BibleTOBIBLE:Is 30:25]][[ ℘ &gt;&gt; BibleTOBIBLE:Is 41:18]][[ ℘ &gt;&gt; BibleTOBIBLE:Is 48:21]]</w:t>
      </w:r>
      <w:r>
        <w:rPr/>
        <w:t>Sie</w:t>
      </w:r>
      <w:r>
        <w:rPr>
          <w:rStyle w:val="Funotenanker"/>
        </w:rPr>
        <w:footnoteReference w:customMarkFollows="1" w:id="2154"/>
        <w:t>w</w:t>
      </w:r>
      <w:r>
        <w:rPr/>
        <w:t xml:space="preserve"> sollen </w:t>
      </w:r>
      <w:r>
        <w:rPr>
          <w:color w:val="808080"/>
        </w:rPr>
        <w:t>(müssen)</w:t>
      </w:r>
      <w:r>
        <w:rPr/>
        <w:t xml:space="preserve"> zwischen </w:t>
      </w:r>
      <w:r>
        <w:rPr>
          <w:b/>
          <w:color w:val="808080"/>
        </w:rPr>
        <w:t>[</w:t>
      </w:r>
      <w:r>
        <w:rPr/>
        <w:t>den</w:t>
      </w:r>
      <w:r>
        <w:rPr>
          <w:b/>
          <w:color w:val="808080"/>
        </w:rPr>
        <w:t>]</w:t>
      </w:r>
      <w:r>
        <w:rPr/>
        <w:t xml:space="preserve"> </w:t>
      </w:r>
      <w:r>
        <w:rPr>
          <w:rStyle w:val="Funotenanker"/>
        </w:rPr>
        <w:footnoteReference w:customMarkFollows="1" w:id="2155"/>
        <w:t>x</w:t>
      </w:r>
      <w:r>
        <w:rPr/>
        <w:t xml:space="preserve"> Bergen fließen </w:t>
      </w:r>
      <w:r>
        <w:rPr>
          <w:color w:val="808080"/>
        </w:rPr>
        <w:t>(gehen)</w:t>
      </w:r>
      <w:r>
        <w:rPr/>
        <w:t xml:space="preserve">, </w:t>
      </w:r>
      <w:r>
        <w:rPr>
          <w:position w:val="8"/>
          <w:sz w:val="19"/>
        </w:rPr>
        <w:t>[[ ℘ &gt;&gt; BibleTOBIBLE:Is 48:21]]</w:t>
      </w:r>
      <w:r>
        <w:rPr/>
        <w:t xml:space="preserve"> </w:t>
        <w:br/>
        <w:t xml:space="preserve">{{field-off:bible}} </w:t>
        <w:br/>
        <w:t>[[@BibleTOBIBLE:Ps 104:11]]</w:t>
      </w:r>
      <w:r>
        <w:rPr>
          <w:b/>
        </w:rPr>
        <w:t>11</w:t>
      </w:r>
      <w:r>
        <w:rPr/>
        <w:t xml:space="preserve"> {{field-on:bible}} </w:t>
        <w:br/>
        <w:t xml:space="preserve">Sollen </w:t>
      </w:r>
      <w:r>
        <w:rPr>
          <w:color w:val="808080"/>
        </w:rPr>
        <w:t>(müssen)</w:t>
      </w:r>
      <w:r>
        <w:rPr/>
        <w:t xml:space="preserve"> alle wilden Tiere </w:t>
      </w:r>
      <w:r>
        <w:rPr>
          <w:color w:val="808080"/>
        </w:rPr>
        <w:t>(alle Tiere dessen vom Berge)</w:t>
      </w:r>
      <w:r>
        <w:rPr/>
        <w:t xml:space="preserve"> </w:t>
      </w:r>
      <w:r>
        <w:rPr>
          <w:rStyle w:val="Funotenanker"/>
        </w:rPr>
        <w:footnoteReference w:customMarkFollows="1" w:id="2156"/>
        <w:t>y</w:t>
      </w:r>
      <w:r>
        <w:rPr/>
        <w:t xml:space="preserve"> tränken,Es sollen</w:t>
      </w:r>
      <w:r>
        <w:rPr>
          <w:rStyle w:val="Funotenanker"/>
        </w:rPr>
        <w:footnoteReference w:customMarkFollows="1" w:id="2157"/>
        <w:t>z</w:t>
      </w:r>
      <w:r>
        <w:rPr/>
        <w:t xml:space="preserve"> </w:t>
      </w:r>
      <w:r>
        <w:rPr>
          <w:b/>
          <w:color w:val="808080"/>
        </w:rPr>
        <w:t>[</w:t>
      </w:r>
      <w:r>
        <w:rPr/>
        <w:t>selbst</w:t>
      </w:r>
      <w:r>
        <w:rPr>
          <w:b/>
          <w:color w:val="808080"/>
        </w:rPr>
        <w:t>]</w:t>
      </w:r>
      <w:r>
        <w:rPr/>
        <w:t xml:space="preserve"> </w:t>
      </w:r>
      <w:r>
        <w:rPr>
          <w:rStyle w:val="Funotenanker"/>
        </w:rPr>
        <w:footnoteReference w:customMarkFollows="1" w:id="2158"/>
        <w:t>aa</w:t>
      </w:r>
      <w:r>
        <w:rPr/>
        <w:t xml:space="preserve"> die Wildesel ihren Durst brechen</w:t>
      </w:r>
      <w:r>
        <w:rPr>
          <w:rStyle w:val="Funotenanker"/>
        </w:rPr>
        <w:footnoteReference w:customMarkFollows="1" w:id="2159"/>
        <w:t>ab</w:t>
      </w:r>
      <w:r>
        <w:rPr/>
        <w:t xml:space="preserve"> können </w:t>
      </w:r>
      <w:r>
        <w:rPr>
          <w:color w:val="808080"/>
        </w:rPr>
        <w:t>(sollen/müssen stillen)</w:t>
      </w:r>
      <w:r>
        <w:rPr/>
        <w:t xml:space="preserve">. </w:t>
      </w:r>
      <w:r>
        <w:rPr>
          <w:position w:val="8"/>
          <w:sz w:val="19"/>
        </w:rPr>
        <w:t>[[ ℘ &gt;&gt; BibleTOBIBLE:Ps 145:16]][[ ℘ &gt;&gt; BibleTOBIBLE:Is 43:20]]</w:t>
      </w:r>
      <w:r>
        <w:rPr/>
        <w:t xml:space="preserve"> </w:t>
        <w:br/>
        <w:t xml:space="preserve">{{field-off:bible}} </w:t>
        <w:br/>
        <w:t>[[@BibleTOBIBLE:Ps 104:12]]</w:t>
      </w:r>
      <w:r>
        <w:rPr>
          <w:b/>
        </w:rPr>
        <w:t>12</w:t>
      </w:r>
      <w:r>
        <w:rPr/>
        <w:t xml:space="preserve"> {{field-on:bible}} </w:t>
        <w:br/>
        <w:t xml:space="preserve">Über ihnen wohnt das Gevögel des Himmels,Von zwischen den Felsen </w:t>
      </w:r>
      <w:r>
        <w:rPr>
          <w:color w:val="808080"/>
        </w:rPr>
        <w:t>(Zweigen)</w:t>
      </w:r>
      <w:r>
        <w:rPr/>
        <w:t xml:space="preserve"> </w:t>
      </w:r>
      <w:r>
        <w:rPr>
          <w:rStyle w:val="Funotenanker"/>
        </w:rPr>
        <w:footnoteReference w:customMarkFollows="1" w:id="2160"/>
        <w:t>ac</w:t>
      </w:r>
      <w:r>
        <w:rPr/>
        <w:t xml:space="preserve"> geben sie</w:t>
      </w:r>
      <w:r>
        <w:rPr>
          <w:rStyle w:val="Funotenanker"/>
        </w:rPr>
        <w:footnoteReference w:customMarkFollows="1" w:id="2161"/>
        <w:t>ad</w:t>
      </w:r>
      <w:r>
        <w:rPr/>
        <w:t xml:space="preserve"> </w:t>
      </w:r>
      <w:r>
        <w:rPr>
          <w:b/>
          <w:color w:val="808080"/>
        </w:rPr>
        <w:t>[</w:t>
      </w:r>
      <w:r>
        <w:rPr/>
        <w:t>ihre</w:t>
      </w:r>
      <w:r>
        <w:rPr>
          <w:b/>
          <w:color w:val="808080"/>
        </w:rPr>
        <w:t>]</w:t>
      </w:r>
      <w:r>
        <w:rPr/>
        <w:t xml:space="preserve"> </w:t>
      </w:r>
      <w:r>
        <w:rPr>
          <w:rStyle w:val="Funotenanker"/>
        </w:rPr>
        <w:footnoteReference w:customMarkFollows="1" w:id="2162"/>
        <w:t>ae</w:t>
      </w:r>
      <w:r>
        <w:rPr/>
        <w:t xml:space="preserve"> Stimme –, </w:t>
      </w:r>
      <w:r>
        <w:rPr>
          <w:position w:val="8"/>
          <w:sz w:val="19"/>
        </w:rPr>
        <w:t>[[ ℘ &gt;&gt; BibleTOBIBLE:Ps 50:11]]</w:t>
      </w:r>
      <w:r>
        <w:rPr/>
        <w:t xml:space="preserve"> </w:t>
        <w:br/>
        <w:t xml:space="preserve">{{field-off:bible}} </w:t>
        <w:br/>
        <w:t>[[@BibleTOBIBLE:Ps 104:13]]</w:t>
      </w:r>
      <w:r>
        <w:rPr>
          <w:b/>
        </w:rPr>
        <w:t>13</w:t>
      </w:r>
      <w:r>
        <w:rPr/>
        <w:t xml:space="preserve"> {{field-on:bible}} </w:t>
        <w:br/>
      </w:r>
      <w:r>
        <w:rPr>
          <w:b/>
          <w:color w:val="808080"/>
        </w:rPr>
        <w:t>[</w:t>
      </w:r>
      <w:r>
        <w:rPr/>
        <w:t>Bists,</w:t>
      </w:r>
      <w:r>
        <w:rPr>
          <w:b/>
          <w:color w:val="808080"/>
        </w:rPr>
        <w:t>]</w:t>
      </w:r>
      <w:r>
        <w:rPr/>
        <w:t xml:space="preserve"> der tränkt die Berge von seinen Obergemächern: </w:t>
      </w:r>
      <w:r>
        <w:rPr>
          <w:position w:val="8"/>
          <w:sz w:val="19"/>
        </w:rPr>
        <w:t>[[ ℘ &gt;&gt; BibleTOBIBLE:Job 5:10]][[ ℘ &gt;&gt; BibleTOBIBLE:Je 14:22]][[ ℘ &gt;&gt; BibleTOBIBLE:Mt 5:45]]</w:t>
      </w:r>
      <w:r>
        <w:rPr/>
        <w:t xml:space="preserve">Von der Frucht deiner Werke </w:t>
      </w:r>
      <w:r>
        <w:rPr>
          <w:color w:val="808080"/>
        </w:rPr>
        <w:t>(deines Arbeitens)</w:t>
      </w:r>
      <w:r>
        <w:rPr/>
        <w:t xml:space="preserve"> </w:t>
      </w:r>
      <w:r>
        <w:rPr>
          <w:rStyle w:val="Funotenanker"/>
        </w:rPr>
        <w:footnoteReference w:customMarkFollows="1" w:id="2163"/>
        <w:t>af</w:t>
      </w:r>
      <w:r>
        <w:rPr/>
        <w:t xml:space="preserve"> soll die Erde sitt </w:t>
      </w:r>
      <w:r>
        <w:rPr>
          <w:color w:val="808080"/>
        </w:rPr>
        <w:t>(satt)</w:t>
      </w:r>
      <w:r>
        <w:rPr/>
        <w:t xml:space="preserve"> werden. </w:t>
      </w:r>
      <w:r>
        <w:rPr>
          <w:position w:val="8"/>
          <w:sz w:val="19"/>
        </w:rPr>
        <w:t>[[ ℘ &gt;&gt; BibleTOBIBLE:Dt 11:14]][[ ℘ &gt;&gt; BibleTOBIBLE:Job 38:27]][[ ℘ &gt;&gt; BibleTOBIBLE:Ps 147:8]][[ ℘ &gt;&gt; BibleTOBIBLE:Ac 14:17]]</w:t>
      </w:r>
      <w:r>
        <w:rPr/>
        <w:t xml:space="preserve"> </w:t>
        <w:br/>
        <w:t xml:space="preserve">{{field-off:bible}} </w:t>
        <w:br/>
        <w:t>[[@BibleTOBIBLE:Ps 104:14]]</w:t>
      </w:r>
      <w:r>
        <w:rPr>
          <w:b/>
        </w:rPr>
        <w:t>14</w:t>
      </w:r>
      <w:r>
        <w:rPr/>
        <w:t xml:space="preserve"> {{field-on:bible}} </w:t>
        <w:br/>
      </w:r>
      <w:r>
        <w:rPr>
          <w:b/>
          <w:color w:val="808080"/>
        </w:rPr>
        <w:t>[</w:t>
      </w:r>
      <w:r>
        <w:rPr/>
        <w:t>Bists,</w:t>
      </w:r>
      <w:r>
        <w:rPr>
          <w:b/>
          <w:color w:val="808080"/>
        </w:rPr>
        <w:t>]</w:t>
      </w:r>
      <w:r>
        <w:rPr/>
        <w:t xml:space="preserve"> der sprossen lässt das Gras für ViehUnd Pflanzen zum Nutzen </w:t>
      </w:r>
      <w:r>
        <w:rPr>
          <w:color w:val="808080"/>
        </w:rPr>
        <w:t>(für den Ackerbau)</w:t>
      </w:r>
      <w:r>
        <w:rPr/>
        <w:t xml:space="preserve"> der Menschen: </w:t>
      </w:r>
      <w:r>
        <w:rPr>
          <w:position w:val="8"/>
          <w:sz w:val="19"/>
        </w:rPr>
        <w:t>[[ ℘ &gt;&gt; BibleTOBIBLE:Ps 136:25]][[ ℘ &gt;&gt; BibleTOBIBLE:Ps 145:15]][[ ℘ &gt;&gt; BibleTOBIBLE:Ps 147:9]]</w:t>
      </w:r>
      <w:r>
        <w:rPr/>
        <w:t xml:space="preserve"> </w:t>
        <w:br/>
        <w:t xml:space="preserve">Damit </w:t>
      </w:r>
      <w:r>
        <w:rPr>
          <w:b/>
          <w:color w:val="808080"/>
        </w:rPr>
        <w:t>[</w:t>
      </w:r>
      <w:r>
        <w:rPr/>
        <w:t>dieser</w:t>
      </w:r>
      <w:r>
        <w:rPr>
          <w:b/>
          <w:color w:val="808080"/>
        </w:rPr>
        <w:t>]</w:t>
      </w:r>
      <w:r>
        <w:rPr/>
        <w:t xml:space="preserve"> Brot aus der Erde hervorbringe </w:t>
      </w:r>
      <w:r>
        <w:rPr>
          <w:color w:val="808080"/>
        </w:rPr>
        <w:t>(um hervorzubringen...)</w:t>
      </w:r>
      <w:r>
        <w:rPr/>
        <w:t xml:space="preserve">, </w:t>
      </w:r>
      <w:r>
        <w:rPr>
          <w:position w:val="8"/>
          <w:sz w:val="19"/>
        </w:rPr>
        <w:t>[[ ℘ &gt;&gt; BibleTOBIBLE:Ge 2:5]][[ ℘ &gt;&gt; BibleTOBIBLE:Ge 3:17]]</w:t>
      </w:r>
      <w:r>
        <w:rPr/>
        <w:t xml:space="preserve"> </w:t>
        <w:br/>
        <w:t xml:space="preserve">{{field-off:bible}} </w:t>
        <w:br/>
        <w:t>[[@BibleTOBIBLE:Ps 104:15]]</w:t>
      </w:r>
      <w:r>
        <w:rPr>
          <w:b/>
        </w:rPr>
        <w:t>15</w:t>
      </w:r>
      <w:r>
        <w:rPr/>
        <w:t xml:space="preserve"> {{field-on:bible}} </w:t>
        <w:br/>
        <w:t xml:space="preserve">Soll Menschenherzen Wein erfreuen; </w:t>
      </w:r>
      <w:r>
        <w:rPr>
          <w:position w:val="8"/>
          <w:sz w:val="19"/>
        </w:rPr>
        <w:t>[[ ℘ &gt;&gt; BibleTOBIBLE:Jdg 9:13]][[ ℘ &gt;&gt; BibleTOBIBLE:Ec 10:19]][[ ℘ &gt;&gt; BibleTOBIBLE:Sir 31:27]][[ ℘ &gt;&gt; BibleTOBIBLE:Sir 40:20]]</w:t>
      </w:r>
      <w:r>
        <w:rPr/>
        <w:t xml:space="preserve"> </w:t>
        <w:br/>
        <w:t xml:space="preserve">Damit ihr Gesicht von Öl glänzt </w:t>
      </w:r>
      <w:r>
        <w:rPr>
          <w:color w:val="808080"/>
        </w:rPr>
        <w:t>(mehr glänzt als Öl)</w:t>
      </w:r>
      <w:r>
        <w:rPr/>
        <w:t xml:space="preserve">, </w:t>
      </w:r>
      <w:r>
        <w:rPr>
          <w:position w:val="8"/>
          <w:sz w:val="19"/>
        </w:rPr>
        <w:t>[[ ℘ &gt;&gt; BibleTOBIBLE:Ps 23:5]][[ ℘ &gt;&gt; BibleTOBIBLE:Pr 21:7]][[ ℘ &gt;&gt; BibleTOBIBLE:Am 6:6]][[ ℘ &gt;&gt; BibleTOBIBLE:Mk 14:3]]</w:t>
      </w:r>
      <w:r>
        <w:rPr/>
        <w:t xml:space="preserve">Soll Menschenherzen Brot </w:t>
      </w:r>
      <w:r>
        <w:rPr>
          <w:color w:val="808080"/>
        </w:rPr>
        <w:t>(Nahrung)</w:t>
      </w:r>
      <w:r>
        <w:rPr/>
        <w:t xml:space="preserve"> stärken. </w:t>
      </w:r>
      <w:r>
        <w:rPr>
          <w:position w:val="8"/>
          <w:sz w:val="19"/>
        </w:rPr>
        <w:t>[[ ℘ &gt;&gt; BibleTOBIBLE:Ge 18:5]][[ ℘ &gt;&gt; BibleTOBIBLE:Jdg 19:5]][[ ℘ &gt;&gt; BibleTOBIBLE:Ec 9:7]]</w:t>
      </w:r>
      <w:r>
        <w:rPr/>
        <w:t xml:space="preserve"> </w:t>
        <w:br/>
        <w:t xml:space="preserve">{{field-off:bible}} </w:t>
        <w:br/>
        <w:t>[[@BibleTOBIBLE:Ps 104:16]]</w:t>
      </w:r>
      <w:r>
        <w:rPr>
          <w:b/>
        </w:rPr>
        <w:t>16</w:t>
      </w:r>
      <w:r>
        <w:rPr/>
        <w:t xml:space="preserve"> {{field-on:bible}} </w:t>
        <w:br/>
        <w:t xml:space="preserve">Es sollen sitt werden </w:t>
      </w:r>
      <w:r>
        <w:rPr>
          <w:color w:val="808080"/>
        </w:rPr>
        <w:t>(sättigen)</w:t>
      </w:r>
      <w:r>
        <w:rPr/>
        <w:t xml:space="preserve"> </w:t>
      </w:r>
      <w:r>
        <w:rPr>
          <w:rStyle w:val="Funotenanker"/>
        </w:rPr>
        <w:footnoteReference w:customMarkFollows="1" w:id="2164"/>
        <w:t>ag</w:t>
      </w:r>
      <w:r>
        <w:rPr/>
        <w:t xml:space="preserve"> die Bäume des Feldes </w:t>
      </w:r>
      <w:r>
        <w:rPr>
          <w:color w:val="808080"/>
        </w:rPr>
        <w:t>(</w:t>
      </w:r>
      <w:r>
        <w:rPr>
          <w:smallCaps/>
          <w:color w:val="FF0000"/>
        </w:rPr>
        <w:t>JHWH</w:t>
      </w:r>
      <w:r>
        <w:rPr>
          <w:color w:val="808080"/>
        </w:rPr>
        <w:t>s)</w:t>
      </w:r>
      <w:r>
        <w:rPr/>
        <w:t>,</w:t>
      </w:r>
      <w:r>
        <w:rPr>
          <w:rStyle w:val="Funotenanker"/>
        </w:rPr>
        <w:footnoteReference w:customMarkFollows="1" w:id="2165"/>
        <w:t>ah</w:t>
      </w:r>
      <w:r>
        <w:rPr/>
        <w:t>Die Libanon-zedern,</w:t>
      </w:r>
      <w:r>
        <w:rPr>
          <w:rStyle w:val="Funotenanker"/>
        </w:rPr>
        <w:footnoteReference w:customMarkFollows="1" w:id="2166"/>
        <w:t>ai</w:t>
      </w:r>
      <w:r>
        <w:rPr/>
        <w:t xml:space="preserve"> die er gepflanzt hat. </w:t>
      </w:r>
      <w:r>
        <w:rPr>
          <w:position w:val="8"/>
          <w:sz w:val="19"/>
        </w:rPr>
        <w:t>[[ ℘ &gt;&gt; BibleTOBIBLE:Nu 24:6]]</w:t>
      </w:r>
      <w:r>
        <w:rPr/>
        <w:t xml:space="preserve"> </w:t>
        <w:br/>
        <w:t xml:space="preserve">{{field-off:bible}} </w:t>
        <w:br/>
        <w:t>[[@BibleTOBIBLE:Ps 104:17]]</w:t>
      </w:r>
      <w:r>
        <w:rPr>
          <w:b/>
        </w:rPr>
        <w:t>17</w:t>
      </w:r>
      <w:r>
        <w:rPr/>
        <w:t xml:space="preserve"> {{field-on:bible}} </w:t>
        <w:br/>
        <w:t xml:space="preserve">Dort </w:t>
      </w:r>
      <w:r>
        <w:rPr>
          <w:color w:val="808080"/>
        </w:rPr>
        <w:t>(, auf denen)</w:t>
      </w:r>
      <w:r>
        <w:rPr/>
        <w:t xml:space="preserve"> </w:t>
      </w:r>
      <w:r>
        <w:rPr>
          <w:rStyle w:val="Funotenanker"/>
        </w:rPr>
        <w:footnoteReference w:customMarkFollows="1" w:id="2167"/>
        <w:t>aj</w:t>
      </w:r>
      <w:r>
        <w:rPr/>
        <w:t xml:space="preserve"> sollen Vögel nisten,Der Habicht </w:t>
      </w:r>
      <w:r>
        <w:rPr>
          <w:color w:val="808080"/>
        </w:rPr>
        <w:t>(Storch?, Reiher?)</w:t>
      </w:r>
      <w:r>
        <w:rPr/>
        <w:t xml:space="preserve"> </w:t>
      </w:r>
      <w:r>
        <w:rPr>
          <w:rStyle w:val="Funotenanker"/>
        </w:rPr>
        <w:footnoteReference w:customMarkFollows="1" w:id="2168"/>
        <w:t>ak</w:t>
      </w:r>
      <w:r>
        <w:rPr/>
        <w:t xml:space="preserve"> in ihren Wipfeln </w:t>
      </w:r>
      <w:r>
        <w:rPr>
          <w:color w:val="808080"/>
        </w:rPr>
        <w:t>(auf Zypressen)</w:t>
      </w:r>
      <w:r>
        <w:rPr/>
        <w:t xml:space="preserve"> </w:t>
      </w:r>
      <w:r>
        <w:rPr>
          <w:rStyle w:val="Funotenanker"/>
        </w:rPr>
        <w:footnoteReference w:customMarkFollows="1" w:id="2169"/>
        <w:t>al</w:t>
      </w:r>
      <w:r>
        <w:rPr/>
        <w:t xml:space="preserve"> sein Haus </w:t>
      </w:r>
      <w:r>
        <w:rPr>
          <w:b/>
          <w:color w:val="808080"/>
        </w:rPr>
        <w:t>[</w:t>
      </w:r>
      <w:r>
        <w:rPr/>
        <w:t>haben</w:t>
      </w:r>
      <w:r>
        <w:rPr>
          <w:b/>
          <w:color w:val="808080"/>
        </w:rPr>
        <w:t>]</w:t>
      </w:r>
      <w:r>
        <w:rPr/>
        <w:t>.</w:t>
      </w:r>
      <w:r>
        <w:rPr>
          <w:position w:val="8"/>
          <w:sz w:val="19"/>
        </w:rPr>
        <w:t>[[ ℘ &gt;&gt; BibleTOBIBLE:Je 22:23]][[ ℘ &gt;&gt; BibleTOBIBLE:Eze 17:23]]</w:t>
      </w:r>
      <w:r>
        <w:rPr/>
        <w:t xml:space="preserve"> </w:t>
        <w:br/>
        <w:t xml:space="preserve">{{field-off:bible}} </w:t>
        <w:br/>
        <w:t>[[@BibleTOBIBLE:Ps 104:18]]</w:t>
      </w:r>
      <w:r>
        <w:rPr>
          <w:b/>
        </w:rPr>
        <w:t>18</w:t>
      </w:r>
      <w:r>
        <w:rPr/>
        <w:t xml:space="preserve"> {{field-on:bible}} </w:t>
        <w:br/>
        <w:t xml:space="preserve">Die hohen Berge </w:t>
      </w:r>
      <w:r>
        <w:rPr>
          <w:b/>
          <w:color w:val="808080"/>
        </w:rPr>
        <w:t>[</w:t>
      </w:r>
      <w:r>
        <w:rPr/>
        <w:t>sollen</w:t>
      </w:r>
      <w:r>
        <w:rPr>
          <w:b/>
          <w:color w:val="808080"/>
        </w:rPr>
        <w:t>]</w:t>
      </w:r>
      <w:r>
        <w:rPr/>
        <w:t xml:space="preserve"> den Steinböcken </w:t>
      </w:r>
      <w:r>
        <w:rPr>
          <w:b/>
          <w:color w:val="808080"/>
        </w:rPr>
        <w:t>[</w:t>
      </w:r>
      <w:r>
        <w:rPr/>
        <w:t>gehören</w:t>
      </w:r>
      <w:r>
        <w:rPr>
          <w:b/>
          <w:color w:val="808080"/>
        </w:rPr>
        <w:t>]</w:t>
      </w:r>
      <w:r>
        <w:rPr/>
        <w:t xml:space="preserve">,Die Felsen den Klippdachsen Zuflucht </w:t>
      </w:r>
      <w:r>
        <w:rPr>
          <w:b/>
          <w:color w:val="808080"/>
        </w:rPr>
        <w:t>[</w:t>
      </w:r>
      <w:r>
        <w:rPr/>
        <w:t>sein</w:t>
      </w:r>
      <w:r>
        <w:rPr>
          <w:b/>
          <w:color w:val="808080"/>
        </w:rPr>
        <w:t>]</w:t>
      </w:r>
      <w:r>
        <w:rPr/>
        <w:t>.</w:t>
        <w:br/>
        <w:br/>
        <w:t xml:space="preserve">{{field-off:bible}} </w:t>
        <w:br/>
        <w:t>[[@BibleTOBIBLE:Ps 104:19]]</w:t>
      </w:r>
      <w:r>
        <w:rPr>
          <w:b/>
        </w:rPr>
        <w:t>19</w:t>
      </w:r>
      <w:r>
        <w:rPr/>
        <w:t xml:space="preserve"> {{field-on:bible}} </w:t>
        <w:br/>
        <w:t>Er machte den Mond für Festzeiten,</w:t>
      </w:r>
      <w:r>
        <w:rPr>
          <w:rStyle w:val="Funotenanker"/>
        </w:rPr>
        <w:footnoteReference w:customMarkFollows="1" w:id="2170"/>
        <w:t>am</w:t>
      </w:r>
      <w:r>
        <w:rPr/>
        <w:t xml:space="preserve"> </w:t>
      </w:r>
      <w:r>
        <w:rPr>
          <w:position w:val="8"/>
          <w:sz w:val="19"/>
        </w:rPr>
        <w:t>[[ ℘ &gt;&gt; BibleTOBIBLE:Ge 1:14]][[ ℘ &gt;&gt; BibleTOBIBLE:Ps 8:3]][[ ℘ &gt;&gt; BibleTOBIBLE:Sir 43:6]]</w:t>
      </w:r>
      <w:r>
        <w:rPr/>
        <w:t>Die Sonne kennt ihren Untergang.</w:t>
      </w:r>
      <w:r>
        <w:rPr>
          <w:rStyle w:val="Funotenanker"/>
        </w:rPr>
        <w:footnoteReference w:customMarkFollows="1" w:id="2171"/>
        <w:t>an</w:t>
      </w:r>
      <w:r>
        <w:rPr/>
        <w:t xml:space="preserve"> </w:t>
      </w:r>
      <w:r>
        <w:rPr>
          <w:position w:val="8"/>
          <w:sz w:val="19"/>
        </w:rPr>
        <w:t>[[ ℘ &gt;&gt; BibleTOBIBLE:Job 38:12]][[ ℘ &gt;&gt; BibleTOBIBLE:Ps 136:7]][[ ℘ &gt;&gt; BibleTOBIBLE:Je 31:35]]</w:t>
      </w:r>
      <w:r>
        <w:rPr/>
        <w:t xml:space="preserve"> </w:t>
        <w:br/>
        <w:t xml:space="preserve">{{field-off:bible}} </w:t>
        <w:br/>
        <w:t>[[@BibleTOBIBLE:Ps 104:20]]</w:t>
      </w:r>
      <w:r>
        <w:rPr>
          <w:b/>
        </w:rPr>
        <w:t>20</w:t>
      </w:r>
      <w:r>
        <w:rPr/>
        <w:t xml:space="preserve"> {{field-on:bible}} </w:t>
        <w:br/>
        <w:t>Du willst Finsternis setzen,Es soll Nacht werden,</w:t>
      </w:r>
      <w:r>
        <w:rPr>
          <w:rStyle w:val="Funotenanker"/>
        </w:rPr>
        <w:footnoteReference w:customMarkFollows="1" w:id="2172"/>
        <w:t>ao</w:t>
      </w:r>
      <w:r>
        <w:rPr/>
        <w:t xml:space="preserve"> </w:t>
      </w:r>
      <w:r>
        <w:rPr>
          <w:position w:val="8"/>
          <w:sz w:val="19"/>
        </w:rPr>
        <w:t>[[ ℘ &gt;&gt; BibleTOBIBLE:Ps 74:16]][[ ℘ &gt;&gt; BibleTOBIBLE:Is 45:7]]</w:t>
      </w:r>
      <w:r>
        <w:rPr/>
        <w:t xml:space="preserve"> </w:t>
        <w:br/>
        <w:t xml:space="preserve">In ihr sollen alle Waldtiere schleichen </w:t>
      </w:r>
      <w:r>
        <w:rPr>
          <w:color w:val="808080"/>
        </w:rPr>
        <w:t>(pirschen)</w:t>
      </w:r>
      <w:r>
        <w:rPr/>
        <w:t>:</w:t>
        <w:br/>
        <w:t xml:space="preserve">{{field-off:bible}} </w:t>
        <w:br/>
        <w:t>[[@BibleTOBIBLE:Ps 104:21]]</w:t>
      </w:r>
      <w:r>
        <w:rPr>
          <w:b/>
        </w:rPr>
        <w:t>21</w:t>
      </w:r>
      <w:r>
        <w:rPr/>
        <w:t xml:space="preserve"> {{field-on:bible}} </w:t>
        <w:br/>
        <w:t xml:space="preserve">Die Junglöwen brüllen nach Beute, Um zu fordern von Gott ihre Speiße. </w:t>
      </w:r>
      <w:r>
        <w:rPr>
          <w:position w:val="8"/>
          <w:sz w:val="19"/>
        </w:rPr>
        <w:t>[[ ℘ &gt;&gt; BibleTOBIBLE:Job 38:39]][[ ℘ &gt;&gt; BibleTOBIBLE:Ps 34:11]][[ ℘ &gt;&gt; BibleTOBIBLE:Ps 147:9]][[ ℘ &gt;&gt; BibleTOBIBLE:Am 3:4]][[ ℘ &gt;&gt; BibleTOBIBLE:Joe 1:18]]</w:t>
      </w:r>
      <w:r>
        <w:rPr/>
        <w:t xml:space="preserve"> </w:t>
        <w:br/>
        <w:t xml:space="preserve">{{field-off:bible}} </w:t>
        <w:br/>
        <w:t>[[@BibleTOBIBLE:Ps 104:22]]</w:t>
      </w:r>
      <w:r>
        <w:rPr>
          <w:b/>
        </w:rPr>
        <w:t>22</w:t>
      </w:r>
      <w:r>
        <w:rPr/>
        <w:t xml:space="preserve"> {{field-on:bible}} </w:t>
        <w:br/>
        <w:t>Die Sonne soll scheinen,Sie sollen sich sammeln und in ihre Höhlen legen.</w:t>
      </w:r>
      <w:r>
        <w:rPr>
          <w:rStyle w:val="Funotenanker"/>
        </w:rPr>
        <w:footnoteReference w:customMarkFollows="1" w:id="2173"/>
        <w:t>ap</w:t>
      </w:r>
      <w:r>
        <w:rPr/>
        <w:t xml:space="preserve"> </w:t>
        <w:br/>
        <w:t xml:space="preserve">{{field-off:bible}} </w:t>
        <w:br/>
        <w:t>[[@BibleTOBIBLE:Ps 104:23]]</w:t>
      </w:r>
      <w:r>
        <w:rPr>
          <w:b/>
        </w:rPr>
        <w:t>23</w:t>
      </w:r>
      <w:r>
        <w:rPr/>
        <w:t xml:space="preserve"> {{field-on:bible}} </w:t>
        <w:br/>
        <w:t xml:space="preserve">Der Mensch soll an sein Werk gehenUnd an seine Arbeit bis zum Abend. </w:t>
      </w:r>
      <w:r>
        <w:rPr>
          <w:position w:val="8"/>
          <w:sz w:val="19"/>
        </w:rPr>
        <w:t>[[ ℘ &gt;&gt; BibleTOBIBLE:Ge 3:19]]</w:t>
      </w:r>
      <w:r>
        <w:rPr/>
        <w:t xml:space="preserve"> </w:t>
        <w:br/>
        <w:br/>
        <w:t xml:space="preserve">{{field-off:bible}} </w:t>
        <w:br/>
        <w:t>[[@BibleTOBIBLE:Ps 104:24]]</w:t>
      </w:r>
      <w:r>
        <w:rPr>
          <w:b/>
        </w:rPr>
        <w:t>24</w:t>
      </w:r>
      <w:r>
        <w:rPr/>
        <w:t xml:space="preserve"> {{field-on:bible}} </w:t>
        <w:br/>
        <w:t xml:space="preserve">Wie zahlreich </w:t>
      </w:r>
      <w:r>
        <w:rPr>
          <w:color w:val="808080"/>
        </w:rPr>
        <w:t>(groß)</w:t>
      </w:r>
      <w:r>
        <w:rPr/>
        <w:t xml:space="preserve"> </w:t>
      </w:r>
      <w:r>
        <w:rPr>
          <w:b/>
          <w:color w:val="808080"/>
        </w:rPr>
        <w:t>[</w:t>
      </w:r>
      <w:r>
        <w:rPr/>
        <w:t>sind</w:t>
      </w:r>
      <w:r>
        <w:rPr>
          <w:b/>
          <w:color w:val="808080"/>
        </w:rPr>
        <w:t>]</w:t>
      </w:r>
      <w:r>
        <w:rPr/>
        <w:t xml:space="preserve"> deine Werke, </w:t>
      </w:r>
      <w:r>
        <w:rPr>
          <w:smallCaps/>
          <w:color w:val="FF0000"/>
        </w:rPr>
        <w:t>JHWH</w:t>
      </w:r>
      <w:r>
        <w:rPr/>
        <w:t xml:space="preserve">! </w:t>
      </w:r>
      <w:r>
        <w:rPr>
          <w:position w:val="8"/>
          <w:sz w:val="19"/>
        </w:rPr>
        <w:t>[[ ℘ &gt;&gt; BibleTOBIBLE:Ps 92:6]]</w:t>
      </w:r>
      <w:r>
        <w:rPr/>
        <w:t xml:space="preserve">Sie alle hast du mit Weisheit gemacht! </w:t>
      </w:r>
      <w:r>
        <w:rPr>
          <w:position w:val="8"/>
          <w:sz w:val="19"/>
        </w:rPr>
        <w:t>[[ ℘ &gt;&gt; BibleTOBIBLE:Ne 9:6]][[ ℘ &gt;&gt; BibleTOBIBLE:Ps 136:5]][[ ℘ &gt;&gt; BibleTOBIBLE:Pr 3:19]][[ ℘ &gt;&gt; BibleTOBIBLE:Sir 43:33]][[ ℘ &gt;&gt; BibleTOBIBLE:Je 10:12]]</w:t>
      </w:r>
      <w:r>
        <w:rPr/>
        <w:t xml:space="preserve"> </w:t>
        <w:br/>
        <w:t xml:space="preserve">Voll ist die Erde mit seinem Besitz, </w:t>
      </w:r>
      <w:r>
        <w:rPr>
          <w:position w:val="8"/>
          <w:sz w:val="19"/>
        </w:rPr>
        <w:t>[[ ℘ &gt;&gt; BibleTOBIBLE:Ps 24:1]][[ ℘ &gt;&gt; BibleTOBIBLE:Ps 50:10]][[ ℘ &gt;&gt; BibleTOBIBLE:Sir 16:29]]</w:t>
      </w:r>
      <w:r>
        <w:rPr/>
        <w:t xml:space="preserve"> </w:t>
        <w:br/>
        <w:t xml:space="preserve">{{field-off:bible}} </w:t>
        <w:br/>
        <w:t>[[@BibleTOBIBLE:Ps 104:25]]</w:t>
      </w:r>
      <w:r>
        <w:rPr>
          <w:b/>
        </w:rPr>
        <w:t>25</w:t>
      </w:r>
      <w:r>
        <w:rPr/>
        <w:t xml:space="preserve"> {{field-on:bible}} </w:t>
        <w:br/>
        <w:t xml:space="preserve">So auch das Meer: </w:t>
      </w:r>
      <w:r>
        <w:rPr>
          <w:color w:val="808080"/>
        </w:rPr>
        <w:t xml:space="preserve">(Dies – das Meer – </w:t>
      </w:r>
      <w:r>
        <w:rPr>
          <w:b/>
          <w:color w:val="808080"/>
        </w:rPr>
        <w:t>[</w:t>
      </w:r>
      <w:r>
        <w:rPr>
          <w:color w:val="808080"/>
        </w:rPr>
        <w:t>ist</w:t>
      </w:r>
      <w:r>
        <w:rPr>
          <w:b/>
          <w:color w:val="808080"/>
        </w:rPr>
        <w:t>]</w:t>
      </w:r>
      <w:r>
        <w:rPr>
          <w:color w:val="808080"/>
        </w:rPr>
        <w:t xml:space="preserve">, dort </w:t>
      </w:r>
      <w:r>
        <w:rPr>
          <w:b/>
          <w:color w:val="808080"/>
        </w:rPr>
        <w:t>[</w:t>
      </w:r>
      <w:r>
        <w:rPr>
          <w:color w:val="808080"/>
        </w:rPr>
        <w:t>ist</w:t>
      </w:r>
      <w:r>
        <w:rPr>
          <w:b/>
          <w:color w:val="808080"/>
        </w:rPr>
        <w:t>]</w:t>
      </w:r>
      <w:r>
        <w:rPr>
          <w:color w:val="808080"/>
        </w:rPr>
        <w:t xml:space="preserve"> das Meer:)</w:t>
      </w:r>
      <w:r>
        <w:rPr/>
        <w:t xml:space="preserve"> </w:t>
      </w:r>
      <w:r>
        <w:rPr>
          <w:rStyle w:val="Funotenanker"/>
        </w:rPr>
        <w:footnoteReference w:customMarkFollows="1" w:id="2174"/>
        <w:t>aq</w:t>
      </w:r>
      <w:r>
        <w:rPr/>
        <w:t xml:space="preserve"> groß und weit </w:t>
      </w:r>
      <w:r>
        <w:rPr>
          <w:strike/>
          <w:color w:val="808080"/>
        </w:rPr>
        <w:t>{die Seiten}</w:t>
      </w:r>
      <w:r>
        <w:rPr/>
        <w:t>:</w:t>
      </w:r>
      <w:r>
        <w:rPr>
          <w:rStyle w:val="Funotenanker"/>
        </w:rPr>
        <w:footnoteReference w:customMarkFollows="1" w:id="2175"/>
        <w:t>ar</w:t>
      </w:r>
      <w:r>
        <w:rPr/>
        <w:t xml:space="preserve"> </w:t>
      </w:r>
      <w:r>
        <w:rPr>
          <w:position w:val="8"/>
          <w:sz w:val="19"/>
        </w:rPr>
        <w:t>[[ ℘ &gt;&gt; BibleTOBIBLE:Ps 95:5]]</w:t>
      </w:r>
      <w:r>
        <w:rPr/>
        <w:t xml:space="preserve"> </w:t>
        <w:br/>
        <w:t xml:space="preserve">Dort </w:t>
      </w:r>
      <w:r>
        <w:rPr>
          <w:b/>
          <w:color w:val="808080"/>
        </w:rPr>
        <w:t>[</w:t>
      </w:r>
      <w:r>
        <w:rPr/>
        <w:t>gibt es</w:t>
      </w:r>
      <w:r>
        <w:rPr>
          <w:b/>
          <w:color w:val="808080"/>
        </w:rPr>
        <w:t>]</w:t>
      </w:r>
      <w:r>
        <w:rPr/>
        <w:t xml:space="preserve"> Gewürm</w:t>
      </w:r>
      <w:r>
        <w:rPr>
          <w:rStyle w:val="Funotenanker"/>
        </w:rPr>
        <w:footnoteReference w:customMarkFollows="1" w:id="2176"/>
        <w:t>as</w:t>
      </w:r>
      <w:r>
        <w:rPr/>
        <w:t xml:space="preserve"> ohne Zahl,Kleine Tiere und große. </w:t>
      </w:r>
      <w:r>
        <w:rPr>
          <w:position w:val="8"/>
          <w:sz w:val="19"/>
        </w:rPr>
        <w:t>[[ ℘ &gt;&gt; BibleTOBIBLE:Ge 1:20]]</w:t>
      </w:r>
      <w:r>
        <w:rPr/>
        <w:t xml:space="preserve"> </w:t>
        <w:br/>
        <w:t xml:space="preserve">{{field-off:bible}} </w:t>
        <w:br/>
        <w:t>[[@BibleTOBIBLE:Ps 104:26]]</w:t>
      </w:r>
      <w:r>
        <w:rPr>
          <w:b/>
        </w:rPr>
        <w:t>26</w:t>
      </w:r>
      <w:r>
        <w:rPr/>
        <w:t xml:space="preserve"> {{field-on:bible}} </w:t>
        <w:br/>
        <w:t xml:space="preserve">Dort schwimmen Schiffe, </w:t>
      </w:r>
      <w:r>
        <w:rPr>
          <w:color w:val="808080"/>
        </w:rPr>
        <w:t>(schwimmen dort gleich Schiffen.)</w:t>
      </w:r>
      <w:r>
        <w:rPr/>
        <w:t xml:space="preserve"> </w:t>
      </w:r>
      <w:r>
        <w:rPr>
          <w:rStyle w:val="Funotenanker"/>
        </w:rPr>
        <w:footnoteReference w:customMarkFollows="1" w:id="2177"/>
        <w:t>at</w:t>
      </w:r>
      <w:r>
        <w:rPr/>
        <w:t xml:space="preserve"> </w:t>
      </w:r>
      <w:r>
        <w:rPr>
          <w:b/>
          <w:color w:val="808080"/>
        </w:rPr>
        <w:t>[</w:t>
      </w:r>
      <w:r>
        <w:rPr/>
        <w:t>Schwimmt der</w:t>
      </w:r>
      <w:r>
        <w:rPr>
          <w:b/>
          <w:color w:val="808080"/>
        </w:rPr>
        <w:t>]</w:t>
      </w:r>
      <w:r>
        <w:rPr/>
        <w:t xml:space="preserve"> Leviathan, den du gebildet, um mit ihm Spaß zu haben </w:t>
      </w:r>
      <w:r>
        <w:rPr>
          <w:color w:val="808080"/>
        </w:rPr>
        <w:t>(damit er darinnen Spaß habe)</w:t>
      </w:r>
      <w:r>
        <w:rPr/>
        <w:t>.</w:t>
      </w:r>
      <w:r>
        <w:rPr>
          <w:rStyle w:val="Funotenanker"/>
        </w:rPr>
        <w:footnoteReference w:customMarkFollows="1" w:id="2178"/>
        <w:t>au</w:t>
      </w:r>
      <w:r>
        <w:rPr/>
        <w:t xml:space="preserve"> </w:t>
      </w:r>
      <w:r>
        <w:rPr>
          <w:position w:val="8"/>
          <w:sz w:val="19"/>
        </w:rPr>
        <w:t>[[ ℘ &gt;&gt; BibleTOBIBLE:Job 40:25]][[ ℘ &gt;&gt; BibleTOBIBLE:Sir 43:25]]</w:t>
      </w:r>
      <w:r>
        <w:rPr/>
        <w:t xml:space="preserve"> </w:t>
        <w:br/>
        <w:t xml:space="preserve">{{field-off:bible}} </w:t>
        <w:br/>
        <w:t>[[@BibleTOBIBLE:Ps 104:27]]</w:t>
      </w:r>
      <w:r>
        <w:rPr>
          <w:b/>
        </w:rPr>
        <w:t>27</w:t>
      </w:r>
      <w:r>
        <w:rPr/>
        <w:t xml:space="preserve"> {{field-on:bible}} </w:t>
        <w:br/>
        <w:t xml:space="preserve">{{field-off:bible}} </w:t>
        <w:br/>
        <w:t>[[@BibleTOBIBLE:Ps 104:28]]</w:t>
      </w:r>
      <w:r>
        <w:rPr>
          <w:b/>
        </w:rPr>
        <w:t>28</w:t>
      </w:r>
      <w:r>
        <w:rPr/>
        <w:t xml:space="preserve"> {{field-on:bible}} </w:t>
        <w:br/>
        <w:t xml:space="preserve">{{field-off:bible}} </w:t>
        <w:br/>
        <w:t>[[@BibleTOBIBLE:Ps 104:29]]</w:t>
      </w:r>
      <w:r>
        <w:rPr>
          <w:b/>
        </w:rPr>
        <w:t>29</w:t>
      </w:r>
      <w:r>
        <w:rPr/>
        <w:t xml:space="preserve"> {{field-on:bible}} </w:t>
        <w:br/>
        <w:t xml:space="preserve">{{field-off:bible}} </w:t>
        <w:br/>
        <w:t>[[@BibleTOBIBLE:Ps 104:30]]</w:t>
      </w:r>
      <w:r>
        <w:rPr>
          <w:b/>
        </w:rPr>
        <w:t>30</w:t>
      </w:r>
      <w:r>
        <w:rPr/>
        <w:t xml:space="preserve"> {{field-on:bible}} </w:t>
        <w:br/>
        <w:t xml:space="preserve">{{field-off:bible}} </w:t>
        <w:br/>
        <w:t>[[@BibleTOBIBLE:Ps 104:31]]</w:t>
      </w:r>
      <w:r>
        <w:rPr>
          <w:b/>
        </w:rPr>
        <w:t>31</w:t>
      </w:r>
      <w:r>
        <w:rPr/>
        <w:t xml:space="preserve"> {{field-on:bible}} </w:t>
        <w:br/>
        <w:t xml:space="preserve">{{field-off:bible}} </w:t>
        <w:br/>
        <w:t>[[@BibleTOBIBLE:Ps 104:32]]</w:t>
      </w:r>
      <w:r>
        <w:rPr>
          <w:b/>
        </w:rPr>
        <w:t>32</w:t>
      </w:r>
      <w:r>
        <w:rPr/>
        <w:t xml:space="preserve"> {{field-on:bible}} </w:t>
        <w:br/>
        <w:t xml:space="preserve">{{field-off:bible}} </w:t>
        <w:br/>
        <w:t>[[@BibleTOBIBLE:Ps 104:33]]</w:t>
      </w:r>
      <w:r>
        <w:rPr>
          <w:b/>
        </w:rPr>
        <w:t>33</w:t>
      </w:r>
      <w:r>
        <w:rPr/>
        <w:t xml:space="preserve"> {{field-on:bible}} </w:t>
        <w:br/>
        <w:t xml:space="preserve">{{field-off:bible}} </w:t>
        <w:br/>
        <w:t>[[@BibleTOBIBLE:Ps 104:34]]</w:t>
      </w:r>
      <w:r>
        <w:rPr>
          <w:b/>
        </w:rPr>
        <w:t>34</w:t>
      </w:r>
      <w:r>
        <w:rPr/>
        <w:t xml:space="preserve"> {{field-on:bible}} </w:t>
        <w:br/>
        <w:t xml:space="preserve">{{field-off:bible}} </w:t>
        <w:br/>
        <w:t>[[@BibleTOBIBLE:Ps 104:35]]</w:t>
      </w:r>
      <w:r>
        <w:rPr>
          <w:b/>
        </w:rPr>
        <w:t>35</w:t>
      </w:r>
      <w:r>
        <w:rPr/>
        <w:t xml:space="preserve"> {{field-on:bible}} </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t>Für</w:t>
      </w:r>
      <w:r>
        <w:rPr>
          <w:rStyle w:val="Funotenanker"/>
        </w:rPr>
        <w:footnoteReference w:customMarkFollows="1" w:id="2179"/>
        <w:t>a</w:t>
      </w:r>
      <w:r>
        <w:rPr/>
        <w:t xml:space="preserve"> meine Liebe feinden </w:t>
      </w:r>
      <w:r>
        <w:rPr>
          <w:color w:val="808080"/>
        </w:rPr>
        <w:t>(klagen sie mich an)</w:t>
      </w:r>
      <w:r>
        <w:rPr/>
        <w:t xml:space="preserve"> </w:t>
      </w:r>
      <w:r>
        <w:rPr>
          <w:rStyle w:val="Funotenanker"/>
        </w:rPr>
        <w:footnoteReference w:customMarkFollows="1" w:id="2180"/>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2181"/>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2182"/>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2183"/>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2184"/>
        <w:t>f</w:t>
      </w:r>
      <w:r>
        <w:rPr/>
        <w:t xml:space="preserve"> soll stehen</w:t>
      </w:r>
      <w:r>
        <w:rPr>
          <w:rStyle w:val="Funotenanker"/>
        </w:rPr>
        <w:footnoteReference w:customMarkFollows="1" w:id="2185"/>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2186"/>
        <w:t>h</w:t>
      </w:r>
      <w:r>
        <w:rPr/>
        <w:t xml:space="preserve">, soll er herausgehen </w:t>
      </w:r>
      <w:r>
        <w:rPr>
          <w:color w:val="808080"/>
        </w:rPr>
        <w:t>(hervorgehen)</w:t>
      </w:r>
      <w:r>
        <w:rPr/>
        <w:t xml:space="preserve"> </w:t>
      </w:r>
      <w:r>
        <w:rPr>
          <w:rStyle w:val="Funotenanker"/>
        </w:rPr>
        <w:footnoteReference w:customMarkFollows="1" w:id="2187"/>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2188"/>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2189"/>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2190"/>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2191"/>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2192"/>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2193"/>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2194"/>
        <w:t>Status</w:t>
      </w:r>
      <w:r>
        <w:rPr/>
        <w:t xml:space="preserve"> Ein Lied der Wallfahrten </w:t>
      </w:r>
      <w:r>
        <w:rPr>
          <w:color w:val="808080"/>
        </w:rPr>
        <w:t>(großen Aufstiege, aufsteigenden Frauen)</w:t>
      </w:r>
      <w:r>
        <w:rPr/>
        <w:t xml:space="preserve"> </w:t>
      </w:r>
      <w:r>
        <w:rPr>
          <w:rStyle w:val="Funotenanker"/>
        </w:rPr>
        <w:footnoteReference w:customMarkFollows="1" w:id="2195"/>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2196"/>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2197"/>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2198"/>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2199"/>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2200"/>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br/>
        <w:t>[[@BibleTOBIBLE:Ps 126:1]]</w:t>
      </w:r>
      <w:r>
        <w:rPr>
          <w:b/>
        </w:rPr>
        <w:t>1</w:t>
      </w:r>
      <w:r>
        <w:rPr/>
        <w:t xml:space="preserve"> {{field-on:bible}} </w:t>
      </w:r>
      <w:r>
        <w:rPr>
          <w:rStyle w:val="Funotenanker"/>
        </w:rPr>
        <w:footnoteReference w:customMarkFollows="1" w:id="2201"/>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2202"/>
        <w:t>a</w:t>
      </w:r>
      <w:r>
        <w:rPr/>
        <w:t>, wie die Ströme im Südland.</w:t>
      </w:r>
      <w:r>
        <w:rPr>
          <w:rStyle w:val="Funotenanker"/>
        </w:rPr>
        <w:footnoteReference w:customMarkFollows="1" w:id="2203"/>
        <w:t>b</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2204"/>
        <w:t>c</w:t>
      </w:r>
      <w:r>
        <w:rPr/>
        <w:t xml:space="preserve"> und weinend</w:t>
      </w:r>
      <w:r>
        <w:rPr>
          <w:rStyle w:val="Funotenanker"/>
        </w:rPr>
        <w:footnoteReference w:customMarkFollows="1" w:id="2205"/>
        <w:t>d</w:t>
      </w:r>
      <w:r>
        <w:rPr/>
        <w:t xml:space="preserve"> trägt</w:t>
      </w:r>
      <w:r>
        <w:rPr>
          <w:rStyle w:val="Funotenanker"/>
        </w:rPr>
        <w:footnoteReference w:customMarkFollows="1" w:id="2206"/>
        <w:t>e</w:t>
      </w:r>
      <w:r>
        <w:rPr/>
        <w:t xml:space="preserve"> er eine Saat-Tasche. Er kommt zurück</w:t>
      </w:r>
      <w:r>
        <w:rPr>
          <w:rStyle w:val="Funotenanker"/>
        </w:rPr>
        <w:footnoteReference w:customMarkFollows="1" w:id="2207"/>
        <w:t>f</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2208"/>
        <w:t>Status</w:t>
      </w:r>
      <w:r>
        <w:rPr/>
        <w:t xml:space="preserve"> Ein Wallfahrtslied </w:t>
      </w:r>
      <w:r>
        <w:rPr>
          <w:color w:val="808080"/>
        </w:rPr>
        <w:t>(Stufenlied, Reiselied)</w:t>
      </w:r>
      <w:r>
        <w:rPr/>
        <w:t xml:space="preserve"> </w:t>
      </w:r>
      <w:r>
        <w:rPr>
          <w:rStyle w:val="Funotenanker"/>
        </w:rPr>
        <w:footnoteReference w:customMarkFollows="1" w:id="2209"/>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2210"/>
        <w:t>b</w:t>
      </w:r>
      <w:r>
        <w:rPr/>
        <w:t xml:space="preserve">, mein Herz </w:t>
      </w:r>
      <w:r>
        <w:rPr>
          <w:color w:val="808080"/>
        </w:rPr>
        <w:t>(ich)</w:t>
      </w:r>
      <w:r>
        <w:rPr/>
        <w:t xml:space="preserve"> </w:t>
      </w:r>
      <w:r>
        <w:rPr>
          <w:rStyle w:val="Funotenanker"/>
        </w:rPr>
        <w:footnoteReference w:customMarkFollows="1" w:id="2211"/>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2212"/>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2213"/>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2214"/>
        <w:t>f</w:t>
      </w:r>
      <w:r>
        <w:rPr/>
        <w:t xml:space="preserve"> </w:t>
      </w:r>
      <w:r>
        <w:rPr>
          <w:b/>
          <w:color w:val="808080"/>
        </w:rPr>
        <w:t>[</w:t>
      </w:r>
      <w:r>
        <w:rPr/>
        <w:t>für mich zu</w:t>
      </w:r>
      <w:r>
        <w:rPr>
          <w:b/>
          <w:color w:val="808080"/>
        </w:rPr>
        <w:t>]</w:t>
      </w:r>
      <w:r>
        <w:rPr/>
        <w:t xml:space="preserve"> </w:t>
      </w:r>
      <w:r>
        <w:rPr>
          <w:rStyle w:val="Funotenanker"/>
        </w:rPr>
        <w:footnoteReference w:customMarkFollows="1" w:id="2215"/>
        <w:t>g</w:t>
      </w:r>
      <w:r>
        <w:rPr/>
        <w:t xml:space="preserve"> großen Zielen </w:t>
      </w:r>
      <w:r>
        <w:rPr>
          <w:color w:val="808080"/>
        </w:rPr>
        <w:t>(Großem, großen Dingen)</w:t>
      </w:r>
      <w:r>
        <w:rPr/>
        <w:t xml:space="preserve"> </w:t>
      </w:r>
      <w:r>
        <w:rPr>
          <w:rStyle w:val="Funotenanker"/>
        </w:rPr>
        <w:footnoteReference w:customMarkFollows="1" w:id="2216"/>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2217"/>
        <w:t>i</w:t>
      </w:r>
      <w:r>
        <w:rPr/>
        <w:t xml:space="preserve"> ich habe meine Seele </w:t>
      </w:r>
      <w:r>
        <w:rPr>
          <w:color w:val="808080"/>
        </w:rPr>
        <w:t>(mich)</w:t>
      </w:r>
      <w:r>
        <w:rPr/>
        <w:t xml:space="preserve"> </w:t>
      </w:r>
      <w:r>
        <w:rPr>
          <w:rStyle w:val="Funotenanker"/>
        </w:rPr>
        <w:footnoteReference w:customMarkFollows="1" w:id="2218"/>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2219"/>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2220"/>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2221"/>
        <w:t>m</w:t>
      </w:r>
      <w:r>
        <w:rPr/>
        <w:t xml:space="preserve"> </w:t>
      </w:r>
      <w:r>
        <w:rPr>
          <w:b/>
          <w:color w:val="808080"/>
        </w:rPr>
        <w:t>[</w:t>
      </w:r>
      <w:r>
        <w:rPr/>
        <w:t>auch du</w:t>
      </w:r>
      <w:r>
        <w:rPr>
          <w:b/>
          <w:color w:val="808080"/>
        </w:rPr>
        <w:t>]</w:t>
      </w:r>
      <w:r>
        <w:rPr/>
        <w:t xml:space="preserve"> </w:t>
      </w:r>
      <w:r>
        <w:rPr>
          <w:rStyle w:val="Funotenanker"/>
        </w:rPr>
        <w:footnoteReference w:customMarkFollows="1" w:id="2222"/>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2223"/>
        <w:t>Status</w:t>
      </w:r>
      <w:r>
        <w:rPr/>
        <w:t xml:space="preserve"> Ein Lied der Wallfahrten </w:t>
      </w:r>
      <w:r>
        <w:rPr>
          <w:color w:val="808080"/>
        </w:rPr>
        <w:t>(großen Aufstiege, aufsteigenden Frauen)</w:t>
      </w:r>
      <w:r>
        <w:rPr/>
        <w:t xml:space="preserve"> </w:t>
      </w:r>
      <w:r>
        <w:rPr>
          <w:rStyle w:val="Funotenanker"/>
        </w:rPr>
        <w:footnoteReference w:customMarkFollows="1" w:id="2224"/>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2225"/>
        <w:t>Status</w:t>
      </w:r>
      <w:r>
        <w:rPr/>
        <w:t xml:space="preserve"> Ein Lied der Wallfahrten </w:t>
      </w:r>
      <w:r>
        <w:rPr>
          <w:color w:val="808080"/>
        </w:rPr>
        <w:t>(großen Aufstiege, aufsteigenden Frauen)</w:t>
      </w:r>
      <w:r>
        <w:rPr/>
        <w:t xml:space="preserve"> </w:t>
      </w:r>
      <w:r>
        <w:rPr>
          <w:rStyle w:val="Funotenanker"/>
        </w:rPr>
        <w:footnoteReference w:customMarkFollows="1" w:id="2226"/>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2227"/>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2228"/>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2229"/>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2230"/>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2231"/>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2232"/>
        <w:t>c</w:t>
      </w:r>
      <w:r>
        <w:rPr/>
        <w:t xml:space="preserve"> für deine Liebe </w:t>
      </w:r>
      <w:r>
        <w:rPr>
          <w:color w:val="808080"/>
        </w:rPr>
        <w:t>(Güte, Gnade, liebende Treue, Bundestreue)</w:t>
      </w:r>
      <w:r>
        <w:rPr/>
        <w:t xml:space="preserve"> </w:t>
      </w:r>
      <w:r>
        <w:rPr>
          <w:rStyle w:val="Funotenanker"/>
        </w:rPr>
        <w:footnoteReference w:customMarkFollows="1" w:id="2233"/>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2234"/>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2235"/>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2236"/>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2237"/>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2238"/>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2239"/>
        <w:t>j</w:t>
      </w:r>
      <w:r>
        <w:rPr/>
        <w:t xml:space="preserve"> singen. </w:t>
        <w:br/>
        <w:t xml:space="preserve">Wie </w:t>
      </w:r>
      <w:r>
        <w:rPr>
          <w:color w:val="808080"/>
        </w:rPr>
        <w:t>(denn, ja)</w:t>
      </w:r>
      <w:r>
        <w:rPr/>
        <w:t xml:space="preserve"> groß</w:t>
      </w:r>
      <w:r>
        <w:rPr>
          <w:rStyle w:val="Funotenanker"/>
        </w:rPr>
        <w:footnoteReference w:customMarkFollows="1" w:id="2240"/>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2241"/>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2242"/>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2243"/>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2244"/>
        <w:t>o</w:t>
      </w:r>
      <w:r>
        <w:rPr/>
        <w:t xml:space="preserve"> </w:t>
        <w:br/>
        <w:t xml:space="preserve">und deine rechte Hand rettet mich </w:t>
      </w:r>
      <w:r>
        <w:rPr>
          <w:color w:val="808080"/>
        </w:rPr>
        <w:t>(hilft mir; wird/möge mich retten)</w:t>
      </w:r>
      <w:r>
        <w:rPr/>
        <w:t>!</w:t>
      </w:r>
      <w:r>
        <w:rPr>
          <w:rStyle w:val="Funotenanker"/>
        </w:rPr>
        <w:footnoteReference w:customMarkFollows="1" w:id="2245"/>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2246"/>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2247"/>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2248"/>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2249"/>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2250"/>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2251"/>
        <w:t>a</w:t>
      </w:r>
      <w:r>
        <w:rPr/>
        <w:t xml:space="preserve"> </w:t>
      </w:r>
      <w:r>
        <w:rPr>
          <w:b/>
          <w:color w:val="808080"/>
        </w:rPr>
        <w:t>[</w:t>
      </w:r>
      <w:r>
        <w:rPr/>
        <w:t>singt</w:t>
      </w:r>
      <w:r>
        <w:rPr>
          <w:b/>
          <w:color w:val="808080"/>
        </w:rPr>
        <w:t>]</w:t>
      </w:r>
      <w:r>
        <w:rPr/>
        <w:t xml:space="preserve"> </w:t>
      </w:r>
      <w:r>
        <w:rPr>
          <w:rStyle w:val="Funotenanker"/>
        </w:rPr>
        <w:footnoteReference w:customMarkFollows="1" w:id="2252"/>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2253"/>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2254"/>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2255"/>
        <w:t>e</w:t>
      </w:r>
      <w:r>
        <w:rPr/>
        <w:t xml:space="preserve"> preisen mit </w:t>
      </w:r>
      <w:r>
        <w:rPr>
          <w:color w:val="808080"/>
        </w:rPr>
        <w:t>(im</w:t>
      </w:r>
      <w:r>
        <w:rPr/>
        <w:t xml:space="preserve"> </w:t>
      </w:r>
      <w:r>
        <w:rPr>
          <w:rStyle w:val="Funotenanker"/>
        </w:rPr>
        <w:footnoteReference w:customMarkFollows="1" w:id="2256"/>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2257"/>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2258"/>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2259"/>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2260"/>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2261"/>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2262"/>
        <w:t>l</w:t>
      </w:r>
      <w:r>
        <w:rPr/>
        <w:t xml:space="preserve"> Herrlichkeit </w:t>
      </w:r>
      <w:r>
        <w:rPr>
          <w:color w:val="808080"/>
        </w:rPr>
        <w:t>(Herrlichen, Mächtigen)</w:t>
      </w:r>
      <w:r>
        <w:rPr/>
        <w:t>, jubeln sollen sie auf ihren Lagern</w:t>
      </w:r>
      <w:r>
        <w:rPr>
          <w:rStyle w:val="Funotenanker"/>
        </w:rPr>
        <w:footnoteReference w:customMarkFollows="1" w:id="2263"/>
        <w:t>m</w:t>
      </w:r>
      <w:r>
        <w:rPr/>
        <w:t>,</w:t>
      </w:r>
      <w:r>
        <w:rPr>
          <w:color w:val="808080"/>
        </w:rPr>
        <w:t>(-)</w:t>
      </w:r>
      <w:r>
        <w:rPr/>
        <w:t xml:space="preserve"> </w:t>
      </w:r>
      <w:r>
        <w:rPr>
          <w:rStyle w:val="Funotenanker"/>
        </w:rPr>
        <w:footnoteReference w:customMarkFollows="1" w:id="2264"/>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2265"/>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2266"/>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2267"/>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2268"/>
        <w:t>r</w:t>
      </w:r>
      <w:r>
        <w:rPr/>
        <w:t xml:space="preserve"> wie geschrieben </w:t>
      </w:r>
      <w:r>
        <w:rPr>
          <w:b/>
          <w:color w:val="808080"/>
        </w:rPr>
        <w:t>[</w:t>
      </w:r>
      <w:r>
        <w:rPr/>
        <w:t>steht</w:t>
      </w:r>
      <w:r>
        <w:rPr>
          <w:b/>
          <w:color w:val="808080"/>
        </w:rPr>
        <w:t>]</w:t>
      </w:r>
      <w:r>
        <w:rPr/>
        <w:t xml:space="preserve"> </w:t>
      </w:r>
      <w:r>
        <w:rPr>
          <w:rStyle w:val="Funotenanker"/>
        </w:rPr>
        <w:footnoteReference w:customMarkFollows="1" w:id="2269"/>
        <w:t>s</w:t>
      </w:r>
      <w:r>
        <w:rPr/>
        <w:t xml:space="preserve">. Er </w:t>
      </w:r>
      <w:r>
        <w:rPr>
          <w:color w:val="808080"/>
        </w:rPr>
        <w:t>(Das)</w:t>
      </w:r>
      <w:r>
        <w:rPr/>
        <w:t xml:space="preserve"> </w:t>
      </w:r>
      <w:r>
        <w:rPr>
          <w:rStyle w:val="Funotenanker"/>
        </w:rPr>
        <w:footnoteReference w:customMarkFollows="1" w:id="2270"/>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2]]Kapitel 2</w:t>
      </w:r>
    </w:p>
    <w:p>
      <w:pPr>
        <w:pStyle w:val="Textkrper"/>
        <w:rPr/>
      </w:pPr>
      <w:r>
        <w:rPr/>
        <w:br/>
        <w:t>[[@BibleTOBIBLE:Pr 2:9]]</w:t>
      </w:r>
      <w:r>
        <w:rPr>
          <w:b/>
        </w:rPr>
        <w:t>9</w:t>
      </w:r>
      <w:r>
        <w:rPr/>
        <w:t xml:space="preserve"> {{field-on:bible}} </w:t>
        <w:br/>
        <w:t xml:space="preserve">Dann wirst du achten auf Recht </w:t>
      </w:r>
      <w:r>
        <w:rPr>
          <w:color w:val="808080"/>
        </w:rPr>
        <w:t>(das Rechte, Gerechtigkeit)</w:t>
      </w:r>
      <w:r>
        <w:rPr/>
        <w:t xml:space="preserve"> und Gesetz </w:t>
        <w:br/>
        <w:t xml:space="preserve">und Gerechtigkeit </w:t>
      </w:r>
      <w:r>
        <w:rPr>
          <w:color w:val="808080"/>
        </w:rPr>
        <w:t>(Aufrichtigkeit)</w:t>
      </w:r>
      <w:r>
        <w:rPr/>
        <w:t xml:space="preserve"> </w:t>
      </w:r>
      <w:r>
        <w:rPr>
          <w:b/>
          <w:color w:val="808080"/>
        </w:rPr>
        <w:t>[</w:t>
      </w:r>
      <w:r>
        <w:rPr/>
        <w:t>und</w:t>
      </w:r>
      <w:r>
        <w:rPr>
          <w:b/>
          <w:color w:val="808080"/>
        </w:rPr>
        <w:t>]</w:t>
      </w:r>
      <w:r>
        <w:rPr/>
        <w:t xml:space="preserve"> alle guten Pfade.</w:t>
        <w:br/>
        <w:t xml:space="preserve">{{field-off:bible}} </w:t>
        <w:br/>
        <w:t>[[@BibleTOBIBLE:Pr 2:10]]</w:t>
      </w:r>
      <w:r>
        <w:rPr>
          <w:b/>
        </w:rPr>
        <w:t>10</w:t>
      </w:r>
      <w:r>
        <w:rPr/>
        <w:t xml:space="preserve"> {{field-on:bible}} </w:t>
        <w:br/>
        <w:t>Denn Weisheit</w:t>
      </w:r>
      <w:r>
        <w:rPr>
          <w:rStyle w:val="Funotenanker"/>
        </w:rPr>
        <w:footnoteReference w:customMarkFollows="1" w:id="2271"/>
        <w:t>a</w:t>
      </w:r>
      <w:r>
        <w:rPr/>
        <w:t xml:space="preserve"> komme in dein Herz</w:t>
      </w:r>
      <w:r>
        <w:rPr>
          <w:rStyle w:val="Funotenanker"/>
        </w:rPr>
        <w:footnoteReference w:customMarkFollows="1" w:id="2272"/>
        <w:t>b</w:t>
      </w:r>
      <w:r>
        <w:rPr/>
        <w:t xml:space="preserve"> </w:t>
        <w:br/>
        <w:t>und Erkenntnis</w:t>
      </w:r>
      <w:r>
        <w:rPr>
          <w:rStyle w:val="Funotenanker"/>
        </w:rPr>
        <w:footnoteReference w:customMarkFollows="1" w:id="2273"/>
        <w:t>c</w:t>
      </w:r>
      <w:r>
        <w:rPr/>
        <w:t xml:space="preserve"> sei deiner Seele angenehm </w:t>
      </w:r>
      <w:r>
        <w:rPr>
          <w:color w:val="808080"/>
        </w:rPr>
        <w:t>(lieblich)</w:t>
      </w:r>
      <w:r>
        <w:rPr/>
        <w:t>.</w:t>
        <w:br/>
        <w:t xml:space="preserve">{{field-off:bible}} </w:t>
        <w:br/>
        <w:t>[[@BibleTOBIBLE:Pr 2:11]]</w:t>
      </w:r>
      <w:r>
        <w:rPr>
          <w:b/>
        </w:rPr>
        <w:t>11</w:t>
      </w:r>
      <w:r>
        <w:rPr/>
        <w:t xml:space="preserve"> {{field-on:bible}} </w:t>
        <w:br/>
        <w:t xml:space="preserve">Klugheit </w:t>
      </w:r>
      <w:r>
        <w:rPr>
          <w:color w:val="808080"/>
        </w:rPr>
        <w:t>(Gewandheit)</w:t>
      </w:r>
      <w:r>
        <w:rPr/>
        <w:t xml:space="preserve"> schütze </w:t>
      </w:r>
      <w:r>
        <w:rPr>
          <w:color w:val="808080"/>
        </w:rPr>
        <w:t>(bewahre)</w:t>
      </w:r>
      <w:r>
        <w:rPr/>
        <w:t xml:space="preserve"> dich,</w:t>
        <w:br/>
        <w:t xml:space="preserve">Einsicht </w:t>
      </w:r>
      <w:r>
        <w:rPr>
          <w:color w:val="808080"/>
        </w:rPr>
        <w:t>(Klugheit)</w:t>
      </w:r>
      <w:r>
        <w:rPr/>
        <w:t xml:space="preserve"> bewahre </w:t>
      </w:r>
      <w:r>
        <w:rPr>
          <w:color w:val="808080"/>
        </w:rPr>
        <w:t>(behüte)</w:t>
      </w:r>
      <w:r>
        <w:rPr/>
        <w:t xml:space="preserve"> dich.</w:t>
        <w:br/>
        <w:t xml:space="preserve">{{field-off:bible}} </w:t>
      </w:r>
    </w:p>
    <w:p>
      <w:pPr>
        <w:pStyle w:val="Berschrift3"/>
        <w:rPr/>
      </w:pPr>
      <w:r>
        <w:rPr/>
        <w:t>[[@BibleTOBIBLE:Pr 12]]Kapitel 12</w:t>
      </w:r>
    </w:p>
    <w:p>
      <w:pPr>
        <w:pStyle w:val="Textkrper"/>
        <w:rPr/>
      </w:pPr>
      <w:r>
        <w:rPr/>
        <w:br/>
        <w:t>[[@BibleTOBIBLE:Pr 12:22]]</w:t>
      </w:r>
      <w:r>
        <w:rPr>
          <w:b/>
        </w:rPr>
        <w:t>22</w:t>
      </w:r>
      <w:r>
        <w:rPr/>
        <w:t xml:space="preserve"> {{field-on:bible}}Ein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14:26]]</w:t>
      </w:r>
      <w:r>
        <w:rPr>
          <w:b/>
        </w:rPr>
        <w:t>26</w:t>
      </w:r>
      <w:r>
        <w:rPr/>
        <w:t xml:space="preserve"> {{field-on:bible}}In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{{field-on:bible}}Das Herz des Menschen plant seinen Weg und </w:t>
      </w:r>
      <w:r>
        <w:rPr>
          <w:smallCaps/>
          <w:color w:val="FF0000"/>
        </w:rPr>
        <w:t>JHWH</w:t>
      </w:r>
      <w:r>
        <w:rPr/>
        <w:t xml:space="preserve"> lenkt seinen Schritt.{{field-off:bible}} </w:t>
        <w:br/>
        <w:t>[[@BibleTOBIBLE:Pr 16:14]]</w:t>
      </w:r>
      <w:r>
        <w:rPr>
          <w:b/>
        </w:rPr>
        <w:t>14</w:t>
      </w:r>
      <w:r>
        <w:rPr/>
        <w:t xml:space="preserve"> {{field-on:bible}}Der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{{field-on:bible}}Wer auf das Wort achtet, findet Gutes und glücklich der, der </w:t>
      </w:r>
      <w:r>
        <w:rPr>
          <w:smallCaps/>
          <w:color w:val="FF0000"/>
        </w:rPr>
        <w:t>JHWH</w:t>
      </w:r>
      <w:r>
        <w:rPr/>
        <w:t xml:space="preserve"> vertraut.{{field-off:bible}} </w:t>
        <w:br/>
        <w:t>[[@BibleTOBIBLE:Pr 16:24]]</w:t>
      </w:r>
      <w:r>
        <w:rPr>
          <w:b/>
        </w:rPr>
        <w:t>24</w:t>
      </w:r>
      <w:r>
        <w:rPr/>
        <w:t xml:space="preserve"> {{field-on:bible}}Freundliche Worte sind Honig, Süßes für die Seele und Heilmittel für das Gebein.{{field-off:bible}} </w:t>
        <w:br/>
        <w:t>[[@BibleTOBIBLE:Pr 16:33]]</w:t>
      </w:r>
      <w:r>
        <w:rPr>
          <w:b/>
        </w:rPr>
        <w:t>33</w:t>
      </w:r>
      <w:r>
        <w:rPr/>
        <w:t xml:space="preserve"> {{field-on:bible}}Im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19:21]]</w:t>
      </w:r>
      <w:r>
        <w:rPr>
          <w:b/>
        </w:rPr>
        <w:t>21</w:t>
      </w:r>
      <w:r>
        <w:rPr/>
        <w:t xml:space="preserve"> {{field-on:bible}}Viele Gedanken sind im Herzen eines Mannes, aber der Rat </w:t>
      </w:r>
      <w:r>
        <w:rPr>
          <w:smallCaps/>
          <w:color w:val="FF0000"/>
        </w:rPr>
        <w:t>JHWH</w:t>
      </w:r>
      <w:r>
        <w:rPr/>
        <w:t xml:space="preserve">s, er kommt zustande.{{field-off:bible}} </w:t>
        <w:br/>
        <w:t>[[@BibleTOBIBLE:Pr 19:23]]</w:t>
      </w:r>
      <w:r>
        <w:rPr>
          <w:b/>
        </w:rPr>
        <w:t>23</w:t>
      </w:r>
      <w:r>
        <w:rPr/>
        <w:t xml:space="preserve"> {{field-on:bible}}Die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20:22]]</w:t>
      </w:r>
      <w:r>
        <w:rPr>
          <w:b/>
        </w:rPr>
        <w:t>22</w:t>
      </w:r>
      <w:r>
        <w:rPr/>
        <w:t xml:space="preserve"> {{field-on:bible}}Sage nicht: Ich will Böses vergelten. Harre auf </w:t>
      </w:r>
      <w:r>
        <w:rPr>
          <w:smallCaps/>
          <w:color w:val="FF0000"/>
        </w:rPr>
        <w:t>JHWH</w:t>
      </w:r>
      <w:r>
        <w:rPr/>
        <w:t xml:space="preserve">, er wird dir helfen.{{field-off:bible}} </w:t>
        <w:br/>
        <w:t>[[@BibleTOBIBLE:Pr 20:24]]</w:t>
      </w:r>
      <w:r>
        <w:rPr>
          <w:b/>
        </w:rPr>
        <w:t>24</w:t>
      </w:r>
      <w:r>
        <w:rPr/>
        <w:t xml:space="preserve"> {{field-on:bible}}Von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24:12]]</w:t>
      </w:r>
      <w:r>
        <w:rPr>
          <w:b/>
        </w:rPr>
        <w:t>12</w:t>
      </w:r>
      <w:r>
        <w:rPr/>
        <w:t xml:space="preserve"> {{field-on:bible}}Wenn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{{field-on:bible}}Sage nicht: Was er mir getan hat, so will ich ihm tun, will jedem vergelten nach seinem Tun.{{field-off:bible}} </w:t>
      </w:r>
    </w:p>
    <w:p>
      <w:pPr>
        <w:pStyle w:val="Berschrift3"/>
        <w:rPr/>
      </w:pPr>
      <w:r>
        <w:rPr/>
        <w:t>[[@BibleTOBIBLE:Pr 25]]Kapitel 25</w:t>
      </w:r>
    </w:p>
    <w:p>
      <w:pPr>
        <w:pStyle w:val="Textkrper"/>
        <w:rPr/>
      </w:pPr>
      <w:r>
        <w:rPr/>
        <w:br/>
        <w:t>[[@BibleTOBIBLE:Pr 25:21]]</w:t>
      </w:r>
      <w:r>
        <w:rPr>
          <w:b/>
        </w:rPr>
        <w:t>21</w:t>
      </w:r>
      <w:r>
        <w:rPr/>
        <w:t xml:space="preserve"> {{field-on:bible}}Wenn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26:27]]</w:t>
      </w:r>
      <w:r>
        <w:rPr>
          <w:b/>
        </w:rPr>
        <w:t>27</w:t>
      </w:r>
      <w:r>
        <w:rPr/>
        <w:t xml:space="preserve"> {{field-on:bible}}Wer eine Grube gräbt, fällt selbst hinein, und wer einen Stein rollt, auf den fällt er zurück.{{field-off:bible}} </w:t>
      </w:r>
    </w:p>
    <w:p>
      <w:pPr>
        <w:pStyle w:val="Berschrift3"/>
        <w:rPr/>
      </w:pPr>
      <w:r>
        <w:rPr/>
        <w:t>[[@BibleTOBIBLE:Pr 28]]Kapitel 28</w:t>
      </w:r>
    </w:p>
    <w:p>
      <w:pPr>
        <w:pStyle w:val="Textkrper"/>
        <w:rPr/>
      </w:pPr>
      <w:r>
        <w:rPr/>
        <w:br/>
        <w:t>[[@BibleTOBIBLE:Pr 28:25]]</w:t>
      </w:r>
      <w:r>
        <w:rPr>
          <w:b/>
        </w:rPr>
        <w:t>25</w:t>
      </w:r>
      <w:r>
        <w:rPr/>
        <w:t xml:space="preserve"> {{field-on:bible}}Die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29:25]]</w:t>
      </w:r>
      <w:r>
        <w:rPr>
          <w:b/>
        </w:rPr>
        <w:t>25</w:t>
      </w:r>
      <w:r>
        <w:rPr/>
        <w:t xml:space="preserve"> {{field-on:bible}}Furcht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2274"/>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2275"/>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2276"/>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2277"/>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2278"/>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2279"/>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2280"/>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2281"/>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2282"/>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2283"/>
        <w:t>Status</w:t>
      </w:r>
      <w:r>
        <w:rPr/>
        <w:t xml:space="preserve"> Wirf dein Brot auf die Wasseroberfläche, denn in vielen Tagen wirst du es finden.</w:t>
      </w:r>
      <w:r>
        <w:rPr>
          <w:rStyle w:val="Funotenanker"/>
        </w:rPr>
        <w:footnoteReference w:customMarkFollows="1" w:id="2284"/>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1]]Kapitel 1</w:t>
      </w:r>
    </w:p>
    <w:p>
      <w:pPr>
        <w:pStyle w:val="Textkrper"/>
        <w:rPr/>
      </w:pPr>
      <w:r>
        <w:rPr/>
        <w:t>Das Hohelied ist eine Sammlung von Liebesliedern, die miteinander nur in „lockerem Zusammenhang“ (Krinetzki 1964, S. 80) stehen. Die vielen Wort-, Satz- und Motiv-Wiederholungen im Verlauf des Hoheliedes legen aber nahe, dass mindestens einige dieser Lieder vom selben Autor stammen. In die selbe Richtung weisen stilistische Züge, die vielen der Lieder gemeinsam sind, z.B. die gehäufte Verwendung seltener, oft aus dem Aramäischen stammender Wörter oder die ungewöhnliche Häufung von Assonanzen.</w:t>
      </w:r>
      <w:r>
        <w:rPr>
          <w:rStyle w:val="Funotenanker"/>
        </w:rPr>
        <w:footnoteReference w:customMarkFollows="1" w:id="2285"/>
        <w:t>a</w:t>
      </w:r>
      <w:r>
        <w:rPr/>
        <w:t xml:space="preserve"> Dazu passt auch, dass durch die acht Kapitel hindurch nur drei Sprecher-„typen“ identifizierbar sind: Frau, Mann und die immer wieder auftretenden „Töchter Jerusalems“. Und auch die Tatsache, dass viele eigentlich voneinander unabhängige Lieder durch ähnliche Motive mit den jeweils benachbarten Liedern zusammenhängen, führt dann zum selben Schluss: Das Hohelied ist ein einheitliches Werk. „Natürlich handelt es sich hierbei nicht um eine narrative Einheitlichkeit, sondern eine lyrische Einheitlichkeit.“ (Barbiero 2011, S. 18; ähnlich z.B. Exum 1998, S. 230-232). Dem heutigen Leser legt sich das ohnehin nahe, denn die Überschrift zeichnet das ganze Buch aus als „Lied“ - im Singular. Für diese Anmerkungen heißt das: Die Lieder sind als selbständige Einheiten zu erläutern. Da sie aber nicht zufällig an dem Ort stehen, an dem sie stehen, ist bei ihrer Erläuterung jeweils auch der nähere und weitere Kontext zu berücksichtigen. V. 1 nennt man die „Überschrift“ des Hoheliedes. Wahrscheinlich gehört sie wie die Psalmüberschriften nicht ursprünglich zum Text, sondern ist später hinzugefügt worden. Dahin weist vor allem, dass eine andere Relativpartikel („welche“) verwendet wird als im restlichen Hohelied, nämlich ´ascher statt sche. Diese Zuschreibung des Hoheliedes an Salomo ist vermutlich darauf zurückzuführen, dass dieser mehrfach im Hohelied erwähnt wird, dass er nach biblischer Überlieferung ganze 1005 Lieder verfasst hat (s. 1 Kön 5,12) und ein gewaltiger Frauenheld war (s. 1 Kön 11,3; so gut Exum 2005, S. 89). Das erste Lied (Vv. 2-4) ist ein Sehnsuchtslied eines „keuschen“ Mädchens, das offenbar noch nicht einmal ihren ersten Kuss von ihrem Geliebten empfangen hat und sich in das Zusammensein mit ihm hineinträumt. Die Tatsache, dass auch viele andere Mädchen in ihren Angebeteten verliebt sind, stört sie nicht; in ihren Augen steigert sie sogar nur noch, wie begehrenswert ihr Geliebter ist. Dieses Motiv findet sich des öfteren in ägyptischen Liebesliedern. Im Lied „Der Spaziergang“ zum Beispiel preist ein Liebender sein Mädchen mit den Worten: „Sie macht, dass alle Männerköpfe sich wenden, wenn sie sie sehen.“ (Üs. nach COS I, S. 128). Auch das zweite Lied (Vv. 5-6) ist ein Sehnsuchtslied, allerdings eines ganz anderer Art. Während das erste vor allem im Modus des Träumens vom Geliebten spricht, ist im zweiten Lied von einem Geliebten auf den ersten Blick nicht mal die Rede; die Sprecherin spricht hauptsächlich von sich und ihrer dunklen Hautfarbe.</w:t>
      </w:r>
      <w:r>
        <w:rPr>
          <w:rStyle w:val="Funotenanker"/>
        </w:rPr>
        <w:footnoteReference w:customMarkFollows="1" w:id="2286"/>
        <w:t>b</w:t>
      </w:r>
      <w:r>
        <w:rPr/>
        <w:t xml:space="preserve"> „Schwarz bin ich, aber trotzdem schön!“, sagt sie; und: „schaut nicht auf mich herab, weil ich so schwarz bin“, und fügt dann noch eine Erklärung an, wie es zu dieser ihrer schwarzen Hautfarbe kam. Grund dafür ist, dass eine schwarze Hautfarbe nicht dem damals geltenden Schönheitsideal entsprach (s. Hld 5,10; bes. auch Klgl 4,7f.). Auch hierfür finden sich häufig Parallelen v.a. in griechischen Texten. Z.B. heißt es in einem Epigramm von Asklepiades: &lt;poem&gt;„Und wenn sie [=Didyme] auch dunkel gefärbt ist: Was macht das? Das gilt auch für Kohlen, doch wenn man jene entzündet, leuchten sie wie Rosenknospen!“ (AS V 210)</w:t>
      </w:r>
      <w:r>
        <w:rPr>
          <w:rStyle w:val="Funotenanker"/>
        </w:rPr>
        <w:footnoteReference w:customMarkFollows="1" w:id="2287"/>
        <w:t>c</w:t>
      </w:r>
      <w:r>
        <w:rPr/>
        <w:t>&lt;/poem&gt; Auf den ersten Blick scheint also das zweite Lied eine Selbstverteidigung zu sein: Man soll doch nicht auf sie herabsehen, weil sie so schwarz ist; sie ist schwarz und trotzdem schön! So versteht das Lied z.B. gut Hunter 2000, S. 122f. - doch wäre dann schwer verständlich, was ein solches Lied in einer Sammlung von Liebesliedern zu suchen hätte. Der Schlüssel zum richtigen Verständnis findet sich in der Struktur von V. 6, wo auffällig das Pferd scheinbar von hinten aufgezäumt wird: „Ich bin schwarz - das deshalb, weil die Sonne auf mich geblickt hat - das deshalb, weil meine Brüder mir gezürnt und mich zur Weinbergshüterin eingesetzt haben - das deshalb, weil ich »meinen Weinberg, der mir gehört«, nicht gehütet habe.“ Das ganze Lied mündet auf diese Weise in den auffälligen Satz „Meinen Weinberg, der mir gehört, habe nicht gehütet.“ Auffällig ist er erstens wegen der unnötigen Wiederholung der Besitzangabe: „Mein Weinberg, der mir gehört“. Auffällig ist er außerdem, weil es ja Unsinn wäre, wenn die Brüder die Sprecherin zur Weinbergshüterin gemacht hätten, nachdem sie schon ihren eigenen Weinberg nicht gehütet hatte. Und auffällig ist er schließlich, weil eine Frau gar kein Land haben konnte, wenn es in ihrer Familie gleichzeitig erbberechtigte Brüder gab (s. Erbe/Erbrecht (AT) (WiBiLex)). „Mein Weinberg, der mir gehört“ ist daher sicher symbolisch zu verstehen. Hinweis darauf, wie er er zu verstehen ist, ist erstens das „Lied vom Weinberg“ in Jes 5,1-7, wo der „Weinberg“ Symbol für Israel, die Geliebte Gottes, ist, und zweitens Hld 8,8-12, wo gleichfalls von den „Brüdern“ und dem „Weinberg“ die Rede ist und sogar die die auffällige Formulierung „mein Weinberg, der mir [gehört]“ sich wieder findet: Auch dort ist der Weinberg Symbol für den Geliebten der Sprecherin. So ist der Weinberg also wahrscheinlich auch hier zu verstehen;</w:t>
      </w:r>
      <w:r>
        <w:rPr>
          <w:rStyle w:val="Funotenanker"/>
        </w:rPr>
        <w:footnoteReference w:customMarkFollows="1" w:id="2288"/>
        <w:t>d</w:t>
      </w:r>
      <w:r>
        <w:rPr/>
        <w:t xml:space="preserve"> Vv. 5-6 und Hld 8,8-12 handeln von den selben Zusammenhängen (s. dort): Die Brüder der Sprecherin haben ihre Schwester „aus dem Verkehr gezogen“, indem sie sie zur Weinbergshüterin machten, weil sie sich aus ihrer Verheiratung Gewinn versprachen. Auf diese Weise haben sie sie auch von „ihrem Weinberg, der ihr gehört“, getrennt: Von ihrem Geliebten. Symbol für diese Trennung ist die dunkle Hautfarbe, die die Sprecherin durch ihren Aufenthalt in den Weinbergen nun hat, und während sie im zweiten Lied vordergründig diese ihre dunkle Hautfarbe beklagt, zeigt die letzte Zeile, wofür diese dunkle Hautfarbe eigentlich steht: Den Verlust ihres Geliebten. Das dritte Lied (Vv. 7-8) ist ein Rendezvous-antrag einer Ziegenhirtin an einen Schafhirten, mit dem ein mittägliches Stelldichein organisiert werden soll. Schon sprachlich ist der Text als Dialog erkennbar, denn ganz auffällig fehlt hier jegliches Merkmal für hebräische Lyrik; stattdessen wird sehr prosaisch zweimal ein einzelner Satz durch Enjambements in jeweils fünf Zeilen aufgeteilt. Hirten machten um die Mittagszeit Rast und ließen ihr Vieh weiden; da also wäre es dem Päärchen möglich, sich einander zu widmen - wenn sie nur zueinander fänden. Denn dies war leichter gesagt als getan: Weibliche Hirten konnten ihre Tiere vermutlich nur in Dorfnähe weiden (s. gleich und vgl. AuS VI, S. 213.232), daher versteht es sich, dass sie nicht weiß, wo sich ihr Geliebter aufhält; zumal Hirten bisweilen beträchtliche Wege zurücklegen müssen konnten, um ihr Vieh vom Nachtlager zum mittäglichen Weideplatz zu bringen. Damit, dass sie dennoch zu ihm kommen möchte, nimmt sie ein nicht geringes Risiko auf sich: Vor allem unverschleiert umherlaufende Frauen liefen Gefahr, mindestens belästigt zu werden, wenn sie ohne Begleitung auf fremde Männer stießen. Im Koran (Al-Ahzab 33,59) etwa wird das Kopftuchgebot gerade damit begründet: „Oh Prophet! Sprich zu deinen Frauen und deinen Töchtern und zu den Frauen der Gläubigen, sie sollen ihre Übergewänder reichlich über sich ziehen. So ist es am ehesten gewährleistet, dass sie erkannt und nicht belästigt werden.“ „Erkannt werden“ sollen sie vermutlich als zu einem muslimischen Mann gehörig: Der Brauch, eine Frau bei ihrer Hochzeit zu verschleiern, war im ganzen Alten Orient verbreitet (vgl. gut van der Toorn 1995), und die Verschleierung als Zeichen dafür, dass eine Frau vergeben und nicht zu belästigen ist, haben wir uns wohl auch für die Bibel zu denken. So verschleiert sich Rebekah in Gen 24,65 erst, als sie in die Sichtweite ihres künftigen Ehemanns kommt, und in der Geschichte von Tamar ist der Schleier der Gegensatz zu ihrer Witwenkleidung: Da legte sie die Witwenkleidung ab und bedeckte sich mit einem Schleier und verschleierte sich... Danach ging sie los, legte ihren Schleier ab und zog ihre Witwenkleidung an. (Gen 38,14.19): : „In early Oriental tradition the veil symbolized a state of distinction and luxury rather than feminine modesty. [...] It bespoke woman's inaccessibility not so much in a sexual sense but as a sanctified possession of her husband.“ (Brayer 1986, S. 139) Wahrscheinlich ist dies der Hintergrund für des „als Verschleierte“ in V. 7: Die Hirtin fürchtet, statt auf ihren Geliebten auf andere Hirten zu stoßen, von denen sie als allein durch die Gegend ziehendes, unverheiratetes Mädchen belästigt werden könnte, wogegen sie sich nur schützen konnte, indem sie durch Verschleierung die Verheiratete spielte. In etwa die selbe Bedeutung hätte es, wenn man der Textvariante „wie eine Wandernde“ folgt: Sie hat Angst, auf ihrer Wanderung in die Nähe der anderen Hirten zu kommen.</w:t>
      </w:r>
      <w:r>
        <w:rPr>
          <w:rStyle w:val="Funotenanker"/>
        </w:rPr>
        <w:footnoteReference w:customMarkFollows="1" w:id="2289"/>
        <w:t>e</w:t>
      </w:r>
      <w:r>
        <w:rPr/>
        <w:t xml:space="preserve"> Die Lösung ist einfach: Wenn sie seinen Weideplatz bis dahin nicht herausbekommen hat, soll sie den deutlich erkennbaren Spuren des Viehs zu den Zelten der Hirten folgen, also ihren Nachtlagern (AuS VI, 232.249) - dem einzigen Ort, wo mit Sicherheit um die Mittagszeit keiner der Hirten anzutreffen sein wird. Dort wird ein mittägliches Stelldichein möglich sein, ohne dass das Mädchen von anderen Hirten belästigt wird (so gut Gerhards 2010, S. 330f.; Rudolph 1962, S. 126). Was in Hld 1,15-2,7 geschildert wird, wiederspricht jeder israelitischen Tugendvorstellung. Dass man sich davor hüten muss, diese Strophen als eine Art Hochgesang auf die freie Liebe aufzufassen, zeigen ohnehin deutlich die letzten Verse des Liedes. Hld 1,15-17 ist sehr ekstatisch gesprochen, sowohl das dreimalige „Siehe/Fürwahr!“ als auch das zweimalige „Ja!“ dienen dazu, die Aussagen noch stärker zu machen: Es handelt sich hier nicht um nüchterne Lobessprüche, sondern jubilierende Lobpreisungen der Schönheit des jeweils anderen. „Meine Freundin, du bist schön“, beginnt der Mann, und: „Deine Augen sind Tauben“. Wie diese Metapher zu verstehen ist, ist umstritten. „Aus dem Kontext können wir jedenfalls sicher darauf schließen, dass [sie] als Kompliment [gemeint] ist“ (Longman 2001, S. 108) und offenbar mit der Schönheit der Geliebten zusammenhängt. Das Bild der Geliebten als „Taube“ findet sich noch öfter im Hohelied: In Hld 2,14 wird die Geliebte selbst als „Taube in den Felsspalten, im Versteck in der Felswand“ bezeichnet, und in Hld 4,1 wird unser V. 15 noch einmal auführlicher wiederholt: „Deine Augen sind wie Tauben hinter deinem Schleier.“ Auch in unserem Kapitel war wenige Verse zuvor vom Schleier die Rede. Weil Tauben gefragte Opfertiere waren und zum Beispiel auch bei der Seefahrt verwendet wurden, züchtete man sie in sog. „Columbarien“; zwei schöne Abbildungen kann man rechts betrachten. Entweder sind mit den „Felsspalten, dem Versteck in der Felswand“ diese gemeint oder ihre natürliche Variante, also natürliche Höhlen im Fels, in die Tauben sich zurückziehen. Lässt man sich beim Verständnis unseres Verses von Hld 2,14; 4,1 leiten, müsste man so erklären, dass das Hervorblicken der Augen der Geliebten von hinter ihrem Schleier (natürlich) als schön und reizend empfunden wurde, daher besungen wird und zu diesem Zweck gleichgesetzt wird mit der aus ihrem Felsversteck hervorspitzenden Taube. Die Geliebte gibt das Kompliment zurück: „Auch du bist schön, mein Geliebter!“. Die folgenden Zeilen machen klar, woher die ekstatische Stimmung rührt: Die Liebenden liegen beieinander in einem Liebesnest unter Bäumen. Passend wird daher im letzten Vers auch dieses gepriesen und metaphorisch zum Königspalast überhöht (Zu Zedern und Zypressen als königliches Bauholz s. 1 Kön 5,22.24; zu Zedern noch 2 Sam 7,2; zu Zypressen noch 1 Kön 6,15). </w:t>
        <w:br/>
        <w:br/>
        <w:t>[[@BibleTOBIBLE:So 1:1]]</w:t>
      </w:r>
      <w:r>
        <w:rPr>
          <w:b/>
        </w:rPr>
        <w:t>1</w:t>
      </w:r>
      <w:r>
        <w:rPr/>
        <w:t xml:space="preserve"> {{field-on:bible}} </w:t>
      </w:r>
      <w:r>
        <w:rPr>
          <w:rStyle w:val="Funotenanker"/>
        </w:rPr>
        <w:footnoteReference w:customMarkFollows="1" w:id="2290"/>
        <w:t>Status</w:t>
      </w:r>
      <w:r>
        <w:rPr/>
        <w:t xml:space="preserve"> '''Das Lied der Lieder,</w:t>
      </w:r>
      <w:r>
        <w:rPr>
          <w:rStyle w:val="Funotenanker"/>
        </w:rPr>
        <w:footnoteReference w:customMarkFollows="1" w:id="2291"/>
        <w:t>f</w:t>
      </w:r>
      <w:r>
        <w:rPr/>
        <w:t xml:space="preserve"> welche </w:t>
      </w:r>
      <w:r>
        <w:rPr>
          <w:b/>
          <w:color w:val="808080"/>
        </w:rPr>
        <w:t>[</w:t>
      </w:r>
      <w:r>
        <w:rPr/>
        <w:t>sind</w:t>
      </w:r>
      <w:r>
        <w:rPr>
          <w:b/>
          <w:color w:val="808080"/>
        </w:rPr>
        <w:t>]</w:t>
      </w:r>
      <w:r>
        <w:rPr/>
        <w:t xml:space="preserve"> </w:t>
      </w:r>
      <w:r>
        <w:rPr>
          <w:color w:val="808080"/>
        </w:rPr>
        <w:t xml:space="preserve">(welches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2292"/>
        <w:t>g</w:t>
      </w:r>
      <w:r>
        <w:rPr/>
        <w:t xml:space="preserve"> von </w:t>
      </w:r>
      <w:r>
        <w:rPr>
          <w:color w:val="808080"/>
        </w:rPr>
        <w:t>(für, über, nach Art von)</w:t>
      </w:r>
      <w:r>
        <w:rPr/>
        <w:t xml:space="preserve"> Salomon''' t </w:t>
        <w:br/>
        <w:t xml:space="preserve">{{field-off:bible}} </w:t>
        <w:br/>
        <w:t>[[@BibleTOBIBLE:So 1:2]]</w:t>
      </w:r>
      <w:r>
        <w:rPr>
          <w:b/>
        </w:rPr>
        <w:t>2</w:t>
      </w:r>
      <w:r>
        <w:rPr/>
        <w:t xml:space="preserve"> {{field-on:bible}} </w:t>
        <w:br/>
      </w:r>
      <w:r>
        <w:rPr>
          <w:b/>
          <w:color w:val="808080"/>
        </w:rPr>
        <w:t>[</w:t>
      </w:r>
      <w:r>
        <w:rPr/>
        <w:t>'''Frau''':</w:t>
      </w:r>
      <w:r>
        <w:rPr>
          <w:b/>
          <w:color w:val="808080"/>
        </w:rPr>
        <w:t>]</w:t>
      </w:r>
      <w:r>
        <w:rPr/>
        <w:t xml:space="preserve"> </w:t>
      </w:r>
      <w:r>
        <w:rPr>
          <w:rStyle w:val="Funotenanker"/>
        </w:rPr>
        <w:footnoteReference w:customMarkFollows="1" w:id="2293"/>
        <w:t>h</w:t>
      </w:r>
      <w:r>
        <w:rPr/>
        <w:t xml:space="preserve"> „Er küsse mich mit Küssen </w:t>
      </w:r>
      <w:r>
        <w:rPr>
          <w:color w:val="808080"/>
        </w:rPr>
        <w:t>(mit einigen von den Küssen)</w:t>
      </w:r>
      <w:r>
        <w:rPr/>
        <w:t xml:space="preserve"> seines Mundes!</w:t>
      </w:r>
      <w:r>
        <w:rPr>
          <w:rStyle w:val="Funotenanker"/>
        </w:rPr>
        <w:footnoteReference w:customMarkFollows="1" w:id="2294"/>
        <w:t>i</w:t>
      </w:r>
      <w:r>
        <w:rPr/>
        <w:t xml:space="preserve">Oh!, </w:t>
      </w:r>
      <w:r>
        <w:rPr>
          <w:color w:val="808080"/>
        </w:rPr>
        <w:t>(Denn)</w:t>
      </w:r>
      <w:r>
        <w:rPr/>
        <w:t xml:space="preserve"> deine</w:t>
      </w:r>
      <w:r>
        <w:rPr>
          <w:rStyle w:val="Funotenanker"/>
        </w:rPr>
        <w:footnoteReference w:customMarkFollows="1" w:id="2295"/>
        <w:t>j</w:t>
      </w:r>
      <w:r>
        <w:rPr/>
        <w:t xml:space="preserve"> Liebkosungen</w:t>
      </w:r>
      <w:r>
        <w:rPr>
          <w:rStyle w:val="Funotenanker"/>
        </w:rPr>
        <w:footnoteReference w:customMarkFollows="1" w:id="2296"/>
        <w:t>k</w:t>
      </w:r>
      <w:r>
        <w:rPr/>
        <w:t xml:space="preserve"> </w:t>
      </w:r>
      <w:r>
        <w:rPr>
          <w:b/>
          <w:color w:val="808080"/>
        </w:rPr>
        <w:t>[</w:t>
      </w:r>
      <w:r>
        <w:rPr/>
        <w:t>müssen</w:t>
      </w:r>
      <w:r>
        <w:rPr>
          <w:b/>
          <w:color w:val="808080"/>
        </w:rPr>
        <w:t>]</w:t>
      </w:r>
      <w:r>
        <w:rPr/>
        <w:t xml:space="preserve"> besser </w:t>
      </w:r>
      <w:r>
        <w:rPr>
          <w:b/>
          <w:color w:val="808080"/>
        </w:rPr>
        <w:t>[</w:t>
      </w:r>
      <w:r>
        <w:rPr/>
        <w:t>sein</w:t>
      </w:r>
      <w:r>
        <w:rPr>
          <w:b/>
          <w:color w:val="808080"/>
        </w:rPr>
        <w:t>]</w:t>
      </w:r>
      <w:r>
        <w:rPr/>
        <w:t xml:space="preserve"> </w:t>
      </w:r>
      <w:r>
        <w:rPr>
          <w:color w:val="808080"/>
        </w:rPr>
        <w:t>(</w:t>
      </w:r>
      <w:r>
        <w:rPr>
          <w:b/>
          <w:color w:val="808080"/>
        </w:rPr>
        <w:t>[</w:t>
      </w:r>
      <w:r>
        <w:rPr>
          <w:color w:val="808080"/>
        </w:rPr>
        <w:t>sind</w:t>
      </w:r>
      <w:r>
        <w:rPr>
          <w:b/>
          <w:color w:val="808080"/>
        </w:rPr>
        <w:t>]</w:t>
      </w:r>
      <w:r>
        <w:rPr>
          <w:color w:val="808080"/>
        </w:rPr>
        <w:t xml:space="preserve"> besser)</w:t>
      </w:r>
      <w:r>
        <w:rPr/>
        <w:t xml:space="preserve"> </w:t>
      </w:r>
      <w:r>
        <w:rPr>
          <w:rStyle w:val="Funotenanker"/>
        </w:rPr>
        <w:footnoteReference w:customMarkFollows="1" w:id="2297"/>
        <w:t>l</w:t>
      </w:r>
      <w:r>
        <w:rPr/>
        <w:t xml:space="preserve"> als Wein;</w:t>
      </w:r>
      <w:r>
        <w:rPr>
          <w:rStyle w:val="Funotenanker"/>
        </w:rPr>
        <w:footnoteReference w:customMarkFollows="1" w:id="2298"/>
        <w:t>m</w:t>
      </w:r>
      <w:r>
        <w:rPr/>
        <w:t xml:space="preserve"> </w:t>
        <w:br/>
        <w:t xml:space="preserve">{{field-off:bible}} </w:t>
        <w:br/>
        <w:t>[[@BibleTOBIBLE:So 1:3]]</w:t>
      </w:r>
      <w:r>
        <w:rPr>
          <w:b/>
        </w:rPr>
        <w:t>3</w:t>
      </w:r>
      <w:r>
        <w:rPr/>
        <w:t xml:space="preserve"> {{field-on:bible}} </w:t>
        <w:br/>
        <w:t xml:space="preserve">Als der Geruch </w:t>
      </w:r>
      <w:r>
        <w:rPr>
          <w:b/>
          <w:color w:val="808080"/>
        </w:rPr>
        <w:t>[</w:t>
      </w:r>
      <w:r>
        <w:rPr/>
        <w:t>deiner</w:t>
      </w:r>
      <w:r>
        <w:rPr>
          <w:b/>
          <w:color w:val="808080"/>
        </w:rPr>
        <w:t>]</w:t>
      </w:r>
      <w:r>
        <w:rPr/>
        <w:t xml:space="preserve"> Öle</w:t>
      </w:r>
      <w:r>
        <w:rPr>
          <w:rStyle w:val="Funotenanker"/>
        </w:rPr>
        <w:footnoteReference w:customMarkFollows="1" w:id="2299"/>
        <w:t>n</w:t>
      </w:r>
      <w:r>
        <w:rPr/>
        <w:t xml:space="preserve"> </w:t>
      </w:r>
      <w:r>
        <w:rPr>
          <w:color w:val="808080"/>
        </w:rPr>
        <w:t>(deiner Öle)</w:t>
      </w:r>
      <w:r>
        <w:rPr/>
        <w:t xml:space="preserve"> </w:t>
      </w:r>
      <w:r>
        <w:rPr>
          <w:rStyle w:val="Funotenanker"/>
        </w:rPr>
        <w:footnoteReference w:customMarkFollows="1" w:id="2300"/>
        <w:t>o</w:t>
      </w:r>
      <w:r>
        <w:rPr/>
        <w:t xml:space="preserve"> </w:t>
      </w:r>
      <w:r>
        <w:rPr>
          <w:b/>
          <w:color w:val="808080"/>
        </w:rPr>
        <w:t>[</w:t>
      </w:r>
      <w:r>
        <w:rPr/>
        <w:t>müssen sie</w:t>
      </w:r>
      <w:r>
        <w:rPr>
          <w:b/>
          <w:color w:val="808080"/>
        </w:rPr>
        <w:t>]</w:t>
      </w:r>
      <w:r>
        <w:rPr/>
        <w:t xml:space="preserve"> besser </w:t>
      </w:r>
      <w:r>
        <w:rPr>
          <w:b/>
          <w:color w:val="808080"/>
        </w:rPr>
        <w:t>[</w:t>
      </w:r>
      <w:r>
        <w:rPr/>
        <w:t>sein</w:t>
      </w:r>
      <w:r>
        <w:rPr>
          <w:b/>
          <w:color w:val="808080"/>
        </w:rPr>
        <w:t>]</w:t>
      </w:r>
      <w:r>
        <w:rPr/>
        <w:t xml:space="preserve"> </w:t>
      </w:r>
      <w:r>
        <w:rPr>
          <w:color w:val="808080"/>
        </w:rPr>
        <w:t xml:space="preserve">(An Geruch/zum Riechen [sind] </w:t>
      </w:r>
      <w:r>
        <w:rPr>
          <w:b/>
          <w:color w:val="808080"/>
        </w:rPr>
        <w:t>[</w:t>
      </w:r>
      <w:r>
        <w:rPr>
          <w:color w:val="808080"/>
        </w:rPr>
        <w:t>deine</w:t>
      </w:r>
      <w:r>
        <w:rPr>
          <w:b/>
          <w:color w:val="808080"/>
        </w:rPr>
        <w:t>]</w:t>
      </w:r>
      <w:r>
        <w:rPr>
          <w:color w:val="808080"/>
        </w:rPr>
        <w:t xml:space="preserve"> Öle gut)</w:t>
      </w:r>
      <w:r>
        <w:rPr/>
        <w:t xml:space="preserve">:Öl, </w:t>
      </w:r>
      <w:r>
        <w:rPr>
          <w:b/>
          <w:color w:val="808080"/>
        </w:rPr>
        <w:t>[</w:t>
      </w:r>
      <w:r>
        <w:rPr/>
        <w:t>das</w:t>
      </w:r>
      <w:r>
        <w:rPr>
          <w:b/>
          <w:color w:val="808080"/>
        </w:rPr>
        <w:t>]</w:t>
      </w:r>
      <w:r>
        <w:rPr/>
        <w:t xml:space="preserve"> ausgegossen wird, ist dein Name </w:t>
      </w:r>
      <w:r>
        <w:rPr>
          <w:color w:val="808080"/>
        </w:rPr>
        <w:t>(bist du selbst)</w:t>
      </w:r>
      <w:r>
        <w:rPr/>
        <w:t>!</w:t>
      </w:r>
      <w:r>
        <w:rPr>
          <w:rStyle w:val="Funotenanker"/>
        </w:rPr>
        <w:footnoteReference w:customMarkFollows="1" w:id="2301"/>
        <w:t>p</w:t>
      </w:r>
      <w:r>
        <w:rPr/>
        <w:t xml:space="preserve"> </w:t>
        <w:br/>
        <w:t>Darum lieben dich die jungen Frauen.</w:t>
        <w:br/>
        <w:br/>
        <w:t xml:space="preserve">{{field-off:bible}} </w:t>
        <w:br/>
        <w:t>[[@BibleTOBIBLE:So 1:4]]</w:t>
      </w:r>
      <w:r>
        <w:rPr>
          <w:b/>
        </w:rPr>
        <w:t>4</w:t>
      </w:r>
      <w:r>
        <w:rPr/>
        <w:t xml:space="preserve"> {{field-on:bible}} </w:t>
        <w:br/>
        <w:t>Zieh mich! Hinter dir</w:t>
      </w:r>
      <w:r>
        <w:rPr>
          <w:rStyle w:val="Funotenanker"/>
        </w:rPr>
        <w:footnoteReference w:customMarkFollows="1" w:id="2302"/>
        <w:t>q</w:t>
      </w:r>
      <w:r>
        <w:rPr/>
        <w:t xml:space="preserve"> wollen wir </w:t>
      </w:r>
      <w:r>
        <w:rPr>
          <w:b/>
          <w:color w:val="808080"/>
        </w:rPr>
        <w:t>[</w:t>
      </w:r>
      <w:r>
        <w:rPr/>
        <w:t>ja alle</w:t>
      </w:r>
      <w:r>
        <w:rPr>
          <w:b/>
          <w:color w:val="808080"/>
        </w:rPr>
        <w:t>]</w:t>
      </w:r>
      <w:r>
        <w:rPr/>
        <w:t xml:space="preserve"> herrennen!Der König</w:t>
      </w:r>
      <w:r>
        <w:rPr>
          <w:rStyle w:val="Funotenanker"/>
        </w:rPr>
        <w:footnoteReference w:customMarkFollows="1" w:id="2303"/>
        <w:t>r</w:t>
      </w:r>
      <w:r>
        <w:rPr/>
        <w:t xml:space="preserve"> bringt mich in seine Zimmer!</w:t>
        <w:br/>
        <w:t xml:space="preserve">Wir wollen </w:t>
      </w:r>
      <w:r>
        <w:rPr>
          <w:b/>
          <w:color w:val="808080"/>
        </w:rPr>
        <w:t>[</w:t>
      </w:r>
      <w:r>
        <w:rPr/>
        <w:t>ja alle</w:t>
      </w:r>
      <w:r>
        <w:rPr>
          <w:b/>
          <w:color w:val="808080"/>
        </w:rPr>
        <w:t>]</w:t>
      </w:r>
      <w:r>
        <w:rPr/>
        <w:t xml:space="preserve"> jubeln und uns freuen über dich,Wir wollen deine Liebkosung mehr als Wein preisen.</w:t>
        <w:br/>
        <w:t xml:space="preserve">Die Gerechten </w:t>
      </w:r>
      <w:r>
        <w:rPr>
          <w:color w:val="808080"/>
        </w:rPr>
        <w:t>(mit Recht?)</w:t>
      </w:r>
      <w:r>
        <w:rPr/>
        <w:t xml:space="preserve"> </w:t>
      </w:r>
      <w:r>
        <w:rPr>
          <w:rStyle w:val="Funotenanker"/>
        </w:rPr>
        <w:footnoteReference w:customMarkFollows="1" w:id="2304"/>
        <w:t>s</w:t>
      </w:r>
      <w:r>
        <w:rPr/>
        <w:t xml:space="preserve"> lieben dich.“</w:t>
        <w:br/>
        <w:t>★</w:t>
      </w:r>
      <w:r>
        <w:rPr>
          <w:rStyle w:val="Funotenanker"/>
        </w:rPr>
        <w:footnoteReference w:customMarkFollows="1" w:id="2305"/>
        <w:t>t</w:t>
      </w:r>
      <w:r>
        <w:rPr/>
        <w:t xml:space="preserve"> </w:t>
        <w:br/>
        <w:t xml:space="preserve">{{field-off:bible}} </w:t>
        <w:br/>
        <w:t>[[@BibleTOBIBLE:So 1:5]]</w:t>
      </w:r>
      <w:r>
        <w:rPr>
          <w:b/>
        </w:rPr>
        <w:t>5</w:t>
      </w:r>
      <w:r>
        <w:rPr/>
        <w:t xml:space="preserve"> {{field-on:bible}} </w:t>
        <w:br/>
      </w:r>
      <w:r>
        <w:rPr>
          <w:b/>
          <w:color w:val="808080"/>
        </w:rPr>
        <w:t>[</w:t>
      </w:r>
      <w:r>
        <w:rPr/>
        <w:t>'''Frau''':</w:t>
      </w:r>
      <w:r>
        <w:rPr>
          <w:b/>
          <w:color w:val="808080"/>
        </w:rPr>
        <w:t>]</w:t>
      </w:r>
      <w:r>
        <w:rPr/>
        <w:t xml:space="preserve"> „Schwarz </w:t>
      </w:r>
      <w:r>
        <w:rPr>
          <w:b/>
          <w:color w:val="808080"/>
        </w:rPr>
        <w:t>[</w:t>
      </w:r>
      <w:r>
        <w:rPr/>
        <w:t>bin</w:t>
      </w:r>
      <w:r>
        <w:rPr>
          <w:b/>
          <w:color w:val="808080"/>
        </w:rPr>
        <w:t>]</w:t>
      </w:r>
      <w:r>
        <w:rPr/>
        <w:t xml:space="preserve"> ich, aber </w:t>
      </w:r>
      <w:r>
        <w:rPr>
          <w:b/>
          <w:color w:val="808080"/>
        </w:rPr>
        <w:t>[</w:t>
      </w:r>
      <w:r>
        <w:rPr/>
        <w:t>trotzdem</w:t>
      </w:r>
      <w:r>
        <w:rPr>
          <w:b/>
          <w:color w:val="808080"/>
        </w:rPr>
        <w:t>]</w:t>
      </w:r>
      <w:r>
        <w:rPr/>
        <w:t xml:space="preserve"> </w:t>
      </w:r>
      <w:r>
        <w:rPr>
          <w:color w:val="808080"/>
        </w:rPr>
        <w:t>(und)</w:t>
      </w:r>
      <w:r>
        <w:rPr/>
        <w:t xml:space="preserve"> schön, </w:t>
      </w:r>
      <w:r>
        <w:rPr>
          <w:b/>
          <w:color w:val="808080"/>
        </w:rPr>
        <w:t>[</w:t>
      </w:r>
      <w:r>
        <w:rPr/>
        <w:t>oh</w:t>
      </w:r>
      <w:r>
        <w:rPr>
          <w:b/>
          <w:color w:val="808080"/>
        </w:rPr>
        <w:t>]</w:t>
      </w:r>
      <w:r>
        <w:rPr/>
        <w:t xml:space="preserve"> Töchter Jerusalems!</w:t>
      </w:r>
      <w:r>
        <w:rPr>
          <w:rStyle w:val="Funotenanker"/>
        </w:rPr>
        <w:footnoteReference w:customMarkFollows="1" w:id="2306"/>
        <w:t>u</w:t>
      </w:r>
      <w:r>
        <w:rPr/>
        <w:t>Wie die Zelte Kedars,</w:t>
      </w:r>
      <w:r>
        <w:rPr>
          <w:rStyle w:val="Funotenanker"/>
        </w:rPr>
        <w:footnoteReference w:customMarkFollows="1" w:id="2307"/>
        <w:t>v</w:t>
      </w:r>
      <w:r>
        <w:rPr/>
        <w:t xml:space="preserve"> wie die Zelte</w:t>
      </w:r>
      <w:r>
        <w:rPr>
          <w:rStyle w:val="Funotenanker"/>
        </w:rPr>
        <w:footnoteReference w:customMarkFollows="1" w:id="2308"/>
        <w:t>w</w:t>
      </w:r>
      <w:r>
        <w:rPr/>
        <w:t xml:space="preserve"> Salomos!</w:t>
      </w:r>
      <w:r>
        <w:rPr>
          <w:rStyle w:val="Funotenanker"/>
        </w:rPr>
        <w:footnoteReference w:customMarkFollows="1" w:id="2309"/>
        <w:t>x</w:t>
      </w:r>
      <w:r>
        <w:rPr/>
        <w:t xml:space="preserve"> </w:t>
        <w:br/>
        <w:t xml:space="preserve">{{field-off:bible}} </w:t>
        <w:br/>
        <w:t>[[@BibleTOBIBLE:So 1:6]]</w:t>
      </w:r>
      <w:r>
        <w:rPr>
          <w:b/>
        </w:rPr>
        <w:t>6</w:t>
      </w:r>
      <w:r>
        <w:rPr/>
        <w:t xml:space="preserve"> {{field-on:bible}} </w:t>
        <w:br/>
        <w:t xml:space="preserve">Seht nicht auf mich herab, </w:t>
      </w:r>
      <w:r>
        <w:rPr>
          <w:color w:val="808080"/>
        </w:rPr>
        <w:t>(Wollt ihr mich nicht ansehen...!?</w:t>
      </w:r>
      <w:r>
        <w:rPr/>
        <w:t xml:space="preserve"> </w:t>
      </w:r>
      <w:r>
        <w:rPr>
          <w:rStyle w:val="Funotenanker"/>
        </w:rPr>
        <w:footnoteReference w:customMarkFollows="1" w:id="2310"/>
        <w:t>y</w:t>
      </w:r>
      <w:r>
        <w:rPr/>
        <w:t xml:space="preserve"> </w:t>
      </w:r>
      <w:r>
        <w:rPr>
          <w:color w:val="808080"/>
        </w:rPr>
        <w:t>)</w:t>
      </w:r>
      <w:r>
        <w:rPr/>
        <w:t xml:space="preserve"> weil ich so schwarz</w:t>
      </w:r>
      <w:r>
        <w:rPr>
          <w:rStyle w:val="Funotenanker"/>
        </w:rPr>
        <w:footnoteReference w:customMarkFollows="1" w:id="2311"/>
        <w:t>z</w:t>
      </w:r>
      <w:r>
        <w:rPr/>
        <w:t xml:space="preserve"> </w:t>
      </w:r>
      <w:r>
        <w:rPr>
          <w:b/>
          <w:color w:val="808080"/>
        </w:rPr>
        <w:t>[</w:t>
      </w:r>
      <w:r>
        <w:rPr/>
        <w:t>bin</w:t>
      </w:r>
      <w:r>
        <w:rPr>
          <w:b/>
          <w:color w:val="808080"/>
        </w:rPr>
        <w:t>]</w:t>
      </w:r>
      <w:r>
        <w:rPr/>
        <w:t>,Weil die Sonne auf mich geblickt hat!</w:t>
        <w:br/>
        <w:t>Die Söhne meiner Mutter</w:t>
      </w:r>
      <w:r>
        <w:rPr>
          <w:rStyle w:val="Funotenanker"/>
        </w:rPr>
        <w:footnoteReference w:customMarkFollows="1" w:id="2312"/>
        <w:t>aa</w:t>
      </w:r>
      <w:r>
        <w:rPr/>
        <w:t xml:space="preserve"> waren gegen mich entbrannt;</w:t>
      </w:r>
      <w:r>
        <w:rPr>
          <w:rStyle w:val="Funotenanker"/>
        </w:rPr>
        <w:footnoteReference w:customMarkFollows="1" w:id="2313"/>
        <w:t>ab</w:t>
      </w:r>
      <w:r>
        <w:rPr/>
        <w:t xml:space="preserve">Sie haben mich zur Hüterin der Weinberge gemacht -Meinen Weinberg, der mein </w:t>
      </w:r>
      <w:r>
        <w:rPr>
          <w:b/>
          <w:color w:val="808080"/>
        </w:rPr>
        <w:t>[</w:t>
      </w:r>
      <w:r>
        <w:rPr/>
        <w:t>ist</w:t>
      </w:r>
      <w:r>
        <w:rPr>
          <w:b/>
          <w:color w:val="808080"/>
        </w:rPr>
        <w:t>]</w:t>
      </w:r>
      <w:r>
        <w:rPr/>
        <w:t>, habe ich nicht gehütet.“</w:t>
        <w:br/>
        <w:t xml:space="preserve">★ </w:t>
        <w:br/>
        <w:t xml:space="preserve">{{field-off:bible}} </w:t>
        <w:br/>
        <w:t>[[@BibleTOBIBLE:So 1:7]]</w:t>
      </w:r>
      <w:r>
        <w:rPr>
          <w:b/>
        </w:rPr>
        <w:t>7</w:t>
      </w:r>
      <w:r>
        <w:rPr/>
        <w:t xml:space="preserve"> {{field-on:bible}} </w:t>
        <w:br/>
      </w:r>
      <w:r>
        <w:rPr>
          <w:b/>
          <w:color w:val="808080"/>
        </w:rPr>
        <w:t>[</w:t>
      </w:r>
      <w:r>
        <w:rPr/>
        <w:t>'''Frau''':</w:t>
      </w:r>
      <w:r>
        <w:rPr>
          <w:b/>
          <w:color w:val="808080"/>
        </w:rPr>
        <w:t>]</w:t>
      </w:r>
      <w:r>
        <w:rPr/>
        <w:t xml:space="preserve"> „Sag mir, </w:t>
      </w:r>
      <w:r>
        <w:rPr>
          <w:b/>
          <w:color w:val="808080"/>
        </w:rPr>
        <w:t>[</w:t>
      </w:r>
      <w:r>
        <w:rPr/>
        <w:t>du,</w:t>
      </w:r>
      <w:r>
        <w:rPr>
          <w:b/>
          <w:color w:val="808080"/>
        </w:rPr>
        <w:t>]</w:t>
      </w:r>
      <w:r>
        <w:rPr/>
        <w:t xml:space="preserve"> den meine Seele liebt,</w:t>
      </w:r>
      <w:r>
        <w:rPr>
          <w:rStyle w:val="Funotenanker"/>
        </w:rPr>
        <w:footnoteReference w:customMarkFollows="1" w:id="2314"/>
        <w:t>ac</w:t>
      </w:r>
      <w:r>
        <w:rPr/>
        <w:t>Wo du weiden wirst, Wo du lagern lassen wirst am Mittag,</w:t>
        <w:br/>
        <w:t xml:space="preserve">Damit ich nicht sein muss </w:t>
      </w:r>
      <w:r>
        <w:rPr>
          <w:color w:val="808080"/>
        </w:rPr>
        <w:t>(werde)</w:t>
      </w:r>
      <w:r>
        <w:rPr/>
        <w:t xml:space="preserve"> als Verschleierte </w:t>
      </w:r>
      <w:r>
        <w:rPr>
          <w:color w:val="808080"/>
        </w:rPr>
        <w:t>(wie eine Wandernde)</w:t>
      </w:r>
      <w:r>
        <w:rPr/>
        <w:t xml:space="preserve"> </w:t>
      </w:r>
      <w:r>
        <w:rPr>
          <w:rStyle w:val="Funotenanker"/>
        </w:rPr>
        <w:footnoteReference w:customMarkFollows="1" w:id="2315"/>
        <w:t>ad</w:t>
      </w:r>
      <w:r>
        <w:rPr/>
        <w:t xml:space="preserve"> Bei </w:t>
      </w:r>
      <w:r>
        <w:rPr>
          <w:b/>
          <w:color w:val="808080"/>
        </w:rPr>
        <w:t>[</w:t>
      </w:r>
      <w:r>
        <w:rPr/>
        <w:t>den</w:t>
      </w:r>
      <w:r>
        <w:rPr>
          <w:b/>
          <w:color w:val="808080"/>
        </w:rPr>
        <w:t>]</w:t>
      </w:r>
      <w:r>
        <w:rPr/>
        <w:t xml:space="preserve"> Herden deiner Gefährten!“</w:t>
        <w:br/>
        <w:br/>
        <w:t xml:space="preserve">{{field-off:bible}} </w:t>
        <w:br/>
        <w:t>[[@BibleTOBIBLE:So 1:8]]</w:t>
      </w:r>
      <w:r>
        <w:rPr>
          <w:b/>
        </w:rPr>
        <w:t>8</w:t>
      </w:r>
      <w:r>
        <w:rPr/>
        <w:t xml:space="preserve"> {{field-on:bible}} </w:t>
        <w:br/>
      </w:r>
      <w:r>
        <w:rPr>
          <w:b/>
          <w:color w:val="808080"/>
        </w:rPr>
        <w:t>[</w:t>
      </w:r>
      <w:r>
        <w:rPr/>
        <w:t xml:space="preserve">'''Mann </w:t>
      </w:r>
      <w:r>
        <w:rPr>
          <w:color w:val="808080"/>
        </w:rPr>
        <w:t>(Töchter Jerusalems)</w:t>
      </w:r>
      <w:r>
        <w:rPr/>
        <w:t>''':</w:t>
      </w:r>
      <w:r>
        <w:rPr>
          <w:b/>
          <w:color w:val="808080"/>
        </w:rPr>
        <w:t>]</w:t>
      </w:r>
      <w:r>
        <w:rPr/>
        <w:t xml:space="preserve"> </w:t>
      </w:r>
      <w:r>
        <w:rPr>
          <w:rStyle w:val="Funotenanker"/>
        </w:rPr>
        <w:footnoteReference w:customMarkFollows="1" w:id="2316"/>
        <w:t>ae</w:t>
      </w:r>
      <w:r>
        <w:rPr/>
        <w:t xml:space="preserve"> „Wenn du es </w:t>
      </w:r>
      <w:r>
        <w:rPr>
          <w:strike/>
          <w:color w:val="808080"/>
        </w:rPr>
        <w:t>{dir}</w:t>
      </w:r>
      <w:r>
        <w:rPr/>
        <w:t xml:space="preserve"> nicht wissen wirst, Schönste unter den Frauen,</w:t>
        <w:br/>
        <w:t xml:space="preserve">Folge </w:t>
      </w:r>
      <w:r>
        <w:rPr>
          <w:strike/>
          <w:color w:val="808080"/>
        </w:rPr>
        <w:t>{dir}</w:t>
      </w:r>
      <w:r>
        <w:rPr/>
        <w:t xml:space="preserve"> den Spuren der SchafeUnd weide deine Zicklein </w:t>
      </w:r>
      <w:r>
        <w:rPr>
          <w:color w:val="808080"/>
        </w:rPr>
        <w:t>(Brüste?</w:t>
      </w:r>
      <w:r>
        <w:rPr/>
        <w:t xml:space="preserve"> </w:t>
      </w:r>
      <w:r>
        <w:rPr>
          <w:rStyle w:val="Funotenanker"/>
        </w:rPr>
        <w:footnoteReference w:customMarkFollows="1" w:id="2317"/>
        <w:t>af</w:t>
      </w:r>
      <w:r>
        <w:rPr/>
        <w:t xml:space="preserve"> </w:t>
      </w:r>
      <w:r>
        <w:rPr>
          <w:color w:val="808080"/>
        </w:rPr>
        <w:t>)</w:t>
      </w:r>
      <w:r>
        <w:rPr/>
        <w:t>Bei den Zelten der Hirten!“</w:t>
        <w:br/>
        <w:t xml:space="preserve">★ </w:t>
        <w:br/>
        <w:t xml:space="preserve">{{field-off:bible}} </w:t>
        <w:br/>
        <w:t>[[@BibleTOBIBLE:So 1:9]]</w:t>
      </w:r>
      <w:r>
        <w:rPr>
          <w:b/>
        </w:rPr>
        <w:t>9</w:t>
      </w:r>
      <w:r>
        <w:rPr/>
        <w:t xml:space="preserve"> {{field-on:bible}} </w:t>
        <w:br/>
      </w:r>
      <w:r>
        <w:rPr>
          <w:b/>
          <w:color w:val="808080"/>
        </w:rPr>
        <w:t>[</w:t>
      </w:r>
      <w:r>
        <w:rPr/>
        <w:t>'''Mann''':</w:t>
      </w:r>
      <w:r>
        <w:rPr>
          <w:b/>
          <w:color w:val="808080"/>
        </w:rPr>
        <w:t>]</w:t>
      </w:r>
      <w:r>
        <w:rPr/>
        <w:t xml:space="preserve"> „Pferden </w:t>
      </w:r>
      <w:r>
        <w:rPr>
          <w:color w:val="808080"/>
        </w:rPr>
        <w:t>(meinen Pferden, einer Stute, meiner Stute)</w:t>
      </w:r>
      <w:r>
        <w:rPr/>
        <w:t xml:space="preserve"> </w:t>
      </w:r>
      <w:r>
        <w:rPr>
          <w:rStyle w:val="Funotenanker"/>
        </w:rPr>
        <w:footnoteReference w:customMarkFollows="1" w:id="2318"/>
        <w:t>ag</w:t>
      </w:r>
      <w:r>
        <w:rPr/>
        <w:t xml:space="preserve"> vor den Wagen des PharaoVergleiche ich dich </w:t>
      </w:r>
      <w:r>
        <w:rPr>
          <w:color w:val="808080"/>
        </w:rPr>
        <w:t>(mache ich dich gleich)</w:t>
      </w:r>
      <w:r>
        <w:rPr/>
        <w:t>, meine Freundin!</w:t>
      </w:r>
      <w:r>
        <w:rPr>
          <w:rStyle w:val="Funotenanker"/>
        </w:rPr>
        <w:footnoteReference w:customMarkFollows="1" w:id="2319"/>
        <w:t>ah</w:t>
      </w:r>
      <w:r>
        <w:rPr/>
        <w:t xml:space="preserve"> </w:t>
        <w:br/>
        <w:t xml:space="preserve">{{field-off:bible}} </w:t>
        <w:br/>
        <w:t>[[@BibleTOBIBLE:So 1:10]]</w:t>
      </w:r>
      <w:r>
        <w:rPr>
          <w:b/>
        </w:rPr>
        <w:t>10</w:t>
      </w:r>
      <w:r>
        <w:rPr/>
        <w:t xml:space="preserve"> {{field-on:bible}} </w:t>
        <w:br/>
        <w:t xml:space="preserve">Lieblich sind </w:t>
      </w:r>
      <w:r>
        <w:rPr>
          <w:color w:val="808080"/>
        </w:rPr>
        <w:t>(wären)</w:t>
      </w:r>
      <w:r>
        <w:rPr/>
        <w:t xml:space="preserve"> deine Wangen </w:t>
      </w:r>
      <w:r>
        <w:rPr>
          <w:color w:val="808080"/>
        </w:rPr>
        <w:t>(Backen)</w:t>
      </w:r>
      <w:r>
        <w:rPr/>
        <w:t xml:space="preserve"> zwischen den Ketten </w:t>
      </w:r>
      <w:r>
        <w:rPr>
          <w:color w:val="808080"/>
        </w:rPr>
        <w:t>(in Zaumzeug)</w:t>
      </w:r>
      <w:r>
        <w:rPr/>
        <w:t>,</w:t>
      </w:r>
      <w:r>
        <w:rPr>
          <w:rStyle w:val="Funotenanker"/>
        </w:rPr>
        <w:footnoteReference w:customMarkFollows="1" w:id="2320"/>
        <w:t>ai</w:t>
      </w:r>
      <w:r>
        <w:rPr/>
        <w:t xml:space="preserve">Dein Hals zwischen den Perlen </w:t>
      </w:r>
      <w:r>
        <w:rPr>
          <w:color w:val="808080"/>
        </w:rPr>
        <w:t>(?)</w:t>
      </w:r>
      <w:r>
        <w:rPr/>
        <w:t>.</w:t>
      </w:r>
      <w:r>
        <w:rPr>
          <w:rStyle w:val="Funotenanker"/>
        </w:rPr>
        <w:footnoteReference w:customMarkFollows="1" w:id="2321"/>
        <w:t>aj</w:t>
      </w:r>
      <w:r>
        <w:rPr/>
        <w:t xml:space="preserve"> </w:t>
        <w:br/>
        <w:t xml:space="preserve">{{field-off:bible}} </w:t>
        <w:br/>
        <w:t>[[@BibleTOBIBLE:So 1:11]]</w:t>
      </w:r>
      <w:r>
        <w:rPr>
          <w:b/>
        </w:rPr>
        <w:t>11</w:t>
      </w:r>
      <w:r>
        <w:rPr/>
        <w:t xml:space="preserve"> {{field-on:bible}} </w:t>
        <w:br/>
        <w:t xml:space="preserve">Goldene Ketten </w:t>
      </w:r>
      <w:r>
        <w:rPr>
          <w:color w:val="808080"/>
        </w:rPr>
        <w:t>(Goldenes Zaumzeug)</w:t>
      </w:r>
      <w:r>
        <w:rPr/>
        <w:t xml:space="preserve"> will ich </w:t>
      </w:r>
      <w:r>
        <w:rPr>
          <w:color w:val="808080"/>
        </w:rPr>
        <w:t>(wollen wir)</w:t>
      </w:r>
      <w:r>
        <w:rPr/>
        <w:t xml:space="preserve"> </w:t>
      </w:r>
      <w:r>
        <w:rPr>
          <w:rStyle w:val="Funotenanker"/>
        </w:rPr>
        <w:footnoteReference w:customMarkFollows="1" w:id="2322"/>
        <w:t>ak</w:t>
      </w:r>
      <w:r>
        <w:rPr/>
        <w:t xml:space="preserve"> dir machen </w:t>
      </w:r>
      <w:r>
        <w:rPr>
          <w:b/>
          <w:color w:val="808080"/>
        </w:rPr>
        <w:t>[</w:t>
      </w:r>
      <w:r>
        <w:rPr/>
        <w:t>lassen</w:t>
      </w:r>
      <w:r>
        <w:rPr>
          <w:b/>
          <w:color w:val="808080"/>
        </w:rPr>
        <w:t>]</w:t>
      </w:r>
      <w:r>
        <w:rPr/>
        <w:t>,Mit Punkten aus Silber!“</w:t>
      </w:r>
      <w:r>
        <w:rPr>
          <w:rStyle w:val="Funotenanker"/>
        </w:rPr>
        <w:footnoteReference w:customMarkFollows="1" w:id="2323"/>
        <w:t>al</w:t>
      </w:r>
      <w:r>
        <w:rPr/>
        <w:t xml:space="preserve"> </w:t>
        <w:br/>
        <w:t xml:space="preserve">★ </w:t>
        <w:br/>
        <w:t xml:space="preserve">{{field-off:bible}} </w:t>
        <w:br/>
        <w:t>[[@BibleTOBIBLE:So 1:12]]</w:t>
      </w:r>
      <w:r>
        <w:rPr>
          <w:b/>
        </w:rPr>
        <w:t>12</w:t>
      </w:r>
      <w:r>
        <w:rPr/>
        <w:t xml:space="preserve"> {{field-on:bible}} </w:t>
        <w:br/>
      </w:r>
      <w:r>
        <w:rPr>
          <w:b/>
          <w:color w:val="808080"/>
        </w:rPr>
        <w:t>[</w:t>
      </w:r>
      <w:r>
        <w:rPr/>
        <w:t>'''Frau''':</w:t>
      </w:r>
      <w:r>
        <w:rPr>
          <w:b/>
          <w:color w:val="808080"/>
        </w:rPr>
        <w:t>]</w:t>
      </w:r>
      <w:r>
        <w:rPr/>
        <w:t xml:space="preserve"> „Solange </w:t>
      </w:r>
      <w:r>
        <w:rPr>
          <w:color w:val="808080"/>
        </w:rPr>
        <w:t xml:space="preserve">(bis </w:t>
      </w:r>
      <w:r>
        <w:rPr>
          <w:b/>
          <w:color w:val="808080"/>
        </w:rPr>
        <w:t>[</w:t>
      </w:r>
      <w:r>
        <w:rPr>
          <w:color w:val="808080"/>
        </w:rPr>
        <w:t>dorthin</w:t>
      </w:r>
      <w:r>
        <w:rPr>
          <w:b/>
          <w:color w:val="808080"/>
        </w:rPr>
        <w:t>]</w:t>
      </w:r>
      <w:r>
        <w:rPr>
          <w:color w:val="808080"/>
        </w:rPr>
        <w:t>, wo)</w:t>
      </w:r>
      <w:r>
        <w:rPr/>
        <w:t xml:space="preserve"> der König auf seiner Couch</w:t>
      </w:r>
      <w:r>
        <w:rPr>
          <w:rStyle w:val="Funotenanker"/>
        </w:rPr>
        <w:footnoteReference w:customMarkFollows="1" w:id="2324"/>
        <w:t>am</w:t>
      </w:r>
      <w:r>
        <w:rPr/>
        <w:t xml:space="preserve"> </w:t>
      </w:r>
      <w:r>
        <w:rPr>
          <w:b/>
          <w:color w:val="808080"/>
        </w:rPr>
        <w:t>[</w:t>
      </w:r>
      <w:r>
        <w:rPr/>
        <w:t>ist</w:t>
      </w:r>
      <w:r>
        <w:rPr>
          <w:b/>
          <w:color w:val="808080"/>
        </w:rPr>
        <w:t>]</w:t>
      </w:r>
      <w:r>
        <w:rPr/>
        <w:t>,Gibt meine Narde</w:t>
      </w:r>
      <w:r>
        <w:rPr>
          <w:rStyle w:val="Funotenanker"/>
        </w:rPr>
        <w:footnoteReference w:customMarkFollows="1" w:id="2325"/>
        <w:t>an</w:t>
      </w:r>
      <w:r>
        <w:rPr/>
        <w:t xml:space="preserve"> ihren Duft.</w:t>
        <w:br/>
        <w:t xml:space="preserve">{{field-off:bible}} </w:t>
        <w:br/>
        <w:t>[[@BibleTOBIBLE:So 1:13]]</w:t>
      </w:r>
      <w:r>
        <w:rPr>
          <w:b/>
        </w:rPr>
        <w:t>13</w:t>
      </w:r>
      <w:r>
        <w:rPr/>
        <w:t xml:space="preserve"> {{field-on:bible}} </w:t>
        <w:br/>
        <w:t>Ein Myrrhensäckchen</w:t>
      </w:r>
      <w:r>
        <w:rPr>
          <w:rStyle w:val="Funotenanker"/>
        </w:rPr>
        <w:footnoteReference w:customMarkFollows="1" w:id="2326"/>
        <w:t>ao</w:t>
      </w:r>
      <w:r>
        <w:rPr/>
        <w:t xml:space="preserve"> </w:t>
      </w:r>
      <w:r>
        <w:rPr>
          <w:b/>
          <w:color w:val="808080"/>
        </w:rPr>
        <w:t>[</w:t>
      </w:r>
      <w:r>
        <w:rPr/>
        <w:t>ist</w:t>
      </w:r>
      <w:r>
        <w:rPr>
          <w:b/>
          <w:color w:val="808080"/>
        </w:rPr>
        <w:t>]</w:t>
      </w:r>
      <w:r>
        <w:rPr/>
        <w:t xml:space="preserve"> mir mein Geliebter,Ruhend</w:t>
      </w:r>
      <w:r>
        <w:rPr>
          <w:rStyle w:val="Funotenanker"/>
        </w:rPr>
        <w:footnoteReference w:customMarkFollows="1" w:id="2327"/>
        <w:t>ap</w:t>
      </w:r>
      <w:r>
        <w:rPr/>
        <w:t xml:space="preserve"> zwischen meinen Brüsten.</w:t>
        <w:br/>
        <w:t xml:space="preserve">{{field-off:bible}} </w:t>
        <w:br/>
        <w:t>[[@BibleTOBIBLE:So 1:14]]</w:t>
      </w:r>
      <w:r>
        <w:rPr>
          <w:b/>
        </w:rPr>
        <w:t>14</w:t>
      </w:r>
      <w:r>
        <w:rPr/>
        <w:t xml:space="preserve"> {{field-on:bible}} </w:t>
        <w:br/>
        <w:t xml:space="preserve">Eine Hennadolde </w:t>
      </w:r>
      <w:r>
        <w:rPr>
          <w:b/>
          <w:color w:val="808080"/>
        </w:rPr>
        <w:t>[</w:t>
      </w:r>
      <w:r>
        <w:rPr/>
        <w:t>ist</w:t>
      </w:r>
      <w:r>
        <w:rPr>
          <w:b/>
          <w:color w:val="808080"/>
        </w:rPr>
        <w:t>]</w:t>
      </w:r>
      <w:r>
        <w:rPr/>
        <w:t xml:space="preserve"> mir mein GeliebterAus den Weinbergen von En-Gedi.“</w:t>
      </w:r>
      <w:r>
        <w:rPr>
          <w:rStyle w:val="Funotenanker"/>
        </w:rPr>
        <w:footnoteReference w:customMarkFollows="1" w:id="2328"/>
        <w:t>aq</w:t>
      </w:r>
      <w:r>
        <w:rPr/>
        <w:t xml:space="preserve"> </w:t>
        <w:br/>
        <w:t xml:space="preserve">★ </w:t>
        <w:br/>
        <w:t xml:space="preserve">{{field-off:bible}} </w:t>
        <w:br/>
        <w:t>[[@BibleTOBIBLE:So 1:15]]</w:t>
      </w:r>
      <w:r>
        <w:rPr>
          <w:b/>
        </w:rPr>
        <w:t>15</w:t>
      </w:r>
      <w:r>
        <w:rPr/>
        <w:t xml:space="preserve"> {{field-on:bible}} </w:t>
        <w:br/>
      </w:r>
      <w:r>
        <w:rPr>
          <w:b/>
          <w:color w:val="808080"/>
        </w:rPr>
        <w:t>[</w:t>
      </w:r>
      <w:r>
        <w:rPr/>
        <w:t>'''Mann''':</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meine Freundin!Siehe!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Deine Augen </w:t>
      </w:r>
      <w:r>
        <w:rPr>
          <w:b/>
          <w:color w:val="808080"/>
        </w:rPr>
        <w:t>[</w:t>
      </w:r>
      <w:r>
        <w:rPr/>
        <w:t>sind</w:t>
      </w:r>
      <w:r>
        <w:rPr>
          <w:b/>
          <w:color w:val="808080"/>
        </w:rPr>
        <w:t>]</w:t>
      </w:r>
      <w:r>
        <w:rPr/>
        <w:t xml:space="preserve"> Tauben </w:t>
      </w:r>
      <w:r>
        <w:rPr>
          <w:color w:val="808080"/>
        </w:rPr>
        <w:t>(</w:t>
      </w:r>
      <w:r>
        <w:rPr>
          <w:b/>
          <w:color w:val="808080"/>
        </w:rPr>
        <w:t>[</w:t>
      </w:r>
      <w:r>
        <w:rPr>
          <w:color w:val="808080"/>
        </w:rPr>
        <w:t>wie die von</w:t>
      </w:r>
      <w:r>
        <w:rPr>
          <w:b/>
          <w:color w:val="808080"/>
        </w:rPr>
        <w:t>]</w:t>
      </w:r>
      <w:r>
        <w:rPr>
          <w:color w:val="808080"/>
        </w:rPr>
        <w:t xml:space="preserve"> Tauben)</w:t>
      </w:r>
      <w:r>
        <w:rPr/>
        <w:t>!“</w:t>
      </w:r>
      <w:r>
        <w:rPr>
          <w:rStyle w:val="Funotenanker"/>
        </w:rPr>
        <w:footnoteReference w:customMarkFollows="1" w:id="2329"/>
        <w:t>ar</w:t>
      </w:r>
      <w:r>
        <w:rPr/>
        <w:t xml:space="preserve"> </w:t>
        <w:br/>
        <w:br/>
        <w:t xml:space="preserve">{{field-off:bible}} </w:t>
        <w:br/>
        <w:t>[[@BibleTOBIBLE:So 1:16]]</w:t>
      </w:r>
      <w:r>
        <w:rPr>
          <w:b/>
        </w:rPr>
        <w:t>16</w:t>
      </w:r>
      <w:r>
        <w:rPr/>
        <w:t xml:space="preserve"> {{field-on:bible}} </w:t>
        <w:br/>
      </w:r>
      <w:r>
        <w:rPr>
          <w:b/>
          <w:color w:val="808080"/>
        </w:rPr>
        <w:t>[</w:t>
      </w:r>
      <w:r>
        <w:rPr/>
        <w:t>'''Frau''':</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 Geliebter; ja, lieblich;Ja, unser Bett </w:t>
      </w:r>
      <w:r>
        <w:rPr>
          <w:b/>
          <w:color w:val="808080"/>
        </w:rPr>
        <w:t>[</w:t>
      </w:r>
      <w:r>
        <w:rPr/>
        <w:t>ist</w:t>
      </w:r>
      <w:r>
        <w:rPr>
          <w:b/>
          <w:color w:val="808080"/>
        </w:rPr>
        <w:t>]</w:t>
      </w:r>
      <w:r>
        <w:rPr/>
        <w:t xml:space="preserve"> grün:</w:t>
        <w:br/>
        <w:t xml:space="preserve">{{field-off:bible}} </w:t>
        <w:br/>
        <w:t>[[@BibleTOBIBLE:So 1:17]]</w:t>
      </w:r>
      <w:r>
        <w:rPr>
          <w:b/>
        </w:rPr>
        <w:t>17</w:t>
      </w:r>
      <w:r>
        <w:rPr/>
        <w:t xml:space="preserve"> {{field-on:bible}} </w:t>
        <w:br/>
        <w:t xml:space="preserve">Die Balken unseres Hauses </w:t>
      </w:r>
      <w:r>
        <w:rPr>
          <w:color w:val="808080"/>
        </w:rPr>
        <w:t>(unserer Häuser)</w:t>
      </w:r>
      <w:r>
        <w:rPr/>
        <w:t xml:space="preserve"> </w:t>
      </w:r>
      <w:r>
        <w:rPr>
          <w:rStyle w:val="Funotenanker"/>
        </w:rPr>
        <w:footnoteReference w:customMarkFollows="1" w:id="2330"/>
        <w:t>as</w:t>
      </w:r>
      <w:r>
        <w:rPr/>
        <w:t xml:space="preserve"> </w:t>
      </w:r>
      <w:r>
        <w:rPr>
          <w:b/>
          <w:color w:val="808080"/>
        </w:rPr>
        <w:t>[</w:t>
      </w:r>
      <w:r>
        <w:rPr/>
        <w:t>sind</w:t>
      </w:r>
      <w:r>
        <w:rPr>
          <w:b/>
          <w:color w:val="808080"/>
        </w:rPr>
        <w:t>]</w:t>
      </w:r>
      <w:r>
        <w:rPr/>
        <w:t xml:space="preserve"> Zedern </w:t>
      </w:r>
      <w:r>
        <w:rPr>
          <w:color w:val="808080"/>
        </w:rPr>
        <w:t>(Zedernholz)</w:t>
      </w:r>
      <w:r>
        <w:rPr/>
        <w:t xml:space="preserve">,Unsere Täfelung </w:t>
      </w:r>
      <w:r>
        <w:rPr>
          <w:color w:val="808080"/>
        </w:rPr>
        <w:t>(unser Balken)</w:t>
      </w:r>
      <w:r>
        <w:rPr/>
        <w:t xml:space="preserve"> </w:t>
      </w:r>
      <w:r>
        <w:rPr>
          <w:b/>
          <w:color w:val="808080"/>
        </w:rPr>
        <w:t>[</w:t>
      </w:r>
      <w:r>
        <w:rPr/>
        <w:t>sind</w:t>
      </w:r>
      <w:r>
        <w:rPr>
          <w:b/>
          <w:color w:val="808080"/>
        </w:rPr>
        <w:t>]</w:t>
      </w:r>
      <w:r>
        <w:rPr/>
        <w:t xml:space="preserve"> Zypressen </w:t>
      </w:r>
      <w:r>
        <w:rPr>
          <w:color w:val="808080"/>
        </w:rPr>
        <w:t>(Zypressenholz)</w:t>
      </w:r>
      <w:r>
        <w:rPr/>
        <w:t>.“</w:t>
        <w:br/>
        <w:t xml:space="preserve">{{field-off:bible}} </w:t>
      </w:r>
    </w:p>
    <w:p>
      <w:pPr>
        <w:pStyle w:val="Berschrift3"/>
        <w:rPr/>
      </w:pPr>
      <w:r>
        <w:rPr/>
        <w:t>[[@BibleTOBIBLE:So 2]]Kapitel 2</w:t>
      </w:r>
    </w:p>
    <w:p>
      <w:pPr>
        <w:pStyle w:val="Textkrper"/>
        <w:rPr/>
      </w:pPr>
      <w:r>
        <w:rPr/>
        <w:t>Vv. 1-3 und Vv. 4-7 sind die zweite und dritte Strophe des in Hld 1,15-17 begonnenen Liedes; zum ganzen Lied s. die Anmerkungen zu Kapitel 1. Vv. 1-3 führen den Bewunderungsdialog fort. Sie setzen ein mit einem kurzen Selbstbeschreibungsabschnitt in V. 1, in dem die Frau ihrem Geliebten wahrscheinlich nur zuraunt, wie gut es ihr mit ihm geht: Die „Täler“ und v.a. die „Scharonebene“ stehen für die fruchtbaren Gegenden Israels (s. Ps 65,13; Jes 35,2); Lilien und Iriden konnten dort besonders gut gedeihen. Geschickt dreht der Mann seiner Geliebten das Wort im Mund um und verwandelt es in V. 2 in ein Kompliment, dass die Frau in V. 3 postwendend zurückgibt und weiterführt: Der eigentliche Grund, warum sie sich so wohl fühlt, ist natürlich ihr Geliebter, darum ist in V. 3 der Ort, wo sie sich befindet, nicht mehr Tal und Scharonebene, sonden der Schatten ihres Geliebten. rahmenlos</w:t>
      </w:r>
      <w:r>
        <w:rPr>
          <w:rStyle w:val="Funotenanker"/>
        </w:rPr>
        <w:footnoteReference w:customMarkFollows="1" w:id="2331"/>
        <w:t>a</w:t>
      </w:r>
      <w:r>
        <w:rPr/>
        <w:t>Sumerisches Votivbild (?) eines Paars beim Geschlechtsverkehr. (c) Beaulieu, Stéphane: Eve's Ritual. The Judahite Sacred Marriage Rite. Montreal, 2007. S. 290.An dies Verse schließen sich Vv. 4-7 an. Das „Haus des Weines“, in das der Mann seine Geliebte brachte, führt das Bild des „Hauses aus Zedern und Zypressen“ in Hld 1,15-17 fort: Es wird dort Wein getrunken. Wofür der „Wein“ steht, lässt sich leicht aus Hld 1,2.4; 4,10; 5,1; 7,10; 8,2 erschließen, nämlich für die ausgetauschten Zärtlichkeiten, speziell die Küsse des Päärchens. Zusätzlich verdeutlicht wird dies durch den nächsten Satz: „Sein Banner über mir ist Liebe“. Angespielt wird hier auf den Brauch, „an Häusern, in denen eine Festlichkeit stattfand, Zeichen anzubringen, um auf diese hinzuweisen“ (Gerhards 2010, S. 343). Auf diesem Banner aber steht nicht: „Hier gibt es Wein“, sondern: „Liebe“ - das Haus aus Zedern und Zypressen ist das Haus, in dem das Päärchen sich liebkost; ihr „Liebesnest“. Metaphorisch sind dann auch die Traubenkuchen und Aprikosen zu nehmen, die sie von den fiktiven Festgästen verlangt: Die Traubenkuchen sind eine Variante von „Wein“, stehen also ebenfalls für Liebkosungen, und die „Aprikosen“ sind die Früchte des Geliebten, der ja in V. 3 als Aprikosenbaum bezeichnet wurde: „The Shulamite dramatically proclaims her erotic hunger for her lover; apricots are ‚his‘ fruit, 2,3.“ (Bloch/Bloch 1995, S. 148). In V. 6 wird der selbe Wunsch noch einmal in Klartext wiederholt; vgl. zur Körperhaltung z.B. das sumerische Votivbild (?) eines Paars beim Geschlechtsverkehr rechts. Dazwischen steht die Erklärung: „Denn ich bin krank vor Liebe“. Das darf nicht missverstanden werden als Metapher wie das deutsche „liebeskrank sein“; pathologische oder unglückliche Liebe wurde damals durchaus als echte Krankheit mit wirklichen Symptomen gesehen. Theokrit etwa beklagt in seiner elften Idylle, dass es gegen die Liebe kein Heilmittel gebe; weder Pflaster noch Salbe. Ovid schafft Abhilfe und verfasst mit seinen Werk „Heilmittel gegen die Liebe“ einen ganzen Therapieleitfaden.</w:t>
      </w:r>
      <w:r>
        <w:rPr>
          <w:rStyle w:val="Funotenanker"/>
        </w:rPr>
        <w:footnoteReference w:customMarkFollows="1" w:id="2332"/>
        <w:t>b</w:t>
      </w:r>
      <w:r>
        <w:rPr/>
        <w:t xml:space="preserve"> Besonders interessant für unseren Vers ist Lukrez Abschnitt über den Liebeswahn in seinem Werk „Über die Natur der Dinge“: : „Denn ein Gesunder erfreut sich doch offenbar reinerer Wollust : Als wer krank ist vor Liebe. Denn selbst bei dem Akt der Umarmung : Schwanket der Liebenden Brust in taumelnder Irrnis. Sie wissen : Kaum, wo zuerst sich ersättigen soll der Blick und die Hände. : Was sie ergreifen, erdrücken sie fast; sie mißhandeln den Körper : Schmerzhaft, ja sie zerbeißen sich oft mit den Zähnen die Lippen. : Pressen sie Küsse darauf. ...“ (Üs.: Diels)</w:t>
      </w:r>
      <w:r>
        <w:rPr>
          <w:rStyle w:val="Funotenanker"/>
        </w:rPr>
        <w:footnoteReference w:customMarkFollows="1" w:id="2333"/>
        <w:t>c</w:t>
      </w:r>
      <w:r>
        <w:rPr/>
        <w:t xml:space="preserve"> In der Bibel findet sich die Rede von der Liebeskrankheit neben dem Hld nur noch in 2 Sam 13,2, wo klar ebenfalls eine pathologische Liebe geschildert wird, die auch deutliche Krankheitssymptome nach sich zieht (s. 2 Sam 13,4). Was die Frau hier im Hld also von sich berichtet, ist nichts Gutes und Schönes, sondern etwas Krankhaftes; das ist sehr wichtig für den weiteren Verlauf des Hoheliedes. Darauf weißt auch der letzte Vers des Liedes; ein Refrain, der sich noch in zwei Variationen insgesamt vier Mal im Hohelied findet (s. noch Hld 3,5; 5,8 und 8,4) und der sich jedes Mal an eine Schilderung negativer Folgen der Liebe anschließt. Die Liebe, wie sie hier geschildert wurde, ist keine reife Liebe; sie entbrannte vor ihrer Zeit und wurde vorzeitig auch noch weiter angefacht. Liebe, so das Hohelied, kann auch fehlgehen, und eine solche fehlgegangene Liebe ist diese vorzeitige, außereheliche (s. später), insgeheim im Freien vollzogene Liebe. Das siebte Lied (Vv. 8-17) ist ein recht ausführlicher und sehr schöner Rendezvous-antrag. Auffällig ist auch hier das Verschmelzen der Ebenen „Mensch“ und „Natur“. Sprecher ist die Frau, die sich in einem Haus in den Weinbergen befindet; wahrscheinlich wie in Hld 1,6, um ihn zu bewachen.</w:t>
      </w:r>
      <w:r>
        <w:rPr>
          <w:rStyle w:val="Funotenanker"/>
        </w:rPr>
        <w:footnoteReference w:customMarkFollows="1" w:id="2334"/>
        <w:t>d</w:t>
      </w:r>
      <w:r>
        <w:rPr/>
        <w:t xml:space="preserve"> Durch die Augen dieser Frau und aus dem Haus heraus nimmt der Leser wahr, wie in Vv. 8-9 der Geliebte wie eine Naturgewalt in die Welt der Frau einbricht: Er ist der, der „bei den Iriden weidet“ (V. 16), also in die Natur verortet wird und als Hirte hauptberuflich mit Tieren Umgang hat. Mehr noch: Er selbst kommt „wie eine Gazelle“ und „wie ein Hirschkitz“ über die Berge gesprungen, kommt dann auch nicht ins Haus hinein, sondern tigert von Fenster zu Fenster, um seiner Geliebten durch die Fensteröffnung hindurch sein Frühlingsständchen zu bringen (Vv. 10-15), mit dem er sie heraus in die Natur locken will. Frau und Mann sind hier also Repräsentanten der Ebenen „Kultur“ und „Natur“. Die Verschmelzung dieser beiden Ebenen findet sich auch im Frühlingslied selbst: Erstens werden die Elemente der Natur personifiziert: der Winter und die Regenzeit sind „vorübergegangen, weitergezogen und fortgelaufen“, der Feigenbaum „würzt“ seine Jungfeigen und die blühenden Weinstöcke „geben“ ihren Duft. Es ist Frühling!, und das ist kein „Zustand“, sondern auf Handlungen der Natur zurückzuführen. Zweitens werden im Frühlingslied überhaupt keine Menschen erwähnt: Die Blumen „lassen sich sehen“, die Stimme der Turteltaube „lässt sich hören“ - aber von wem? Die „Zeit des Gesanges“ ist gekommen - aber wer soll denn da singen? Die Füchse hat „man“ gefangen, so dass die Geliebte eigentlich frei wäre, ihren Wachtposten verlassen zu können - aber wer ist „man“? Und selbst die Geliebte wird im Frühlingslied nicht dargestellt als Frau, sondern als „Taube“, die sich nicht in ihr Haus, sondern in „Felsspalten“ und ins „Versteck der Weinterrasse“ zurückgezogen hat (vgl. zu dieser poetischen Strategie z.B. Boer 2009, S. 10f.).Mit ihrem „Ja“ bringt die Frau in Vv. 16-17 diese Verschmelzung der beiden Ebenen sogar explizit zum Ausdruck: „Mein Geliebter ist mein und ich bin sein“. Ja, sie ist sein. Aber: Nicht gleich; ihr Geliebter soll doch bitte gegen Abend zurückkehren und bis dahin noch weiter Gazelle und Hirschkitz sein. Was dann allerdings am Abend und weiter geschieht, schildern Hld 3,1-5. </w:t>
        <w:br/>
        <w:br/>
        <w:t>[[@BibleTOBIBLE:So 2:1]]</w:t>
      </w:r>
      <w:r>
        <w:rPr>
          <w:b/>
        </w:rPr>
        <w:t>1</w:t>
      </w:r>
      <w:r>
        <w:rPr/>
        <w:t xml:space="preserve"> {{field-on:bible}} </w:t>
      </w:r>
      <w:r>
        <w:rPr>
          <w:rStyle w:val="Funotenanker"/>
        </w:rPr>
        <w:footnoteReference w:customMarkFollows="1" w:id="2335"/>
        <w:t>Status</w:t>
      </w:r>
      <w:r>
        <w:rPr/>
        <w:t xml:space="preserve"> </w:t>
      </w:r>
      <w:r>
        <w:rPr>
          <w:b/>
          <w:color w:val="808080"/>
        </w:rPr>
        <w:t>[</w:t>
      </w:r>
      <w:r>
        <w:rPr/>
        <w:t>'''Frau''':</w:t>
      </w:r>
      <w:r>
        <w:rPr>
          <w:b/>
          <w:color w:val="808080"/>
        </w:rPr>
        <w:t>]</w:t>
      </w:r>
      <w:r>
        <w:rPr/>
        <w:t xml:space="preserve"> </w:t>
      </w:r>
      <w:r>
        <w:rPr>
          <w:rStyle w:val="Funotenanker"/>
        </w:rPr>
        <w:footnoteReference w:customMarkFollows="1" w:id="2336"/>
        <w:t>e</w:t>
      </w:r>
      <w:r>
        <w:rPr/>
        <w:t xml:space="preserve"> „Ich bin </w:t>
      </w:r>
      <w:r>
        <w:rPr>
          <w:color w:val="808080"/>
        </w:rPr>
        <w:t>(</w:t>
      </w:r>
      <w:r>
        <w:rPr>
          <w:b/>
          <w:color w:val="808080"/>
        </w:rPr>
        <w:t>[</w:t>
      </w:r>
      <w:r>
        <w:rPr>
          <w:color w:val="808080"/>
        </w:rPr>
        <w:t>nur</w:t>
      </w:r>
      <w:r>
        <w:rPr>
          <w:b/>
          <w:color w:val="808080"/>
        </w:rPr>
        <w:t>]</w:t>
      </w:r>
      <w:r>
        <w:rPr>
          <w:color w:val="808080"/>
        </w:rPr>
        <w:t>)</w:t>
      </w:r>
      <w:r>
        <w:rPr/>
        <w:t xml:space="preserve"> </w:t>
      </w:r>
      <w:r>
        <w:rPr>
          <w:rStyle w:val="Funotenanker"/>
        </w:rPr>
        <w:footnoteReference w:customMarkFollows="1" w:id="2337"/>
        <w:t>f</w:t>
      </w:r>
      <w:r>
        <w:rPr/>
        <w:t xml:space="preserve"> eine </w:t>
      </w:r>
      <w:r>
        <w:rPr>
          <w:color w:val="808080"/>
        </w:rPr>
        <w:t>(die)</w:t>
      </w:r>
      <w:r>
        <w:rPr/>
        <w:t xml:space="preserve"> Lilie</w:t>
      </w:r>
      <w:r>
        <w:rPr>
          <w:rStyle w:val="Funotenanker"/>
        </w:rPr>
        <w:footnoteReference w:customMarkFollows="1" w:id="2338"/>
        <w:t>g</w:t>
      </w:r>
      <w:r>
        <w:rPr/>
        <w:t xml:space="preserve"> in der Scharonebene,</w:t>
      </w:r>
      <w:r>
        <w:rPr>
          <w:color w:val="808080"/>
        </w:rPr>
        <w:t>(</w:t>
      </w:r>
      <w:r>
        <w:rPr>
          <w:b/>
          <w:color w:val="808080"/>
        </w:rPr>
        <w:t>[</w:t>
      </w:r>
      <w:r>
        <w:rPr>
          <w:color w:val="808080"/>
        </w:rPr>
        <w:t>Nur</w:t>
      </w:r>
      <w:r>
        <w:rPr>
          <w:b/>
          <w:color w:val="808080"/>
        </w:rPr>
        <w:t>]</w:t>
      </w:r>
      <w:r>
        <w:rPr>
          <w:color w:val="808080"/>
        </w:rPr>
        <w:t>)</w:t>
      </w:r>
      <w:r>
        <w:rPr/>
        <w:t xml:space="preserve"> eine </w:t>
      </w:r>
      <w:r>
        <w:rPr>
          <w:color w:val="808080"/>
        </w:rPr>
        <w:t>(die)</w:t>
      </w:r>
      <w:r>
        <w:rPr/>
        <w:t xml:space="preserve"> Iris </w:t>
      </w:r>
      <w:r>
        <w:rPr>
          <w:color w:val="808080"/>
        </w:rPr>
        <w:t>(Lotusblume?)</w:t>
      </w:r>
      <w:r>
        <w:rPr/>
        <w:t xml:space="preserve"> in den Tälern.“</w:t>
        <w:br/>
        <w:br/>
        <w:t xml:space="preserve">{{field-off:bible}} </w:t>
        <w:br/>
        <w:t>[[@BibleTOBIBLE:So 2:2]]</w:t>
      </w:r>
      <w:r>
        <w:rPr>
          <w:b/>
        </w:rPr>
        <w:t>2</w:t>
      </w:r>
      <w:r>
        <w:rPr/>
        <w:t xml:space="preserve"> {{field-on:bible}} </w:t>
        <w:br/>
      </w:r>
      <w:r>
        <w:rPr>
          <w:b/>
          <w:color w:val="808080"/>
        </w:rPr>
        <w:t>[</w:t>
      </w:r>
      <w:r>
        <w:rPr/>
        <w:t>'''Mann''':</w:t>
      </w:r>
      <w:r>
        <w:rPr>
          <w:b/>
          <w:color w:val="808080"/>
        </w:rPr>
        <w:t>]</w:t>
      </w:r>
      <w:r>
        <w:rPr/>
        <w:t xml:space="preserve"> „Wie eine Iris </w:t>
      </w:r>
      <w:r>
        <w:rPr>
          <w:color w:val="808080"/>
        </w:rPr>
        <w:t>(Lotusblume?)</w:t>
      </w:r>
      <w:r>
        <w:rPr/>
        <w:t xml:space="preserve"> unter </w:t>
      </w:r>
      <w:r>
        <w:rPr>
          <w:strike/>
          <w:color w:val="808080"/>
        </w:rPr>
        <w:t>{den}</w:t>
      </w:r>
      <w:r>
        <w:rPr/>
        <w:t xml:space="preserve"> </w:t>
      </w:r>
      <w:r>
        <w:rPr>
          <w:rStyle w:val="Funotenanker"/>
        </w:rPr>
        <w:footnoteReference w:customMarkFollows="1" w:id="2339"/>
        <w:t>h</w:t>
      </w:r>
      <w:r>
        <w:rPr/>
        <w:t xml:space="preserve"> Disteln </w:t>
      </w:r>
      <w:r>
        <w:rPr>
          <w:color w:val="808080"/>
        </w:rPr>
        <w:t>(Dornen)</w:t>
      </w:r>
      <w:r>
        <w:rPr/>
        <w:t xml:space="preserve">,So </w:t>
      </w:r>
      <w:r>
        <w:rPr>
          <w:b/>
          <w:color w:val="808080"/>
        </w:rPr>
        <w:t>[</w:t>
      </w:r>
      <w:r>
        <w:rPr/>
        <w:t>ist</w:t>
      </w:r>
      <w:r>
        <w:rPr>
          <w:b/>
          <w:color w:val="808080"/>
        </w:rPr>
        <w:t>]</w:t>
      </w:r>
      <w:r>
        <w:rPr/>
        <w:t xml:space="preserve"> meine Freundin</w:t>
      </w:r>
      <w:r>
        <w:rPr>
          <w:rStyle w:val="Funotenanker"/>
        </w:rPr>
        <w:footnoteReference w:customMarkFollows="1" w:id="2340"/>
        <w:t>i</w:t>
      </w:r>
      <w:r>
        <w:rPr/>
        <w:t xml:space="preserve"> unter den Töchtern.“</w:t>
      </w:r>
      <w:r>
        <w:rPr>
          <w:rStyle w:val="Funotenanker"/>
        </w:rPr>
        <w:footnoteReference w:customMarkFollows="1" w:id="2341"/>
        <w:t>j</w:t>
      </w:r>
      <w:r>
        <w:rPr/>
        <w:t xml:space="preserve"> </w:t>
        <w:br/>
        <w:br/>
        <w:t xml:space="preserve">{{field-off:bible}} </w:t>
        <w:br/>
        <w:t>[[@BibleTOBIBLE:So 2:3]]</w:t>
      </w:r>
      <w:r>
        <w:rPr>
          <w:b/>
        </w:rPr>
        <w:t>3</w:t>
      </w:r>
      <w:r>
        <w:rPr/>
        <w:t xml:space="preserve"> {{field-on:bible}} </w:t>
        <w:br/>
      </w:r>
      <w:r>
        <w:rPr>
          <w:b/>
          <w:color w:val="808080"/>
        </w:rPr>
        <w:t>[</w:t>
      </w:r>
      <w:r>
        <w:rPr/>
        <w:t>'''Frau''':</w:t>
      </w:r>
      <w:r>
        <w:rPr>
          <w:b/>
          <w:color w:val="808080"/>
        </w:rPr>
        <w:t>]</w:t>
      </w:r>
      <w:r>
        <w:rPr/>
        <w:t xml:space="preserve"> „Wie ein Aprikose</w:t>
      </w:r>
      <w:r>
        <w:rPr>
          <w:b/>
          <w:color w:val="808080"/>
        </w:rPr>
        <w:t>[</w:t>
      </w:r>
      <w:r>
        <w:rPr/>
        <w:t>nbaum</w:t>
      </w:r>
      <w:r>
        <w:rPr>
          <w:b/>
          <w:color w:val="808080"/>
        </w:rPr>
        <w:t>]</w:t>
      </w:r>
      <w:r>
        <w:rPr/>
        <w:t xml:space="preserve"> </w:t>
      </w:r>
      <w:r>
        <w:rPr>
          <w:rStyle w:val="Funotenanker"/>
        </w:rPr>
        <w:footnoteReference w:customMarkFollows="1" w:id="2342"/>
        <w:t>k</w:t>
      </w:r>
      <w:r>
        <w:rPr/>
        <w:t xml:space="preserve"> unter </w:t>
      </w:r>
      <w:r>
        <w:rPr>
          <w:strike/>
          <w:color w:val="808080"/>
        </w:rPr>
        <w:t>{den}</w:t>
      </w:r>
      <w:r>
        <w:rPr/>
        <w:t xml:space="preserve"> WaldbäumenSo </w:t>
      </w:r>
      <w:r>
        <w:rPr>
          <w:b/>
          <w:color w:val="808080"/>
        </w:rPr>
        <w:t>[</w:t>
      </w:r>
      <w:r>
        <w:rPr/>
        <w:t>ist</w:t>
      </w:r>
      <w:r>
        <w:rPr>
          <w:b/>
          <w:color w:val="808080"/>
        </w:rPr>
        <w:t>]</w:t>
      </w:r>
      <w:r>
        <w:rPr/>
        <w:t xml:space="preserve"> mein Geliebter unter den Söhnen.</w:t>
      </w:r>
      <w:r>
        <w:rPr>
          <w:rStyle w:val="Funotenanker"/>
        </w:rPr>
        <w:footnoteReference w:customMarkFollows="1" w:id="2343"/>
        <w:t>l</w:t>
      </w:r>
      <w:r>
        <w:rPr/>
        <w:t xml:space="preserve"> </w:t>
        <w:br/>
        <w:t xml:space="preserve">In seinem Schatten erfreue ich mich </w:t>
      </w:r>
      <w:r>
        <w:rPr>
          <w:color w:val="808080"/>
        </w:rPr>
        <w:t>(habe ich Lust)</w:t>
      </w:r>
      <w:r>
        <w:rPr/>
        <w:t xml:space="preserve"> und sitze ich</w:t>
      </w:r>
      <w:r>
        <w:rPr>
          <w:rStyle w:val="Funotenanker"/>
        </w:rPr>
        <w:footnoteReference w:customMarkFollows="1" w:id="2344"/>
        <w:t>m</w:t>
      </w:r>
      <w:r>
        <w:rPr/>
        <w:t xml:space="preserve">Und seine Frucht </w:t>
      </w:r>
      <w:r>
        <w:rPr>
          <w:b/>
          <w:color w:val="808080"/>
        </w:rPr>
        <w:t>[</w:t>
      </w:r>
      <w:r>
        <w:rPr/>
        <w:t>ist</w:t>
      </w:r>
      <w:r>
        <w:rPr>
          <w:b/>
          <w:color w:val="808080"/>
        </w:rPr>
        <w:t>]</w:t>
      </w:r>
      <w:r>
        <w:rPr/>
        <w:t xml:space="preserve"> süß an meinem Gaumen.</w:t>
        <w:br/>
        <w:br/>
        <w:t xml:space="preserve">{{field-off:bible}} </w:t>
        <w:br/>
        <w:t>[[@BibleTOBIBLE:So 2:4]]</w:t>
      </w:r>
      <w:r>
        <w:rPr>
          <w:b/>
        </w:rPr>
        <w:t>4</w:t>
      </w:r>
      <w:r>
        <w:rPr/>
        <w:t xml:space="preserve"> {{field-on:bible}} </w:t>
        <w:br/>
        <w:t>Er hat mich in das Haus des Weins</w:t>
      </w:r>
      <w:r>
        <w:rPr>
          <w:rStyle w:val="Funotenanker"/>
        </w:rPr>
        <w:footnoteReference w:customMarkFollows="1" w:id="2345"/>
        <w:t>n</w:t>
      </w:r>
      <w:r>
        <w:rPr/>
        <w:t xml:space="preserve"> gebracht,Und sein Banner</w:t>
      </w:r>
      <w:r>
        <w:rPr>
          <w:rStyle w:val="Funotenanker"/>
        </w:rPr>
        <w:footnoteReference w:customMarkFollows="1" w:id="2346"/>
        <w:t>o</w:t>
      </w:r>
      <w:r>
        <w:rPr/>
        <w:t xml:space="preserve"> über mir </w:t>
      </w:r>
      <w:r>
        <w:rPr>
          <w:b/>
          <w:color w:val="808080"/>
        </w:rPr>
        <w:t>[</w:t>
      </w:r>
      <w:r>
        <w:rPr/>
        <w:t>ist</w:t>
      </w:r>
      <w:r>
        <w:rPr>
          <w:b/>
          <w:color w:val="808080"/>
        </w:rPr>
        <w:t>]</w:t>
      </w:r>
      <w:r>
        <w:rPr/>
        <w:t xml:space="preserve"> Liebe.</w:t>
        <w:br/>
        <w:t xml:space="preserve">{{field-off:bible}} </w:t>
        <w:br/>
        <w:t>[[@BibleTOBIBLE:So 2:5]]</w:t>
      </w:r>
      <w:r>
        <w:rPr>
          <w:b/>
        </w:rPr>
        <w:t>5</w:t>
      </w:r>
      <w:r>
        <w:rPr/>
        <w:t xml:space="preserve"> {{field-on:bible}} </w:t>
        <w:br/>
        <w:t xml:space="preserve">Unterstützt mich </w:t>
      </w:r>
      <w:r>
        <w:rPr>
          <w:color w:val="808080"/>
        </w:rPr>
        <w:t>(Man unterstütze mich)</w:t>
      </w:r>
      <w:r>
        <w:rPr/>
        <w:t xml:space="preserve"> mit </w:t>
      </w:r>
      <w:r>
        <w:rPr>
          <w:strike/>
          <w:color w:val="808080"/>
        </w:rPr>
        <w:t>{dem}</w:t>
      </w:r>
      <w:r>
        <w:rPr/>
        <w:t xml:space="preserve"> Traubenkuchen,Stärkt mich </w:t>
      </w:r>
      <w:r>
        <w:rPr>
          <w:color w:val="808080"/>
        </w:rPr>
        <w:t>(man stärke mich)</w:t>
      </w:r>
      <w:r>
        <w:rPr/>
        <w:t xml:space="preserve"> mit </w:t>
      </w:r>
      <w:r>
        <w:rPr>
          <w:strike/>
          <w:color w:val="808080"/>
        </w:rPr>
        <w:t>{den}</w:t>
      </w:r>
      <w:r>
        <w:rPr/>
        <w:t xml:space="preserve"> Aprikosen,Denn ich bin krank vor Liebe!</w:t>
      </w:r>
      <w:r>
        <w:rPr>
          <w:rStyle w:val="Funotenanker"/>
        </w:rPr>
        <w:footnoteReference w:customMarkFollows="1" w:id="2347"/>
        <w:t>p</w:t>
      </w:r>
      <w:r>
        <w:rPr/>
        <w:t xml:space="preserve"> </w:t>
        <w:br/>
        <w:t xml:space="preserve">{{field-off:bible}} </w:t>
        <w:br/>
        <w:t>[[@BibleTOBIBLE:So 2:6]]</w:t>
      </w:r>
      <w:r>
        <w:rPr>
          <w:b/>
        </w:rPr>
        <w:t>6</w:t>
      </w:r>
      <w:r>
        <w:rPr/>
        <w:t xml:space="preserve"> {{field-on:bible}} </w:t>
        <w:br/>
        <w:t xml:space="preserve">Seine Linke </w:t>
      </w:r>
      <w:r>
        <w:rPr>
          <w:b/>
          <w:color w:val="808080"/>
        </w:rPr>
        <w:t>[</w:t>
      </w:r>
      <w:r>
        <w:rPr/>
        <w:t>sei</w:t>
      </w:r>
      <w:r>
        <w:rPr>
          <w:b/>
          <w:color w:val="808080"/>
        </w:rPr>
        <w:t>]</w:t>
      </w:r>
      <w:r>
        <w:rPr/>
        <w:t xml:space="preserve"> unter meinem KopfUnd seine Rechte umfasse mich!</w:t>
        <w:br/>
        <w:br/>
        <w:t xml:space="preserve">{{field-off:bible}} </w:t>
        <w:br/>
        <w:t>[[@BibleTOBIBLE:So 2:7]]</w:t>
      </w:r>
      <w:r>
        <w:rPr>
          <w:b/>
        </w:rPr>
        <w:t>7</w:t>
      </w:r>
      <w:r>
        <w:rPr/>
        <w:t xml:space="preserve"> {{field-on:bible}} </w:t>
        <w:br/>
        <w:t>Ich beschwöre euch, Töchter Jerusalems, Bei den Gazellen oder bei den Hirschkühen des Feldes:</w:t>
      </w:r>
      <w:r>
        <w:rPr>
          <w:rStyle w:val="Funotenanker"/>
        </w:rPr>
        <w:footnoteReference w:customMarkFollows="1" w:id="2348"/>
        <w:t>q</w:t>
      </w:r>
      <w:r>
        <w:rPr/>
        <w:t xml:space="preserve"> </w:t>
        <w:br/>
        <w:t>Entfacht nicht und facht nicht an</w:t>
      </w:r>
      <w:r>
        <w:rPr>
          <w:rStyle w:val="Funotenanker"/>
        </w:rPr>
        <w:footnoteReference w:customMarkFollows="1" w:id="2349"/>
        <w:t>r</w:t>
      </w:r>
      <w:r>
        <w:rPr/>
        <w:t xml:space="preserve"> die Liebe </w:t>
      </w:r>
      <w:r>
        <w:rPr>
          <w:color w:val="808080"/>
        </w:rPr>
        <w:t>(Stört nicht den Geschlechtsverkehr?</w:t>
      </w:r>
      <w:r>
        <w:rPr/>
        <w:t xml:space="preserve"> </w:t>
      </w:r>
      <w:r>
        <w:rPr>
          <w:rStyle w:val="Funotenanker"/>
        </w:rPr>
        <w:footnoteReference w:customMarkFollows="1" w:id="2350"/>
        <w:t>s</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351"/>
        <w:t>t</w:t>
      </w:r>
      <w:r>
        <w:rPr/>
        <w:t xml:space="preserve"> </w:t>
        <w:br/>
        <w:t xml:space="preserve">{{field-off:bible}} </w:t>
        <w:br/>
        <w:t>[[@BibleTOBIBLE:So 2:8]]</w:t>
      </w:r>
      <w:r>
        <w:rPr>
          <w:b/>
        </w:rPr>
        <w:t>8</w:t>
      </w:r>
      <w:r>
        <w:rPr/>
        <w:t xml:space="preserve"> {{field-on:bible}} </w:t>
        <w:br/>
      </w:r>
      <w:r>
        <w:rPr>
          <w:b/>
          <w:color w:val="808080"/>
        </w:rPr>
        <w:t>[</w:t>
      </w:r>
      <w:r>
        <w:rPr/>
        <w:t>'''Frau''':</w:t>
      </w:r>
      <w:r>
        <w:rPr>
          <w:b/>
          <w:color w:val="808080"/>
        </w:rPr>
        <w:t>]</w:t>
      </w:r>
      <w:r>
        <w:rPr/>
        <w:t xml:space="preserve"> „</w:t>
      </w:r>
      <w:r>
        <w:rPr>
          <w:b/>
          <w:color w:val="808080"/>
        </w:rPr>
        <w:t>[</w:t>
      </w:r>
      <w:r>
        <w:rPr/>
        <w:t>Das</w:t>
      </w:r>
      <w:r>
        <w:rPr>
          <w:b/>
          <w:color w:val="808080"/>
        </w:rPr>
        <w:t>]</w:t>
      </w:r>
      <w:r>
        <w:rPr/>
        <w:t xml:space="preserve"> Geräusch </w:t>
      </w:r>
      <w:r>
        <w:rPr>
          <w:color w:val="808080"/>
        </w:rPr>
        <w:t>(Stimme, Horch!,)</w:t>
      </w:r>
      <w:r>
        <w:rPr/>
        <w:t xml:space="preserve"> meines Geliebten!</w:t>
      </w:r>
      <w:r>
        <w:rPr>
          <w:rStyle w:val="Funotenanker"/>
        </w:rPr>
        <w:footnoteReference w:customMarkFollows="1" w:id="2352"/>
        <w:t>u</w:t>
      </w:r>
      <w:r>
        <w:rPr/>
        <w:t xml:space="preserve">Siehe da, er kommt </w:t>
      </w:r>
      <w:r>
        <w:rPr>
          <w:color w:val="808080"/>
        </w:rPr>
        <w:t>(Siehe, da kommt er)</w:t>
      </w:r>
      <w:r>
        <w:rPr/>
        <w:t>!</w:t>
        <w:br/>
        <w:t xml:space="preserve">Er springt über die Berge,Er hüpft über die Hügel - </w:t>
        <w:br/>
        <w:t xml:space="preserve">{{field-off:bible}} </w:t>
        <w:br/>
        <w:t>[[@BibleTOBIBLE:So 2:9]]</w:t>
      </w:r>
      <w:r>
        <w:rPr>
          <w:b/>
        </w:rPr>
        <w:t>9</w:t>
      </w:r>
      <w:r>
        <w:rPr/>
        <w:t xml:space="preserve"> {{field-on:bible}} </w:t>
        <w:br/>
        <w:t xml:space="preserve">Es gleicht mein Geliebter einer Gazelle </w:t>
      </w:r>
      <w:r>
        <w:rPr>
          <w:color w:val="808080"/>
        </w:rPr>
        <w:t>(einer Schönen)</w:t>
      </w:r>
      <w:r>
        <w:rPr/>
        <w:t>Oder einem Hirschkitz!</w:t>
        <w:br/>
        <w:t xml:space="preserve">Siehe da, er steht </w:t>
      </w:r>
      <w:r>
        <w:rPr>
          <w:color w:val="808080"/>
        </w:rPr>
        <w:t>(Siehe, jetzt steht er)</w:t>
      </w:r>
      <w:r>
        <w:rPr/>
        <w:t xml:space="preserve"> hinter unserer Wand!Er schaut </w:t>
      </w:r>
      <w:r>
        <w:rPr>
          <w:b/>
          <w:color w:val="808080"/>
        </w:rPr>
        <w:t>[</w:t>
      </w:r>
      <w:r>
        <w:rPr/>
        <w:t>hinein</w:t>
      </w:r>
      <w:r>
        <w:rPr>
          <w:b/>
          <w:color w:val="808080"/>
        </w:rPr>
        <w:t>]</w:t>
      </w:r>
      <w:r>
        <w:rPr/>
        <w:t xml:space="preserve"> von den Fenstern </w:t>
      </w:r>
      <w:r>
        <w:rPr>
          <w:b/>
          <w:color w:val="808080"/>
        </w:rPr>
        <w:t>[</w:t>
      </w:r>
      <w:r>
        <w:rPr/>
        <w:t>her</w:t>
      </w:r>
      <w:r>
        <w:rPr>
          <w:b/>
          <w:color w:val="808080"/>
        </w:rPr>
        <w:t>]</w:t>
      </w:r>
      <w:r>
        <w:rPr/>
        <w:t>,</w:t>
      </w:r>
      <w:r>
        <w:rPr>
          <w:rStyle w:val="Funotenanker"/>
        </w:rPr>
        <w:footnoteReference w:customMarkFollows="1" w:id="2353"/>
        <w:t>v</w:t>
      </w:r>
      <w:r>
        <w:rPr/>
        <w:t xml:space="preserve">Er späht </w:t>
      </w:r>
      <w:r>
        <w:rPr>
          <w:color w:val="808080"/>
        </w:rPr>
        <w:t>(blüht)</w:t>
      </w:r>
      <w:r>
        <w:rPr/>
        <w:t xml:space="preserve"> </w:t>
      </w:r>
      <w:r>
        <w:rPr>
          <w:b/>
          <w:color w:val="808080"/>
        </w:rPr>
        <w:t>[</w:t>
      </w:r>
      <w:r>
        <w:rPr/>
        <w:t>hinein</w:t>
      </w:r>
      <w:r>
        <w:rPr>
          <w:b/>
          <w:color w:val="808080"/>
        </w:rPr>
        <w:t>]</w:t>
      </w:r>
      <w:r>
        <w:rPr/>
        <w:t xml:space="preserve"> von den Öffnungen </w:t>
      </w:r>
      <w:r>
        <w:rPr>
          <w:b/>
          <w:color w:val="808080"/>
        </w:rPr>
        <w:t>[</w:t>
      </w:r>
      <w:r>
        <w:rPr/>
        <w:t>her</w:t>
      </w:r>
      <w:r>
        <w:rPr>
          <w:b/>
          <w:color w:val="808080"/>
        </w:rPr>
        <w:t>]</w:t>
      </w:r>
      <w:r>
        <w:rPr/>
        <w:t>!</w:t>
      </w:r>
      <w:r>
        <w:rPr>
          <w:rStyle w:val="Funotenanker"/>
        </w:rPr>
        <w:footnoteReference w:customMarkFollows="1" w:id="2354"/>
        <w:t>w</w:t>
      </w:r>
      <w:r>
        <w:rPr/>
        <w:t xml:space="preserve"> </w:t>
        <w:br/>
        <w:br/>
        <w:t xml:space="preserve">{{field-off:bible}} </w:t>
        <w:br/>
        <w:t>[[@BibleTOBIBLE:So 2:10]]</w:t>
      </w:r>
      <w:r>
        <w:rPr>
          <w:b/>
        </w:rPr>
        <w:t>10</w:t>
      </w:r>
      <w:r>
        <w:rPr/>
        <w:t xml:space="preserve"> {{field-on:bible}} </w:t>
        <w:br/>
        <w:t xml:space="preserve">Mein Geliebter </w:t>
      </w:r>
      <w:r>
        <w:rPr>
          <w:strike/>
          <w:color w:val="808080"/>
        </w:rPr>
        <w:t>{antwortet und}</w:t>
      </w:r>
      <w:r>
        <w:rPr/>
        <w:t xml:space="preserve"> sagt</w:t>
      </w:r>
      <w:r>
        <w:rPr>
          <w:rStyle w:val="Funotenanker"/>
        </w:rPr>
        <w:footnoteReference w:customMarkFollows="1" w:id="2355"/>
        <w:t>x</w:t>
      </w:r>
      <w:r>
        <w:rPr/>
        <w:t xml:space="preserve"> zu mir: </w:t>
        <w:br/>
        <w:br/>
      </w:r>
      <w:r>
        <w:rPr>
          <w:b/>
          <w:color w:val="808080"/>
        </w:rPr>
        <w:t>[</w:t>
      </w:r>
      <w:r>
        <w:rPr/>
        <w:t>'''Mann''':</w:t>
      </w:r>
      <w:r>
        <w:rPr>
          <w:b/>
          <w:color w:val="808080"/>
        </w:rPr>
        <w:t>]</w:t>
      </w:r>
      <w:r>
        <w:rPr/>
        <w:t xml:space="preserve"> »Steh </w:t>
      </w:r>
      <w:r>
        <w:rPr>
          <w:strike/>
          <w:color w:val="808080"/>
        </w:rPr>
        <w:t>{dich}</w:t>
      </w:r>
      <w:r>
        <w:rPr/>
        <w:t xml:space="preserve"> auf,</w:t>
      </w:r>
      <w:r>
        <w:rPr>
          <w:rStyle w:val="Funotenanker"/>
        </w:rPr>
        <w:footnoteReference w:customMarkFollows="1" w:id="2356"/>
        <w:t>y</w:t>
      </w:r>
      <w:r>
        <w:rPr/>
        <w:t xml:space="preserve"> meine Freundin, Meine Schöne, geh </w:t>
      </w:r>
      <w:r>
        <w:rPr>
          <w:strike/>
          <w:color w:val="808080"/>
        </w:rPr>
        <w:t>{dir}</w:t>
      </w:r>
      <w:r>
        <w:rPr/>
        <w:t>!</w:t>
        <w:br/>
        <w:t xml:space="preserve">{{field-off:bible}} </w:t>
        <w:br/>
        <w:t>[[@BibleTOBIBLE:So 2:11]]</w:t>
      </w:r>
      <w:r>
        <w:rPr>
          <w:b/>
        </w:rPr>
        <w:t>11</w:t>
      </w:r>
      <w:r>
        <w:rPr/>
        <w:t xml:space="preserve"> {{field-on:bible}} </w:t>
        <w:br/>
        <w:t xml:space="preserve">Denn </w:t>
      </w:r>
      <w:r>
        <w:rPr>
          <w:strike/>
          <w:color w:val="808080"/>
        </w:rPr>
        <w:t>{siehe}</w:t>
      </w:r>
      <w:r>
        <w:rPr/>
        <w:t xml:space="preserve"> der Winter </w:t>
      </w:r>
      <w:r>
        <w:rPr>
          <w:color w:val="808080"/>
        </w:rPr>
        <w:t>(die Regenzeit)</w:t>
      </w:r>
      <w:r>
        <w:rPr/>
        <w:t xml:space="preserve"> ist </w:t>
      </w:r>
      <w:r>
        <w:rPr>
          <w:b/>
          <w:color w:val="808080"/>
        </w:rPr>
        <w:t>[</w:t>
      </w:r>
      <w:r>
        <w:rPr/>
        <w:t>ja</w:t>
      </w:r>
      <w:r>
        <w:rPr>
          <w:b/>
          <w:color w:val="808080"/>
        </w:rPr>
        <w:t>]</w:t>
      </w:r>
      <w:r>
        <w:rPr/>
        <w:t xml:space="preserve"> </w:t>
      </w:r>
      <w:r>
        <w:rPr>
          <w:rStyle w:val="Funotenanker"/>
        </w:rPr>
        <w:footnoteReference w:customMarkFollows="1" w:id="2357"/>
        <w:t>z</w:t>
      </w:r>
      <w:r>
        <w:rPr/>
        <w:t xml:space="preserve"> vorübergegangen,Der Regen ist weitergezogen, </w:t>
      </w:r>
      <w:r>
        <w:rPr>
          <w:strike/>
          <w:color w:val="808080"/>
        </w:rPr>
        <w:t>{sich}</w:t>
      </w:r>
      <w:r>
        <w:rPr/>
        <w:t xml:space="preserve"> fortgelaufen!</w:t>
      </w:r>
      <w:r>
        <w:rPr>
          <w:rStyle w:val="Funotenanker"/>
        </w:rPr>
        <w:footnoteReference w:customMarkFollows="1" w:id="2358"/>
        <w:t>aa</w:t>
      </w:r>
      <w:r>
        <w:rPr/>
        <w:t xml:space="preserve"> </w:t>
        <w:br/>
        <w:t xml:space="preserve">{{field-off:bible}} </w:t>
        <w:br/>
        <w:t>[[@BibleTOBIBLE:So 2:12]]</w:t>
      </w:r>
      <w:r>
        <w:rPr>
          <w:b/>
        </w:rPr>
        <w:t>12</w:t>
      </w:r>
      <w:r>
        <w:rPr/>
        <w:t xml:space="preserve"> {{field-on:bible}} </w:t>
        <w:br/>
        <w:t xml:space="preserve">Die Blumen lassen sich sehen </w:t>
      </w:r>
      <w:r>
        <w:rPr>
          <w:color w:val="808080"/>
        </w:rPr>
        <w:t>(zeigen sich, werden gesehen)</w:t>
      </w:r>
      <w:r>
        <w:rPr/>
        <w:t xml:space="preserve"> auf dem Land,Die Zeit des Gesangs</w:t>
      </w:r>
      <w:r>
        <w:rPr>
          <w:rStyle w:val="Funotenanker"/>
        </w:rPr>
        <w:footnoteReference w:customMarkFollows="1" w:id="2359"/>
        <w:t>ab</w:t>
      </w:r>
      <w:r>
        <w:rPr/>
        <w:t xml:space="preserve"> ist gekommenUnd die Stimme der Turteltaube</w:t>
      </w:r>
      <w:r>
        <w:rPr>
          <w:rStyle w:val="Funotenanker"/>
        </w:rPr>
        <w:footnoteReference w:customMarkFollows="1" w:id="2360"/>
        <w:t>ac</w:t>
      </w:r>
      <w:r>
        <w:rPr/>
        <w:t xml:space="preserve"> lässt sich hören in unserem Land.</w:t>
        <w:br/>
        <w:t xml:space="preserve">{{field-off:bible}} </w:t>
        <w:br/>
        <w:t>[[@BibleTOBIBLE:So 2:13]]</w:t>
      </w:r>
      <w:r>
        <w:rPr>
          <w:b/>
        </w:rPr>
        <w:t>13</w:t>
      </w:r>
      <w:r>
        <w:rPr/>
        <w:t xml:space="preserve"> {{field-on:bible}} </w:t>
        <w:br/>
        <w:t>Der Feige</w:t>
      </w:r>
      <w:r>
        <w:rPr>
          <w:b/>
          <w:color w:val="808080"/>
        </w:rPr>
        <w:t>[</w:t>
      </w:r>
      <w:r>
        <w:rPr/>
        <w:t>nbaum</w:t>
      </w:r>
      <w:r>
        <w:rPr>
          <w:b/>
          <w:color w:val="808080"/>
        </w:rPr>
        <w:t>]</w:t>
      </w:r>
      <w:r>
        <w:rPr/>
        <w:t xml:space="preserve"> würzt </w:t>
      </w:r>
      <w:r>
        <w:rPr>
          <w:color w:val="808080"/>
        </w:rPr>
        <w:t>(?)</w:t>
      </w:r>
      <w:r>
        <w:rPr/>
        <w:t xml:space="preserve"> </w:t>
      </w:r>
      <w:r>
        <w:rPr>
          <w:rStyle w:val="Funotenanker"/>
        </w:rPr>
        <w:footnoteReference w:customMarkFollows="1" w:id="2361"/>
        <w:t>ad</w:t>
      </w:r>
      <w:r>
        <w:rPr/>
        <w:t xml:space="preserve"> seine JungfeigenUnd die blühenden Weinstöcke geben Duft.</w:t>
        <w:br/>
        <w:br/>
        <w:t xml:space="preserve">Steh </w:t>
      </w:r>
      <w:r>
        <w:rPr>
          <w:strike/>
          <w:color w:val="808080"/>
        </w:rPr>
        <w:t>{dich}</w:t>
      </w:r>
      <w:r>
        <w:rPr/>
        <w:t xml:space="preserve"> auf </w:t>
      </w:r>
      <w:r>
        <w:rPr>
          <w:color w:val="808080"/>
        </w:rPr>
        <w:t>(Steh auf, geh)</w:t>
      </w:r>
      <w:r>
        <w:rPr/>
        <w:t>,</w:t>
      </w:r>
      <w:r>
        <w:rPr>
          <w:rStyle w:val="Funotenanker"/>
        </w:rPr>
        <w:footnoteReference w:customMarkFollows="1" w:id="2362"/>
        <w:t>ae</w:t>
      </w:r>
      <w:r>
        <w:rPr/>
        <w:t xml:space="preserve"> meine Freundin, Meine Schöne, geh </w:t>
      </w:r>
      <w:r>
        <w:rPr>
          <w:strike/>
          <w:color w:val="808080"/>
        </w:rPr>
        <w:t>{dir}</w:t>
      </w:r>
      <w:r>
        <w:rPr/>
        <w:t>!</w:t>
        <w:br/>
        <w:t xml:space="preserve">{{field-off:bible}} </w:t>
        <w:br/>
        <w:t>[[@BibleTOBIBLE:So 2:14]]</w:t>
      </w:r>
      <w:r>
        <w:rPr>
          <w:b/>
        </w:rPr>
        <w:t>14</w:t>
      </w:r>
      <w:r>
        <w:rPr/>
        <w:t xml:space="preserve"> {{field-on:bible}} </w:t>
        <w:br/>
        <w:t>Meine Taube</w:t>
      </w:r>
      <w:r>
        <w:rPr>
          <w:rStyle w:val="Funotenanker"/>
        </w:rPr>
        <w:footnoteReference w:customMarkFollows="1" w:id="2363"/>
        <w:t>af</w:t>
      </w:r>
      <w:r>
        <w:rPr/>
        <w:t xml:space="preserve"> in den Felsenspalten,Im Versteck der Terrasse </w:t>
      </w:r>
      <w:r>
        <w:rPr>
          <w:color w:val="808080"/>
        </w:rPr>
        <w:t>(Steinwand)</w:t>
      </w:r>
      <w:r>
        <w:rPr/>
        <w:t xml:space="preserve"> </w:t>
      </w:r>
      <w:r>
        <w:rPr>
          <w:rStyle w:val="Funotenanker"/>
        </w:rPr>
        <w:footnoteReference w:customMarkFollows="1" w:id="2364"/>
        <w:t>ag</w:t>
      </w:r>
      <w:r>
        <w:rPr/>
        <w:t xml:space="preserve"> </w:t>
        <w:br/>
        <w:t xml:space="preserve">Lass mich deinen Anblick </w:t>
      </w:r>
      <w:r>
        <w:rPr>
          <w:color w:val="808080"/>
        </w:rPr>
        <w:t>(deine Anblicke)</w:t>
      </w:r>
      <w:r>
        <w:rPr/>
        <w:t xml:space="preserve"> </w:t>
      </w:r>
      <w:r>
        <w:rPr>
          <w:rStyle w:val="Funotenanker"/>
        </w:rPr>
        <w:footnoteReference w:customMarkFollows="1" w:id="2365"/>
        <w:t>ah</w:t>
      </w:r>
      <w:r>
        <w:rPr/>
        <w:t xml:space="preserve"> sehen,Lass mich deine Stimme hören,</w:t>
        <w:br/>
        <w:t xml:space="preserve">Denn deine Stimme </w:t>
      </w:r>
      <w:r>
        <w:rPr>
          <w:b/>
          <w:color w:val="808080"/>
        </w:rPr>
        <w:t>[</w:t>
      </w:r>
      <w:r>
        <w:rPr/>
        <w:t>ist</w:t>
      </w:r>
      <w:r>
        <w:rPr>
          <w:b/>
          <w:color w:val="808080"/>
        </w:rPr>
        <w:t>]</w:t>
      </w:r>
      <w:r>
        <w:rPr/>
        <w:t xml:space="preserve"> süßUnd dein Anblick lieblich!</w:t>
        <w:br/>
        <w:t xml:space="preserve">{{field-off:bible}} </w:t>
        <w:br/>
        <w:t>[[@BibleTOBIBLE:So 2:15]]</w:t>
      </w:r>
      <w:r>
        <w:rPr>
          <w:b/>
        </w:rPr>
        <w:t>15</w:t>
      </w:r>
      <w:r>
        <w:rPr/>
        <w:t xml:space="preserve"> {{field-on:bible}} </w:t>
        <w:br/>
        <w:t xml:space="preserve">Man hat für uns Füchse gefangen </w:t>
      </w:r>
      <w:r>
        <w:rPr>
          <w:color w:val="808080"/>
        </w:rPr>
        <w:t>(Sie haben für uns Füchse gefangen; Fangt uns Füchse!; Fangt uns, ihr Füchse!)</w:t>
      </w:r>
      <w:r>
        <w:rPr/>
        <w:t>,</w:t>
      </w:r>
      <w:r>
        <w:rPr>
          <w:rStyle w:val="Funotenanker"/>
        </w:rPr>
        <w:footnoteReference w:customMarkFollows="1" w:id="2366"/>
        <w:t>ai</w:t>
      </w:r>
      <w:r>
        <w:rPr/>
        <w:t>Kleine Füchse,</w:t>
        <w:br/>
        <w:t xml:space="preserve">Die Weinberge zerstören - </w:t>
      </w:r>
      <w:r>
        <w:rPr>
          <w:b/>
          <w:color w:val="808080"/>
        </w:rPr>
        <w:t>[</w:t>
      </w:r>
      <w:r>
        <w:rPr/>
        <w:t>Daher</w:t>
      </w:r>
      <w:r>
        <w:rPr>
          <w:b/>
          <w:color w:val="808080"/>
        </w:rPr>
        <w:t>]</w:t>
      </w:r>
      <w:r>
        <w:rPr/>
        <w:t xml:space="preserve"> </w:t>
      </w:r>
      <w:r>
        <w:rPr>
          <w:b/>
          <w:color w:val="808080"/>
        </w:rPr>
        <w:t>[</w:t>
      </w:r>
      <w:r>
        <w:rPr/>
        <w:t>steht</w:t>
      </w:r>
      <w:r>
        <w:rPr>
          <w:b/>
          <w:color w:val="808080"/>
        </w:rPr>
        <w:t>]</w:t>
      </w:r>
      <w:r>
        <w:rPr/>
        <w:t xml:space="preserve"> unser Weinberg </w:t>
      </w:r>
      <w:r>
        <w:rPr>
          <w:color w:val="808080"/>
        </w:rPr>
        <w:t>(unsere Weinberge)</w:t>
      </w:r>
      <w:r>
        <w:rPr/>
        <w:t xml:space="preserve"> </w:t>
      </w:r>
      <w:r>
        <w:rPr>
          <w:rStyle w:val="Funotenanker"/>
        </w:rPr>
        <w:footnoteReference w:customMarkFollows="1" w:id="2367"/>
        <w:t>aj</w:t>
      </w:r>
      <w:r>
        <w:rPr/>
        <w:t xml:space="preserve"> </w:t>
      </w:r>
      <w:r>
        <w:rPr>
          <w:b/>
          <w:color w:val="808080"/>
        </w:rPr>
        <w:t>[</w:t>
      </w:r>
      <w:r>
        <w:rPr/>
        <w:t>in</w:t>
      </w:r>
      <w:r>
        <w:rPr>
          <w:b/>
          <w:color w:val="808080"/>
        </w:rPr>
        <w:t>]</w:t>
      </w:r>
      <w:r>
        <w:rPr/>
        <w:t xml:space="preserve"> Blüte.«</w:t>
        <w:br/>
        <w:br/>
        <w:t xml:space="preserve">{{field-off:bible}} </w:t>
        <w:br/>
        <w:t>[[@BibleTOBIBLE:So 2:16]]</w:t>
      </w:r>
      <w:r>
        <w:rPr>
          <w:b/>
        </w:rPr>
        <w:t>16</w:t>
      </w:r>
      <w:r>
        <w:rPr/>
        <w:t xml:space="preserve"> {{field-on:bible}} </w:t>
        <w:br/>
      </w:r>
      <w:r>
        <w:rPr>
          <w:b/>
          <w:color w:val="808080"/>
        </w:rPr>
        <w:t>[</w:t>
      </w:r>
      <w:r>
        <w:rPr/>
        <w:t>'''Frau''':</w:t>
      </w:r>
      <w:r>
        <w:rPr>
          <w:b/>
          <w:color w:val="808080"/>
        </w:rPr>
        <w:t>]</w:t>
      </w:r>
      <w:r>
        <w:rPr/>
        <w:t xml:space="preserve"> Mein Geliebter ist mein und ich bin sein,Der bei den Iriden weidet </w:t>
      </w:r>
      <w:r>
        <w:rPr>
          <w:color w:val="808080"/>
        </w:rPr>
        <w:t>(der Iriden frisst? der bei den Iriden grast?)</w:t>
      </w:r>
      <w:r>
        <w:rPr/>
        <w:t>.</w:t>
      </w:r>
      <w:r>
        <w:rPr>
          <w:rStyle w:val="Funotenanker"/>
        </w:rPr>
        <w:footnoteReference w:customMarkFollows="1" w:id="2368"/>
        <w:t>ak</w:t>
      </w:r>
      <w:r>
        <w:rPr/>
        <w:t xml:space="preserve"> </w:t>
        <w:br/>
        <w:t xml:space="preserve">{{field-off:bible}} </w:t>
        <w:br/>
        <w:t>[[@BibleTOBIBLE:So 2:17]]</w:t>
      </w:r>
      <w:r>
        <w:rPr>
          <w:b/>
        </w:rPr>
        <w:t>17</w:t>
      </w:r>
      <w:r>
        <w:rPr/>
        <w:t xml:space="preserve"> {{field-on:bible}} </w:t>
        <w:br/>
        <w:t xml:space="preserve">Bis </w:t>
      </w:r>
      <w:r>
        <w:rPr>
          <w:color w:val="808080"/>
        </w:rPr>
        <w:t>(Sobald)</w:t>
      </w:r>
      <w:r>
        <w:rPr/>
        <w:t xml:space="preserve"> der Tag blästUnd die Schatten fliehen,</w:t>
      </w:r>
      <w:r>
        <w:rPr>
          <w:rStyle w:val="Funotenanker"/>
        </w:rPr>
        <w:footnoteReference w:customMarkFollows="1" w:id="2369"/>
        <w:t>al</w:t>
      </w:r>
      <w:r>
        <w:rPr/>
        <w:t xml:space="preserve"> </w:t>
        <w:br/>
        <w:t xml:space="preserve">Wende dich, gleiche, mein Geliebter, </w:t>
      </w:r>
      <w:r>
        <w:rPr>
          <w:strike/>
          <w:color w:val="808080"/>
        </w:rPr>
        <w:t>{dir}</w:t>
      </w:r>
      <w:r>
        <w:rPr/>
        <w:t xml:space="preserve">Einer Gazelle </w:t>
      </w:r>
      <w:r>
        <w:rPr>
          <w:color w:val="808080"/>
        </w:rPr>
        <w:t>(einer Schönen)</w:t>
      </w:r>
      <w:r>
        <w:rPr/>
        <w:t xml:space="preserve"> oder einem HirschkitzAuf den Duft</w:t>
      </w:r>
      <w:r>
        <w:rPr>
          <w:color w:val="808080"/>
        </w:rPr>
        <w:t>(?)</w:t>
      </w:r>
      <w:r>
        <w:rPr/>
        <w:t xml:space="preserve">-Bergen </w:t>
      </w:r>
      <w:r>
        <w:rPr>
          <w:color w:val="808080"/>
        </w:rPr>
        <w:t>(den zerklüfteten Bergen, den trennenden Bergen, dem Bether-Gebirge)</w:t>
      </w:r>
      <w:r>
        <w:rPr/>
        <w:t>.“</w:t>
      </w:r>
      <w:r>
        <w:rPr>
          <w:rStyle w:val="Funotenanker"/>
        </w:rPr>
        <w:footnoteReference w:customMarkFollows="1" w:id="2370"/>
        <w:t>am</w:t>
      </w:r>
      <w:r>
        <w:rPr/>
        <w:t xml:space="preserve"> </w:t>
        <w:br/>
        <w:t xml:space="preserve">{{field-off:bible}} </w:t>
      </w:r>
    </w:p>
    <w:p>
      <w:pPr>
        <w:pStyle w:val="Berschrift3"/>
        <w:rPr/>
      </w:pPr>
      <w:r>
        <w:rPr/>
        <w:t>[[@BibleTOBIBLE:So 3]]Kapitel 3</w:t>
      </w:r>
    </w:p>
    <w:p>
      <w:pPr>
        <w:pStyle w:val="Textkrper"/>
        <w:rPr/>
      </w:pPr>
      <w:r>
        <w:rPr/>
        <w:t>Vv. 1-5 schließen sich direkt an an den vorigen Abschnitt des Hld, Hld 2,8-17: Auf den Rendezvous-Antrag ihres Geliebten hat die Frau reagiert, indem sie ihn in die Berge geschickt und aufgefordert hat, erst am Abend wieder zu ihr zu kommen. Doch am Abend – oder sogar mehrere Nächte hintereinander (s. FN b) – bleibt der Geliebte aus. Da macht sich die Frau auf, um selbst nach ihm zu suchen. Zur mutmaßlichen (hellenistischen)</w:t>
      </w:r>
      <w:r>
        <w:rPr>
          <w:rStyle w:val="Funotenanker"/>
        </w:rPr>
        <w:footnoteReference w:customMarkFollows="1" w:id="2371"/>
        <w:t>a</w:t>
      </w:r>
      <w:r>
        <w:rPr/>
        <w:t xml:space="preserve"> Abfassungszeit von Hld war das undenkbar: Mit dem zunehmenden Einfluss der griechischen auf die israelitische Kultur hatte sich auch die Rolle der Frau gewandelt, von der immer mehr erwartet wurde, dass sie sich nicht auf öffentlichen Plätzen zeigen dürfe (vgl. Sir 42,9-14; 2 Makk 3,19; 3 Makk 1,18; 4 Makk 18,7; Ps-Phokylides 215f.; schon zuvor war das „Umherstreifen“ in der Stadt verpönt, vgl. Spr 7,7-13; Jes 23,15f.; Hos 7,9</w:t>
      </w:r>
      <w:r>
        <w:rPr>
          <w:rStyle w:val="Funotenanker"/>
        </w:rPr>
        <w:footnoteReference w:customMarkFollows="1" w:id="2372"/>
        <w:t>b</w:t>
      </w:r>
      <w:r>
        <w:rPr/>
        <w:t>). Besonders interessant in unserem Zusammenhang sind zwei Stellen bei Philo, obwohl sie sicher aus späterer Zeit stammen: : Philo, Flac 89: [Als die Juden ihre Häuser durchsuchen lassen mussten, trauerten sie; unter anderem, weil] die weggeschlossenen Frauen, die nicht in die Öffentlichkeit gingen, und die Jungfrauen, die im Hause blieben, weil sie sich aus züchtiger Scham vor Männeraugen selbst vor ihren Verwandten verbargen, nun nicht nur Fremden, sondern sogar Soldaten zum Anblick dargeboten wurden. : Philo, Spec Leg III 171: Daher kümmere sich eine Frau nicht um etwas, das über den Haushalt hinausgeht, sondern erstrebe das Allein-sein, damit sie nicht im Freien unterwegs unter den Augen fremder Männer betrachtet/befragt werde; es sei denn, sie muss zum Tempel gehen. Schon als Mann sollte man nachts besser nicht sein Haus verlassen; vor allem nicht allein (s. FN y). Noch weniger eine Frau; sowieso sollte sie dann keinen Mann ansprechen und erst recht keine Soldaten. Welche Folgen ein Mädchen für solche Handlungen zu erwarten hatte, sieht man in Hld 5,6f., wo unser Abschnitt noch mal ausführlicher wiederholt wird. In Hld 3,1-5 wird diese zu erwartende Reaktion der Wächter ausgespart; muss aber wohl mitgehört werden. Auch sonst sieht man, dass hier alles andere als ein Idyll geschildert wird: Der Geliebte, auf den sie nächtelang gewartet hat, ist ausgeblieben, war aber offenbar nicht verhindert: Tatsächlich findet sie ihn bei ihrer Suche, als er sich offenbar des Nachts in der Stadt herumtreibt: es scheint so, als wolle er mit ihr gar nichts zu tun haben, obwohl sie sich doch verabredet hatten. Doch sie zieht ihn, „anscheinend gegen seinen Willen, zum Haus ihrer Mutter.“ (Sparks 2008, S. 286). Und wieder folgt hier, wie schon in Hld 2,7, auf diese Schilderung der denkbar negativsten Folgen verfrühter, nämlich vorehelicher Liebe, der Refrain: Ich beschwöre euch, Töchter Jerusalems, bei den Gazellen oder bei den Hirschkühen des Feldes: Entfacht nicht und facht nicht an die Liebe, bis es ihr gefällt!</w:t>
      </w:r>
      <w:r>
        <w:rPr>
          <w:rStyle w:val="Funotenanker"/>
        </w:rPr>
        <w:footnoteReference w:customMarkFollows="1" w:id="2373"/>
        <w:t>c</w:t>
      </w:r>
      <w:r>
        <w:rPr/>
        <w:t xml:space="preserve"> Mit Vv. 6-11 beginnt ein neuer, bis Hld 5,1 reichender Abschnitt im Hld, der ganz im Zeichen der Ehe steht. Wie ein Rahmen schließen sich um diesen Abschnitt die beiden in der Formulierung eng zusammenhängenden Schilderungen negativer Folgen von vorehelicher Liebe, Hld 2,8-3,5 und Hld 5,2-8. Zum Verständnis dieser Verse ist etwas Hintergrundwissen über antike jüdische Hochzeitsbräuche vonnöten; beginnen wir daher mit einem Exkurs: &lt;small&gt;&lt;u&gt;Exkurs&lt;/u&gt;: Griechische und jüdische Hochzeitsbräuche in der Antike&lt;/small&gt; &lt;small&gt;Hochzeiten liefen im Alten Israel ähnlich ab wie im Alten Griechenland. Dort begann der Hochzeitstag mit einem rituellen Bad der Braut und einem Festmahl im Haus des Brautvaters im kleineren Kreis. Daran schloss sich eine Prozession an, bei der die festlich geschmückte Braut in einem Pferdewagen unter Festgesang und dem Verbrennen von Weihrauch und Myrrhe zur Hochzeit gebracht wurde; charakteristisch für solche Hochzeitsprozessionen waren außerdem die Fackelträger. Z.B. bei Sappho 44LP findet sich eine Schilderung einer solchen Prozession:&lt;/small&gt; : &lt;small&gt;Hektor führt im Geleit nun ein schwarzäugig Mädchen heimaus dem heiligen Theben und Plakias Fruchtgefild,bringt die zarte Andromache über die salzigeMeerflut. ...Alle stimmten das heilige Lied, sie zu preisen, an,Und so zog man (vom Strande zum heiligen) Ilion....Duft von Myrrhen und Zimt und von Weihrauch vereinte sich.Alle Frauen, die älteren, riefen ihr „Eleleu“,alle Männer, mit Jauchzen und sehnlichem Hochzeitsruf,riefen Paian, den treffenden Schützen, den Sangesgott,priesen Hektor, Andromache, beide den Göttern gleich. (Üs.: Treu)&lt;/small&gt; &lt;small&gt;Interessant ist dieses Hochzeitslied in unserem Zusammenhang auch deshalb, weil hier Braut und Bräutigam besungen werden, indem sie mit dem Hochzeitspaar schlechthin aus der mythischen Vorzeit, Hektor und Andromache, identifiziert werden.</w:t>
      </w:r>
      <w:r>
        <w:rPr>
          <w:rStyle w:val="Funotenanker"/>
        </w:rPr>
        <w:footnoteReference w:customMarkFollows="1" w:id="2374"/>
        <w:t>d</w:t>
      </w:r>
      <w:r>
        <w:rPr/>
        <w:t xml:space="preserve"> Solche Vergleiche waren ein typischer Zug griechischer Hochzeitslieder; allein von Sappho ist überliefert, dass sie zu anderen Gelegenheiten Braut und Bräutigam verglichen hat mit Achilles, Ares, Helena und Hermione.</w:t>
      </w:r>
      <w:r>
        <w:rPr>
          <w:rStyle w:val="Funotenanker"/>
        </w:rPr>
        <w:footnoteReference w:customMarkFollows="1" w:id="2375"/>
        <w:t>e</w:t>
      </w:r>
      <w:r>
        <w:rPr/>
        <w:t>&lt;/small&gt; &lt;small&gt;Braut und Bräutigam wurden dann ins Brautgemach eingeführt, das von einem thyroros bewacht wurde. Während die Hochzeitsgesellschaft ein rauschendes Fest feierte, wurde in diesem Brautgemach die Ehe in einem besonderen Brautbett vollzogen, das mit einem sogenannten pastos („Baldachin“) zu einem Himmelbett umgebaut worden war.</w:t>
      </w:r>
      <w:r>
        <w:rPr>
          <w:rStyle w:val="Funotenanker"/>
        </w:rPr>
        <w:footnoteReference w:customMarkFollows="1" w:id="2376"/>
        <w:t>f</w:t>
      </w:r>
      <w:r>
        <w:rPr/>
        <w:t xml:space="preserve"> Irgendwann im Verlauf der Feier fand außerdem das sogenannte anakalypterion statt: die „Entschleierung“ der Braut.&lt;/small&gt; &lt;small&gt;Auch eine jüdische Hochzeit begann wahrscheinlich mit einem rituellen Bad;</w:t>
      </w:r>
      <w:r>
        <w:rPr>
          <w:rStyle w:val="Funotenanker"/>
        </w:rPr>
        <w:footnoteReference w:customMarkFollows="1" w:id="2377"/>
        <w:t>g</w:t>
      </w:r>
      <w:r>
        <w:rPr/>
        <w:t xml:space="preserve"> danach folgte sicher ebenfalls eine Prozession, bei der die Braut in einer Sänfte vom Haus ihres Vaters zur chuppah (=entweder „Brautgemach“ oder „Brautbett“) im Haus ihres Bräutigams getragen wurde. Manchmal wurde sie dabei offenbar vom Bräutigam abgeholt.</w:t>
      </w:r>
      <w:r>
        <w:rPr>
          <w:rStyle w:val="Funotenanker"/>
        </w:rPr>
        <w:footnoteReference w:customMarkFollows="1" w:id="2378"/>
        <w:t>h</w:t>
      </w:r>
      <w:r>
        <w:rPr/>
        <w:t xml:space="preserve"> Vgl. 1 Makk 9,37.39; b.Sotah 12a u.ö.; bes. m.Sot ix 14: „Im letzten Krieg [=130er Jahre n.Chr.] wurde verboten, dass eine Braut in einem ´appirjon durch die Stadt ziehen dürfe. Und unsere Rabbis erlaubten der Braut, in einem ´appirjon durch die Stadt zu ziehen.“&lt;/small&gt; &lt;small&gt;Nach t.Ket 1,4 pflegte man in Judäa, vor dieser Prozession Brautgemach, Braut und Bräutigam zu begutachten: „R. Yehudah sagte: In Judäa inspizierte man drei Tage vor der chuppah-Zeremonie die chuppah, den Bräutigam und die Braut. In Galiläa machte man das nicht.“&lt;/small&gt; &lt;small&gt;rahmenlos</w:t>
      </w:r>
      <w:r>
        <w:rPr>
          <w:rStyle w:val="Funotenanker"/>
        </w:rPr>
        <w:footnoteReference w:customMarkFollows="1" w:id="2379"/>
        <w:t>i</w:t>
      </w:r>
      <w:r>
        <w:rPr/>
        <w:t xml:space="preserve">Griechische Hochzeitskammer mit Brautbett. (c) Horine, Stephen: Interpretive Images in the Song of Songs. From Wedding Chariots to Bridal Chambers. New York u.a., 2001. S. 83.Auch in einem jüdischen Brautgemach stand ein Himmelbett, vgl. 1 Makk 1,28; Ps 18,5 LXX; Joel 2,16 LXX; 3 Makk 1,19; 4,6, wo jeweils die Braut unter einen pastos verortet wird. Vgl. auch b.Sukkah 10b-11a, wo drei Arten von Himmelbetten unterschieden werden, die in einem Zelt stehen konnten: qinof (ein Himmelbett mit vier fest installierten Pfosten), naqlitim (ein Himmelbett mit zwei fest installierten Pfosten) und kilat chatnim („Hochzeits-zeltbett“). Zur Farbgebung des Brautbetts vgl. b.Sotah 49a: „Was bedeutet chuppah? – purpurne Seide bestickt mit Gold.“&lt;/small&gt; &lt;small&gt;Auch die Rolle des thyroros findet sich noch heute bei jüdischen Hochzeiten; sie heißen dort schoschbinin („Wächter“). Über die Zahl lässt sich nichts genaues sagen: Nach Joh 3,29 war es offenbar einer; nach t.Ket 1,4 zwei – einer für die Braut, einer für den Bräutigam – und offenbar 30 schoschbinin hat (ironisch gespiegelt) Samson bei seiner Heirat mit der Philisterin (s. Ri 14,11). Ähnlich wird von der Hochzeit von Adam und Eva in b.Ber 61a berichtet, (nur) Gott sei Adams schoschbin gewesen, nach GenR 8,13 übernahmen die zwei Engel Michael und Gabriel die Rolle der schoschbinin und nach PRE 12 taten dies offenbar alle Engel des himmlischen Heeres.&lt;/small&gt; &lt;small&gt;Aus Gen 29,23.25 schließlich lässt sich folgern, dass bei einer antiken jüdischen Hochzeit die Braut ebenfalls verschleiert erschien und frühestens im Brautgemach entschleiert wurde. Viele dieser Züge finden sich gebündelt in Jdt 12-13, wo der Leser sicher an eine Hochzeitsnacht erinnert werden soll: Nachdem sich Judit gewaschen, gesalbt, in Festgewänder gekleidet, ein Diadem (!) aufgesetzt und allen verfügbaren Schmuck angelegt hat (Jdt 10,3-4), zieht Judit mit einem Geleit von 100 Mann im Lager des Holofernes ein (Jdt 10,10.15-17) und wird dort direkt zu seinem Bett geführt (Jdt 10,20f.). Nach einem Bad (Jdt 12,7-9) und einem ausschweifenden Fest (Jdt 12,10-20), liegt sie, wiederum festlich geschmückt (Jdt 12,15), hinter einer von einem Vertrauten des Mannes und einer Vertrauten der Frau bewachten Tür (Jdt 13,3) mit Holofernes in besagtem Bett unter einem „Mückennetz“ aus Purpur und Gold (Jd 10,21), das über auf Bettpfosten befestigten Stäben hängt (Jdt 13,6.9).&lt;/small&gt; In Vv. 7-11 ist die Begutachtung von Brautgemach und Brautpaar verdichtet, die t.Ket 1,4 bezeugt: V. 7 beginnt mit „Siehe“, danach wird in Vv. 7-10 das Brautbett beschrieben, das wie üblich unter einem purpurnen Baldachin steht und das man sich offenbar vorzustellen hat wie das des Holofernes oder das rechts Abgebildete. Es ist sehr luxuriös, und auch die Zahl der schoschbinin sprengt jeden Rahmen: 60 solcher „Wächter“ haben sich bereits „um das Bett herum“, nämlich außerhalb des Brautgemachs, aufgestellt. V. 11 schließt sich, eingeleitet durch ein „schauet!“, die Begutachtung des Bräutigams an. Dieser wird dabei ganz ähnlich wie in griechischen Hochzeitsliedern mit einem antiken Heros gleichgesetzt, nämlich mit Salomon. Die Braut braucht nicht beschrieben zu werden, da dies direkt anschließend Hld 4,1-7 der Bräutigam übernimmt; situationsgemäß mit einem Extra-hinweis auf den Schleier der Braut in Hld 4,1, der in der Parallelstelle Hld 1,15 noch fehlte. In diesem Kontext will dann auch der eigentlich unabhängige V. 6 verstanden werden: Im jetztigen Kontext handelt er von der Prozession, bei der die Braut durch die Wüste zum Haus ihres Ehemanns gebracht wird. Wie bei griechischen Prozessionen wird auch hier dabei Myrrhe und Weihrauch verbrannt. </w:t>
        <w:br/>
        <w:br/>
        <w:t>[[@BibleTOBIBLE:So 3:1]]</w:t>
      </w:r>
      <w:r>
        <w:rPr>
          <w:b/>
        </w:rPr>
        <w:t>1</w:t>
      </w:r>
      <w:r>
        <w:rPr/>
        <w:t xml:space="preserve"> {{field-on:bible}} </w:t>
      </w:r>
      <w:r>
        <w:rPr>
          <w:b/>
          <w:color w:val="808080"/>
        </w:rPr>
        <w:t>[</w:t>
      </w:r>
      <w:r>
        <w:rPr/>
        <w:t>'''Frau''':</w:t>
      </w:r>
      <w:r>
        <w:rPr>
          <w:b/>
          <w:color w:val="808080"/>
        </w:rPr>
        <w:t>]</w:t>
      </w:r>
      <w:r>
        <w:rPr/>
        <w:t xml:space="preserve"> </w:t>
      </w:r>
      <w:r>
        <w:rPr>
          <w:rStyle w:val="Funotenanker"/>
        </w:rPr>
        <w:footnoteReference w:customMarkFollows="1" w:id="2380"/>
        <w:t>j</w:t>
      </w:r>
      <w:r>
        <w:rPr/>
        <w:t xml:space="preserve"> „Auf meinem Lager in den Nächten </w:t>
      </w:r>
      <w:r>
        <w:rPr>
          <w:color w:val="808080"/>
        </w:rPr>
        <w:t>(in der Nacht)</w:t>
      </w:r>
      <w:r>
        <w:rPr/>
        <w:t xml:space="preserve"> </w:t>
      </w:r>
      <w:r>
        <w:rPr>
          <w:rStyle w:val="Funotenanker"/>
        </w:rPr>
        <w:footnoteReference w:customMarkFollows="1" w:id="2381"/>
        <w:t>k</w:t>
      </w:r>
      <w:r>
        <w:rPr/>
        <w:t xml:space="preserve"> suchte ich </w:t>
      </w:r>
      <w:r>
        <w:rPr>
          <w:color w:val="808080"/>
        </w:rPr>
        <w:t>(sehnte ich mich nach dem)</w:t>
      </w:r>
      <w:r>
        <w:rPr/>
        <w:t>,</w:t>
      </w:r>
      <w:r>
        <w:rPr>
          <w:rStyle w:val="Funotenanker"/>
        </w:rPr>
        <w:footnoteReference w:customMarkFollows="1" w:id="2382"/>
        <w:t>l</w:t>
      </w:r>
      <w:r>
        <w:rPr/>
        <w:t xml:space="preserve">Den meine Seele liebt </w:t>
      </w:r>
      <w:r>
        <w:rPr>
          <w:color w:val="808080"/>
        </w:rPr>
        <w:t>(den ich liebe)</w:t>
      </w:r>
      <w:r>
        <w:rPr/>
        <w:t>;</w:t>
      </w:r>
      <w:r>
        <w:rPr>
          <w:rStyle w:val="Funotenanker"/>
        </w:rPr>
        <w:footnoteReference w:customMarkFollows="1" w:id="2383"/>
        <w:t>m</w:t>
      </w:r>
      <w:r>
        <w:rPr/>
        <w:t xml:space="preserve">Ich suchte ihn und </w:t>
      </w:r>
      <w:r>
        <w:rPr>
          <w:color w:val="808080"/>
        </w:rPr>
        <w:t>(aber)</w:t>
      </w:r>
      <w:r>
        <w:rPr/>
        <w:t xml:space="preserve"> fand ihn nicht.</w:t>
        <w:br/>
        <w:t xml:space="preserve">{{field-off:bible}} </w:t>
        <w:br/>
        <w:t>[[@BibleTOBIBLE:So 3:2]]</w:t>
      </w:r>
      <w:r>
        <w:rPr>
          <w:b/>
        </w:rPr>
        <w:t>2</w:t>
      </w:r>
      <w:r>
        <w:rPr/>
        <w:t xml:space="preserve"> {{field-on:bible}} </w:t>
        <w:br/>
      </w:r>
      <w:r>
        <w:rPr>
          <w:b/>
          <w:color w:val="808080"/>
        </w:rPr>
        <w:t>[</w:t>
      </w:r>
      <w:r>
        <w:rPr/>
        <w:t>Da sagte ich mir:</w:t>
      </w:r>
      <w:r>
        <w:rPr>
          <w:b/>
          <w:color w:val="808080"/>
        </w:rPr>
        <w:t>]</w:t>
      </w:r>
      <w:r>
        <w:rPr/>
        <w:t xml:space="preserve"> »Ich will aufstehen</w:t>
      </w:r>
      <w:r>
        <w:rPr>
          <w:rStyle w:val="Funotenanker"/>
        </w:rPr>
        <w:footnoteReference w:customMarkFollows="1" w:id="2384"/>
        <w:t>n</w:t>
      </w:r>
      <w:r>
        <w:rPr/>
        <w:t xml:space="preserve"> und umhergehen in der Stadt,Auf den Straßen und auf den Plätzen!</w:t>
        <w:br/>
        <w:t xml:space="preserve">Ich will suchen, den meine Seele liebt </w:t>
      </w:r>
      <w:r>
        <w:rPr>
          <w:color w:val="808080"/>
        </w:rPr>
        <w:t>(den ich liebe)</w:t>
      </w:r>
      <w:r>
        <w:rPr/>
        <w:t xml:space="preserve">!«Ich suchte ihn und </w:t>
      </w:r>
      <w:r>
        <w:rPr>
          <w:color w:val="808080"/>
        </w:rPr>
        <w:t>(aber)</w:t>
      </w:r>
      <w:r>
        <w:rPr/>
        <w:t xml:space="preserve"> fand ihn nicht.</w:t>
        <w:br/>
        <w:t xml:space="preserve">{{field-off:bible}} </w:t>
        <w:br/>
        <w:t>[[@BibleTOBIBLE:So 3:3]]</w:t>
      </w:r>
      <w:r>
        <w:rPr>
          <w:b/>
        </w:rPr>
        <w:t>3</w:t>
      </w:r>
      <w:r>
        <w:rPr/>
        <w:t xml:space="preserve"> {{field-on:bible}} </w:t>
        <w:br/>
        <w:t xml:space="preserve">Es fanden </w:t>
      </w:r>
      <w:r>
        <w:rPr>
          <w:color w:val="808080"/>
        </w:rPr>
        <w:t>(ergriffen)</w:t>
      </w:r>
      <w:r>
        <w:rPr/>
        <w:t xml:space="preserve"> </w:t>
      </w:r>
      <w:r>
        <w:rPr>
          <w:rStyle w:val="Funotenanker"/>
        </w:rPr>
        <w:footnoteReference w:customMarkFollows="1" w:id="2385"/>
        <w:t>o</w:t>
      </w:r>
      <w:r>
        <w:rPr/>
        <w:t xml:space="preserve"> mich die Wächter,Die in der Stadt umhergingen </w:t>
      </w:r>
      <w:r>
        <w:rPr>
          <w:color w:val="808080"/>
        </w:rPr>
        <w:t>(Umhergehenden)</w:t>
      </w:r>
      <w:r>
        <w:rPr/>
        <w:t xml:space="preserve"> </w:t>
      </w:r>
      <w:r>
        <w:rPr>
          <w:rStyle w:val="Funotenanker"/>
        </w:rPr>
        <w:footnoteReference w:customMarkFollows="1" w:id="2386"/>
        <w:t>p</w:t>
      </w:r>
      <w:r>
        <w:rPr/>
        <w:t xml:space="preserve"> </w:t>
        <w:br/>
      </w:r>
      <w:r>
        <w:rPr>
          <w:b/>
          <w:color w:val="808080"/>
        </w:rPr>
        <w:t>[</w:t>
      </w:r>
      <w:r>
        <w:rPr/>
        <w:t>Ich fragte sie:</w:t>
      </w:r>
      <w:r>
        <w:rPr>
          <w:b/>
          <w:color w:val="808080"/>
        </w:rPr>
        <w:t>]</w:t>
      </w:r>
      <w:r>
        <w:rPr/>
        <w:t xml:space="preserve"> »Den meine Seele liebt </w:t>
      </w:r>
      <w:r>
        <w:rPr>
          <w:color w:val="808080"/>
        </w:rPr>
        <w:t>(den ich liebe)</w:t>
      </w:r>
      <w:r>
        <w:rPr/>
        <w:t xml:space="preserve">, habt ihr </w:t>
      </w:r>
      <w:r>
        <w:rPr>
          <w:b/>
          <w:color w:val="808080"/>
        </w:rPr>
        <w:t>[</w:t>
      </w:r>
      <w:r>
        <w:rPr/>
        <w:t>ihn</w:t>
      </w:r>
      <w:r>
        <w:rPr>
          <w:b/>
          <w:color w:val="808080"/>
        </w:rPr>
        <w:t>]</w:t>
      </w:r>
      <w:r>
        <w:rPr/>
        <w:t xml:space="preserve"> gesehen?«</w:t>
        <w:br/>
        <w:t xml:space="preserve">{{field-off:bible}} </w:t>
        <w:br/>
        <w:t>[[@BibleTOBIBLE:So 3:4]]</w:t>
      </w:r>
      <w:r>
        <w:rPr>
          <w:b/>
        </w:rPr>
        <w:t>4</w:t>
      </w:r>
      <w:r>
        <w:rPr/>
        <w:t xml:space="preserve"> {{field-on:bible}} </w:t>
        <w:br/>
      </w:r>
      <w:r>
        <w:rPr>
          <w:b/>
          <w:color w:val="808080"/>
        </w:rPr>
        <w:t>[</w:t>
      </w:r>
      <w:r>
        <w:rPr/>
        <w:t>Nur</w:t>
      </w:r>
      <w:r>
        <w:rPr>
          <w:b/>
          <w:color w:val="808080"/>
        </w:rPr>
        <w:t>]</w:t>
      </w:r>
      <w:r>
        <w:rPr/>
        <w:t xml:space="preserve"> Weniges </w:t>
      </w:r>
      <w:r>
        <w:rPr>
          <w:b/>
          <w:color w:val="808080"/>
        </w:rPr>
        <w:t>[</w:t>
      </w:r>
      <w:r>
        <w:rPr/>
        <w:t>war's</w:t>
      </w:r>
      <w:r>
        <w:rPr>
          <w:b/>
          <w:color w:val="808080"/>
        </w:rPr>
        <w:t>]</w:t>
      </w:r>
      <w:r>
        <w:rPr/>
        <w:t>, dass ich an ihnen vorbeigegangen war,</w:t>
      </w:r>
      <w:r>
        <w:rPr>
          <w:rStyle w:val="Funotenanker"/>
        </w:rPr>
        <w:footnoteReference w:customMarkFollows="1" w:id="2387"/>
        <w:t>q</w:t>
      </w:r>
      <w:r>
        <w:rPr/>
        <w:t xml:space="preserve">Bis dass ich fand </w:t>
      </w:r>
      <w:r>
        <w:rPr>
          <w:color w:val="808080"/>
        </w:rPr>
        <w:t>(ergriff)</w:t>
      </w:r>
      <w:r>
        <w:rPr/>
        <w:t xml:space="preserve">, den meine Seele liebt </w:t>
      </w:r>
      <w:r>
        <w:rPr>
          <w:color w:val="808080"/>
        </w:rPr>
        <w:t>(den ich liebe)</w:t>
      </w:r>
      <w:r>
        <w:rPr/>
        <w:t>.</w:t>
        <w:br/>
        <w:t>Ich packte ihn und wollte ihn nicht mehr los lassen,Bis dass ich ihn gebracht hätte ins Haus meiner Mutter</w:t>
      </w:r>
      <w:r>
        <w:rPr>
          <w:rStyle w:val="Funotenanker"/>
        </w:rPr>
        <w:footnoteReference w:customMarkFollows="1" w:id="2388"/>
        <w:t>r</w:t>
      </w:r>
      <w:r>
        <w:rPr/>
        <w:t>Und in die Kammer meiner Gebärerin.</w:t>
        <w:br/>
        <w:t xml:space="preserve">{{field-off:bible}} </w:t>
        <w:br/>
        <w:t>[[@BibleTOBIBLE:So 3:5]]</w:t>
      </w:r>
      <w:r>
        <w:rPr>
          <w:b/>
        </w:rPr>
        <w:t>5</w:t>
      </w:r>
      <w:r>
        <w:rPr/>
        <w:t xml:space="preserve"> {{field-on:bible}} </w:t>
        <w:br/>
        <w:t>Ich beschwöre euch, Töchter Jerusalems, Bei den Gazellen oder bei den Hirschkühen des Feldes:</w:t>
      </w:r>
      <w:r>
        <w:rPr>
          <w:rStyle w:val="Funotenanker"/>
        </w:rPr>
        <w:footnoteReference w:customMarkFollows="1" w:id="2389"/>
        <w:t>s</w:t>
      </w:r>
      <w:r>
        <w:rPr/>
        <w:t xml:space="preserve"> </w:t>
        <w:br/>
        <w:t>Entfacht nicht und facht nicht an</w:t>
      </w:r>
      <w:r>
        <w:rPr>
          <w:rStyle w:val="Funotenanker"/>
        </w:rPr>
        <w:footnoteReference w:customMarkFollows="1" w:id="2390"/>
        <w:t>t</w:t>
      </w:r>
      <w:r>
        <w:rPr/>
        <w:t xml:space="preserve"> die Liebe </w:t>
      </w:r>
      <w:r>
        <w:rPr>
          <w:color w:val="808080"/>
        </w:rPr>
        <w:t>(Stört nicht den Geschlechtsverkehr?</w:t>
      </w:r>
      <w:r>
        <w:rPr/>
        <w:t xml:space="preserve"> </w:t>
      </w:r>
      <w:r>
        <w:rPr>
          <w:rStyle w:val="Funotenanker"/>
        </w:rPr>
        <w:footnoteReference w:customMarkFollows="1" w:id="2391"/>
        <w:t>u</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392"/>
        <w:t>v</w:t>
      </w:r>
      <w:r>
        <w:rPr/>
        <w:t xml:space="preserve"> </w:t>
        <w:br/>
        <w:t xml:space="preserve">{{field-off:bible}} </w:t>
        <w:br/>
        <w:t>[[@BibleTOBIBLE:So 3:6]]</w:t>
      </w:r>
      <w:r>
        <w:rPr>
          <w:b/>
        </w:rPr>
        <w:t>6</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w:t>
      </w:r>
      <w:r>
        <w:rPr>
          <w:rStyle w:val="Funotenanker"/>
        </w:rPr>
        <w:footnoteReference w:customMarkFollows="1" w:id="2393"/>
        <w:t>w</w:t>
      </w:r>
      <w:r>
        <w:rPr/>
        <w:t xml:space="preserve"> „Wer</w:t>
      </w:r>
      <w:r>
        <w:rPr>
          <w:rStyle w:val="Funotenanker"/>
        </w:rPr>
        <w:footnoteReference w:customMarkFollows="1" w:id="2394"/>
        <w:t>x</w:t>
      </w:r>
      <w:r>
        <w:rPr/>
        <w:t xml:space="preserve"> </w:t>
      </w:r>
      <w:r>
        <w:rPr>
          <w:b/>
          <w:color w:val="808080"/>
        </w:rPr>
        <w:t>[</w:t>
      </w:r>
      <w:r>
        <w:rPr/>
        <w:t>ist</w:t>
      </w:r>
      <w:r>
        <w:rPr>
          <w:b/>
          <w:color w:val="808080"/>
        </w:rPr>
        <w:t>]</w:t>
      </w:r>
      <w:r>
        <w:rPr/>
        <w:t xml:space="preserve"> diese, die hinaufzieht von </w:t>
      </w:r>
      <w:r>
        <w:rPr>
          <w:color w:val="808080"/>
        </w:rPr>
        <w:t>(aus)</w:t>
      </w:r>
      <w:r>
        <w:rPr/>
        <w:t xml:space="preserve"> der WüsteWie eine Säule </w:t>
      </w:r>
      <w:r>
        <w:rPr>
          <w:color w:val="808080"/>
        </w:rPr>
        <w:t>(wie Säulen)</w:t>
      </w:r>
      <w:r>
        <w:rPr/>
        <w:t xml:space="preserve"> </w:t>
      </w:r>
      <w:r>
        <w:rPr>
          <w:rStyle w:val="Funotenanker"/>
        </w:rPr>
        <w:footnoteReference w:customMarkFollows="1" w:id="2395"/>
        <w:t>y</w:t>
      </w:r>
      <w:r>
        <w:rPr/>
        <w:t xml:space="preserve"> aus Rauch,</w:t>
        <w:br/>
        <w:t xml:space="preserve">Duftender nach Myrrhe und Weihrauch </w:t>
      </w:r>
      <w:r>
        <w:rPr>
          <w:color w:val="808080"/>
        </w:rPr>
        <w:t>(Rauch aus dem Räucherwerk von Myrrhe und Weihrauch)</w:t>
      </w:r>
      <w:r>
        <w:rPr/>
        <w:t xml:space="preserve"> </w:t>
      </w:r>
      <w:r>
        <w:rPr>
          <w:rStyle w:val="Funotenanker"/>
        </w:rPr>
        <w:footnoteReference w:customMarkFollows="1" w:id="2396"/>
        <w:t>z</w:t>
      </w:r>
      <w:r>
        <w:rPr/>
        <w:t xml:space="preserve">Als alle Pulver des Händlers </w:t>
      </w:r>
      <w:r>
        <w:rPr>
          <w:color w:val="808080"/>
        </w:rPr>
        <w:t>(Duftend nach Myrrhe und Weihrauch, nach allen Pulvern des Händlers)</w:t>
      </w:r>
      <w:r>
        <w:rPr/>
        <w:t>!?</w:t>
      </w:r>
      <w:r>
        <w:rPr>
          <w:rStyle w:val="Funotenanker"/>
        </w:rPr>
        <w:footnoteReference w:customMarkFollows="1" w:id="2397"/>
        <w:t>aa</w:t>
      </w:r>
      <w:r>
        <w:rPr/>
        <w:t xml:space="preserve"> </w:t>
        <w:br/>
        <w:t>★</w:t>
      </w:r>
      <w:r>
        <w:rPr>
          <w:rStyle w:val="Funotenanker"/>
        </w:rPr>
        <w:footnoteReference w:customMarkFollows="1" w:id="2398"/>
        <w:t>ab</w:t>
      </w:r>
      <w:r>
        <w:rPr/>
        <w:t xml:space="preserve"> </w:t>
        <w:br/>
        <w:t xml:space="preserve">{{field-off:bible}} </w:t>
        <w:br/>
        <w:t>[[@BibleTOBIBLE:So 3:7]]</w:t>
      </w:r>
      <w:r>
        <w:rPr>
          <w:b/>
        </w:rPr>
        <w:t>7</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 xml:space="preserve"> </w:t>
      </w:r>
      <w:r>
        <w:rPr>
          <w:rStyle w:val="Funotenanker"/>
        </w:rPr>
        <w:footnoteReference w:customMarkFollows="1" w:id="2399"/>
        <w:t>ac</w:t>
      </w:r>
      <w:r>
        <w:rPr/>
        <w:t xml:space="preserve"> Siehe, das Bett </w:t>
      </w:r>
      <w:r>
        <w:rPr>
          <w:color w:val="808080"/>
        </w:rPr>
        <w:t>(die Liegesänfte?)</w:t>
      </w:r>
      <w:r>
        <w:rPr/>
        <w:t xml:space="preserve"> Salomos</w:t>
      </w:r>
      <w:r>
        <w:rPr>
          <w:rStyle w:val="Funotenanker"/>
        </w:rPr>
        <w:footnoteReference w:customMarkFollows="1" w:id="2400"/>
        <w:t>ad</w:t>
      </w:r>
      <w:r>
        <w:rPr/>
        <w:t xml:space="preserve"> </w:t>
        <w:br/>
        <w:t xml:space="preserve">Sechzig Helden </w:t>
      </w:r>
      <w:r>
        <w:rPr>
          <w:color w:val="808080"/>
        </w:rPr>
        <w:t>(Krieger, Männer)</w:t>
      </w:r>
      <w:r>
        <w:rPr/>
        <w:t xml:space="preserve"> um esVon den Helden </w:t>
      </w:r>
      <w:r>
        <w:rPr>
          <w:color w:val="808080"/>
        </w:rPr>
        <w:t>(Krieger, Männer)</w:t>
      </w:r>
      <w:r>
        <w:rPr/>
        <w:t xml:space="preserve"> Israels:</w:t>
      </w:r>
      <w:r>
        <w:rPr>
          <w:rStyle w:val="Funotenanker"/>
        </w:rPr>
        <w:footnoteReference w:customMarkFollows="1" w:id="2401"/>
        <w:t>ae</w:t>
      </w:r>
      <w:r>
        <w:rPr/>
        <w:t xml:space="preserve"> </w:t>
        <w:br/>
        <w:t xml:space="preserve">{{field-off:bible}} </w:t>
        <w:br/>
        <w:t>[[@BibleTOBIBLE:So 3:8]]</w:t>
      </w:r>
      <w:r>
        <w:rPr>
          <w:b/>
        </w:rPr>
        <w:t>8</w:t>
      </w:r>
      <w:r>
        <w:rPr/>
        <w:t xml:space="preserve"> {{field-on:bible}} </w:t>
        <w:br/>
        <w:t xml:space="preserve">Sie alle sind schwerterfahren </w:t>
      </w:r>
      <w:r>
        <w:rPr>
          <w:color w:val="808080"/>
        </w:rPr>
        <w:t>(halten ein Schwert)</w:t>
      </w:r>
      <w:r>
        <w:rPr/>
        <w:t>,</w:t>
      </w:r>
      <w:r>
        <w:rPr>
          <w:rStyle w:val="Funotenanker"/>
        </w:rPr>
        <w:footnoteReference w:customMarkFollows="1" w:id="2402"/>
        <w:t>af</w:t>
      </w:r>
      <w:r>
        <w:rPr/>
        <w:t>Geübt im Kampf.</w:t>
      </w:r>
      <w:r>
        <w:rPr>
          <w:rStyle w:val="Funotenanker"/>
        </w:rPr>
        <w:footnoteReference w:customMarkFollows="1" w:id="2403"/>
        <w:t>ag</w:t>
      </w:r>
      <w:r>
        <w:rPr/>
        <w:t xml:space="preserve"> </w:t>
        <w:br/>
        <w:t xml:space="preserve">Jeder </w:t>
      </w:r>
      <w:r>
        <w:rPr>
          <w:b/>
          <w:color w:val="808080"/>
        </w:rPr>
        <w:t>[</w:t>
      </w:r>
      <w:r>
        <w:rPr/>
        <w:t>hat</w:t>
      </w:r>
      <w:r>
        <w:rPr>
          <w:b/>
          <w:color w:val="808080"/>
        </w:rPr>
        <w:t>]</w:t>
      </w:r>
      <w:r>
        <w:rPr/>
        <w:t xml:space="preserve"> sein Schwert an seiner HüfteGegen </w:t>
      </w:r>
      <w:r>
        <w:rPr>
          <w:color w:val="808080"/>
        </w:rPr>
        <w:t>(wegen)</w:t>
      </w:r>
      <w:r>
        <w:rPr/>
        <w:t xml:space="preserve"> nächtliche Schrecken.</w:t>
      </w:r>
      <w:r>
        <w:rPr>
          <w:rStyle w:val="Funotenanker"/>
        </w:rPr>
        <w:footnoteReference w:customMarkFollows="1" w:id="2404"/>
        <w:t>ah</w:t>
      </w:r>
      <w:r>
        <w:rPr/>
        <w:t xml:space="preserve"> </w:t>
        <w:br/>
        <w:t>(★)</w:t>
      </w:r>
      <w:r>
        <w:rPr>
          <w:rStyle w:val="Funotenanker"/>
        </w:rPr>
        <w:footnoteReference w:customMarkFollows="1" w:id="2405"/>
        <w:t>ai</w:t>
      </w:r>
      <w:r>
        <w:rPr/>
        <w:t xml:space="preserve"> </w:t>
        <w:br/>
        <w:t xml:space="preserve">{{field-off:bible}} </w:t>
        <w:br/>
        <w:t>[[@BibleTOBIBLE:So 3:9]]</w:t>
      </w:r>
      <w:r>
        <w:rPr>
          <w:b/>
        </w:rPr>
        <w:t>9</w:t>
      </w:r>
      <w:r>
        <w:rPr/>
        <w:t xml:space="preserve"> {{field-on:bible}} </w:t>
        <w:br/>
        <w:t xml:space="preserve">Eine Bettstatt </w:t>
      </w:r>
      <w:r>
        <w:rPr>
          <w:color w:val="808080"/>
        </w:rPr>
        <w:t>(?, Sänfte)</w:t>
      </w:r>
      <w:r>
        <w:rPr/>
        <w:t xml:space="preserve"> </w:t>
      </w:r>
      <w:r>
        <w:rPr>
          <w:rStyle w:val="Funotenanker"/>
        </w:rPr>
        <w:footnoteReference w:customMarkFollows="1" w:id="2406"/>
        <w:t>aj</w:t>
      </w:r>
      <w:r>
        <w:rPr/>
        <w:t xml:space="preserve"> ließ sich machen </w:t>
      </w:r>
      <w:r>
        <w:rPr>
          <w:color w:val="808080"/>
        </w:rPr>
        <w:t>(hat sich gemacht)</w:t>
      </w:r>
      <w:r>
        <w:rPr/>
        <w:t xml:space="preserve"> </w:t>
      </w:r>
      <w:r>
        <w:rPr>
          <w:rStyle w:val="Funotenanker"/>
        </w:rPr>
        <w:footnoteReference w:customMarkFollows="1" w:id="2407"/>
        <w:t>ak</w:t>
      </w:r>
      <w:r>
        <w:rPr/>
        <w:t xml:space="preserve"> der König SalomoAus Holz vom Libanon.</w:t>
      </w:r>
      <w:r>
        <w:rPr>
          <w:rStyle w:val="Funotenanker"/>
        </w:rPr>
        <w:footnoteReference w:customMarkFollows="1" w:id="2408"/>
        <w:t>al</w:t>
      </w:r>
      <w:r>
        <w:rPr/>
        <w:t xml:space="preserve"> </w:t>
        <w:br/>
        <w:t xml:space="preserve">{{field-off:bible}} </w:t>
        <w:br/>
        <w:t>[[@BibleTOBIBLE:So 3:10]]</w:t>
      </w:r>
      <w:r>
        <w:rPr>
          <w:b/>
        </w:rPr>
        <w:t>10</w:t>
      </w:r>
      <w:r>
        <w:rPr/>
        <w:t xml:space="preserve"> {{field-on:bible}} </w:t>
        <w:br/>
        <w:t xml:space="preserve">Ihre Säulen ließ er machen </w:t>
      </w:r>
      <w:r>
        <w:rPr>
          <w:color w:val="808080"/>
        </w:rPr>
        <w:t>(hat er gemacht)</w:t>
      </w:r>
      <w:r>
        <w:rPr/>
        <w:t xml:space="preserve"> silbern </w:t>
      </w:r>
      <w:r>
        <w:rPr>
          <w:color w:val="808080"/>
        </w:rPr>
        <w:t>(aus Silber)</w:t>
      </w:r>
      <w:r>
        <w:rPr/>
        <w:t>,Ihre Kopfstütze</w:t>
      </w:r>
      <w:r>
        <w:rPr>
          <w:rStyle w:val="Funotenanker"/>
        </w:rPr>
        <w:footnoteReference w:customMarkFollows="1" w:id="2409"/>
        <w:t>am</w:t>
      </w:r>
      <w:r>
        <w:rPr/>
        <w:t xml:space="preserve"> golden </w:t>
      </w:r>
      <w:r>
        <w:rPr>
          <w:color w:val="808080"/>
        </w:rPr>
        <w:t>(aus Gold)</w:t>
      </w:r>
      <w:r>
        <w:rPr/>
        <w:t xml:space="preserve">,Ihr Vorhang </w:t>
      </w:r>
      <w:r>
        <w:rPr>
          <w:color w:val="808080"/>
        </w:rPr>
        <w:t>(Decke, Kissen, Sitz?)</w:t>
      </w:r>
      <w:r>
        <w:rPr/>
        <w:t xml:space="preserve"> </w:t>
      </w:r>
      <w:r>
        <w:rPr>
          <w:rStyle w:val="Funotenanker"/>
        </w:rPr>
        <w:footnoteReference w:customMarkFollows="1" w:id="2410"/>
        <w:t>an</w:t>
      </w:r>
      <w:r>
        <w:rPr/>
        <w:t xml:space="preserve"> purpurn,</w:t>
      </w:r>
      <w:r>
        <w:rPr>
          <w:rStyle w:val="Funotenanker"/>
        </w:rPr>
        <w:footnoteReference w:customMarkFollows="1" w:id="2411"/>
        <w:t>ao</w:t>
      </w:r>
      <w:r>
        <w:rPr/>
        <w:t xml:space="preserve">Ihr Inneres </w:t>
      </w:r>
      <w:r>
        <w:rPr>
          <w:b/>
          <w:color w:val="808080"/>
        </w:rPr>
        <w:t>[</w:t>
      </w:r>
      <w:r>
        <w:rPr/>
        <w:t>ist</w:t>
      </w:r>
      <w:r>
        <w:rPr>
          <w:b/>
          <w:color w:val="808080"/>
        </w:rPr>
        <w:t>]</w:t>
      </w:r>
      <w:r>
        <w:rPr/>
        <w:t xml:space="preserve"> </w:t>
      </w:r>
      <w:r>
        <w:rPr>
          <w:color w:val="808080"/>
        </w:rPr>
        <w:t>(</w:t>
      </w:r>
      <w:r>
        <w:rPr>
          <w:b/>
          <w:color w:val="808080"/>
        </w:rPr>
        <w:t>[</w:t>
      </w:r>
      <w:r>
        <w:rPr>
          <w:color w:val="808080"/>
        </w:rPr>
        <w:t>war</w:t>
      </w:r>
      <w:r>
        <w:rPr>
          <w:b/>
          <w:color w:val="808080"/>
        </w:rPr>
        <w:t>]</w:t>
      </w:r>
      <w:r>
        <w:rPr>
          <w:color w:val="808080"/>
        </w:rPr>
        <w:t>)</w:t>
      </w:r>
      <w:r>
        <w:rPr/>
        <w:t xml:space="preserve"> ausgelegt mit Leder </w:t>
      </w:r>
      <w:r>
        <w:rPr>
          <w:color w:val="808080"/>
        </w:rPr>
        <w:t>(Liebe)</w:t>
      </w:r>
      <w:r>
        <w:rPr/>
        <w:t>.</w:t>
      </w:r>
      <w:r>
        <w:rPr>
          <w:rStyle w:val="Funotenanker"/>
        </w:rPr>
        <w:footnoteReference w:customMarkFollows="1" w:id="2412"/>
        <w:t>ap</w:t>
      </w:r>
      <w:r>
        <w:rPr/>
        <w:t xml:space="preserve"> </w:t>
        <w:br/>
        <w:br/>
      </w:r>
      <w:r>
        <w:rPr>
          <w:strike/>
          <w:color w:val="808080"/>
        </w:rPr>
        <w:t>{Von den}</w:t>
      </w:r>
      <w:r>
        <w:rPr/>
        <w:t xml:space="preserve"> Töchter</w:t>
      </w:r>
      <w:r>
        <w:rPr>
          <w:strike/>
          <w:color w:val="808080"/>
        </w:rPr>
        <w:t>{n}</w:t>
      </w:r>
      <w:r>
        <w:rPr/>
        <w:t xml:space="preserve"> Jerusalems,</w:t>
      </w:r>
      <w:r>
        <w:rPr>
          <w:rStyle w:val="Funotenanker"/>
        </w:rPr>
        <w:footnoteReference w:customMarkFollows="1" w:id="2413"/>
        <w:t>aq</w:t>
      </w:r>
      <w:r>
        <w:rPr/>
        <w:t xml:space="preserve"> </w:t>
        <w:br/>
        <w:t xml:space="preserve">{{field-off:bible}} </w:t>
        <w:br/>
        <w:t>[[@BibleTOBIBLE:So 3:11]]</w:t>
      </w:r>
      <w:r>
        <w:rPr>
          <w:b/>
        </w:rPr>
        <w:t>11</w:t>
      </w:r>
      <w:r>
        <w:rPr/>
        <w:t xml:space="preserve"> {{field-on:bible}} </w:t>
        <w:br/>
        <w:t>kommet herausUnd schauet, Töchter Zions</w:t>
      </w:r>
      <w:r>
        <w:rPr>
          <w:rStyle w:val="Funotenanker"/>
        </w:rPr>
        <w:footnoteReference w:customMarkFollows="1" w:id="2414"/>
        <w:t>ar</w:t>
      </w:r>
      <w:r>
        <w:rPr/>
        <w:t xml:space="preserve"> </w:t>
        <w:br/>
        <w:t>Auf König Salomo,Auf seine Krone,</w:t>
      </w:r>
      <w:r>
        <w:rPr>
          <w:rStyle w:val="Funotenanker"/>
        </w:rPr>
        <w:footnoteReference w:customMarkFollows="1" w:id="2415"/>
        <w:t>as</w:t>
      </w:r>
      <w:r>
        <w:rPr/>
        <w:t xml:space="preserve"> mit der ihn seine Mutter gekrönt hat</w:t>
        <w:br/>
        <w:t>Am Tag seiner Hochzeit,Am Tag der Freude seines Herzens!“</w:t>
        <w:br/>
        <w:t xml:space="preserve">{{field-off:bible}} </w:t>
      </w:r>
    </w:p>
    <w:p>
      <w:pPr>
        <w:pStyle w:val="Berschrift3"/>
        <w:rPr/>
      </w:pPr>
      <w:r>
        <w:rPr/>
        <w:t>[[@BibleTOBIBLE:So 8]]Kapitel 8</w:t>
      </w:r>
    </w:p>
    <w:p>
      <w:pPr>
        <w:pStyle w:val="Textkrper"/>
        <w:rPr/>
      </w:pPr>
      <w:r>
        <w:rPr/>
        <w:br/>
        <w:t>[[@BibleTOBIBLE:So 8:1]]</w:t>
      </w:r>
      <w:r>
        <w:rPr>
          <w:b/>
        </w:rPr>
        <w:t>1</w:t>
      </w:r>
      <w:r>
        <w:rPr/>
        <w:t xml:space="preserve"> {{field-on:bible}}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t xml:space="preserve">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2416"/>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1:21]]</w:t>
      </w:r>
      <w:r>
        <w:rPr>
          <w:b/>
        </w:rPr>
        <w:t>21</w:t>
      </w:r>
      <w:r>
        <w:rPr/>
        <w:t xml:space="preserve"> {{field-on:bible}}Wie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2417"/>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2418"/>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2419"/>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2420"/>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 Unwetter.{{field-off:bible}} </w:t>
      </w:r>
    </w:p>
    <w:p>
      <w:pPr>
        <w:pStyle w:val="Berschrift3"/>
        <w:rPr/>
      </w:pPr>
      <w:r>
        <w:rPr/>
        <w:t>[[@BibleTOBIBLE:Is 5]]Kapitel 5</w:t>
      </w:r>
    </w:p>
    <w:p>
      <w:pPr>
        <w:pStyle w:val="Textkrper"/>
        <w:rPr/>
      </w:pPr>
      <w:r>
        <w:rPr/>
        <w:br/>
        <w:t>[[@BibleTOBIBLE:Is 5:1]]</w:t>
      </w:r>
      <w:r>
        <w:rPr>
          <w:b/>
        </w:rPr>
        <w:t>1</w:t>
      </w:r>
      <w:r>
        <w:rPr/>
        <w:t xml:space="preserve"> {{field-on:bible}}Ich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2421"/>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2422"/>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2423"/>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2424"/>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2425"/>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2426"/>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2427"/>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2428"/>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2429"/>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2430"/>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2431"/>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2432"/>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{{field-on:bible}}Das Volk, das wandelt</w:t>
      </w:r>
      <w:r>
        <w:rPr>
          <w:rStyle w:val="Funotenanker"/>
        </w:rPr>
        <w:footnoteReference w:customMarkFollows="1" w:id="2433"/>
        <w:t>a</w:t>
      </w:r>
      <w:r>
        <w:rPr/>
        <w:t xml:space="preserve"> in Dunkelheit </w:t>
      </w:r>
      <w:r>
        <w:rPr>
          <w:color w:val="808080"/>
        </w:rPr>
        <w:t>(Finsternis)</w:t>
      </w:r>
      <w:r>
        <w:rPr/>
        <w:t xml:space="preserve"> </w:t>
      </w:r>
      <w:r>
        <w:rPr>
          <w:rStyle w:val="Funotenanker"/>
        </w:rPr>
        <w:footnoteReference w:customMarkFollows="1" w:id="2434"/>
        <w:t>b</w:t>
      </w:r>
      <w:r>
        <w:rPr/>
        <w:t>, sie sehen ein großes Licht, die Wohnenden im Land des Todesschattens</w:t>
      </w:r>
      <w:r>
        <w:rPr>
          <w:rStyle w:val="Funotenanker"/>
        </w:rPr>
        <w:footnoteReference w:customMarkFollows="1" w:id="2435"/>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2436"/>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2437"/>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2438"/>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2439"/>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2440"/>
        <w:t>c</w:t>
      </w:r>
      <w:r>
        <w:rPr/>
        <w:t xml:space="preserve"> </w:t>
      </w:r>
      <w:r>
        <w:rPr>
          <w:color w:val="808080"/>
        </w:rPr>
        <w:t>)</w:t>
      </w:r>
      <w:r>
        <w:rPr/>
        <w:t xml:space="preserve"> </w:t>
      </w:r>
      <w:r>
        <w:rPr>
          <w:rStyle w:val="Funotenanker"/>
        </w:rPr>
        <w:footnoteReference w:customMarkFollows="1" w:id="2441"/>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14:9]]</w:t>
      </w:r>
      <w:r>
        <w:rPr>
          <w:b/>
        </w:rPr>
        <w:t>9</w:t>
      </w:r>
      <w:r>
        <w:rPr/>
        <w:t xml:space="preserve"> {{field-on:bible}}Der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2442"/>
        <w:t>Status</w:t>
      </w:r>
      <w:r>
        <w:rPr/>
        <w:t xml:space="preserve"> </w:t>
        <w:br/>
        <w:t>Es werden sich freuen</w:t>
      </w:r>
      <w:r>
        <w:rPr>
          <w:rStyle w:val="Funotenanker"/>
        </w:rPr>
        <w:footnoteReference w:customMarkFollows="1" w:id="2443"/>
        <w:t>a</w:t>
      </w:r>
      <w:r>
        <w:rPr/>
        <w:t xml:space="preserve"> Wüste und trockene Gegend</w:t>
      </w:r>
      <w:r>
        <w:rPr>
          <w:rStyle w:val="Funotenanker"/>
        </w:rPr>
        <w:footnoteReference w:customMarkFollows="1" w:id="2444"/>
        <w:t>b</w:t>
      </w:r>
      <w:r>
        <w:rPr/>
        <w:t>,</w:t>
        <w:br/>
        <w:t xml:space="preserve">und die Steppe </w:t>
      </w:r>
      <w:r>
        <w:rPr>
          <w:color w:val="808080"/>
        </w:rPr>
        <w:t>(Wüste)</w:t>
      </w:r>
      <w:r>
        <w:rPr/>
        <w:t xml:space="preserve"> </w:t>
      </w:r>
      <w:r>
        <w:rPr>
          <w:rStyle w:val="Funotenanker"/>
        </w:rPr>
        <w:footnoteReference w:customMarkFollows="1" w:id="2445"/>
        <w:t>c</w:t>
      </w:r>
      <w:r>
        <w:rPr/>
        <w:t xml:space="preserve"> wird jauchzen und aufblühen </w:t>
        <w:br/>
        <w:t>wie eine Lilie</w:t>
      </w:r>
      <w:r>
        <w:rPr>
          <w:rStyle w:val="Funotenanker"/>
        </w:rPr>
        <w:footnoteReference w:customMarkFollows="1" w:id="2446"/>
        <w:t>d</w:t>
      </w:r>
      <w:r>
        <w:rPr/>
        <w:t>.</w:t>
        <w:br/>
        <w:t xml:space="preserve">{{field-off:bible}} </w:t>
        <w:br/>
        <w:t>[[@BibleTOBIBLE:Is 35:2]]</w:t>
      </w:r>
      <w:r>
        <w:rPr>
          <w:b/>
        </w:rPr>
        <w:t>2</w:t>
      </w:r>
      <w:r>
        <w:rPr/>
        <w:t xml:space="preserve"> {{field-on:bible}} </w:t>
        <w:br/>
        <w:t>Ja, aufblühen wird sie</w:t>
      </w:r>
      <w:r>
        <w:rPr>
          <w:rStyle w:val="Funotenanker"/>
        </w:rPr>
        <w:footnoteReference w:customMarkFollows="1" w:id="2447"/>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2448"/>
        <w:t>f</w:t>
      </w:r>
      <w:r>
        <w:rPr/>
        <w:t xml:space="preserve"> ist ihr gegeben,</w:t>
        <w:br/>
        <w:t>die Pracht von Karmel</w:t>
      </w:r>
      <w:r>
        <w:rPr>
          <w:rStyle w:val="Funotenanker"/>
        </w:rPr>
        <w:footnoteReference w:customMarkFollows="1" w:id="2449"/>
        <w:t>g</w:t>
      </w:r>
      <w:r>
        <w:rPr/>
        <w:t xml:space="preserve"> und Scharon</w:t>
      </w:r>
      <w:r>
        <w:rPr>
          <w:rStyle w:val="Funotenanker"/>
        </w:rPr>
        <w:footnoteReference w:customMarkFollows="1" w:id="2450"/>
        <w:t>h</w:t>
      </w:r>
      <w:r>
        <w:rPr/>
        <w:t>.</w:t>
        <w:br/>
        <w:t xml:space="preserve">Wir sehen die Herrlichkeit </w:t>
      </w:r>
      <w:r>
        <w:rPr>
          <w:smallCaps/>
          <w:color w:val="FF0000"/>
        </w:rPr>
        <w:t>JHWH</w:t>
      </w:r>
      <w:r>
        <w:rPr/>
        <w:t>s,</w:t>
        <w:br/>
        <w:t>die Pracht</w:t>
      </w:r>
      <w:r>
        <w:rPr>
          <w:rStyle w:val="Funotenanker"/>
        </w:rPr>
        <w:footnoteReference w:customMarkFollows="1" w:id="2451"/>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2452"/>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2453"/>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2454"/>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2455"/>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2456"/>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2457"/>
        <w:t>o</w:t>
      </w:r>
      <w:r>
        <w:rPr/>
        <w:t xml:space="preserve"> zu Wasserquellen.</w:t>
        <w:br/>
        <w:t>Statt</w:t>
      </w:r>
      <w:r>
        <w:rPr>
          <w:rStyle w:val="Funotenanker"/>
        </w:rPr>
        <w:footnoteReference w:customMarkFollows="1" w:id="2458"/>
        <w:t>p</w:t>
      </w:r>
      <w:r>
        <w:rPr/>
        <w:t xml:space="preserve"> Revier</w:t>
      </w:r>
      <w:r>
        <w:rPr>
          <w:rStyle w:val="Funotenanker"/>
        </w:rPr>
        <w:footnoteReference w:customMarkFollows="1" w:id="2459"/>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2460"/>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2461"/>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2462"/>
        <w:t>t</w:t>
      </w:r>
      <w:r>
        <w:rPr/>
        <w:t>, die gehen</w:t>
      </w:r>
      <w:r>
        <w:rPr>
          <w:rStyle w:val="Funotenanker"/>
        </w:rPr>
        <w:footnoteReference w:customMarkFollows="1" w:id="2463"/>
        <w:t>u</w:t>
      </w:r>
      <w:r>
        <w:rPr/>
        <w:t xml:space="preserve"> auf dem Weg,</w:t>
        <w:br/>
        <w:t xml:space="preserve">aber </w:t>
      </w:r>
      <w:r>
        <w:rPr>
          <w:rStyle w:val="Funotenanker"/>
        </w:rPr>
        <w:footnoteReference w:customMarkFollows="1" w:id="2464"/>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2465"/>
        <w:t>w</w:t>
      </w:r>
      <w:r>
        <w:rPr/>
        <w:t xml:space="preserve"> werden nicht hinaufsteigen,</w:t>
        <w:br/>
        <w:t>sie werden dort nicht gefunden,</w:t>
        <w:br/>
        <w:t>sondern</w:t>
      </w:r>
      <w:r>
        <w:rPr>
          <w:rStyle w:val="Funotenanker"/>
        </w:rPr>
        <w:footnoteReference w:customMarkFollows="1" w:id="2466"/>
        <w:t>x</w:t>
      </w:r>
      <w:r>
        <w:rPr/>
        <w:t xml:space="preserve"> es gehen die Erlösten</w:t>
      </w:r>
      <w:r>
        <w:rPr>
          <w:rStyle w:val="Funotenanker"/>
        </w:rPr>
        <w:footnoteReference w:customMarkFollows="1" w:id="2467"/>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2468"/>
        <w:t>z</w:t>
      </w:r>
      <w:r>
        <w:rPr/>
        <w:t>,</w:t>
        <w:br/>
        <w:t>aber</w:t>
      </w:r>
      <w:r>
        <w:rPr>
          <w:rStyle w:val="Funotenanker"/>
        </w:rPr>
        <w:footnoteReference w:customMarkFollows="1" w:id="2469"/>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38:18]]</w:t>
      </w:r>
      <w:r>
        <w:rPr>
          <w:b/>
        </w:rPr>
        <w:t>18</w:t>
      </w:r>
      <w:r>
        <w:rPr/>
        <w:t xml:space="preserve"> {{field-on:bible}}Denn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2470"/>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2471"/>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2472"/>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2473"/>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{{field-on:bible}}Eine Stimme sagt: „Rufe!“ Und ich sagte: „Was soll ich rufen?“ Alles Fleisch </w:t>
      </w:r>
      <w:r>
        <w:rPr>
          <w:b/>
          <w:color w:val="808080"/>
        </w:rPr>
        <w:t>[</w:t>
      </w:r>
      <w:r>
        <w:rPr/>
        <w:t>ist</w:t>
      </w:r>
      <w:r>
        <w:rPr>
          <w:b/>
          <w:color w:val="808080"/>
        </w:rPr>
        <w:t>]</w:t>
      </w:r>
      <w:r>
        <w:rPr/>
        <w:t xml:space="preserve"> Gras und alle seine Güte </w:t>
      </w:r>
      <w:r>
        <w:rPr>
          <w:b/>
          <w:color w:val="808080"/>
        </w:rPr>
        <w:t>[</w:t>
      </w:r>
      <w:r>
        <w:rPr/>
        <w:t>ist</w:t>
      </w:r>
      <w:r>
        <w:rPr>
          <w:b/>
          <w:color w:val="808080"/>
        </w:rPr>
        <w:t>]</w:t>
      </w:r>
      <w:r>
        <w:rPr/>
        <w:t xml:space="preserve"> wie eine Blume des Feldes.{{field-off:bible}} </w:t>
        <w:br/>
        <w:t>[[@BibleTOBIBLE:Is 40:7]]</w:t>
      </w:r>
      <w:r>
        <w:rPr>
          <w:b/>
        </w:rPr>
        <w:t>7</w:t>
      </w:r>
      <w:r>
        <w:rPr/>
        <w:t xml:space="preserve"> {{field-on:bible}}Trocken </w:t>
      </w:r>
      <w:r>
        <w:rPr>
          <w:b/>
          <w:color w:val="808080"/>
        </w:rPr>
        <w:t>[</w:t>
      </w:r>
      <w:r>
        <w:rPr/>
        <w:t>ist</w:t>
      </w:r>
      <w:r>
        <w:rPr>
          <w:b/>
          <w:color w:val="808080"/>
        </w:rPr>
        <w:t>]</w:t>
      </w:r>
      <w:r>
        <w:rPr/>
        <w:t xml:space="preserve"> das Gras; es ist verdorrt eine Blume, denn der Geist </w:t>
      </w:r>
      <w:r>
        <w:rPr>
          <w:smallCaps/>
          <w:color w:val="FF0000"/>
        </w:rPr>
        <w:t>JHWH</w:t>
      </w:r>
      <w:r>
        <w:rPr/>
        <w:t xml:space="preserve">s kehrte um zu ihm </w:t>
      </w:r>
      <w:r>
        <w:rPr>
          <w:color w:val="808080"/>
        </w:rPr>
        <w:t>(wehte hindurch)</w:t>
      </w:r>
      <w:r>
        <w:rPr/>
        <w:t xml:space="preserve">. Wahrlich, das Gras </w:t>
      </w:r>
      <w:r>
        <w:rPr>
          <w:b/>
          <w:color w:val="808080"/>
        </w:rPr>
        <w:t>[</w:t>
      </w:r>
      <w:r>
        <w:rPr/>
        <w:t>ist</w:t>
      </w:r>
      <w:r>
        <w:rPr>
          <w:b/>
          <w:color w:val="808080"/>
        </w:rPr>
        <w:t>]</w:t>
      </w:r>
      <w:r>
        <w:rPr/>
        <w:t xml:space="preserve"> das Volk.{{field-off:bible}} </w:t>
        <w:br/>
        <w:t>[[@BibleTOBIBLE:Is 40:8]]</w:t>
      </w:r>
      <w:r>
        <w:rPr>
          <w:b/>
        </w:rPr>
        <w:t>8</w:t>
      </w:r>
      <w:r>
        <w:rPr/>
        <w:t xml:space="preserve"> {{field-on:bible}}Trocken ist das Gras; verdorrt eine Blume, aber das Wort unseres Gottes wird aufstehen </w:t>
      </w:r>
      <w:r>
        <w:rPr>
          <w:color w:val="808080"/>
        </w:rPr>
        <w:t>(bestehen)</w:t>
      </w:r>
      <w:r>
        <w:rPr/>
        <w:t xml:space="preserve"> in Ewigkeit.{{field-off:bible}} </w:t>
        <w:br/>
        <w:t>[[@BibleTOBIBLE:Is 40:9]]</w:t>
      </w:r>
      <w:r>
        <w:rPr>
          <w:b/>
        </w:rPr>
        <w:t>9</w:t>
      </w:r>
      <w:r>
        <w:rPr/>
        <w:t xml:space="preserve"> {{field-on:bible}}Auf einen hohen Berg Berg steige hinauf, gute Botschaft bringendes Zion, mein Wildstier mit Kraft deine Stimme gute Botschaft bringendes Jerusalem </w:t>
      </w:r>
      <w:r>
        <w:rPr>
          <w:b/>
          <w:color w:val="808080"/>
        </w:rPr>
        <w:t>[</w:t>
      </w:r>
      <w:r>
        <w:rPr/>
        <w:t>?</w:t>
      </w:r>
      <w:r>
        <w:rPr>
          <w:b/>
          <w:color w:val="808080"/>
        </w:rPr>
        <w:t>]</w:t>
      </w:r>
      <w:r>
        <w:rPr/>
        <w:t xml:space="preserve">, ohne Furcht sage zu den Städten Judas: „Siehe euer Gott!“{{field-off:bible}} </w:t>
        <w:br/>
        <w:t>[[@BibleTOBIBLE:Is 40:10]]</w:t>
      </w:r>
      <w:r>
        <w:rPr>
          <w:b/>
        </w:rPr>
        <w:t>10</w:t>
      </w:r>
      <w:r>
        <w:rPr/>
        <w:t xml:space="preserve"> {{field-on:bible}}Siehe, der Herr </w:t>
      </w:r>
      <w:r>
        <w:rPr>
          <w:smallCaps/>
          <w:color w:val="FF0000"/>
        </w:rPr>
        <w:t>JHWH</w:t>
      </w:r>
      <w:r>
        <w:rPr/>
        <w:t xml:space="preserve">, mit Kraft wird er kommen und sein Arm wird für ihn befehlen. Siehe, sein Lohn </w:t>
      </w:r>
      <w:r>
        <w:rPr>
          <w:b/>
          <w:color w:val="808080"/>
        </w:rPr>
        <w:t>[</w:t>
      </w:r>
      <w:r>
        <w:rPr/>
        <w:t>ist</w:t>
      </w:r>
      <w:r>
        <w:rPr>
          <w:b/>
          <w:color w:val="808080"/>
        </w:rPr>
        <w:t>]</w:t>
      </w:r>
      <w:r>
        <w:rPr/>
        <w:t xml:space="preserve"> mit ihm und sein Gemachtes </w:t>
      </w:r>
      <w:r>
        <w:rPr>
          <w:b/>
          <w:color w:val="808080"/>
        </w:rPr>
        <w:t>[</w:t>
      </w:r>
      <w:r>
        <w:rPr/>
        <w:t>?</w:t>
      </w:r>
      <w:r>
        <w:rPr>
          <w:b/>
          <w:color w:val="808080"/>
        </w:rPr>
        <w:t>]</w:t>
      </w:r>
      <w:r>
        <w:rPr/>
        <w:t xml:space="preserve"> vor ihm.{{field-off:bible}} </w:t>
        <w:br/>
        <w:t>[[@BibleTOBIBLE:Is 40:11]]</w:t>
      </w:r>
      <w:r>
        <w:rPr>
          <w:b/>
        </w:rPr>
        <w:t>11</w:t>
      </w:r>
      <w:r>
        <w:rPr/>
        <w:t xml:space="preserve"> {{field-on:bible}}Er wird weiden seine Herde; es wird fürchten mit seinem Arm; er wird sammeln die Gefleckten und in seinem Schoß wird er sie tragen.{{field-off:bible}} </w:t>
        <w:br/>
        <w:t>[[@BibleTOBIBLE:Is 40:12]]</w:t>
      </w:r>
      <w:r>
        <w:rPr>
          <w:b/>
        </w:rPr>
        <w:t>12</w:t>
      </w:r>
      <w:r>
        <w:rPr/>
        <w:t xml:space="preserve"> {{field-on:bible}}Wer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2474"/>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2475"/>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2476"/>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2477"/>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41:6]]</w:t>
      </w:r>
      <w:r>
        <w:rPr>
          <w:b/>
        </w:rPr>
        <w:t>6</w:t>
      </w:r>
      <w:r>
        <w:rPr/>
        <w:t xml:space="preserve"> {{field-on:bible}}Einer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43:13]]</w:t>
      </w:r>
      <w:r>
        <w:rPr>
          <w:b/>
        </w:rPr>
        <w:t>13</w:t>
      </w:r>
      <w:r>
        <w:rPr/>
        <w:t xml:space="preserve"> {{field-on:bible}}Auch von nun an </w:t>
      </w:r>
      <w:r>
        <w:rPr>
          <w:color w:val="808080"/>
        </w:rPr>
        <w:t>(fortan)</w:t>
      </w:r>
      <w:r>
        <w:rPr/>
        <w:t xml:space="preserve"> bin ich</w:t>
      </w:r>
      <w:r>
        <w:rPr>
          <w:rStyle w:val="Funotenanker"/>
        </w:rPr>
        <w:footnoteReference w:customMarkFollows="1" w:id="2478"/>
        <w:t>a</w:t>
      </w:r>
      <w:r>
        <w:rPr/>
        <w:t xml:space="preserve"> es und es ist nichts</w:t>
      </w:r>
      <w:r>
        <w:rPr>
          <w:rStyle w:val="Funotenanker"/>
        </w:rPr>
        <w:footnoteReference w:customMarkFollows="1" w:id="2479"/>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2480"/>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44:9]]</w:t>
      </w:r>
      <w:r>
        <w:rPr>
          <w:b/>
        </w:rPr>
        <w:t>9</w:t>
      </w:r>
      <w:r>
        <w:rPr/>
        <w:t xml:space="preserve"> {{field-on:bible}}Die,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2481"/>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2482"/>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2483"/>
        <w:t>d</w:t>
      </w:r>
      <w:r>
        <w:rPr/>
        <w:t xml:space="preserve"> {{field-off:bible}} </w:t>
      </w:r>
    </w:p>
    <w:p>
      <w:pPr>
        <w:pStyle w:val="Berschrift3"/>
        <w:rPr/>
      </w:pPr>
      <w:r>
        <w:rPr/>
        <w:t>[[@BibleTOBIBLE:Is 45]]Kapitel 45</w:t>
      </w:r>
    </w:p>
    <w:p>
      <w:pPr>
        <w:pStyle w:val="Textkrper"/>
        <w:rPr/>
      </w:pPr>
      <w:r>
        <w:rPr/>
        <w:br/>
        <w:t>[[@BibleTOBIBLE:Is 45:15]]</w:t>
      </w:r>
      <w:r>
        <w:rPr>
          <w:b/>
        </w:rPr>
        <w:t>15</w:t>
      </w:r>
      <w:r>
        <w:rPr/>
        <w:t xml:space="preserve"> {{field-on:bible}}Gewiss,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46:5]]</w:t>
      </w:r>
      <w:r>
        <w:rPr>
          <w:b/>
        </w:rPr>
        <w:t>5</w:t>
      </w:r>
      <w:r>
        <w:rPr/>
        <w:t xml:space="preserve"> {{field-on:bible}}Mit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50:3]]</w:t>
      </w:r>
      <w:r>
        <w:rPr>
          <w:b/>
        </w:rPr>
        <w:t>3</w:t>
      </w:r>
      <w:r>
        <w:rPr/>
        <w:t xml:space="preserve"> {{field-on:bible}} </w:t>
        <w:br/>
        <w:t xml:space="preserve">{{field-off:bible}} </w:t>
        <w:br/>
        <w:t>[[@BibleTOBIBLE:Is 50:4]]</w:t>
      </w:r>
      <w:r>
        <w:rPr>
          <w:b/>
        </w:rPr>
        <w:t>4</w:t>
      </w:r>
      <w:r>
        <w:rPr/>
        <w:t xml:space="preserve"> {{field-on:bible}} </w:t>
        <w:br/>
        <w:t xml:space="preserve">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2484"/>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2485"/>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2486"/>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2487"/>
        <w:t>d</w:t>
      </w:r>
      <w:r>
        <w:rPr/>
        <w:t>, ich wusste, dass ich nicht in Schande geraten</w:t>
      </w:r>
      <w:r>
        <w:rPr>
          <w:rStyle w:val="Funotenanker"/>
        </w:rPr>
        <w:footnoteReference w:customMarkFollows="1" w:id="2488"/>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2489"/>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2490"/>
        <w:t>a</w:t>
      </w:r>
      <w:r>
        <w:rPr/>
        <w:t xml:space="preserve">, mein Getreuer </w:t>
      </w:r>
      <w:r>
        <w:rPr>
          <w:color w:val="808080"/>
        </w:rPr>
        <w:t>(Diener, Knecht, Sklave)</w:t>
      </w:r>
      <w:r>
        <w:rPr/>
        <w:t xml:space="preserve"> </w:t>
      </w:r>
      <w:r>
        <w:rPr>
          <w:rStyle w:val="Funotenanker"/>
        </w:rPr>
        <w:footnoteReference w:customMarkFollows="1" w:id="2491"/>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2492"/>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2493"/>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2494"/>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2495"/>
        <w:t>f</w:t>
      </w:r>
      <w:r>
        <w:rPr/>
        <w:t>,</w:t>
        <w:br/>
        <w:t xml:space="preserve">über ihn </w:t>
      </w:r>
      <w:r>
        <w:rPr>
          <w:color w:val="808080"/>
        </w:rPr>
        <w:t>(ihm gegenüber)</w:t>
      </w:r>
      <w:r>
        <w:rPr/>
        <w:t xml:space="preserve"> werden Könige ihren Mund verschließen.</w:t>
      </w:r>
      <w:r>
        <w:rPr>
          <w:rStyle w:val="Funotenanker"/>
        </w:rPr>
        <w:footnoteReference w:customMarkFollows="1" w:id="2496"/>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2497"/>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2498"/>
        <w:t>a</w:t>
      </w:r>
      <w:r>
        <w:rPr/>
        <w:t xml:space="preserve">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2499"/>
        <w:t>b</w:t>
      </w:r>
      <w:r>
        <w:rPr/>
        <w:t xml:space="preserve"> Trotz aller Schwierigkeiten bei der Deutung der einzelnen Verse lässt sich auf eine Gesamt-Aussage des Textes schließen. Die Schilderung des unschuldig leidenden Getreuen ist geprägt durch einen neuen Blick auf das Leiden. Erlittenes Leid wird nicht etwa als verdiente Gottesstrafe interpretiert (Tun-Ergehen-Zusammenhang</w:t>
      </w:r>
      <w:r>
        <w:rPr>
          <w:rStyle w:val="Funotenanker"/>
        </w:rPr>
        <w:footnoteReference w:customMarkFollows="1" w:id="2500"/>
        <w:t>c</w:t>
      </w:r>
      <w:r>
        <w:rPr/>
        <w:t>), sondern als Rettung gedeutet.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2501"/>
        <w:t>Status</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2502"/>
        <w:t>d</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2503"/>
        <w:t>e</w:t>
      </w:r>
      <w:r>
        <w:rPr/>
        <w:t xml:space="preserve"> Für die Interpretation des Textes ist die Festlegung auf eine bestimmte Identität aber nicht notwendig.</w:t>
      </w:r>
      <w:r>
        <w:rPr>
          <w:rStyle w:val="Funotenanker"/>
        </w:rPr>
        <w:footnoteReference w:customMarkFollows="1" w:id="2504"/>
        <w:t>f</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2505"/>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2506"/>
        <w:t>g</w:t>
      </w:r>
      <w:r>
        <w:rPr/>
        <w:t xml:space="preserve"> an uns </w:t>
      </w:r>
      <w:r>
        <w:rPr>
          <w:color w:val="808080"/>
        </w:rPr>
        <w:t>(von uns)</w:t>
      </w:r>
      <w:r>
        <w:rPr/>
        <w:t xml:space="preserve"> </w:t>
      </w:r>
      <w:r>
        <w:rPr>
          <w:rStyle w:val="Funotenanker"/>
        </w:rPr>
        <w:footnoteReference w:customMarkFollows="1" w:id="2507"/>
        <w:t>h</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2508"/>
        <w:t>i</w:t>
      </w:r>
      <w:r>
        <w:rPr/>
        <w:t>,</w:t>
        <w:br/>
        <w:t xml:space="preserve">wie ein Schössling </w:t>
      </w:r>
      <w:r>
        <w:rPr>
          <w:color w:val="808080"/>
        </w:rPr>
        <w:t>(eine Wurzel)</w:t>
      </w:r>
      <w:r>
        <w:rPr/>
        <w:t xml:space="preserve"> </w:t>
      </w:r>
      <w:r>
        <w:rPr>
          <w:rStyle w:val="Funotenanker"/>
        </w:rPr>
        <w:footnoteReference w:customMarkFollows="1" w:id="2509"/>
        <w:t>j</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2510"/>
        <w:t>k</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2511"/>
        <w:t>l</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2512"/>
        <w:t>m</w:t>
      </w:r>
      <w:r>
        <w:rPr/>
        <w:t xml:space="preserve"> </w:t>
        <w:br/>
        <w:t>wie jemand, vor dem man das Gesicht verhüllt.</w:t>
      </w:r>
      <w:r>
        <w:rPr>
          <w:rStyle w:val="Funotenanker"/>
        </w:rPr>
        <w:footnoteReference w:customMarkFollows="1" w:id="2513"/>
        <w:t>n</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2514"/>
        <w:t>o</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2515"/>
        <w:t>p</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2516"/>
        <w:t>q</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2517"/>
        <w:t>r</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2518"/>
        <w:t>s</w:t>
      </w:r>
      <w:r>
        <w:rPr/>
        <w:t xml:space="preserve"> </w:t>
        <w:br/>
        <w:t xml:space="preserve">durch seine </w:t>
      </w:r>
      <w:r>
        <w:rPr>
          <w:color w:val="808080"/>
        </w:rPr>
        <w:t>(bei seinen)</w:t>
      </w:r>
      <w:r>
        <w:rPr/>
        <w:t xml:space="preserve"> Wunden gab es Heilung für uns</w:t>
      </w:r>
      <w:r>
        <w:rPr>
          <w:rStyle w:val="Funotenanker"/>
        </w:rPr>
        <w:footnoteReference w:customMarkFollows="1" w:id="2519"/>
        <w:t>t</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2520"/>
        <w:t>u</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2521"/>
        <w:t>v</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2522"/>
        <w:t>w</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2523"/>
        <w:t>x</w:t>
      </w:r>
      <w:r>
        <w:rPr/>
        <w:t xml:space="preserve"> seinen Scherern verstummt. </w:t>
        <w:br/>
        <w:t>Und er öffnete seinen Mund nicht.</w:t>
      </w:r>
      <w:r>
        <w:rPr>
          <w:rStyle w:val="Funotenanker"/>
        </w:rPr>
        <w:footnoteReference w:customMarkFollows="1" w:id="2524"/>
        <w:t>y</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2525"/>
        <w:t>z</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2526"/>
        <w:t>aa</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2527"/>
        <w:t>ab</w:t>
      </w:r>
      <w:r>
        <w:rPr/>
        <w:t xml:space="preserve"> Volkes wurde er geschlagen </w:t>
      </w:r>
      <w:r>
        <w:rPr>
          <w:color w:val="808080"/>
        </w:rPr>
        <w:t>(erschlagen, verprügelt)</w:t>
      </w:r>
      <w:r>
        <w:rPr/>
        <w:t xml:space="preserve"> </w:t>
      </w:r>
      <w:r>
        <w:rPr>
          <w:rStyle w:val="Funotenanker"/>
        </w:rPr>
        <w:footnoteReference w:customMarkFollows="1" w:id="2528"/>
        <w:t>ac</w:t>
      </w:r>
      <w:r>
        <w:rPr/>
        <w:t>.</w:t>
        <w:br/>
        <w:t xml:space="preserve">{{field-off:bible}} </w:t>
        <w:br/>
        <w:t>[[@BibleTOBIBLE:Is 53:9]]</w:t>
      </w:r>
      <w:r>
        <w:rPr>
          <w:b/>
        </w:rPr>
        <w:t>9</w:t>
      </w:r>
      <w:r>
        <w:rPr/>
        <w:t xml:space="preserve"> {{field-on:bible}} </w:t>
        <w:br/>
        <w:t>Dann gab man</w:t>
      </w:r>
      <w:r>
        <w:rPr>
          <w:rStyle w:val="Funotenanker"/>
        </w:rPr>
        <w:footnoteReference w:customMarkFollows="1" w:id="2529"/>
        <w:t>ad</w:t>
      </w:r>
      <w:r>
        <w:rPr/>
        <w:t xml:space="preserve"> ihm bei Frevlern</w:t>
      </w:r>
      <w:r>
        <w:rPr>
          <w:rStyle w:val="Funotenanker"/>
        </w:rPr>
        <w:footnoteReference w:customMarkFollows="1" w:id="2530"/>
        <w:t>ae</w:t>
      </w:r>
      <w:r>
        <w:rPr/>
        <w:t xml:space="preserve"> sein Grab </w:t>
        <w:br/>
        <w:t xml:space="preserve">und </w:t>
      </w:r>
      <w:r>
        <w:rPr>
          <w:color w:val="808080"/>
        </w:rPr>
        <w:t>(doch)</w:t>
      </w:r>
      <w:r>
        <w:rPr/>
        <w:t xml:space="preserve"> bei einem Reichen</w:t>
      </w:r>
      <w:r>
        <w:rPr>
          <w:rStyle w:val="Funotenanker"/>
        </w:rPr>
        <w:footnoteReference w:customMarkFollows="1" w:id="2531"/>
        <w:t>af</w:t>
      </w:r>
      <w:r>
        <w:rPr/>
        <w:t xml:space="preserve"> nach seinem Tod</w:t>
      </w:r>
      <w:r>
        <w:rPr>
          <w:rStyle w:val="Funotenanker"/>
        </w:rPr>
        <w:footnoteReference w:customMarkFollows="1" w:id="2532"/>
        <w:t>ag</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2533"/>
        <w:t>ah</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2534"/>
        <w:t>ai</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2535"/>
        <w:t>aj</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2536"/>
        <w:t>ak</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2537"/>
        <w:t>al</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2538"/>
        <w:t>am</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2539"/>
        <w:t>an</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2540"/>
        <w:t>ao</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2541"/>
        <w:t>ap</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2542"/>
        <w:t>aq</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t>Brichst du nicht</w:t>
      </w:r>
      <w:r>
        <w:rPr>
          <w:rStyle w:val="Funotenanker"/>
        </w:rPr>
        <w:footnoteReference w:customMarkFollows="1" w:id="2543"/>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2544"/>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2545"/>
        <w:t>c</w:t>
      </w:r>
      <w:r>
        <w:rPr/>
        <w:t xml:space="preserve"> finden lässt</w:t>
        <w:br/>
        <w:t>und die Seele</w:t>
      </w:r>
      <w:r>
        <w:rPr>
          <w:rStyle w:val="Funotenanker"/>
        </w:rPr>
        <w:footnoteReference w:customMarkFollows="1" w:id="2546"/>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2547"/>
        <w:t>e</w:t>
      </w:r>
      <w:r>
        <w:rPr/>
        <w:t xml:space="preserve"> </w:t>
        <w:br/>
        <w:t>und deinen Körper</w:t>
      </w:r>
      <w:r>
        <w:rPr>
          <w:rStyle w:val="Funotenanker"/>
        </w:rPr>
        <w:footnoteReference w:customMarkFollows="1" w:id="2548"/>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2549"/>
        <w:t>g</w:t>
      </w:r>
      <w:r>
        <w:rPr/>
        <w:t xml:space="preserve"> der Lücken,</w:t>
        <w:br/>
        <w:t>Wiederhersteller</w:t>
      </w:r>
      <w:r>
        <w:rPr>
          <w:rStyle w:val="Funotenanker"/>
        </w:rPr>
        <w:footnoteReference w:customMarkFollows="1" w:id="2550"/>
        <w:t>h</w:t>
      </w:r>
      <w:r>
        <w:rPr/>
        <w:t xml:space="preserve"> der Pfade zum Wohnen </w:t>
      </w:r>
      <w:r>
        <w:rPr>
          <w:color w:val="808080"/>
        </w:rPr>
        <w:t>(Bleiben)</w:t>
      </w:r>
      <w:r>
        <w:rPr/>
        <w:t xml:space="preserve"> </w:t>
      </w:r>
      <w:r>
        <w:rPr>
          <w:rStyle w:val="Funotenanker"/>
        </w:rPr>
        <w:footnoteReference w:customMarkFollows="1" w:id="2551"/>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br/>
        <w:t xml:space="preserve">Richte dich auf </w:t>
      </w:r>
      <w:r>
        <w:rPr>
          <w:color w:val="808080"/>
        </w:rPr>
        <w:t>(erhebe dich)</w:t>
      </w:r>
      <w:r>
        <w:rPr/>
        <w:t xml:space="preserve"> </w:t>
      </w:r>
      <w:r>
        <w:rPr>
          <w:rStyle w:val="Funotenanker"/>
        </w:rPr>
        <w:footnoteReference w:customMarkFollows="1" w:id="2552"/>
        <w:t>a</w:t>
      </w:r>
      <w:r>
        <w:rPr/>
        <w:t xml:space="preserve">, </w:t>
      </w:r>
      <w:r>
        <w:rPr>
          <w:b/>
          <w:color w:val="808080"/>
        </w:rPr>
        <w:t>[</w:t>
      </w:r>
      <w:r>
        <w:rPr/>
        <w:t>Zion</w:t>
      </w:r>
      <w:r>
        <w:rPr>
          <w:b/>
          <w:color w:val="808080"/>
        </w:rPr>
        <w:t>]</w:t>
      </w:r>
      <w:r>
        <w:rPr/>
        <w:t xml:space="preserve"> </w:t>
      </w:r>
      <w:r>
        <w:rPr>
          <w:rStyle w:val="Funotenanker"/>
        </w:rPr>
        <w:footnoteReference w:customMarkFollows="1" w:id="2553"/>
        <w:t>b</w:t>
      </w:r>
      <w:r>
        <w:rPr/>
        <w:t>, werde hell</w:t>
      </w:r>
      <w:r>
        <w:rPr>
          <w:rStyle w:val="Funotenanker"/>
        </w:rPr>
        <w:footnoteReference w:customMarkFollows="1" w:id="2554"/>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2555"/>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2556"/>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2557"/>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66:18]]</w:t>
      </w:r>
      <w:r>
        <w:rPr>
          <w:b/>
        </w:rPr>
        <w:t>18</w:t>
      </w:r>
      <w:r>
        <w:rPr/>
        <w:t xml:space="preserve"> {{field-on:bible}}Und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2558"/>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2559"/>
        <w:t>a</w:t>
      </w:r>
      <w:r>
        <w:rPr/>
        <w:t xml:space="preserve"> in den Tagen Joschijas, Sohn Amons</w:t>
      </w:r>
      <w:r>
        <w:rPr>
          <w:rStyle w:val="Funotenanker"/>
        </w:rPr>
        <w:footnoteReference w:customMarkFollows="1" w:id="2560"/>
        <w:t>b</w:t>
      </w:r>
      <w:r>
        <w:rPr/>
        <w:t>, König von Juda, im 13. Jahr seiner Regentschaft</w:t>
      </w:r>
      <w:r>
        <w:rPr>
          <w:rStyle w:val="Funotenanker"/>
        </w:rPr>
        <w:footnoteReference w:customMarkFollows="1" w:id="2561"/>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2562"/>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2563"/>
        <w:t>e</w:t>
      </w:r>
      <w:r>
        <w:rPr/>
        <w:t>, Sohn Joschijas, König von Juda; bis in die Verbannung gebracht wurde Jerusalem im 5. Monat</w:t>
      </w:r>
      <w:r>
        <w:rPr>
          <w:rStyle w:val="Funotenanker"/>
        </w:rPr>
        <w:footnoteReference w:customMarkFollows="1" w:id="2564"/>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2565"/>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2566"/>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2567"/>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2568"/>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2569"/>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2570"/>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2571"/>
        <w:t>a</w:t>
      </w:r>
      <w:r>
        <w:rPr/>
        <w:t xml:space="preserve"> aus dem Land Ägypten,</w:t>
        <w:br/>
        <w:t>der uns führte</w:t>
      </w:r>
      <w:r>
        <w:rPr>
          <w:rStyle w:val="Funotenanker"/>
        </w:rPr>
        <w:footnoteReference w:customMarkFollows="1" w:id="2572"/>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2573"/>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2574"/>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2575"/>
        <w:t>e</w:t>
      </w:r>
      <w:r>
        <w:rPr/>
        <w:t xml:space="preserve"> und gebt </w:t>
      </w:r>
      <w:r>
        <w:rPr>
          <w:color w:val="808080"/>
        </w:rPr>
        <w:t>(sehr =)</w:t>
      </w:r>
      <w:r>
        <w:rPr/>
        <w:t xml:space="preserve"> genau acht</w:t>
        <w:br/>
        <w:t>und seht, siehe!, geschah</w:t>
      </w:r>
      <w:r>
        <w:rPr>
          <w:rStyle w:val="Funotenanker"/>
        </w:rPr>
        <w:footnoteReference w:customMarkFollows="1" w:id="2576"/>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2577"/>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2578"/>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2579"/>
        <w:t>i</w:t>
      </w:r>
      <w:r>
        <w:rPr/>
        <w:t xml:space="preserve"> dich Himmel darüber!</w:t>
        <w:br/>
      </w:r>
      <w:r>
        <w:rPr>
          <w:strike/>
          <w:color w:val="808080"/>
        </w:rPr>
        <w:t>{Und}</w:t>
      </w:r>
      <w:r>
        <w:rPr/>
        <w:t xml:space="preserve"> Empfinde Schauder, trockne</w:t>
      </w:r>
      <w:r>
        <w:rPr>
          <w:rStyle w:val="Funotenanker"/>
        </w:rPr>
        <w:footnoteReference w:customMarkFollows="1" w:id="2580"/>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2581"/>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2582"/>
        <w:t>l</w:t>
      </w:r>
      <w:r>
        <w:rPr/>
        <w:t xml:space="preserve"> und Tachpanches</w:t>
      </w:r>
      <w:r>
        <w:rPr>
          <w:rStyle w:val="Funotenanker"/>
        </w:rPr>
        <w:footnoteReference w:customMarkFollows="1" w:id="2583"/>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2584"/>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2585"/>
        <w:t>o</w:t>
      </w:r>
      <w:r>
        <w:rPr/>
        <w:t xml:space="preserve"> du verließest </w:t>
      </w:r>
      <w:r>
        <w:rPr>
          <w:smallCaps/>
          <w:color w:val="FF0000"/>
        </w:rPr>
        <w:t>JHWH</w:t>
      </w:r>
      <w:r>
        <w:rPr/>
        <w:t>, deinen Gott,</w:t>
        <w:br/>
        <w:t>zu der Zeit, als</w:t>
      </w:r>
      <w:r>
        <w:rPr>
          <w:rStyle w:val="Funotenanker"/>
        </w:rPr>
        <w:footnoteReference w:customMarkFollows="1" w:id="2586"/>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2587"/>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2588"/>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2589"/>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2590"/>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2591"/>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2592"/>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2593"/>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2594"/>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2595"/>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2596"/>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2597"/>
        <w:t>aa</w:t>
      </w:r>
      <w:r>
        <w:rPr/>
        <w:t xml:space="preserve"> werden nicht müde; in ihrem Monat</w:t>
      </w:r>
      <w:r>
        <w:rPr>
          <w:rStyle w:val="Funotenanker"/>
        </w:rPr>
        <w:footnoteReference w:customMarkFollows="1" w:id="2598"/>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2599"/>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2600"/>
        <w:t>ad</w:t>
      </w:r>
      <w:r>
        <w:rPr/>
        <w:t>.</w:t>
        <w:br/>
        <w:t xml:space="preserve">{{field-off:bible}} </w:t>
        <w:br/>
        <w:t>[[@BibleTOBIBLE:Je 2:27]]</w:t>
      </w:r>
      <w:r>
        <w:rPr>
          <w:b/>
        </w:rPr>
        <w:t>27</w:t>
      </w:r>
      <w:r>
        <w:rPr/>
        <w:t xml:space="preserve"> {{field-on:bible}} </w:t>
        <w:br/>
        <w:t>Sie sprechen</w:t>
      </w:r>
      <w:r>
        <w:rPr>
          <w:rStyle w:val="Funotenanker"/>
        </w:rPr>
        <w:footnoteReference w:customMarkFollows="1" w:id="2601"/>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2602"/>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2603"/>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2604"/>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2605"/>
        <w:t>ai</w:t>
      </w:r>
      <w:r>
        <w:rPr/>
        <w:t xml:space="preserve"> Generation </w:t>
      </w:r>
      <w:r>
        <w:rPr>
          <w:color w:val="808080"/>
        </w:rPr>
        <w:t>(Geschlecht, Gemeinschaft)</w:t>
      </w:r>
      <w:r>
        <w:rPr/>
        <w:t xml:space="preserve"> </w:t>
      </w:r>
      <w:r>
        <w:rPr>
          <w:rStyle w:val="Funotenanker"/>
        </w:rPr>
        <w:footnoteReference w:customMarkFollows="1" w:id="2606"/>
        <w:t>aj</w:t>
      </w:r>
      <w:r>
        <w:rPr/>
        <w:t>, sieh</w:t>
      </w:r>
      <w:r>
        <w:rPr>
          <w:rStyle w:val="Funotenanker"/>
        </w:rPr>
        <w:footnoteReference w:customMarkFollows="1" w:id="2607"/>
        <w:t>ak</w:t>
      </w:r>
      <w:r>
        <w:rPr/>
        <w:t xml:space="preserve"> das Wort </w:t>
      </w:r>
      <w:r>
        <w:rPr>
          <w:smallCaps/>
          <w:color w:val="FF0000"/>
        </w:rPr>
        <w:t>JHWH</w:t>
      </w:r>
      <w:r>
        <w:rPr/>
        <w:t>s.</w:t>
      </w:r>
      <w:r>
        <w:rPr>
          <w:rStyle w:val="Funotenanker"/>
        </w:rPr>
        <w:footnoteReference w:customMarkFollows="1" w:id="2608"/>
        <w:t>al</w:t>
      </w:r>
      <w:r>
        <w:rPr/>
        <w:t xml:space="preserve"> </w:t>
        <w:br/>
        <w:t>War ich eine Wüste für Israel, oder ein Land der Finsternis?</w:t>
        <w:br/>
        <w:t>Warum hat</w:t>
      </w:r>
      <w:r>
        <w:rPr>
          <w:rStyle w:val="Funotenanker"/>
        </w:rPr>
        <w:footnoteReference w:customMarkFollows="1" w:id="2609"/>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2610"/>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2611"/>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2612"/>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2613"/>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2614"/>
        <w:t>Status</w:t>
      </w:r>
      <w:r>
        <w:rPr/>
        <w:t xml:space="preserve"> </w:t>
      </w:r>
      <w:r>
        <w:rPr>
          <w:b/>
          <w:color w:val="808080"/>
        </w:rPr>
        <w:t>[</w:t>
      </w:r>
      <w:r>
        <w:rPr/>
        <w:t>Gott</w:t>
      </w:r>
      <w:r>
        <w:rPr>
          <w:b/>
          <w:color w:val="808080"/>
        </w:rPr>
        <w:t>]</w:t>
      </w:r>
      <w:r>
        <w:rPr/>
        <w:t xml:space="preserve"> spricht:</w:t>
      </w:r>
      <w:r>
        <w:rPr>
          <w:rStyle w:val="Funotenanker"/>
        </w:rPr>
        <w:footnoteReference w:customMarkFollows="1" w:id="2615"/>
        <w:t>a</w:t>
      </w:r>
      <w:r>
        <w:rPr/>
        <w:t xml:space="preserve"> </w:t>
        <w:br/>
        <w:t>Wenn</w:t>
      </w:r>
      <w:r>
        <w:rPr>
          <w:rStyle w:val="Funotenanker"/>
        </w:rPr>
        <w:footnoteReference w:customMarkFollows="1" w:id="2616"/>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2617"/>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2618"/>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2619"/>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2620"/>
        <w:t>f</w:t>
      </w:r>
      <w:r>
        <w:rPr/>
        <w:t xml:space="preserve"> und durch dein Böses</w:t>
      </w:r>
      <w:r>
        <w:rPr>
          <w:rStyle w:val="Funotenanker"/>
        </w:rPr>
        <w:footnoteReference w:customMarkFollows="1" w:id="2621"/>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2622"/>
        <w:t>h</w:t>
      </w:r>
      <w:r>
        <w:rPr/>
        <w:t xml:space="preserve"> die Regen,</w:t>
        <w:br/>
        <w:t>und der Spätregen fiel</w:t>
      </w:r>
      <w:r>
        <w:rPr>
          <w:rStyle w:val="Funotenanker"/>
        </w:rPr>
        <w:footnoteReference w:customMarkFollows="1" w:id="2623"/>
        <w:t>i</w:t>
      </w:r>
      <w:r>
        <w:rPr/>
        <w:t xml:space="preserve"> nicht.</w:t>
      </w:r>
      <w:r>
        <w:rPr>
          <w:rStyle w:val="Funotenanker"/>
        </w:rPr>
        <w:footnoteReference w:customMarkFollows="1" w:id="2624"/>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2625"/>
        <w:t>k</w:t>
      </w:r>
      <w:r>
        <w:rPr/>
        <w:t xml:space="preserve"> hast du,</w:t>
        <w:br/>
        <w:t>die sich weigert</w:t>
      </w:r>
      <w:r>
        <w:rPr>
          <w:rStyle w:val="Funotenanker"/>
        </w:rPr>
        <w:footnoteReference w:customMarkFollows="1" w:id="2626"/>
        <w:t>l</w:t>
      </w:r>
      <w:r>
        <w:rPr/>
        <w:t>, sich zu schämen.</w:t>
        <w:br/>
        <w:t xml:space="preserve">{{field-off:bible}} </w:t>
        <w:br/>
        <w:t>[[@BibleTOBIBLE:Je 3:4]]</w:t>
      </w:r>
      <w:r>
        <w:rPr>
          <w:b/>
        </w:rPr>
        <w:t>4</w:t>
      </w:r>
      <w:r>
        <w:rPr/>
        <w:t xml:space="preserve"> {{field-on:bible}} </w:t>
        <w:br/>
        <w:t>Rufst</w:t>
      </w:r>
      <w:r>
        <w:rPr>
          <w:rStyle w:val="Funotenanker"/>
        </w:rPr>
        <w:footnoteReference w:customMarkFollows="1" w:id="2627"/>
        <w:t>m</w:t>
      </w:r>
      <w:r>
        <w:rPr/>
        <w:t xml:space="preserve"> du nicht von jetzt an</w:t>
      </w:r>
      <w:r>
        <w:rPr>
          <w:rStyle w:val="Funotenanker"/>
        </w:rPr>
        <w:footnoteReference w:customMarkFollows="1" w:id="2628"/>
        <w:t>n</w:t>
      </w:r>
      <w:r>
        <w:rPr/>
        <w:t xml:space="preserve"> zu mir „mein Vater!</w:t>
      </w:r>
      <w:r>
        <w:rPr>
          <w:rStyle w:val="Funotenanker"/>
        </w:rPr>
        <w:footnoteReference w:customMarkFollows="1" w:id="2629"/>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630"/>
        <w:t>p</w:t>
      </w:r>
      <w:r>
        <w:rPr/>
        <w:t xml:space="preserve"> du hast geredet</w:t>
      </w:r>
      <w:r>
        <w:rPr>
          <w:rStyle w:val="Funotenanker"/>
        </w:rPr>
        <w:footnoteReference w:customMarkFollows="1" w:id="2631"/>
        <w:t>q</w:t>
      </w:r>
      <w:r>
        <w:rPr/>
        <w:t xml:space="preserve"> und getan</w:t>
        <w:br/>
        <w:t>das Böse</w:t>
      </w:r>
      <w:r>
        <w:rPr>
          <w:rStyle w:val="Funotenanker"/>
        </w:rPr>
        <w:footnoteReference w:customMarkFollows="1" w:id="2632"/>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633"/>
        <w:t>s</w:t>
      </w:r>
      <w:r>
        <w:rPr/>
        <w:t xml:space="preserve"> abtrünnige</w:t>
      </w:r>
      <w:r>
        <w:rPr>
          <w:rStyle w:val="Funotenanker"/>
        </w:rPr>
        <w:footnoteReference w:customMarkFollows="1" w:id="2634"/>
        <w:t>t</w:t>
      </w:r>
      <w:r>
        <w:rPr/>
        <w:t xml:space="preserve"> Israel tut? Wie es auf auf jeden hohen Hügel steigt</w:t>
      </w:r>
      <w:r>
        <w:rPr>
          <w:rStyle w:val="Funotenanker"/>
        </w:rPr>
        <w:footnoteReference w:customMarkFollows="1" w:id="2635"/>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636"/>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637"/>
        <w:t>w</w:t>
      </w:r>
      <w:r>
        <w:rPr/>
        <w:t xml:space="preserve"> ich</w:t>
      </w:r>
      <w:r>
        <w:rPr>
          <w:rStyle w:val="Funotenanker"/>
        </w:rPr>
        <w:footnoteReference w:customMarkFollows="1" w:id="2638"/>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639"/>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640"/>
        <w:t>z</w:t>
      </w:r>
      <w:r>
        <w:rPr/>
        <w:t xml:space="preserve"> es, dass, weil das abtrünnige Israel fremdging </w:t>
      </w:r>
      <w:r>
        <w:rPr>
          <w:color w:val="808080"/>
        </w:rPr>
        <w:t>(die Ehe brach)</w:t>
      </w:r>
      <w:r>
        <w:rPr/>
        <w:t xml:space="preserve"> </w:t>
      </w:r>
      <w:r>
        <w:rPr>
          <w:rStyle w:val="Funotenanker"/>
        </w:rPr>
        <w:footnoteReference w:customMarkFollows="1" w:id="2641"/>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642"/>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643"/>
        <w:t>ac</w:t>
      </w:r>
      <w:r>
        <w:rPr/>
        <w:t xml:space="preserve"> und Holz</w:t>
      </w:r>
      <w:r>
        <w:rPr>
          <w:rStyle w:val="Funotenanker"/>
        </w:rPr>
        <w:footnoteReference w:customMarkFollows="1" w:id="2644"/>
        <w:t>ad</w:t>
      </w:r>
      <w:r>
        <w:rPr/>
        <w:t xml:space="preserve">.{{field-off:bible}} </w:t>
        <w:br/>
        <w:t>[[@BibleTOBIBLE:Je 3:10]]</w:t>
      </w:r>
      <w:r>
        <w:rPr>
          <w:b/>
        </w:rPr>
        <w:t>10</w:t>
      </w:r>
      <w:r>
        <w:rPr/>
        <w:t xml:space="preserve"> {{field-on:bible}}Trotzdem</w:t>
      </w:r>
      <w:r>
        <w:rPr>
          <w:rStyle w:val="Funotenanker"/>
        </w:rPr>
        <w:footnoteReference w:customMarkFollows="1" w:id="2645"/>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646"/>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647"/>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648"/>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649"/>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650"/>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651"/>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652"/>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653"/>
        <w:t>am</w:t>
      </w:r>
      <w:r>
        <w:rPr/>
        <w:t>!,</w:t>
        <w:br/>
        <w:t xml:space="preserve">und dir kostbares </w:t>
      </w:r>
      <w:r>
        <w:rPr>
          <w:color w:val="808080"/>
        </w:rPr>
        <w:t>(begehrenswertes)</w:t>
      </w:r>
      <w:r>
        <w:rPr/>
        <w:t xml:space="preserve"> Land geben,</w:t>
        <w:br/>
        <w:t>herrlichsten</w:t>
      </w:r>
      <w:r>
        <w:rPr>
          <w:rStyle w:val="Funotenanker"/>
        </w:rPr>
        <w:footnoteReference w:customMarkFollows="1" w:id="2654"/>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655"/>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656"/>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657"/>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658"/>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659"/>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660"/>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661"/>
        <w:t>au</w:t>
      </w:r>
      <w:r>
        <w:rPr/>
        <w:t>,</w:t>
        <w:br/>
        <w:t>ihr Kleinvieh</w:t>
      </w:r>
      <w:r>
        <w:rPr>
          <w:rStyle w:val="Funotenanker"/>
        </w:rPr>
        <w:footnoteReference w:customMarkFollows="1" w:id="2662"/>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663"/>
        <w:t>a</w:t>
      </w:r>
      <w:r>
        <w:rPr/>
        <w:t xml:space="preserve"> vor mir,</w:t>
        <w:br/>
        <w:t>dann wirst du nicht schwanken</w:t>
      </w:r>
      <w:r>
        <w:rPr>
          <w:rStyle w:val="Funotenanker"/>
        </w:rPr>
        <w:footnoteReference w:customMarkFollows="1" w:id="2664"/>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665"/>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8:3]]</w:t>
      </w:r>
      <w:r>
        <w:rPr>
          <w:b/>
        </w:rPr>
        <w:t>3</w:t>
      </w:r>
      <w:r>
        <w:rPr/>
        <w:t xml:space="preserve"> {{field-on:bible}} </w:t>
        <w:br/>
        <w:t xml:space="preserve">{{field-off:bible}} </w:t>
        <w:br/>
        <w:t>[[@BibleTOBIBLE:Je 8:4]]</w:t>
      </w:r>
      <w:r>
        <w:rPr>
          <w:b/>
        </w:rPr>
        <w:t>4</w:t>
      </w:r>
      <w:r>
        <w:rPr/>
        <w:t xml:space="preserve"> {{field-on:bible}} </w:t>
        <w:br/>
        <w:t xml:space="preserve">Sprich zu ihnen, so hat </w:t>
      </w:r>
      <w:r>
        <w:rPr>
          <w:smallCaps/>
          <w:color w:val="FF0000"/>
        </w:rPr>
        <w:t>JHWH</w:t>
      </w:r>
      <w:r>
        <w:rPr/>
        <w:t xml:space="preserve"> gesprochen:</w:t>
        <w:br/>
        <w:t>Fällt man und steht nicht wieder auf?</w:t>
        <w:br/>
        <w:t>Oder wendet</w:t>
      </w:r>
      <w:r>
        <w:rPr>
          <w:rStyle w:val="Funotenanker"/>
        </w:rPr>
        <w:footnoteReference w:customMarkFollows="1" w:id="2666"/>
        <w:t>a</w:t>
      </w:r>
      <w:r>
        <w:rPr/>
        <w:t xml:space="preserve"> sich einer ab und kehrt</w:t>
      </w:r>
      <w:r>
        <w:rPr>
          <w:rStyle w:val="Funotenanker"/>
        </w:rPr>
        <w:footnoteReference w:customMarkFollows="1" w:id="2667"/>
        <w:t>b</w:t>
      </w:r>
      <w:r>
        <w:rPr/>
        <w:t xml:space="preserve"> </w:t>
        <w:br/>
        <w:t>nicht wieder zurück?</w:t>
      </w:r>
      <w:r>
        <w:rPr>
          <w:rStyle w:val="Funotenanker"/>
        </w:rPr>
        <w:footnoteReference w:customMarkFollows="1" w:id="2668"/>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669"/>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670"/>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671"/>
        <w:t>f</w:t>
      </w:r>
      <w:r>
        <w:rPr/>
        <w:t xml:space="preserve"> bereut seine Bosheit</w:t>
        <w:br/>
        <w:t>und sagt</w:t>
      </w:r>
      <w:r>
        <w:rPr>
          <w:rStyle w:val="Funotenanker"/>
        </w:rPr>
        <w:footnoteReference w:customMarkFollows="1" w:id="2672"/>
        <w:t>g</w:t>
      </w:r>
      <w:r>
        <w:rPr/>
        <w:t>: „Was habe ich getan!“</w:t>
        <w:br/>
        <w:t>Alle rennen noch weiter fort,</w:t>
      </w:r>
      <w:r>
        <w:rPr>
          <w:color w:val="808080"/>
        </w:rPr>
        <w:t>(sie kehren sich ab in ihrem Rennen</w:t>
      </w:r>
      <w:r>
        <w:rPr/>
        <w:t xml:space="preserve"> </w:t>
      </w:r>
      <w:r>
        <w:rPr>
          <w:rStyle w:val="Funotenanker"/>
        </w:rPr>
        <w:footnoteReference w:customMarkFollows="1" w:id="2673"/>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674"/>
        <w:t>i</w:t>
      </w:r>
      <w:r>
        <w:rPr/>
        <w:t xml:space="preserve"> galoppiert</w:t>
      </w:r>
      <w:r>
        <w:rPr>
          <w:color w:val="808080"/>
        </w:rPr>
        <w:t>(strömt)</w:t>
      </w:r>
      <w:r>
        <w:rPr/>
        <w:t xml:space="preserve"> </w:t>
      </w:r>
      <w:r>
        <w:rPr>
          <w:rStyle w:val="Funotenanker"/>
        </w:rPr>
        <w:footnoteReference w:customMarkFollows="1" w:id="2675"/>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676"/>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t>...</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677"/>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10:11]]</w:t>
      </w:r>
      <w:r>
        <w:rPr>
          <w:b/>
        </w:rPr>
        <w:t>11</w:t>
      </w:r>
      <w:r>
        <w:rPr/>
        <w:t xml:space="preserve"> {{field-on:bible}} </w:t>
      </w:r>
      <w:r>
        <w:rPr>
          <w:rStyle w:val="Funotenanker"/>
        </w:rPr>
        <w:footnoteReference w:customMarkFollows="1" w:id="2678"/>
        <w:t>Status</w:t>
      </w:r>
      <w:r>
        <w:rPr/>
        <w:t xml:space="preserve"> </w:t>
      </w:r>
      <w:r>
        <w:rPr>
          <w:rStyle w:val="Funotenanker"/>
        </w:rPr>
        <w:footnoteReference w:customMarkFollows="1" w:id="2679"/>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680"/>
        <w:t>b</w:t>
      </w:r>
      <w:r>
        <w:rPr/>
        <w:t xml:space="preserve"> Himmel!“</w:t>
      </w:r>
      <w:r>
        <w:rPr>
          <w:rStyle w:val="Funotenanker"/>
        </w:rPr>
        <w:footnoteReference w:customMarkFollows="1" w:id="2681"/>
        <w:t>c</w:t>
      </w:r>
      <w:r>
        <w:rPr/>
        <w:t xml:space="preserve"> {{field-off:bible}} </w:t>
      </w:r>
    </w:p>
    <w:p>
      <w:pPr>
        <w:pStyle w:val="Berschrift3"/>
        <w:rPr/>
      </w:pPr>
      <w:r>
        <w:rPr/>
        <w:t>[[@BibleTOBIBLE:Je 20]]Kapitel 20</w:t>
      </w:r>
    </w:p>
    <w:p>
      <w:pPr>
        <w:pStyle w:val="Textkrper"/>
        <w:rPr/>
      </w:pPr>
      <w:r>
        <w:rPr/>
        <w:br/>
        <w:t>[[@BibleTOBIBLE:Je 20:7]]</w:t>
      </w:r>
      <w:r>
        <w:rPr>
          <w:b/>
        </w:rPr>
        <w:t>7</w:t>
      </w:r>
      <w:r>
        <w:rPr/>
        <w:t xml:space="preserve"> {{field-on:bible}}Du hast mich, </w:t>
      </w:r>
      <w:r>
        <w:rPr>
          <w:smallCaps/>
          <w:color w:val="FF0000"/>
        </w:rPr>
        <w:t>JHWH</w:t>
      </w:r>
      <w:r>
        <w:rPr/>
        <w:t>, überredet</w:t>
      </w:r>
      <w:r>
        <w:rPr>
          <w:rStyle w:val="Funotenanker"/>
        </w:rPr>
        <w:footnoteReference w:customMarkFollows="1" w:id="2682"/>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683"/>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684"/>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685"/>
        <w:t>d</w:t>
      </w:r>
      <w:r>
        <w:rPr/>
        <w:t xml:space="preserve"> prüfst und siehst Nieren und Herz: Lass mich sehen deine Rache an ihnen! Denn dir habe ich anvertraut</w:t>
      </w:r>
      <w:r>
        <w:rPr>
          <w:rStyle w:val="Funotenanker"/>
        </w:rPr>
        <w:footnoteReference w:customMarkFollows="1" w:id="2686"/>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23:5]]</w:t>
      </w:r>
      <w:r>
        <w:rPr>
          <w:b/>
        </w:rPr>
        <w:t>5</w:t>
      </w:r>
      <w:r>
        <w:rPr/>
        <w:t xml:space="preserve"> {{field-on:bible}}Siehe: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687"/>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29:4]]</w:t>
      </w:r>
      <w:r>
        <w:rPr>
          <w:b/>
        </w:rPr>
        <w:t>4</w:t>
      </w:r>
      <w:r>
        <w:rPr/>
        <w:t xml:space="preserve"> {{field-on:bible}}So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688"/>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1]]Kapitel 1</w:t>
      </w:r>
    </w:p>
    <w:p>
      <w:pPr>
        <w:pStyle w:val="Textkrper"/>
        <w:rPr/>
      </w:pPr>
      <w:r>
        <w:rPr/>
        <w:t>Die Klagelieder gehören zur Gattung der sog. „Stadtuntergangsklagen“, mit denen die Zerstörung einer Stadt beklagt wurden.</w:t>
      </w:r>
      <w:r>
        <w:rPr>
          <w:rStyle w:val="Funotenanker"/>
        </w:rPr>
        <w:footnoteReference w:customMarkFollows="1" w:id="2689"/>
        <w:t>a</w:t>
      </w:r>
      <w:r>
        <w:rPr/>
        <w:t xml:space="preserve"> Geschichtlicher Hintergrund ist die Vernichtung Jerusalems durch die Babylonier um 587 v.Chr., bei der u.a. der Tempel zerstört und die jerusalemer Oberschicht nach Babylon ins Exil entführt wurde - die größte Katastrophe in der Geschichte Judäas. Vor V. 1 findet sich in fast allen alten Übersetzungen eine Notiz, die Jeremia als den Autor der Klagelieder nennt; die selbe Tradition findet sich auch des Öfteren in alten jüdischen Texten. Heute ist man sich mehr oder weniger einig darüber, dass diese Zuschreibung historisch wertlos ist, Jeremia nicht der Autor der Klagelieder war und diese Zuschreibung aus dem Vers 2 Chr 35,25 zu erklären ist, den die alten Exegeten auf das Buch der Klagelieder bezogen. Vv. 1-3 beklagen die Vereinsamung Jerusalems: V. 1 wird die Entvölkerung Jerusalems mit dem Bild der Verwitwung beschrieben. Witwenschaft war im Alten Israel eine soziale Krisensituation, da Witwen zusätzlich zu ihrer Vereinsamung und fast automatischen Verarmung häufig unterdrückt wurden. Auch dies wird hier mit dem Begriff „Fronsklavin“ äußerst passend auf Jerusalem übertragen, denn in der Tat hatte Juda in Folge der Eroberung durch die Babylonier nur mehr den Rang eines Vasallenstaates.Vv. 2.3 wird diese Vereinsamung noch spezifiziert: V. 2 spricht davon, dass Jerusalem von ihren Verbündeten im Stich gelassen und gar befeindet wurde, V. 3 von ihren ursprünglichen Bewohnern, die aus Jerusalem in die Verbannung weggeführt wurden und dort ebenfalls viel zu leiden haben. Jerusalem ist gänzlich vereinsamt und sowohl in Jerusalem als auch unter den exilierten Judäern in Babylon herrscht großes Elend. </w:t>
        <w:br/>
        <w:br/>
        <w:t>[[@BibleTOBIBLE:La 1:1]]</w:t>
      </w:r>
      <w:r>
        <w:rPr>
          <w:b/>
        </w:rPr>
        <w:t>1</w:t>
      </w:r>
      <w:r>
        <w:rPr/>
        <w:t xml:space="preserve"> {{field-on:bible}} </w:t>
      </w:r>
      <w:r>
        <w:rPr>
          <w:rStyle w:val="Funotenanker"/>
        </w:rPr>
        <w:footnoteReference w:customMarkFollows="1" w:id="2690"/>
        <w:t>Status</w:t>
      </w:r>
      <w:r>
        <w:rPr/>
        <w:t xml:space="preserve"> Wie sitzt sie allein, Die Stadt, </w:t>
      </w:r>
      <w:r>
        <w:rPr>
          <w:b/>
          <w:color w:val="808080"/>
        </w:rPr>
        <w:t>[</w:t>
      </w:r>
      <w:r>
        <w:rPr/>
        <w:t>einst</w:t>
      </w:r>
      <w:r>
        <w:rPr>
          <w:b/>
          <w:color w:val="808080"/>
        </w:rPr>
        <w:t>]</w:t>
      </w:r>
      <w:r>
        <w:rPr/>
        <w:t xml:space="preserve"> reich an Menschen.</w:t>
        <w:br/>
        <w:t>Es wurde wie eine Witwe</w:t>
      </w:r>
      <w:r>
        <w:rPr>
          <w:rStyle w:val="Funotenanker"/>
        </w:rPr>
        <w:footnoteReference w:customMarkFollows="1" w:id="2691"/>
        <w:t>b</w:t>
      </w:r>
      <w:r>
        <w:rPr/>
        <w:t>, die Herrin unter den Völkern,</w:t>
        <w:br/>
        <w:t>die Fürstin über die Provinzen</w:t>
      </w:r>
      <w:r>
        <w:rPr>
          <w:rStyle w:val="Funotenanker"/>
        </w:rPr>
        <w:footnoteReference w:customMarkFollows="1" w:id="2692"/>
        <w:t>c</w:t>
      </w:r>
      <w:r>
        <w:rPr/>
        <w:t>, wurde zur Fronarbeiterin</w:t>
      </w:r>
      <w:r>
        <w:rPr>
          <w:rStyle w:val="Funotenanker"/>
        </w:rPr>
        <w:footnoteReference w:customMarkFollows="1" w:id="2693"/>
        <w:t>d</w:t>
      </w:r>
      <w:r>
        <w:rPr/>
        <w:t>.</w:t>
      </w:r>
      <w:r>
        <w:rPr>
          <w:rStyle w:val="Funotenanker"/>
        </w:rPr>
        <w:footnoteReference w:customMarkFollows="1" w:id="2694"/>
        <w:t>e</w:t>
      </w:r>
      <w:r>
        <w:rPr/>
        <w:t xml:space="preserve"> </w:t>
        <w:br/>
        <w:br/>
        <w:t xml:space="preserve">{{field-off:bible}} </w:t>
        <w:br/>
        <w:t>[[@BibleTOBIBLE:La 1:2]]</w:t>
      </w:r>
      <w:r>
        <w:rPr>
          <w:b/>
        </w:rPr>
        <w:t>2</w:t>
      </w:r>
      <w:r>
        <w:rPr/>
        <w:t xml:space="preserve"> {{field-on:bible}} </w:t>
        <w:br/>
      </w:r>
      <w:r>
        <w:rPr>
          <w:b/>
          <w:color w:val="808080"/>
        </w:rPr>
        <w:t>[</w:t>
      </w:r>
      <w:r>
        <w:rPr/>
        <w:t>Bitter</w:t>
      </w:r>
      <w:r>
        <w:rPr>
          <w:b/>
          <w:color w:val="808080"/>
        </w:rPr>
        <w:t>]</w:t>
      </w:r>
      <w:r>
        <w:rPr/>
        <w:t xml:space="preserve"> weint sie</w:t>
      </w:r>
      <w:r>
        <w:rPr>
          <w:rStyle w:val="Funotenanker"/>
        </w:rPr>
        <w:footnoteReference w:customMarkFollows="1" w:id="2695"/>
        <w:t>f</w:t>
      </w:r>
      <w:r>
        <w:rPr/>
        <w:t xml:space="preserve"> bei Nacht,Und ihre Tränen </w:t>
      </w:r>
      <w:r>
        <w:rPr>
          <w:b/>
          <w:color w:val="808080"/>
        </w:rPr>
        <w:t>[</w:t>
      </w:r>
      <w:r>
        <w:rPr/>
        <w:t>sind</w:t>
      </w:r>
      <w:r>
        <w:rPr>
          <w:b/>
          <w:color w:val="808080"/>
        </w:rPr>
        <w:t>]</w:t>
      </w:r>
      <w:r>
        <w:rPr/>
        <w:t xml:space="preserve"> auf ihrer Wange;</w:t>
        <w:br/>
        <w:t>Es gibt für sie keinen Tröster Unter allen ihren Liebhabern,</w:t>
        <w:br/>
        <w:t>Alle ihre Freunde sind ihr untreu, Sind ihr zu Feinden geworden.</w:t>
      </w:r>
      <w:r>
        <w:rPr>
          <w:rStyle w:val="Funotenanker"/>
        </w:rPr>
        <w:footnoteReference w:customMarkFollows="1" w:id="2696"/>
        <w:t>g</w:t>
      </w:r>
      <w:r>
        <w:rPr/>
        <w:t xml:space="preserve"> </w:t>
        <w:br/>
        <w:br/>
        <w:t xml:space="preserve">{{field-off:bible}} </w:t>
        <w:br/>
        <w:t>[[@BibleTOBIBLE:La 1:3]]</w:t>
      </w:r>
      <w:r>
        <w:rPr>
          <w:b/>
        </w:rPr>
        <w:t>3</w:t>
      </w:r>
      <w:r>
        <w:rPr/>
        <w:t xml:space="preserve"> {{field-on:bible}} </w:t>
        <w:br/>
        <w:t>Ausgewandert ist Juda aus Elend Und vielem Frondienst,</w:t>
      </w:r>
      <w:r>
        <w:rPr>
          <w:rStyle w:val="Funotenanker"/>
        </w:rPr>
        <w:footnoteReference w:customMarkFollows="1" w:id="2697"/>
        <w:t>h</w:t>
      </w:r>
      <w:r>
        <w:rPr/>
        <w:t xml:space="preserve"> </w:t>
        <w:br/>
        <w:t xml:space="preserve">Sie wohnt </w:t>
      </w:r>
      <w:r>
        <w:rPr>
          <w:color w:val="808080"/>
        </w:rPr>
        <w:t>(sitzt)</w:t>
      </w:r>
      <w:r>
        <w:rPr/>
        <w:t xml:space="preserve"> unter den Heiden </w:t>
      </w:r>
      <w:r>
        <w:rPr>
          <w:color w:val="808080"/>
        </w:rPr>
        <w:t>(Völkern)</w:t>
      </w:r>
      <w:r>
        <w:rPr/>
        <w:t>,</w:t>
      </w:r>
      <w:r>
        <w:rPr>
          <w:rStyle w:val="Funotenanker"/>
        </w:rPr>
        <w:footnoteReference w:customMarkFollows="1" w:id="2698"/>
        <w:t>i</w:t>
      </w:r>
      <w:r>
        <w:rPr/>
        <w:t xml:space="preserve"> Hat keine Ruhe gefunden;</w:t>
        <w:br/>
        <w:t>All ihre Verfolger haben sie eingeholt Inmitten der Bedrängnisse.</w:t>
        <w:br/>
        <w:br/>
        <w:t xml:space="preserve">{{field-off:bible}} </w:t>
        <w:br/>
        <w:t>[[@BibleTOBIBLE:La 1:4]]</w:t>
      </w:r>
      <w:r>
        <w:rPr>
          <w:b/>
        </w:rPr>
        <w:t>4</w:t>
      </w:r>
      <w:r>
        <w:rPr/>
        <w:t xml:space="preserve"> {{field-on:bible}} </w:t>
        <w:br/>
        <w:t>Zions Wege trauernWegen des Ausbleibens der Festpilger,</w:t>
      </w:r>
      <w:r>
        <w:rPr>
          <w:rStyle w:val="Funotenanker"/>
        </w:rPr>
        <w:footnoteReference w:customMarkFollows="1" w:id="2699"/>
        <w:t>j</w:t>
      </w:r>
      <w:r>
        <w:rPr/>
        <w:t xml:space="preserve"> </w:t>
        <w:br/>
        <w:t>Alle ihre Tore</w:t>
      </w:r>
      <w:r>
        <w:rPr>
          <w:rStyle w:val="Funotenanker"/>
        </w:rPr>
        <w:footnoteReference w:customMarkFollows="1" w:id="2700"/>
        <w:t>k</w:t>
      </w:r>
      <w:r>
        <w:rPr/>
        <w:t xml:space="preserve"> </w:t>
      </w:r>
      <w:r>
        <w:rPr>
          <w:b/>
          <w:color w:val="808080"/>
        </w:rPr>
        <w:t>[</w:t>
      </w:r>
      <w:r>
        <w:rPr/>
        <w:t>sind</w:t>
      </w:r>
      <w:r>
        <w:rPr>
          <w:b/>
          <w:color w:val="808080"/>
        </w:rPr>
        <w:t>]</w:t>
      </w:r>
      <w:r>
        <w:rPr/>
        <w:t xml:space="preserve"> entvölkert,Ihre Priester seufzen,</w:t>
        <w:br/>
        <w:t>Ihre Jungfrauen</w:t>
      </w:r>
      <w:r>
        <w:rPr>
          <w:rStyle w:val="Funotenanker"/>
        </w:rPr>
        <w:footnoteReference w:customMarkFollows="1" w:id="2701"/>
        <w:t>l</w:t>
      </w:r>
      <w:r>
        <w:rPr/>
        <w:t xml:space="preserve"> </w:t>
      </w:r>
      <w:r>
        <w:rPr>
          <w:b/>
          <w:color w:val="808080"/>
        </w:rPr>
        <w:t>[</w:t>
      </w:r>
      <w:r>
        <w:rPr/>
        <w:t>sind</w:t>
      </w:r>
      <w:r>
        <w:rPr>
          <w:b/>
          <w:color w:val="808080"/>
        </w:rPr>
        <w:t>]</w:t>
      </w:r>
      <w:r>
        <w:rPr/>
        <w:t xml:space="preserve"> betrübtUnd sie </w:t>
      </w:r>
      <w:r>
        <w:rPr>
          <w:b/>
          <w:color w:val="808080"/>
        </w:rPr>
        <w:t>[</w:t>
      </w:r>
      <w:r>
        <w:rPr/>
        <w:t>selbst</w:t>
      </w:r>
      <w:r>
        <w:rPr>
          <w:b/>
          <w:color w:val="808080"/>
        </w:rPr>
        <w:t>]</w:t>
      </w:r>
      <w:r>
        <w:rPr/>
        <w:t xml:space="preserve"> ist verbittert.</w:t>
      </w:r>
      <w:r>
        <w:rPr>
          <w:rStyle w:val="Funotenanker"/>
        </w:rPr>
        <w:footnoteReference w:customMarkFollows="1" w:id="2702"/>
        <w:t>m</w:t>
      </w:r>
      <w:r>
        <w:rPr/>
        <w:t xml:space="preserve"> </w:t>
        <w:br/>
        <w:br/>
        <w:t xml:space="preserve">{{field-off:bible}} </w:t>
        <w:br/>
        <w:t>[[@BibleTOBIBLE:La 1:5]]</w:t>
      </w:r>
      <w:r>
        <w:rPr>
          <w:b/>
        </w:rPr>
        <w:t>5</w:t>
      </w:r>
      <w:r>
        <w:rPr/>
        <w:t xml:space="preserve"> {{field-on:bible}} </w:t>
        <w:br/>
        <w:t>Ihre Feinde sind obenauf,</w:t>
      </w:r>
      <w:r>
        <w:rPr>
          <w:rStyle w:val="Funotenanker"/>
        </w:rPr>
        <w:footnoteReference w:customMarkFollows="1" w:id="2703"/>
        <w:t>n</w:t>
      </w:r>
      <w:r>
        <w:rPr/>
        <w:t xml:space="preserve">Ihre Widersacher sind sorglos </w:t>
      </w:r>
      <w:r>
        <w:rPr>
          <w:color w:val="808080"/>
        </w:rPr>
        <w:t>(sicher)</w:t>
      </w:r>
      <w:r>
        <w:rPr/>
        <w:t>;</w:t>
      </w:r>
      <w:r>
        <w:rPr>
          <w:rStyle w:val="Funotenanker"/>
        </w:rPr>
        <w:footnoteReference w:customMarkFollows="1" w:id="2704"/>
        <w:t>o</w:t>
      </w:r>
      <w:r>
        <w:rPr/>
        <w:t xml:space="preserve"> </w:t>
        <w:br/>
        <w:t xml:space="preserve">Denn </w:t>
      </w:r>
      <w:r>
        <w:rPr>
          <w:smallCaps/>
          <w:color w:val="FF0000"/>
        </w:rPr>
        <w:t>JHWH</w:t>
      </w:r>
      <w:r>
        <w:rPr/>
        <w:t xml:space="preserve"> hat Zion</w:t>
      </w:r>
      <w:r>
        <w:rPr>
          <w:rStyle w:val="Funotenanker"/>
        </w:rPr>
        <w:footnoteReference w:customMarkFollows="1" w:id="2705"/>
        <w:t>p</w:t>
      </w:r>
      <w:r>
        <w:rPr/>
        <w:t xml:space="preserve"> bekümmertWegen der Menge ihrer Vergehen </w:t>
      </w:r>
      <w:r>
        <w:rPr>
          <w:color w:val="808080"/>
        </w:rPr>
        <w:t>(Sünden, Frevel; wegen ihrer vielen Vergehen)</w:t>
      </w:r>
      <w:r>
        <w:rPr/>
        <w:t>,</w:t>
        <w:br/>
        <w:t xml:space="preserve">Ihre Kinder sind </w:t>
      </w:r>
      <w:r>
        <w:rPr>
          <w:b/>
          <w:color w:val="808080"/>
        </w:rPr>
        <w:t>[</w:t>
      </w:r>
      <w:r>
        <w:rPr/>
        <w:t>in die</w:t>
      </w:r>
      <w:r>
        <w:rPr>
          <w:b/>
          <w:color w:val="808080"/>
        </w:rPr>
        <w:t>]</w:t>
      </w:r>
      <w:r>
        <w:rPr/>
        <w:t xml:space="preserve"> Gefangenschaft </w:t>
      </w:r>
      <w:r>
        <w:rPr>
          <w:color w:val="808080"/>
        </w:rPr>
        <w:t>(Verbannung)</w:t>
      </w:r>
      <w:r>
        <w:rPr/>
        <w:t xml:space="preserve"> gegangen</w:t>
      </w:r>
      <w:r>
        <w:rPr>
          <w:rStyle w:val="Funotenanker"/>
        </w:rPr>
        <w:footnoteReference w:customMarkFollows="1" w:id="2706"/>
        <w:t>q</w:t>
      </w:r>
      <w:r>
        <w:rPr/>
        <w:t>in Gegenwart des Feindes.</w:t>
        <w:br/>
        <w:br/>
        <w:t xml:space="preserve">{{field-off:bible}} </w:t>
        <w:br/>
        <w:t>[[@BibleTOBIBLE:La 1:6]]</w:t>
      </w:r>
      <w:r>
        <w:rPr>
          <w:b/>
        </w:rPr>
        <w:t>6</w:t>
      </w:r>
      <w:r>
        <w:rPr/>
        <w:t xml:space="preserve"> {{field-on:bible}} </w:t>
        <w:br/>
        <w:t>Gewichen ist von der Tochter Zion</w:t>
      </w:r>
      <w:r>
        <w:rPr>
          <w:rStyle w:val="Funotenanker"/>
        </w:rPr>
        <w:footnoteReference w:customMarkFollows="1" w:id="2707"/>
        <w:t>r</w:t>
      </w:r>
      <w:r>
        <w:rPr/>
        <w:t>All ihre Herrlichkeit;</w:t>
        <w:br/>
        <w:t>Ihre Anführer sind wie Widder</w:t>
      </w:r>
      <w:r>
        <w:rPr>
          <w:rStyle w:val="Funotenanker"/>
        </w:rPr>
        <w:footnoteReference w:customMarkFollows="1" w:id="2708"/>
        <w:t>s</w:t>
      </w:r>
      <w:r>
        <w:rPr/>
        <w:t xml:space="preserve"> geworden,</w:t>
      </w:r>
      <w:r>
        <w:rPr>
          <w:b/>
          <w:color w:val="808080"/>
        </w:rPr>
        <w:t>[</w:t>
      </w:r>
      <w:r>
        <w:rPr/>
        <w:t>Die</w:t>
      </w:r>
      <w:r>
        <w:rPr>
          <w:b/>
          <w:color w:val="808080"/>
        </w:rPr>
        <w:t>]</w:t>
      </w:r>
      <w:r>
        <w:rPr/>
        <w:t xml:space="preserve"> keine Weide </w:t>
      </w:r>
      <w:r>
        <w:rPr>
          <w:b/>
          <w:color w:val="808080"/>
        </w:rPr>
        <w:t>[</w:t>
      </w:r>
      <w:r>
        <w:rPr/>
        <w:t>mehr</w:t>
      </w:r>
      <w:r>
        <w:rPr>
          <w:b/>
          <w:color w:val="808080"/>
        </w:rPr>
        <w:t>]</w:t>
      </w:r>
      <w:r>
        <w:rPr/>
        <w:t xml:space="preserve"> finden,</w:t>
      </w:r>
      <w:r>
        <w:rPr>
          <w:rStyle w:val="Funotenanker"/>
        </w:rPr>
        <w:footnoteReference w:customMarkFollows="1" w:id="2709"/>
        <w:t>t</w:t>
      </w:r>
      <w:r>
        <w:rPr/>
        <w:t xml:space="preserve"> </w:t>
        <w:br/>
        <w:t xml:space="preserve">Sie sind in die Bedeutungslosigkeit gezogen </w:t>
      </w:r>
      <w:r>
        <w:rPr>
          <w:color w:val="808080"/>
        </w:rPr>
        <w:t>(in Ohnmacht/ohnmächtig fortgezogen)</w:t>
      </w:r>
      <w:r>
        <w:rPr/>
        <w:t xml:space="preserve">In Gegenwart des Verfolgers </w:t>
      </w:r>
      <w:r>
        <w:rPr>
          <w:color w:val="808080"/>
        </w:rPr>
        <w:t>(Jägers)</w:t>
      </w:r>
      <w:r>
        <w:rPr/>
        <w:t>.</w:t>
      </w:r>
      <w:r>
        <w:rPr>
          <w:rStyle w:val="Funotenanker"/>
        </w:rPr>
        <w:footnoteReference w:customMarkFollows="1" w:id="2710"/>
        <w:t>u</w:t>
      </w:r>
      <w:r>
        <w:rPr/>
        <w:t xml:space="preserve"> </w:t>
        <w:br/>
        <w:br/>
        <w:t xml:space="preserve">{{field-off:bible}} </w:t>
        <w:br/>
        <w:t>[[@BibleTOBIBLE:La 1:7]]</w:t>
      </w:r>
      <w:r>
        <w:rPr>
          <w:b/>
        </w:rPr>
        <w:t>7</w:t>
      </w:r>
      <w:r>
        <w:rPr/>
        <w:t xml:space="preserve"> {{field-on:bible}} </w:t>
        <w:br/>
        <w:t>Jerusalem gedenktDer Tage ihrer notleidenden Flüchtlinge,</w:t>
      </w:r>
      <w:r>
        <w:rPr>
          <w:rStyle w:val="Funotenanker"/>
        </w:rPr>
        <w:footnoteReference w:customMarkFollows="1" w:id="2711"/>
        <w:t>v</w:t>
      </w:r>
      <w:r>
        <w:rPr/>
        <w:t xml:space="preserve"> </w:t>
        <w:br/>
        <w:t>All ihrer KostbarkeitenAus uralten Tagen,</w:t>
      </w:r>
      <w:r>
        <w:rPr>
          <w:rStyle w:val="Funotenanker"/>
        </w:rPr>
        <w:footnoteReference w:customMarkFollows="1" w:id="2712"/>
        <w:t>w</w:t>
      </w:r>
      <w:r>
        <w:rPr/>
        <w:t xml:space="preserve"> </w:t>
      </w:r>
      <w:r>
        <w:rPr>
          <w:rStyle w:val="Funotenanker"/>
        </w:rPr>
        <w:footnoteReference w:customMarkFollows="1" w:id="2713"/>
        <w:t>x</w:t>
      </w:r>
      <w:r>
        <w:rPr/>
        <w:t xml:space="preserve"> </w:t>
        <w:br/>
        <w:t>Als ihr Volk</w:t>
      </w:r>
      <w:r>
        <w:rPr>
          <w:rStyle w:val="Funotenanker"/>
        </w:rPr>
        <w:footnoteReference w:customMarkFollows="1" w:id="2714"/>
        <w:t>y</w:t>
      </w:r>
      <w:r>
        <w:rPr/>
        <w:t xml:space="preserve"> in </w:t>
      </w:r>
      <w:r>
        <w:rPr>
          <w:color w:val="808080"/>
        </w:rPr>
        <w:t>(durch)</w:t>
      </w:r>
      <w:r>
        <w:rPr/>
        <w:t xml:space="preserve"> die Hand der Feinde fielUnd es keinen Helfer für sie gab:</w:t>
        <w:br/>
      </w:r>
      <w:r>
        <w:rPr>
          <w:b/>
          <w:color w:val="808080"/>
        </w:rPr>
        <w:t>[</w:t>
      </w:r>
      <w:r>
        <w:rPr/>
        <w:t>Ihre</w:t>
      </w:r>
      <w:r>
        <w:rPr>
          <w:b/>
          <w:color w:val="808080"/>
        </w:rPr>
        <w:t>]</w:t>
      </w:r>
      <w:r>
        <w:rPr/>
        <w:t xml:space="preserve"> Feinde sahen sie, lachtenÜber ihr Ende.</w:t>
      </w:r>
      <w:r>
        <w:rPr>
          <w:rStyle w:val="Funotenanker"/>
        </w:rPr>
        <w:footnoteReference w:customMarkFollows="1" w:id="2715"/>
        <w:t>z</w:t>
      </w:r>
      <w:r>
        <w:rPr/>
        <w:t xml:space="preserve"> </w:t>
        <w:br/>
        <w:br/>
        <w:t xml:space="preserve">{{field-off:bible}} </w:t>
        <w:br/>
        <w:t>[[@BibleTOBIBLE:La 1:8]]</w:t>
      </w:r>
      <w:r>
        <w:rPr>
          <w:b/>
        </w:rPr>
        <w:t>8</w:t>
      </w:r>
      <w:r>
        <w:rPr/>
        <w:t xml:space="preserve"> {{field-on:bible}} </w:t>
        <w:br/>
        <w:t>Schwer gesündigt</w:t>
      </w:r>
      <w:r>
        <w:rPr>
          <w:rStyle w:val="Funotenanker"/>
        </w:rPr>
        <w:footnoteReference w:customMarkFollows="1" w:id="2716"/>
        <w:t>aa</w:t>
      </w:r>
      <w:r>
        <w:rPr/>
        <w:t xml:space="preserve"> hat Jerusalem,Ist</w:t>
      </w:r>
      <w:r>
        <w:rPr>
          <w:rStyle w:val="Funotenanker"/>
        </w:rPr>
        <w:footnoteReference w:customMarkFollows="1" w:id="2717"/>
        <w:t>ab</w:t>
      </w:r>
      <w:r>
        <w:rPr/>
        <w:t xml:space="preserve"> zum Gespött</w:t>
      </w:r>
      <w:r>
        <w:rPr>
          <w:rStyle w:val="Funotenanker"/>
        </w:rPr>
        <w:footnoteReference w:customMarkFollows="1" w:id="2718"/>
        <w:t>ac</w:t>
      </w:r>
      <w:r>
        <w:rPr/>
        <w:t xml:space="preserve"> geworden;</w:t>
        <w:br/>
        <w:t xml:space="preserve">Alle, die sie ehrten, verachten sie </w:t>
      </w:r>
      <w:r>
        <w:rPr>
          <w:b/>
          <w:color w:val="808080"/>
        </w:rPr>
        <w:t>[</w:t>
      </w:r>
      <w:r>
        <w:rPr/>
        <w:t>nun</w:t>
      </w:r>
      <w:r>
        <w:rPr>
          <w:b/>
          <w:color w:val="808080"/>
        </w:rPr>
        <w:t>]</w:t>
      </w:r>
      <w:r>
        <w:rPr/>
        <w:t>,Denn sie haben sie nackt gesehen</w:t>
      </w:r>
      <w:r>
        <w:rPr>
          <w:rStyle w:val="Funotenanker"/>
        </w:rPr>
        <w:footnoteReference w:customMarkFollows="1" w:id="2719"/>
        <w:t>ad</w:t>
      </w:r>
      <w:r>
        <w:rPr/>
        <w:t>;</w:t>
        <w:br/>
        <w:t xml:space="preserve">Daher seufzt sieUnd wendet sich </w:t>
      </w:r>
      <w:r>
        <w:rPr>
          <w:b/>
          <w:color w:val="808080"/>
        </w:rPr>
        <w:t>[</w:t>
      </w:r>
      <w:r>
        <w:rPr/>
        <w:t>beschämt</w:t>
      </w:r>
      <w:r>
        <w:rPr>
          <w:b/>
          <w:color w:val="808080"/>
        </w:rPr>
        <w:t>]</w:t>
      </w:r>
      <w:r>
        <w:rPr/>
        <w:t xml:space="preserve"> ab.</w:t>
        <w:br/>
        <w:br/>
        <w:t xml:space="preserve">{{field-off:bible}} </w:t>
        <w:br/>
        <w:t>[[@BibleTOBIBLE:La 1:9]]</w:t>
      </w:r>
      <w:r>
        <w:rPr>
          <w:b/>
        </w:rPr>
        <w:t>9</w:t>
      </w:r>
      <w:r>
        <w:rPr/>
        <w:t xml:space="preserve"> {{field-on:bible}} </w:t>
        <w:br/>
        <w:t xml:space="preserve">Ihre Unreinheit </w:t>
      </w:r>
      <w:r>
        <w:rPr>
          <w:b/>
          <w:color w:val="808080"/>
        </w:rPr>
        <w:t>[</w:t>
      </w:r>
      <w:r>
        <w:rPr/>
        <w:t>ist</w:t>
      </w:r>
      <w:r>
        <w:rPr>
          <w:b/>
          <w:color w:val="808080"/>
        </w:rPr>
        <w:t>]</w:t>
      </w:r>
      <w:r>
        <w:rPr/>
        <w:t xml:space="preserve"> an ihren Säumen,</w:t>
      </w:r>
      <w:r>
        <w:rPr>
          <w:rStyle w:val="Funotenanker"/>
        </w:rPr>
        <w:footnoteReference w:customMarkFollows="1" w:id="2720"/>
        <w:t>ae</w:t>
      </w:r>
      <w:r>
        <w:rPr/>
        <w:t>sie hat nicht ihr Ende bedacht.</w:t>
      </w:r>
      <w:r>
        <w:rPr>
          <w:rStyle w:val="Funotenanker"/>
        </w:rPr>
        <w:footnoteReference w:customMarkFollows="1" w:id="2721"/>
        <w:t>af</w:t>
      </w:r>
      <w:r>
        <w:rPr/>
        <w:t xml:space="preserve"> </w:t>
        <w:br/>
      </w:r>
      <w:r>
        <w:rPr>
          <w:strike/>
          <w:color w:val="808080"/>
        </w:rPr>
        <w:t>{Und}</w:t>
      </w:r>
      <w:r>
        <w:rPr/>
        <w:t xml:space="preserve"> sie ist niedergegangen,</w:t>
      </w:r>
      <w:r>
        <w:rPr>
          <w:rStyle w:val="Funotenanker"/>
        </w:rPr>
        <w:footnoteReference w:customMarkFollows="1" w:id="2722"/>
        <w:t>ag</w:t>
      </w:r>
      <w:r>
        <w:rPr/>
        <w:t xml:space="preserve"> </w:t>
      </w:r>
      <w:r>
        <w:rPr>
          <w:rStyle w:val="Funotenanker"/>
        </w:rPr>
        <w:footnoteReference w:customMarkFollows="1" w:id="2723"/>
        <w:t>ah</w:t>
      </w:r>
      <w:r>
        <w:rPr/>
        <w:t xml:space="preserve"> unbegreiflich </w:t>
      </w:r>
      <w:r>
        <w:rPr>
          <w:color w:val="808080"/>
        </w:rPr>
        <w:t>(schrecklich)</w:t>
      </w:r>
      <w:r>
        <w:rPr/>
        <w:t xml:space="preserve">,es gibt keinen, der sie ermutigt </w:t>
      </w:r>
      <w:r>
        <w:rPr>
          <w:color w:val="808080"/>
        </w:rPr>
        <w:t>(sich ihr zuwendet, Erbarmen mit ihr hat, sie tröstet)</w:t>
      </w:r>
      <w:r>
        <w:rPr/>
        <w:t>.</w:t>
        <w:br/>
        <w:t xml:space="preserve">„Sieh, </w:t>
      </w:r>
      <w:r>
        <w:rPr>
          <w:smallCaps/>
          <w:color w:val="FF0000"/>
        </w:rPr>
        <w:t>JHWH</w:t>
      </w:r>
      <w:r>
        <w:rPr/>
        <w:t xml:space="preserve">, mein Elend </w:t>
      </w:r>
      <w:r>
        <w:rPr>
          <w:color w:val="808080"/>
        </w:rPr>
        <w:t>(Leiden)</w:t>
      </w:r>
      <w:r>
        <w:rPr/>
        <w:t xml:space="preserve">,dass </w:t>
      </w:r>
      <w:r>
        <w:rPr>
          <w:color w:val="808080"/>
        </w:rPr>
        <w:t>(denn, Ach!,)</w:t>
      </w:r>
      <w:r>
        <w:rPr/>
        <w:t xml:space="preserve"> der Feind triumphiert </w:t>
      </w:r>
      <w:r>
        <w:rPr>
          <w:color w:val="808080"/>
        </w:rPr>
        <w:t>(großtut, es zu weit treibt)</w:t>
      </w:r>
      <w:r>
        <w:rPr/>
        <w:t>.“</w:t>
        <w:br/>
        <w:br/>
        <w:t xml:space="preserve">{{field-off:bible}} </w:t>
        <w:br/>
        <w:t>[[@BibleTOBIBLE:La 1:10]]</w:t>
      </w:r>
      <w:r>
        <w:rPr>
          <w:b/>
        </w:rPr>
        <w:t>10</w:t>
      </w:r>
      <w:r>
        <w:rPr/>
        <w:t xml:space="preserve"> {{field-on:bible}} </w:t>
        <w:br/>
        <w:t>Der Feind hat seine HandNach allen Schätzen Zions</w:t>
      </w:r>
      <w:r>
        <w:rPr>
          <w:rStyle w:val="Funotenanker"/>
        </w:rPr>
        <w:footnoteReference w:customMarkFollows="1" w:id="2724"/>
        <w:t>ai</w:t>
      </w:r>
      <w:r>
        <w:rPr/>
        <w:t xml:space="preserve"> ausgestreckt;</w:t>
        <w:br/>
        <w:t xml:space="preserve">Sie hat Heiden </w:t>
      </w:r>
      <w:r>
        <w:rPr>
          <w:color w:val="808080"/>
        </w:rPr>
        <w:t>(Völker)</w:t>
      </w:r>
      <w:r>
        <w:rPr/>
        <w:t xml:space="preserve"> gesehen ―Sie sind </w:t>
      </w:r>
      <w:r>
        <w:rPr>
          <w:b/>
          <w:color w:val="808080"/>
        </w:rPr>
        <w:t>[</w:t>
      </w:r>
      <w:r>
        <w:rPr/>
        <w:t>wirklich</w:t>
      </w:r>
      <w:r>
        <w:rPr>
          <w:b/>
          <w:color w:val="808080"/>
        </w:rPr>
        <w:t>]</w:t>
      </w:r>
      <w:r>
        <w:rPr/>
        <w:t xml:space="preserve"> </w:t>
      </w:r>
      <w:r>
        <w:rPr>
          <w:rStyle w:val="Funotenanker"/>
        </w:rPr>
        <w:footnoteReference w:customMarkFollows="1" w:id="2725"/>
        <w:t>aj</w:t>
      </w:r>
      <w:r>
        <w:rPr/>
        <w:t xml:space="preserve"> in ihr Heiligtum gekommen,</w:t>
        <w:br/>
      </w:r>
      <w:r>
        <w:rPr>
          <w:b/>
          <w:color w:val="808080"/>
        </w:rPr>
        <w:t>[</w:t>
      </w:r>
      <w:r>
        <w:rPr/>
        <w:t>Sie,</w:t>
      </w:r>
      <w:r>
        <w:rPr>
          <w:b/>
          <w:color w:val="808080"/>
        </w:rPr>
        <w:t>]</w:t>
      </w:r>
      <w:r>
        <w:rPr/>
        <w:t xml:space="preserve"> von denen du befohlen hast,Sie sollen dir nicht in den Gottesdienst</w:t>
      </w:r>
      <w:r>
        <w:rPr>
          <w:rStyle w:val="Funotenanker"/>
        </w:rPr>
        <w:footnoteReference w:customMarkFollows="1" w:id="2726"/>
        <w:t>ak</w:t>
      </w:r>
      <w:r>
        <w:rPr/>
        <w:t xml:space="preserve"> hineinkommen.</w:t>
      </w:r>
      <w:r>
        <w:rPr>
          <w:rStyle w:val="Funotenanker"/>
        </w:rPr>
        <w:footnoteReference w:customMarkFollows="1" w:id="2727"/>
        <w:t>al</w:t>
      </w:r>
      <w:r>
        <w:rPr/>
        <w:t xml:space="preserve"> </w:t>
        <w:br/>
        <w:br/>
        <w:t xml:space="preserve">{{field-off:bible}} </w:t>
        <w:br/>
        <w:t>[[@BibleTOBIBLE:La 1:11]]</w:t>
      </w:r>
      <w:r>
        <w:rPr>
          <w:b/>
        </w:rPr>
        <w:t>11</w:t>
      </w:r>
      <w:r>
        <w:rPr/>
        <w:t xml:space="preserve"> {{field-on:bible}} </w:t>
        <w:br/>
        <w:t>All ihre Bewohner</w:t>
      </w:r>
      <w:r>
        <w:rPr>
          <w:rStyle w:val="Funotenanker"/>
        </w:rPr>
        <w:footnoteReference w:customMarkFollows="1" w:id="2728"/>
        <w:t>am</w:t>
      </w:r>
      <w:r>
        <w:rPr/>
        <w:t xml:space="preserve"> stöhnen,Suchen </w:t>
      </w:r>
      <w:r>
        <w:rPr>
          <w:b/>
          <w:color w:val="808080"/>
        </w:rPr>
        <w:t>[</w:t>
      </w:r>
      <w:r>
        <w:rPr/>
        <w:t>nach</w:t>
      </w:r>
      <w:r>
        <w:rPr>
          <w:b/>
          <w:color w:val="808080"/>
        </w:rPr>
        <w:t>]</w:t>
      </w:r>
      <w:r>
        <w:rPr/>
        <w:t xml:space="preserve"> Brot </w:t>
      </w:r>
      <w:r>
        <w:rPr>
          <w:color w:val="808080"/>
        </w:rPr>
        <w:t>(Nahrung)</w:t>
      </w:r>
      <w:r>
        <w:rPr/>
        <w:t>,</w:t>
        <w:br/>
      </w:r>
      <w:r>
        <w:rPr>
          <w:b/>
          <w:color w:val="808080"/>
        </w:rPr>
        <w:t>[</w:t>
      </w:r>
      <w:r>
        <w:rPr/>
        <w:t>Weg</w:t>
      </w:r>
      <w:r>
        <w:rPr>
          <w:b/>
          <w:color w:val="808080"/>
        </w:rPr>
        <w:t>]</w:t>
      </w:r>
      <w:r>
        <w:rPr/>
        <w:t>gegeben haben sie</w:t>
      </w:r>
      <w:r>
        <w:rPr>
          <w:rStyle w:val="Funotenanker"/>
        </w:rPr>
        <w:footnoteReference w:customMarkFollows="1" w:id="2729"/>
        <w:t>an</w:t>
      </w:r>
      <w:r>
        <w:rPr/>
        <w:t xml:space="preserve"> ihre Kostbarkeiten</w:t>
      </w:r>
      <w:r>
        <w:rPr>
          <w:rStyle w:val="Funotenanker"/>
        </w:rPr>
        <w:footnoteReference w:customMarkFollows="1" w:id="2730"/>
        <w:t>ao</w:t>
      </w:r>
      <w:r>
        <w:rPr/>
        <w:t xml:space="preserve"> für Nahrung,um am Leben zu bleiben.</w:t>
      </w:r>
      <w:r>
        <w:rPr>
          <w:rStyle w:val="Funotenanker"/>
        </w:rPr>
        <w:footnoteReference w:customMarkFollows="1" w:id="2731"/>
        <w:t>ap</w:t>
      </w:r>
      <w:r>
        <w:rPr/>
        <w:t xml:space="preserve"> </w:t>
        <w:br/>
        <w:t xml:space="preserve">Sieh, </w:t>
      </w:r>
      <w:r>
        <w:rPr>
          <w:smallCaps/>
          <w:color w:val="FF0000"/>
        </w:rPr>
        <w:t>JHWH</w:t>
      </w:r>
      <w:r>
        <w:rPr/>
        <w:t>, und gib doch Acht,dass</w:t>
      </w:r>
      <w:r>
        <w:rPr>
          <w:rStyle w:val="Funotenanker"/>
        </w:rPr>
        <w:footnoteReference w:customMarkFollows="1" w:id="2732"/>
        <w:t>aq</w:t>
      </w:r>
      <w:r>
        <w:rPr/>
        <w:t xml:space="preserve"> ich eine Verachtete </w:t>
      </w:r>
      <w:r>
        <w:rPr>
          <w:color w:val="808080"/>
        </w:rPr>
        <w:t>(für eine Bettlerin?, was für ein Schlemmer ich)</w:t>
      </w:r>
      <w:r>
        <w:rPr/>
        <w:t xml:space="preserve"> geworden bin.</w:t>
        <w:br/>
        <w:br/>
        <w:t xml:space="preserve">{{field-off:bible}} </w:t>
        <w:br/>
        <w:t>[[@BibleTOBIBLE:La 1:12]]</w:t>
      </w:r>
      <w:r>
        <w:rPr>
          <w:b/>
        </w:rPr>
        <w:t>12</w:t>
      </w:r>
      <w:r>
        <w:rPr/>
        <w:t xml:space="preserve"> {{field-on:bible}} </w:t>
        <w:br/>
        <w:t xml:space="preserve">†Nicht zu </w:t>
      </w:r>
      <w:r>
        <w:rPr>
          <w:color w:val="808080"/>
        </w:rPr>
        <w:t>(für)</w:t>
      </w:r>
      <w:r>
        <w:rPr/>
        <w:t xml:space="preserve"> euch†</w:t>
      </w:r>
      <w:r>
        <w:rPr>
          <w:rStyle w:val="Funotenanker"/>
        </w:rPr>
        <w:footnoteReference w:customMarkFollows="1" w:id="2733"/>
        <w:t>ar</w:t>
      </w:r>
      <w:r>
        <w:rPr/>
        <w:t xml:space="preserve"> alle, die ihr des Weges zieht,</w:t>
      </w:r>
      <w:r>
        <w:rPr>
          <w:rStyle w:val="Funotenanker"/>
        </w:rPr>
        <w:footnoteReference w:customMarkFollows="1" w:id="2734"/>
        <w:t>as</w:t>
      </w:r>
      <w:r>
        <w:rPr/>
        <w:t>gebt Acht und seht,</w:t>
        <w:br/>
        <w:t xml:space="preserve">ob es einen Schmerz gibt wie meinen Schmerz </w:t>
      </w:r>
      <w:r>
        <w:rPr>
          <w:color w:val="808080"/>
        </w:rPr>
        <w:t>(Plage, Qual)</w:t>
      </w:r>
      <w:r>
        <w:rPr/>
        <w:t>,der mir zugefügt worden ist,</w:t>
        <w:br/>
        <w:t xml:space="preserve">mit dem </w:t>
      </w:r>
      <w:r>
        <w:rPr>
          <w:smallCaps/>
          <w:color w:val="FF0000"/>
        </w:rPr>
        <w:t>JHWH</w:t>
      </w:r>
      <w:r>
        <w:rPr/>
        <w:t xml:space="preserve"> </w:t>
      </w:r>
      <w:r>
        <w:rPr>
          <w:b/>
          <w:color w:val="808080"/>
        </w:rPr>
        <w:t>[</w:t>
      </w:r>
      <w:r>
        <w:rPr/>
        <w:t>mich</w:t>
      </w:r>
      <w:r>
        <w:rPr>
          <w:b/>
          <w:color w:val="808080"/>
        </w:rPr>
        <w:t>]</w:t>
      </w:r>
      <w:r>
        <w:rPr/>
        <w:t xml:space="preserve"> plagteam Tag seines Zornes.</w:t>
      </w:r>
      <w:r>
        <w:rPr>
          <w:rStyle w:val="Funotenanker"/>
        </w:rPr>
        <w:footnoteReference w:customMarkFollows="1" w:id="2735"/>
        <w:t>at</w:t>
      </w:r>
      <w:r>
        <w:rPr/>
        <w:t xml:space="preserve"> </w:t>
        <w:br/>
        <w:br/>
        <w:t xml:space="preserve">{{field-off:bible}} </w:t>
        <w:br/>
        <w:t>[[@BibleTOBIBLE:La 1:13]]</w:t>
      </w:r>
      <w:r>
        <w:rPr>
          <w:b/>
        </w:rPr>
        <w:t>13</w:t>
      </w:r>
      <w:r>
        <w:rPr/>
        <w:t xml:space="preserve"> {{field-on:bible}} </w:t>
        <w:br/>
        <w:t>Aus der Höhe</w:t>
      </w:r>
      <w:r>
        <w:rPr>
          <w:rStyle w:val="Funotenanker"/>
        </w:rPr>
        <w:footnoteReference w:customMarkFollows="1" w:id="2736"/>
        <w:t>au</w:t>
      </w:r>
      <w:r>
        <w:rPr/>
        <w:t xml:space="preserve"> hat er Feuer gesandtin meine Gebeine </w:t>
      </w:r>
      <w:r>
        <w:rPr>
          <w:color w:val="808080"/>
        </w:rPr>
        <w:t>(Inneres)</w:t>
      </w:r>
      <w:r>
        <w:rPr/>
        <w:t xml:space="preserve"> und ließ es herabkommen </w:t>
      </w:r>
      <w:r>
        <w:rPr>
          <w:b/>
          <w:color w:val="808080"/>
        </w:rPr>
        <w:t>[</w:t>
      </w:r>
      <w:r>
        <w:rPr/>
        <w:t>auf mich</w:t>
      </w:r>
      <w:r>
        <w:rPr>
          <w:b/>
          <w:color w:val="808080"/>
        </w:rPr>
        <w:t>]</w:t>
      </w:r>
      <w:r>
        <w:rPr/>
        <w:t xml:space="preserve"> </w:t>
      </w:r>
      <w:r>
        <w:rPr>
          <w:color w:val="808080"/>
        </w:rPr>
        <w:t>(und trat es nieder)</w:t>
      </w:r>
      <w:r>
        <w:rPr/>
        <w:t xml:space="preserve"> </w:t>
      </w:r>
      <w:r>
        <w:rPr>
          <w:rStyle w:val="Funotenanker"/>
        </w:rPr>
        <w:footnoteReference w:customMarkFollows="1" w:id="2737"/>
        <w:t>av</w:t>
      </w:r>
      <w:r>
        <w:rPr/>
        <w:t xml:space="preserve"> </w:t>
        <w:br/>
        <w:t>Er hat meinen Füßen ein Netz gespannt,hat mich zurückgedrängt.</w:t>
      </w:r>
      <w:r>
        <w:rPr>
          <w:rStyle w:val="Funotenanker"/>
        </w:rPr>
        <w:footnoteReference w:customMarkFollows="1" w:id="2738"/>
        <w:t>aw</w:t>
      </w:r>
      <w:r>
        <w:rPr/>
        <w:t xml:space="preserve"> </w:t>
        <w:br/>
        <w:t xml:space="preserve">Er machte mich einsam </w:t>
      </w:r>
      <w:r>
        <w:rPr>
          <w:color w:val="808080"/>
        </w:rPr>
        <w:t>(öde, zunichte)</w:t>
      </w:r>
      <w:r>
        <w:rPr/>
        <w:t>,</w:t>
      </w:r>
      <w:r>
        <w:rPr>
          <w:rStyle w:val="Funotenanker"/>
        </w:rPr>
        <w:footnoteReference w:customMarkFollows="1" w:id="2739"/>
        <w:t>ax</w:t>
      </w:r>
      <w:r>
        <w:rPr/>
        <w:t xml:space="preserve">gemieden </w:t>
      </w:r>
      <w:r>
        <w:rPr>
          <w:color w:val="808080"/>
        </w:rPr>
        <w:t>(unrein, elend, traurig)</w:t>
      </w:r>
      <w:r>
        <w:rPr/>
        <w:t xml:space="preserve"> </w:t>
      </w:r>
      <w:r>
        <w:rPr>
          <w:rStyle w:val="Funotenanker"/>
        </w:rPr>
        <w:footnoteReference w:customMarkFollows="1" w:id="2740"/>
        <w:t>ay</w:t>
      </w:r>
      <w:r>
        <w:rPr/>
        <w:t xml:space="preserve"> den ganzen Tag.</w:t>
      </w:r>
      <w:r>
        <w:rPr>
          <w:rStyle w:val="Funotenanker"/>
        </w:rPr>
        <w:footnoteReference w:customMarkFollows="1" w:id="2741"/>
        <w:t>az</w:t>
      </w:r>
      <w:r>
        <w:rPr/>
        <w:t xml:space="preserve"> </w:t>
      </w:r>
      <w:r>
        <w:rPr>
          <w:rStyle w:val="Funotenanker"/>
        </w:rPr>
        <w:footnoteReference w:customMarkFollows="1" w:id="2742"/>
        <w:t>ba</w:t>
      </w:r>
      <w:r>
        <w:rPr/>
        <w:t xml:space="preserve"> </w:t>
        <w:br/>
        <w:br/>
        <w:t xml:space="preserve">{{field-off:bible}} </w:t>
        <w:br/>
        <w:t>[[@BibleTOBIBLE:La 1:14]]</w:t>
      </w:r>
      <w:r>
        <w:rPr>
          <w:b/>
        </w:rPr>
        <w:t>14</w:t>
      </w:r>
      <w:r>
        <w:rPr/>
        <w:t xml:space="preserve"> {{field-on:bible}} </w:t>
        <w:br/>
        <w:t xml:space="preserve">Das Joch meiner Vergehen wurde </w:t>
      </w:r>
      <w:r>
        <w:rPr>
          <w:b/>
          <w:color w:val="808080"/>
        </w:rPr>
        <w:t>[</w:t>
      </w:r>
      <w:r>
        <w:rPr/>
        <w:t>mir</w:t>
      </w:r>
      <w:r>
        <w:rPr>
          <w:b/>
          <w:color w:val="808080"/>
        </w:rPr>
        <w:t>]</w:t>
      </w:r>
      <w:r>
        <w:rPr/>
        <w:t xml:space="preserve"> angebunden</w:t>
      </w:r>
      <w:r>
        <w:rPr>
          <w:color w:val="808080"/>
        </w:rPr>
        <w:t>(?)</w:t>
      </w:r>
      <w:r>
        <w:rPr/>
        <w:t>,</w:t>
      </w:r>
      <w:r>
        <w:rPr>
          <w:rStyle w:val="Funotenanker"/>
        </w:rPr>
        <w:footnoteReference w:customMarkFollows="1" w:id="2743"/>
        <w:t>bb</w:t>
      </w:r>
      <w:r>
        <w:rPr/>
        <w:t>durch seine Hand</w:t>
      </w:r>
      <w:r>
        <w:rPr>
          <w:rStyle w:val="Funotenanker"/>
        </w:rPr>
        <w:footnoteReference w:customMarkFollows="1" w:id="2744"/>
        <w:t>bc</w:t>
      </w:r>
      <w:r>
        <w:rPr/>
        <w:t xml:space="preserve"> wurden </w:t>
      </w:r>
      <w:r>
        <w:rPr>
          <w:b/>
          <w:color w:val="808080"/>
        </w:rPr>
        <w:t>[</w:t>
      </w:r>
      <w:r>
        <w:rPr/>
        <w:t>seine Stricke</w:t>
      </w:r>
      <w:r>
        <w:rPr>
          <w:b/>
          <w:color w:val="808080"/>
        </w:rPr>
        <w:t>]</w:t>
      </w:r>
      <w:r>
        <w:rPr/>
        <w:t xml:space="preserve"> geflochten,</w:t>
        <w:br/>
        <w:t>haben sich um meinen Hals gelegt,</w:t>
      </w:r>
      <w:r>
        <w:rPr>
          <w:rStyle w:val="Funotenanker"/>
        </w:rPr>
        <w:footnoteReference w:customMarkFollows="1" w:id="2745"/>
        <w:t>bd</w:t>
      </w:r>
      <w:r>
        <w:rPr/>
        <w:t xml:space="preserve">er </w:t>
      </w:r>
      <w:r>
        <w:rPr>
          <w:color w:val="808080"/>
        </w:rPr>
        <w:t>(es)</w:t>
      </w:r>
      <w:r>
        <w:rPr/>
        <w:t xml:space="preserve"> </w:t>
      </w:r>
      <w:r>
        <w:rPr>
          <w:rStyle w:val="Funotenanker"/>
        </w:rPr>
        <w:footnoteReference w:customMarkFollows="1" w:id="2746"/>
        <w:t>be</w:t>
      </w:r>
      <w:r>
        <w:rPr/>
        <w:t xml:space="preserve"> hat meine Kraft gebrochen.</w:t>
      </w:r>
      <w:r>
        <w:rPr>
          <w:rStyle w:val="Funotenanker"/>
        </w:rPr>
        <w:footnoteReference w:customMarkFollows="1" w:id="2747"/>
        <w:t>bf</w:t>
      </w:r>
      <w:r>
        <w:rPr/>
        <w:t xml:space="preserve"> </w:t>
        <w:br/>
        <w:t xml:space="preserve">Der Herr gab mich in die Hände </w:t>
      </w:r>
      <w:r>
        <w:rPr>
          <w:b/>
          <w:color w:val="808080"/>
        </w:rPr>
        <w:t>[</w:t>
      </w:r>
      <w:r>
        <w:rPr/>
        <w:t>derer</w:t>
      </w:r>
      <w:r>
        <w:rPr>
          <w:b/>
          <w:color w:val="808080"/>
        </w:rPr>
        <w:t>]</w:t>
      </w:r>
      <w:r>
        <w:rPr/>
        <w:t>,</w:t>
      </w:r>
      <w:r>
        <w:rPr>
          <w:b/>
          <w:color w:val="808080"/>
        </w:rPr>
        <w:t>[</w:t>
      </w:r>
      <w:r>
        <w:rPr/>
        <w:t>gegen die</w:t>
      </w:r>
      <w:r>
        <w:rPr>
          <w:b/>
          <w:color w:val="808080"/>
        </w:rPr>
        <w:t>]</w:t>
      </w:r>
      <w:r>
        <w:rPr/>
        <w:t xml:space="preserve"> ich nicht bestehen kann.</w:t>
        <w:br/>
        <w:br/>
        <w:t xml:space="preserve">{{field-off:bible}} </w:t>
        <w:br/>
        <w:t>[[@BibleTOBIBLE:La 1:15]]</w:t>
      </w:r>
      <w:r>
        <w:rPr>
          <w:b/>
        </w:rPr>
        <w:t>15</w:t>
      </w:r>
      <w:r>
        <w:rPr/>
        <w:t xml:space="preserve"> {{field-on:bible}} </w:t>
        <w:br/>
        <w:t>Verworfen</w:t>
      </w:r>
      <w:r>
        <w:rPr>
          <w:rStyle w:val="Funotenanker"/>
        </w:rPr>
        <w:footnoteReference w:customMarkFollows="1" w:id="2748"/>
        <w:t>bg</w:t>
      </w:r>
      <w:r>
        <w:rPr/>
        <w:t xml:space="preserve"> hat er alle meine Tapferen </w:t>
      </w:r>
      <w:r>
        <w:rPr>
          <w:color w:val="808080"/>
        </w:rPr>
        <w:t>(Starken, Krieger)</w:t>
      </w:r>
      <w:r>
        <w:rPr/>
        <w:t>der Herr, in meiner Mitte;</w:t>
        <w:br/>
        <w:t xml:space="preserve">ausgerufen hat er über mir </w:t>
      </w:r>
      <w:r>
        <w:rPr>
          <w:color w:val="808080"/>
        </w:rPr>
        <w:t>(gegen mich)</w:t>
      </w:r>
      <w:r>
        <w:rPr/>
        <w:t xml:space="preserve"> eine Festversammlung </w:t>
      </w:r>
      <w:r>
        <w:rPr>
          <w:color w:val="808080"/>
        </w:rPr>
        <w:t>(ein Treffen, einen Termin)</w:t>
      </w:r>
      <w:r>
        <w:rPr/>
        <w:t>,um meine Krieger zu zerschlagen.</w:t>
        <w:br/>
        <w:t>Der Herr hat die Kelter getreten</w:t>
      </w:r>
      <w:r>
        <w:rPr>
          <w:rStyle w:val="Funotenanker"/>
        </w:rPr>
        <w:footnoteReference w:customMarkFollows="1" w:id="2749"/>
        <w:t>bh</w:t>
      </w:r>
      <w:r>
        <w:rPr/>
        <w:t>der jungfräulichen Tochter Juda</w:t>
      </w:r>
      <w:r>
        <w:rPr>
          <w:rStyle w:val="Funotenanker"/>
        </w:rPr>
        <w:footnoteReference w:customMarkFollows="1" w:id="2750"/>
        <w:t>bi</w:t>
      </w:r>
      <w:r>
        <w:rPr/>
        <w:t xml:space="preserve"> </w:t>
      </w:r>
      <w:r>
        <w:rPr>
          <w:rStyle w:val="Funotenanker"/>
        </w:rPr>
        <w:footnoteReference w:customMarkFollows="1" w:id="2751"/>
        <w:t>bj</w:t>
      </w:r>
      <w:r>
        <w:rPr/>
        <w:t xml:space="preserve"> </w:t>
        <w:br/>
        <w:br/>
        <w:t xml:space="preserve">{{field-off:bible}} </w:t>
        <w:br/>
        <w:t>[[@BibleTOBIBLE:La 1:16]]</w:t>
      </w:r>
      <w:r>
        <w:rPr>
          <w:b/>
        </w:rPr>
        <w:t>16</w:t>
      </w:r>
      <w:r>
        <w:rPr/>
        <w:t xml:space="preserve"> {{field-on:bible}} </w:t>
        <w:br/>
      </w:r>
      <w:r>
        <w:rPr>
          <w:rStyle w:val="Funotenanker"/>
        </w:rPr>
        <w:footnoteReference w:customMarkFollows="1" w:id="2752"/>
        <w:t>bk</w:t>
      </w:r>
      <w:r>
        <w:rPr/>
        <w:t xml:space="preserve"> Deswegen weine ich,mein Auge </w:t>
      </w:r>
      <w:r>
        <w:rPr>
          <w:strike/>
          <w:color w:val="808080"/>
        </w:rPr>
        <w:t>{mein Auge}</w:t>
      </w:r>
      <w:r>
        <w:rPr/>
        <w:t xml:space="preserve"> </w:t>
      </w:r>
      <w:r>
        <w:rPr>
          <w:rStyle w:val="Funotenanker"/>
        </w:rPr>
        <w:footnoteReference w:customMarkFollows="1" w:id="2753"/>
        <w:t>bl</w:t>
      </w:r>
      <w:r>
        <w:rPr/>
        <w:t xml:space="preserve"> zerfließt</w:t>
      </w:r>
      <w:r>
        <w:rPr>
          <w:rStyle w:val="Funotenanker"/>
        </w:rPr>
        <w:footnoteReference w:customMarkFollows="1" w:id="2754"/>
        <w:t>bm</w:t>
      </w:r>
      <w:r>
        <w:rPr/>
        <w:t xml:space="preserve"> wasser</w:t>
      </w:r>
      <w:r>
        <w:rPr>
          <w:b/>
          <w:color w:val="808080"/>
        </w:rPr>
        <w:t>[</w:t>
      </w:r>
      <w:r>
        <w:rPr/>
        <w:t>gleich</w:t>
      </w:r>
      <w:r>
        <w:rPr>
          <w:b/>
          <w:color w:val="808080"/>
        </w:rPr>
        <w:t>]</w:t>
      </w:r>
      <w:r>
        <w:rPr/>
        <w:t>,</w:t>
        <w:br/>
        <w:t xml:space="preserve">denn fern von mir ist ein Ermutiger,einer, der mich wieder belebt </w:t>
      </w:r>
      <w:r>
        <w:rPr>
          <w:color w:val="808080"/>
        </w:rPr>
        <w:t>(meine Seele zurückbringt)</w:t>
      </w:r>
      <w:r>
        <w:rPr/>
        <w:t>;</w:t>
        <w:br/>
        <w:t xml:space="preserve">meine Kinder </w:t>
      </w:r>
      <w:r>
        <w:rPr>
          <w:color w:val="808080"/>
        </w:rPr>
        <w:t>(Söhne)</w:t>
      </w:r>
      <w:r>
        <w:rPr/>
        <w:t xml:space="preserve"> sind zerstört </w:t>
      </w:r>
      <w:r>
        <w:rPr>
          <w:color w:val="808080"/>
        </w:rPr>
        <w:t>(entsetzt, erstarrt)</w:t>
      </w:r>
      <w:r>
        <w:rPr/>
        <w:t xml:space="preserve">,denn stark </w:t>
      </w:r>
      <w:r>
        <w:rPr>
          <w:color w:val="808080"/>
        </w:rPr>
        <w:t>(mächtig, überlegen)</w:t>
      </w:r>
      <w:r>
        <w:rPr/>
        <w:t xml:space="preserve"> ist der Feind.</w:t>
        <w:br/>
        <w:br/>
        <w:t xml:space="preserve">{{field-off:bible}} </w:t>
        <w:br/>
        <w:t>[[@BibleTOBIBLE:La 1:17]]</w:t>
      </w:r>
      <w:r>
        <w:rPr>
          <w:b/>
        </w:rPr>
        <w:t>17</w:t>
      </w:r>
      <w:r>
        <w:rPr/>
        <w:t xml:space="preserve"> {{field-on:bible}} </w:t>
        <w:br/>
        <w:t xml:space="preserve">Zion fleht mit ihren Händen </w:t>
      </w:r>
      <w:r>
        <w:rPr>
          <w:color w:val="808080"/>
        </w:rPr>
        <w:t>(streckt ihre Hände aus)</w:t>
      </w:r>
      <w:r>
        <w:rPr/>
        <w:t xml:space="preserve">,da ist keiner, der ihr Mut macht </w:t>
      </w:r>
      <w:r>
        <w:rPr>
          <w:color w:val="808080"/>
        </w:rPr>
        <w:t>(Trost zuspricht)</w:t>
      </w:r>
      <w:r>
        <w:rPr/>
        <w:t>,</w:t>
        <w:br/>
      </w:r>
      <w:r>
        <w:rPr>
          <w:smallCaps/>
          <w:color w:val="FF0000"/>
        </w:rPr>
        <w:t>JHWH</w:t>
      </w:r>
      <w:r>
        <w:rPr/>
        <w:t xml:space="preserve"> hat über Jakob</w:t>
      </w:r>
      <w:r>
        <w:rPr>
          <w:rStyle w:val="Funotenanker"/>
        </w:rPr>
        <w:footnoteReference w:customMarkFollows="1" w:id="2755"/>
        <w:t>bn</w:t>
      </w:r>
      <w:r>
        <w:rPr/>
        <w:t xml:space="preserve"> verhängt </w:t>
      </w:r>
      <w:r>
        <w:rPr>
          <w:color w:val="808080"/>
        </w:rPr>
        <w:t>(befohlen)</w:t>
      </w:r>
      <w:r>
        <w:rPr/>
        <w:t>,</w:t>
      </w:r>
      <w:r>
        <w:rPr>
          <w:b/>
          <w:color w:val="808080"/>
        </w:rPr>
        <w:t>[</w:t>
      </w:r>
      <w:r>
        <w:rPr/>
        <w:t>Dass</w:t>
      </w:r>
      <w:r>
        <w:rPr>
          <w:b/>
          <w:color w:val="808080"/>
        </w:rPr>
        <w:t>]</w:t>
      </w:r>
      <w:r>
        <w:rPr/>
        <w:t xml:space="preserve"> rings um ihn </w:t>
      </w:r>
      <w:r>
        <w:rPr>
          <w:color w:val="808080"/>
        </w:rPr>
        <w:t>(seine Nachbarn)</w:t>
      </w:r>
      <w:r>
        <w:rPr/>
        <w:t xml:space="preserve"> seine Feinde </w:t>
      </w:r>
      <w:r>
        <w:rPr>
          <w:b/>
          <w:color w:val="808080"/>
        </w:rPr>
        <w:t>[</w:t>
      </w:r>
      <w:r>
        <w:rPr/>
        <w:t>seien</w:t>
      </w:r>
      <w:r>
        <w:rPr>
          <w:b/>
          <w:color w:val="808080"/>
        </w:rPr>
        <w:t>]</w:t>
      </w:r>
      <w:r>
        <w:rPr/>
        <w:t>,</w:t>
        <w:br/>
        <w:t xml:space="preserve">Jerusalem wurdezur Verabscheuten </w:t>
      </w:r>
      <w:r>
        <w:rPr>
          <w:color w:val="808080"/>
        </w:rPr>
        <w:t>(Unreinen)</w:t>
      </w:r>
      <w:r>
        <w:rPr/>
        <w:t xml:space="preserve"> unter ihnen.</w:t>
        <w:br/>
        <w:br/>
        <w:t xml:space="preserve">{{field-off:bible}} </w:t>
        <w:br/>
        <w:t>[[@BibleTOBIBLE:La 1:18]]</w:t>
      </w:r>
      <w:r>
        <w:rPr>
          <w:b/>
        </w:rPr>
        <w:t>18</w:t>
      </w:r>
      <w:r>
        <w:rPr/>
        <w:t xml:space="preserve"> {{field-on:bible}} </w:t>
        <w:br/>
        <w:t xml:space="preserve">Gerecht </w:t>
      </w:r>
      <w:r>
        <w:rPr>
          <w:color w:val="808080"/>
        </w:rPr>
        <w:t>(im Recht)</w:t>
      </w:r>
      <w:r>
        <w:rPr/>
        <w:t xml:space="preserve"> ist </w:t>
      </w:r>
      <w:r>
        <w:rPr>
          <w:smallCaps/>
          <w:color w:val="FF0000"/>
        </w:rPr>
        <w:t>JHWH</w:t>
      </w:r>
      <w:r>
        <w:rPr/>
        <w:t>,denn seinem Mund</w:t>
      </w:r>
      <w:r>
        <w:rPr>
          <w:rStyle w:val="Funotenanker"/>
        </w:rPr>
        <w:footnoteReference w:customMarkFollows="1" w:id="2756"/>
        <w:t>bo</w:t>
      </w:r>
      <w:r>
        <w:rPr/>
        <w:t xml:space="preserve"> habe ich nicht gehorcht.</w:t>
        <w:br/>
        <w:t>Hört doch, all ihr Völker, seht meine Qual:</w:t>
        <w:br/>
        <w:t>Meine jungen Frauen und Männer,</w:t>
      </w:r>
      <w:r>
        <w:rPr>
          <w:rStyle w:val="Funotenanker"/>
        </w:rPr>
        <w:footnoteReference w:customMarkFollows="1" w:id="2757"/>
        <w:t>bp</w:t>
      </w:r>
      <w:r>
        <w:rPr/>
        <w:t>sie sind in die Verbannung gegangen.</w:t>
        <w:br/>
        <w:br/>
        <w:t xml:space="preserve">{{field-off:bible}} </w:t>
        <w:br/>
        <w:t>[[@BibleTOBIBLE:La 1:19]]</w:t>
      </w:r>
      <w:r>
        <w:rPr>
          <w:b/>
        </w:rPr>
        <w:t>19</w:t>
      </w:r>
      <w:r>
        <w:rPr/>
        <w:t xml:space="preserve"> {{field-on:bible}} </w:t>
        <w:br/>
        <w:t xml:space="preserve">Ich habe meine Liebhaber </w:t>
      </w:r>
      <w:r>
        <w:rPr>
          <w:color w:val="808080"/>
        </w:rPr>
        <w:t>(zu Hilfe)</w:t>
      </w:r>
      <w:r>
        <w:rPr/>
        <w:t xml:space="preserve"> gerufen, </w:t>
      </w:r>
      <w:r>
        <w:rPr>
          <w:color w:val="808080"/>
        </w:rPr>
        <w:t>(aber)</w:t>
      </w:r>
      <w:r>
        <w:rPr/>
        <w:t xml:space="preserve"> sie haben mich betrogen </w:t>
      </w:r>
      <w:r>
        <w:rPr>
          <w:color w:val="808080"/>
        </w:rPr>
        <w:t>(hintergangen, getäuscht)</w:t>
      </w:r>
      <w:r>
        <w:rPr/>
        <w:t>,</w:t>
        <w:br/>
        <w:t>meine Priester und Ältesten</w:t>
      </w:r>
      <w:r>
        <w:rPr>
          <w:rStyle w:val="Funotenanker"/>
        </w:rPr>
        <w:footnoteReference w:customMarkFollows="1" w:id="2758"/>
        <w:t>bq</w:t>
      </w:r>
      <w:r>
        <w:rPr/>
        <w:t>sind in der Stadt umgekommen,</w:t>
        <w:br/>
        <w:t>als sie Nahrung für sich suchten,um zu überleben.</w:t>
      </w:r>
      <w:r>
        <w:rPr>
          <w:rStyle w:val="Funotenanker"/>
        </w:rPr>
        <w:footnoteReference w:customMarkFollows="1" w:id="2759"/>
        <w:t>br</w:t>
      </w:r>
      <w:r>
        <w:rPr/>
        <w:t xml:space="preserve"> </w:t>
      </w:r>
      <w:r>
        <w:rPr>
          <w:color w:val="808080"/>
        </w:rPr>
        <w:t>(ihre Seele zurückzubringen)</w:t>
      </w:r>
      <w:r>
        <w:rPr/>
        <w:t>.</w:t>
        <w:br/>
        <w:br/>
        <w:t xml:space="preserve">{{field-off:bible}} </w:t>
        <w:br/>
        <w:t>[[@BibleTOBIBLE:La 1:20]]</w:t>
      </w:r>
      <w:r>
        <w:rPr>
          <w:b/>
        </w:rPr>
        <w:t>20</w:t>
      </w:r>
      <w:r>
        <w:rPr/>
        <w:t xml:space="preserve"> {{field-on:bible}} </w:t>
        <w:br/>
        <w:t xml:space="preserve">Sieh, </w:t>
      </w:r>
      <w:r>
        <w:rPr>
          <w:smallCaps/>
          <w:color w:val="FF0000"/>
        </w:rPr>
        <w:t>JHWH</w:t>
      </w:r>
      <w:r>
        <w:rPr/>
        <w:t xml:space="preserve">, dass mir angst </w:t>
      </w:r>
      <w:r>
        <w:rPr>
          <w:b/>
          <w:color w:val="808080"/>
        </w:rPr>
        <w:t>[</w:t>
      </w:r>
      <w:r>
        <w:rPr/>
        <w:t>ist</w:t>
      </w:r>
      <w:r>
        <w:rPr>
          <w:b/>
          <w:color w:val="808080"/>
        </w:rPr>
        <w:t>]</w:t>
      </w:r>
      <w:r>
        <w:rPr/>
        <w:t xml:space="preserve">,mein Inneres ist </w:t>
      </w:r>
      <w:r>
        <w:rPr>
          <w:color w:val="808080"/>
        </w:rPr>
        <w:t>(meine Eingeweide sind)</w:t>
      </w:r>
      <w:r>
        <w:rPr/>
        <w:t xml:space="preserve"> aufgewühlt,</w:t>
      </w:r>
      <w:r>
        <w:rPr>
          <w:rStyle w:val="Funotenanker"/>
        </w:rPr>
        <w:footnoteReference w:customMarkFollows="1" w:id="2760"/>
        <w:t>bs</w:t>
      </w:r>
      <w:r>
        <w:rPr/>
        <w:t xml:space="preserve"> </w:t>
        <w:br/>
        <w:t xml:space="preserve">es dreht </w:t>
      </w:r>
      <w:r>
        <w:rPr>
          <w:color w:val="808080"/>
        </w:rPr>
        <w:t>(windet)</w:t>
      </w:r>
      <w:r>
        <w:rPr/>
        <w:t xml:space="preserve"> sich mein Herz in meinem Innern,denn ich war in der Tat widerspenstig </w:t>
      </w:r>
      <w:r>
        <w:rPr>
          <w:color w:val="808080"/>
        </w:rPr>
        <w:t>(trotzig)</w:t>
      </w:r>
      <w:r>
        <w:rPr/>
        <w:t>:</w:t>
        <w:br/>
        <w:t xml:space="preserve">draußen machte das Schwert </w:t>
      </w:r>
      <w:r>
        <w:rPr>
          <w:b/>
          <w:color w:val="808080"/>
        </w:rPr>
        <w:t>[</w:t>
      </w:r>
      <w:r>
        <w:rPr/>
        <w:t>mich</w:t>
      </w:r>
      <w:r>
        <w:rPr>
          <w:b/>
          <w:color w:val="808080"/>
        </w:rPr>
        <w:t>]</w:t>
      </w:r>
      <w:r>
        <w:rPr/>
        <w:t xml:space="preserve"> kinderlos,drinnen </w:t>
      </w:r>
      <w:r>
        <w:rPr>
          <w:b/>
          <w:color w:val="808080"/>
        </w:rPr>
        <w:t>[</w:t>
      </w:r>
      <w:r>
        <w:rPr/>
        <w:t>ist es</w:t>
      </w:r>
      <w:r>
        <w:rPr>
          <w:b/>
          <w:color w:val="808080"/>
        </w:rPr>
        <w:t>]</w:t>
      </w:r>
      <w:r>
        <w:rPr/>
        <w:t xml:space="preserve"> wie der Tod</w:t>
      </w:r>
      <w:r>
        <w:rPr>
          <w:rStyle w:val="Funotenanker"/>
        </w:rPr>
        <w:footnoteReference w:customMarkFollows="1" w:id="2761"/>
        <w:t>bt</w:t>
      </w:r>
      <w:r>
        <w:rPr/>
        <w:t xml:space="preserve"> </w:t>
        <w:br/>
        <w:br/>
        <w:t xml:space="preserve">{{field-off:bible}} </w:t>
        <w:br/>
        <w:t>[[@BibleTOBIBLE:La 1:21]]</w:t>
      </w:r>
      <w:r>
        <w:rPr>
          <w:b/>
        </w:rPr>
        <w:t>21</w:t>
      </w:r>
      <w:r>
        <w:rPr/>
        <w:t xml:space="preserve"> {{field-on:bible}} </w:t>
        <w:br/>
        <w:t xml:space="preserve">Sie haben </w:t>
      </w:r>
      <w:r>
        <w:rPr>
          <w:color w:val="808080"/>
        </w:rPr>
        <w:t>(Man hat)</w:t>
      </w:r>
      <w:r>
        <w:rPr/>
        <w:t xml:space="preserve"> gehört,</w:t>
      </w:r>
      <w:r>
        <w:rPr>
          <w:rStyle w:val="Funotenanker"/>
        </w:rPr>
        <w:footnoteReference w:customMarkFollows="1" w:id="2762"/>
        <w:t>bu</w:t>
      </w:r>
      <w:r>
        <w:rPr/>
        <w:t xml:space="preserve"> dass ich seufze,da </w:t>
      </w:r>
      <w:r>
        <w:rPr>
          <w:b/>
          <w:color w:val="808080"/>
        </w:rPr>
        <w:t>[</w:t>
      </w:r>
      <w:r>
        <w:rPr/>
        <w:t>war</w:t>
      </w:r>
      <w:r>
        <w:rPr>
          <w:b/>
          <w:color w:val="808080"/>
        </w:rPr>
        <w:t>]</w:t>
      </w:r>
      <w:r>
        <w:rPr/>
        <w:t xml:space="preserve"> keiner, der mir Mut machte </w:t>
      </w:r>
      <w:r>
        <w:rPr>
          <w:color w:val="808080"/>
        </w:rPr>
        <w:t>(Trost zuspricht)</w:t>
      </w:r>
      <w:r>
        <w:rPr/>
        <w:t>;</w:t>
        <w:br/>
        <w:t xml:space="preserve">alle meine Feinde hörten von meinem Unheil,sie jubelten, weil du </w:t>
      </w:r>
      <w:r>
        <w:rPr>
          <w:b/>
          <w:color w:val="808080"/>
        </w:rPr>
        <w:t>[</w:t>
      </w:r>
      <w:r>
        <w:rPr/>
        <w:t>es</w:t>
      </w:r>
      <w:r>
        <w:rPr>
          <w:b/>
          <w:color w:val="808080"/>
        </w:rPr>
        <w:t>]</w:t>
      </w:r>
      <w:r>
        <w:rPr/>
        <w:t xml:space="preserve"> bereitet </w:t>
      </w:r>
      <w:r>
        <w:rPr>
          <w:color w:val="808080"/>
        </w:rPr>
        <w:t>(getan)</w:t>
      </w:r>
      <w:r>
        <w:rPr/>
        <w:t xml:space="preserve"> hast;</w:t>
        <w:br/>
        <w:t xml:space="preserve">du brachtest den Tag, den </w:t>
      </w:r>
      <w:r>
        <w:rPr>
          <w:color w:val="808080"/>
        </w:rPr>
        <w:t>(das Gericht, das)</w:t>
      </w:r>
      <w:r>
        <w:rPr/>
        <w:t xml:space="preserve"> du angekündigt hattest,aber </w:t>
      </w:r>
      <w:r>
        <w:rPr>
          <w:color w:val="808080"/>
        </w:rPr>
        <w:t>(und)</w:t>
      </w:r>
      <w:r>
        <w:rPr/>
        <w:t xml:space="preserve"> sie werden </w:t>
      </w:r>
      <w:r>
        <w:rPr>
          <w:color w:val="808080"/>
        </w:rPr>
        <w:t>(sollen)</w:t>
      </w:r>
      <w:r>
        <w:rPr/>
        <w:t xml:space="preserve"> sein wie ich.</w:t>
      </w:r>
      <w:r>
        <w:rPr>
          <w:rStyle w:val="Funotenanker"/>
        </w:rPr>
        <w:footnoteReference w:customMarkFollows="1" w:id="2763"/>
        <w:t>bv</w:t>
      </w:r>
      <w:r>
        <w:rPr/>
        <w:t xml:space="preserve"> </w:t>
        <w:br/>
        <w:br/>
        <w:t xml:space="preserve">{{field-off:bible}} </w:t>
        <w:br/>
        <w:t>[[@BibleTOBIBLE:La 1:22]]</w:t>
      </w:r>
      <w:r>
        <w:rPr>
          <w:b/>
        </w:rPr>
        <w:t>22</w:t>
      </w:r>
      <w:r>
        <w:rPr/>
        <w:t xml:space="preserve"> {{field-on:bible}} </w:t>
        <w:br/>
        <w:t xml:space="preserve">Kommen wird all ihre Bosheit vor dein Angesicht;dann </w:t>
      </w:r>
      <w:r>
        <w:rPr>
          <w:color w:val="808080"/>
        </w:rPr>
        <w:t>(und)</w:t>
      </w:r>
      <w:r>
        <w:rPr/>
        <w:t xml:space="preserve"> tue ihnen,</w:t>
        <w:br/>
        <w:t>wie du mir getan hast,wegen all meiner Vergehen;</w:t>
        <w:br/>
        <w:t xml:space="preserve">denn zahlreich </w:t>
      </w:r>
      <w:r>
        <w:rPr>
          <w:b/>
          <w:color w:val="808080"/>
        </w:rPr>
        <w:t>[</w:t>
      </w:r>
      <w:r>
        <w:rPr/>
        <w:t>sind</w:t>
      </w:r>
      <w:r>
        <w:rPr>
          <w:b/>
          <w:color w:val="808080"/>
        </w:rPr>
        <w:t>]</w:t>
      </w:r>
      <w:r>
        <w:rPr/>
        <w:t xml:space="preserve"> meine Seufzer,und mein Herz </w:t>
      </w:r>
      <w:r>
        <w:rPr>
          <w:b/>
          <w:color w:val="808080"/>
        </w:rPr>
        <w:t>[</w:t>
      </w:r>
      <w:r>
        <w:rPr/>
        <w:t>ist</w:t>
      </w:r>
      <w:r>
        <w:rPr>
          <w:b/>
          <w:color w:val="808080"/>
        </w:rPr>
        <w:t>]</w:t>
      </w:r>
      <w:r>
        <w:rPr/>
        <w:t xml:space="preserve"> krank </w:t>
      </w:r>
      <w:r>
        <w:rPr>
          <w:color w:val="808080"/>
        </w:rPr>
        <w:t>(schwach, traurig)</w:t>
      </w:r>
      <w:r>
        <w:rPr/>
        <w:t>.</w:t>
        <w:br/>
        <w:t xml:space="preserve">{{field-off:bible}} </w:t>
      </w:r>
    </w:p>
    <w:p>
      <w:pPr>
        <w:pStyle w:val="Berschrift3"/>
        <w:rPr/>
      </w:pPr>
      <w:r>
        <w:rPr/>
        <w:t>[[@BibleTOBIBLE:La 2]]Kapitel 2</w:t>
      </w:r>
    </w:p>
    <w:p>
      <w:pPr>
        <w:pStyle w:val="Textkrper"/>
        <w:rPr/>
      </w:pPr>
      <w:r>
        <w:rPr/>
        <w:br/>
        <w:t>[[@BibleTOBIBLE:La 2:1]]</w:t>
      </w:r>
      <w:r>
        <w:rPr>
          <w:b/>
        </w:rPr>
        <w:t>1</w:t>
      </w:r>
      <w:r>
        <w:rPr/>
        <w:t xml:space="preserve"> {{field-on:bible}}Wie umwölkt der Herr in seinem Zorn,die Tochter Zion,</w:t>
        <w:br/>
        <w:t xml:space="preserve">warf aus dem Himmel </w:t>
      </w:r>
      <w:r>
        <w:rPr>
          <w:b/>
          <w:color w:val="808080"/>
        </w:rPr>
        <w:t>[</w:t>
      </w:r>
      <w:r>
        <w:rPr/>
        <w:t>auf die</w:t>
      </w:r>
      <w:r>
        <w:rPr>
          <w:b/>
          <w:color w:val="808080"/>
        </w:rPr>
        <w:t>]</w:t>
      </w:r>
      <w:r>
        <w:rPr/>
        <w:t xml:space="preserve"> Erdedie Herrlichkeit </w:t>
      </w:r>
      <w:r>
        <w:rPr>
          <w:color w:val="808080"/>
        </w:rPr>
        <w:t>(den Ruhm, die Schönheit)</w:t>
      </w:r>
      <w:r>
        <w:rPr/>
        <w:t xml:space="preserve"> Israels</w:t>
        <w:br/>
        <w:t xml:space="preserve">und gedachte nicht </w:t>
      </w:r>
      <w:r>
        <w:rPr>
          <w:b/>
          <w:color w:val="808080"/>
        </w:rPr>
        <w:t>[</w:t>
      </w:r>
      <w:r>
        <w:rPr/>
        <w:t>mehr</w:t>
      </w:r>
      <w:r>
        <w:rPr>
          <w:b/>
          <w:color w:val="808080"/>
        </w:rPr>
        <w:t>]</w:t>
      </w:r>
      <w:r>
        <w:rPr/>
        <w:t xml:space="preserve"> des Schemels seiner Füßeam Tag seines Zorns.</w:t>
        <w:br/>
        <w:br/>
        <w:t xml:space="preserve">{{field-off:bible}} </w:t>
        <w:br/>
        <w:t>[[@BibleTOBIBLE:La 2:2]]</w:t>
      </w:r>
      <w:r>
        <w:rPr>
          <w:b/>
        </w:rPr>
        <w:t>2</w:t>
      </w:r>
      <w:r>
        <w:rPr/>
        <w:t xml:space="preserve"> {{field-on:bible}} </w:t>
        <w:br/>
        <w:t xml:space="preserve">Vernichtet </w:t>
      </w:r>
      <w:r>
        <w:rPr>
          <w:color w:val="808080"/>
        </w:rPr>
        <w:t>(verschlungen)</w:t>
      </w:r>
      <w:r>
        <w:rPr/>
        <w:t xml:space="preserve"> hat der Herrund verworfen</w:t>
      </w:r>
      <w:r>
        <w:rPr>
          <w:rStyle w:val="Funotenanker"/>
        </w:rPr>
        <w:footnoteReference w:customMarkFollows="1" w:id="2764"/>
        <w:t>a</w:t>
      </w:r>
      <w:r>
        <w:rPr/>
        <w:t xml:space="preserve"> die Weiden </w:t>
      </w:r>
      <w:r>
        <w:rPr>
          <w:color w:val="808080"/>
        </w:rPr>
        <w:t>(Wohnungen)</w:t>
      </w:r>
      <w:r>
        <w:rPr/>
        <w:t xml:space="preserve"> Jakobs,</w:t>
        <w:br/>
        <w:t xml:space="preserve">zerstört </w:t>
      </w:r>
      <w:r>
        <w:rPr>
          <w:color w:val="808080"/>
        </w:rPr>
        <w:t>(zertrümmert, niedergerissen)</w:t>
      </w:r>
      <w:r>
        <w:rPr/>
        <w:t xml:space="preserve"> hat er in seinem Ärgerdie Festungen </w:t>
      </w:r>
      <w:r>
        <w:rPr>
          <w:color w:val="808080"/>
        </w:rPr>
        <w:t>(befestigten Städte)</w:t>
      </w:r>
      <w:r>
        <w:rPr/>
        <w:t xml:space="preserve"> der Tochter Juda,</w:t>
        <w:br/>
        <w:t xml:space="preserve">warf zu Boden,entweihte das Königtum </w:t>
      </w:r>
      <w:r>
        <w:rPr>
          <w:color w:val="808080"/>
        </w:rPr>
        <w:t>(-reich)</w:t>
      </w:r>
      <w:r>
        <w:rPr/>
        <w:t xml:space="preserve"> und seine Obersten </w:t>
      </w:r>
      <w:r>
        <w:rPr>
          <w:color w:val="808080"/>
        </w:rPr>
        <w:t>(Beamten, Kommandanten, Fürsten)</w:t>
      </w:r>
      <w:r>
        <w:rPr/>
        <w:t>.</w:t>
        <w:br/>
        <w:br/>
        <w:t xml:space="preserve">{{field-off:bible}} </w:t>
        <w:br/>
        <w:t>[[@BibleTOBIBLE:La 2:3]]</w:t>
      </w:r>
      <w:r>
        <w:rPr>
          <w:b/>
        </w:rPr>
        <w:t>3</w:t>
      </w:r>
      <w:r>
        <w:rPr/>
        <w:t xml:space="preserve"> {{field-on:bible}} </w:t>
        <w:br/>
        <w:t xml:space="preserve">Abgehauen hat er in der Hitze seines Zornsjedes Horn </w:t>
      </w:r>
      <w:r>
        <w:rPr>
          <w:color w:val="808080"/>
        </w:rPr>
        <w:t>(alle Macht, Kraft)</w:t>
      </w:r>
      <w:r>
        <w:rPr/>
        <w:t xml:space="preserve"> Israels,</w:t>
        <w:br/>
        <w:t xml:space="preserve">zog zurück seine </w:t>
      </w:r>
      <w:r>
        <w:rPr>
          <w:color w:val="808080"/>
        </w:rPr>
        <w:t>(schützende)</w:t>
      </w:r>
      <w:r>
        <w:rPr/>
        <w:t xml:space="preserve"> Rechtevor dem Feind;</w:t>
        <w:br/>
        <w:t xml:space="preserve">und er brannte </w:t>
      </w:r>
      <w:r>
        <w:rPr>
          <w:color w:val="808080"/>
        </w:rPr>
        <w:t>(wütete)</w:t>
      </w:r>
      <w:r>
        <w:rPr/>
        <w:t xml:space="preserve"> in Jakob wie ein Feuer,</w:t>
      </w:r>
      <w:r>
        <w:rPr>
          <w:b/>
          <w:color w:val="808080"/>
        </w:rPr>
        <w:t>[</w:t>
      </w:r>
      <w:r>
        <w:rPr/>
        <w:t>dessen</w:t>
      </w:r>
      <w:r>
        <w:rPr>
          <w:b/>
          <w:color w:val="808080"/>
        </w:rPr>
        <w:t>]</w:t>
      </w:r>
      <w:r>
        <w:rPr/>
        <w:t xml:space="preserve"> Flamme rundherum fraß.</w:t>
        <w:br/>
        <w:br/>
        <w:t xml:space="preserve">{{field-off:bible}} </w:t>
        <w:br/>
        <w:t>[[@BibleTOBIBLE:La 2:4]]</w:t>
      </w:r>
      <w:r>
        <w:rPr>
          <w:b/>
        </w:rPr>
        <w:t>4</w:t>
      </w:r>
      <w:r>
        <w:rPr/>
        <w:t xml:space="preserve"> {{field-on:bible}} </w:t>
        <w:br/>
        <w:t>Er spannte seinen Bogen wie ein Feind</w:t>
      </w:r>
      <w:r>
        <w:rPr>
          <w:b/>
          <w:color w:val="808080"/>
        </w:rPr>
        <w:t>[</w:t>
      </w:r>
      <w:r>
        <w:rPr/>
        <w:t>der</w:t>
      </w:r>
      <w:r>
        <w:rPr>
          <w:b/>
          <w:color w:val="808080"/>
        </w:rPr>
        <w:t>]</w:t>
      </w:r>
      <w:r>
        <w:rPr/>
        <w:t xml:space="preserve"> Pfeil </w:t>
      </w:r>
      <w:r>
        <w:rPr>
          <w:b/>
          <w:color w:val="808080"/>
        </w:rPr>
        <w:t>[</w:t>
      </w:r>
      <w:r>
        <w:rPr/>
        <w:t>war</w:t>
      </w:r>
      <w:r>
        <w:rPr>
          <w:b/>
          <w:color w:val="808080"/>
        </w:rPr>
        <w:t>]</w:t>
      </w:r>
      <w:r>
        <w:rPr/>
        <w:t xml:space="preserve"> in seiner Rechten</w:t>
      </w:r>
      <w:r>
        <w:rPr>
          <w:rStyle w:val="Funotenanker"/>
        </w:rPr>
        <w:footnoteReference w:customMarkFollows="1" w:id="2765"/>
        <w:t>b</w:t>
      </w:r>
      <w:r>
        <w:rPr/>
        <w:t xml:space="preserve"> </w:t>
        <w:br/>
        <w:t>und er tötete wie ein Gegner</w:t>
      </w:r>
      <w:r>
        <w:rPr>
          <w:rStyle w:val="Funotenanker"/>
        </w:rPr>
        <w:footnoteReference w:customMarkFollows="1" w:id="2766"/>
        <w:t>c</w:t>
      </w:r>
      <w:r>
        <w:rPr/>
        <w:t xml:space="preserve"> </w:t>
      </w:r>
      <w:r>
        <w:rPr>
          <w:b/>
          <w:color w:val="808080"/>
        </w:rPr>
        <w:t>[</w:t>
      </w:r>
      <w:r>
        <w:rPr/>
        <w:t>seine</w:t>
      </w:r>
      <w:r>
        <w:rPr>
          <w:b/>
          <w:color w:val="808080"/>
        </w:rPr>
        <w:t>]</w:t>
      </w:r>
      <w:r>
        <w:rPr/>
        <w:t xml:space="preserve"> ganze Augenweide</w:t>
      </w:r>
      <w:r>
        <w:rPr>
          <w:rStyle w:val="Funotenanker"/>
        </w:rPr>
        <w:footnoteReference w:customMarkFollows="1" w:id="2767"/>
        <w:t>d</w:t>
      </w:r>
      <w:r>
        <w:rPr/>
        <w:t>.</w:t>
        <w:br/>
        <w:t xml:space="preserve">Im </w:t>
      </w:r>
      <w:r>
        <w:rPr>
          <w:color w:val="808080"/>
        </w:rPr>
        <w:t>(ins)</w:t>
      </w:r>
      <w:r>
        <w:rPr/>
        <w:t xml:space="preserve"> Zelt der Tochter Zion</w:t>
      </w:r>
      <w:r>
        <w:rPr>
          <w:rStyle w:val="Funotenanker"/>
        </w:rPr>
        <w:footnoteReference w:customMarkFollows="1" w:id="2768"/>
        <w:t>e</w:t>
      </w:r>
      <w:r>
        <w:rPr/>
        <w:t>goss er seinen Grimm aus wie Feuer.</w:t>
        <w:br/>
        <w:br/>
        <w:t xml:space="preserve">{{field-off:bible}} </w:t>
        <w:br/>
        <w:t>[[@BibleTOBIBLE:La 2:5]]</w:t>
      </w:r>
      <w:r>
        <w:rPr>
          <w:b/>
        </w:rPr>
        <w:t>5</w:t>
      </w:r>
      <w:r>
        <w:rPr/>
        <w:t xml:space="preserve"> {{field-on:bible}} </w:t>
        <w:br/>
        <w:t xml:space="preserve">Der Herr ist wie ein Feind geworden,hat Israel vernichtet </w:t>
      </w:r>
      <w:r>
        <w:rPr>
          <w:color w:val="808080"/>
        </w:rPr>
        <w:t>(verschlungen)</w:t>
      </w:r>
      <w:r>
        <w:rPr/>
        <w:t>,</w:t>
        <w:br/>
        <w:t xml:space="preserve">vernichtet </w:t>
      </w:r>
      <w:r>
        <w:rPr>
          <w:color w:val="808080"/>
        </w:rPr>
        <w:t>(verschlungen)</w:t>
      </w:r>
      <w:r>
        <w:rPr/>
        <w:t xml:space="preserve"> all ihre</w:t>
      </w:r>
      <w:r>
        <w:rPr>
          <w:rStyle w:val="Funotenanker"/>
        </w:rPr>
        <w:footnoteReference w:customMarkFollows="1" w:id="2769"/>
        <w:t>f</w:t>
      </w:r>
      <w:r>
        <w:rPr/>
        <w:t xml:space="preserve"> Palästezerstört seine Festungen </w:t>
      </w:r>
      <w:r>
        <w:rPr>
          <w:color w:val="808080"/>
        </w:rPr>
        <w:t>(befestigten Städte)</w:t>
      </w:r>
      <w:r>
        <w:rPr/>
        <w:t>,</w:t>
        <w:br/>
        <w:t>er vermehrte in der Tochter JudaTraurigkeit und Trauer.</w:t>
        <w:br/>
        <w:br/>
        <w:t xml:space="preserve">{{field-off:bible}} </w:t>
        <w:br/>
        <w:t>[[@BibleTOBIBLE:La 2:6]]</w:t>
      </w:r>
      <w:r>
        <w:rPr>
          <w:b/>
        </w:rPr>
        <w:t>6</w:t>
      </w:r>
      <w:r>
        <w:rPr/>
        <w:t xml:space="preserve"> {{field-on:bible}} </w:t>
        <w:br/>
        <w:t>Er hat seine Hütte</w:t>
      </w:r>
      <w:r>
        <w:rPr>
          <w:rStyle w:val="Funotenanker"/>
        </w:rPr>
        <w:footnoteReference w:customMarkFollows="1" w:id="2770"/>
        <w:t>g</w:t>
      </w:r>
      <w:r>
        <w:rPr/>
        <w:t xml:space="preserve"> wie einen Weinstock</w:t>
      </w:r>
      <w:r>
        <w:rPr>
          <w:rStyle w:val="Funotenanker"/>
        </w:rPr>
        <w:footnoteReference w:customMarkFollows="1" w:id="2771"/>
        <w:t>h</w:t>
      </w:r>
      <w:r>
        <w:rPr/>
        <w:t xml:space="preserve"> preisgegeben</w:t>
      </w:r>
      <w:r>
        <w:rPr>
          <w:rStyle w:val="Funotenanker"/>
        </w:rPr>
        <w:footnoteReference w:customMarkFollows="1" w:id="2772"/>
        <w:t>i</w:t>
      </w:r>
      <w:r>
        <w:rPr/>
        <w:t>,seine Versammlungsstätte zerstört,</w:t>
        <w:br/>
        <w:t xml:space="preserve">in Vergessenheit geraten ließ </w:t>
      </w:r>
      <w:r>
        <w:rPr>
          <w:smallCaps/>
          <w:color w:val="FF0000"/>
        </w:rPr>
        <w:t>JHWH</w:t>
      </w:r>
      <w:r>
        <w:rPr/>
        <w:t xml:space="preserve"> in ZionFest und Sabbat,</w:t>
        <w:br/>
        <w:t xml:space="preserve">verwarf </w:t>
      </w:r>
      <w:r>
        <w:rPr>
          <w:color w:val="808080"/>
        </w:rPr>
        <w:t>(verabscheute, verachtete)</w:t>
      </w:r>
      <w:r>
        <w:rPr/>
        <w:t xml:space="preserve"> in seinem grimmigen ZornKönig und Priester.</w:t>
        <w:br/>
        <w:br/>
        <w:t xml:space="preserve">{{field-off:bible}} </w:t>
        <w:br/>
        <w:t>[[@BibleTOBIBLE:La 2:7]]</w:t>
      </w:r>
      <w:r>
        <w:rPr>
          <w:b/>
        </w:rPr>
        <w:t>7</w:t>
      </w:r>
      <w:r>
        <w:rPr/>
        <w:t xml:space="preserve"> {{field-on:bible}} </w:t>
        <w:br/>
        <w:t xml:space="preserve">Verstoßen </w:t>
      </w:r>
      <w:r>
        <w:rPr>
          <w:color w:val="808080"/>
        </w:rPr>
        <w:t>(verworfen)</w:t>
      </w:r>
      <w:r>
        <w:rPr/>
        <w:t xml:space="preserve"> hat der Herr seinen Altar</w:t>
      </w:r>
      <w:r>
        <w:rPr>
          <w:rStyle w:val="Funotenanker"/>
        </w:rPr>
        <w:footnoteReference w:customMarkFollows="1" w:id="2773"/>
        <w:t>j</w:t>
      </w:r>
      <w:r>
        <w:rPr/>
        <w:t xml:space="preserve">,entweiht </w:t>
      </w:r>
      <w:r>
        <w:rPr>
          <w:color w:val="808080"/>
        </w:rPr>
        <w:t>(zerbrochen)</w:t>
      </w:r>
      <w:r>
        <w:rPr/>
        <w:t xml:space="preserve"> sein Heiligtum.</w:t>
        <w:br/>
        <w:t xml:space="preserve">Ausgeliefert hat er in die Hand </w:t>
      </w:r>
      <w:r>
        <w:rPr>
          <w:color w:val="808080"/>
        </w:rPr>
        <w:t>(Gewalt)</w:t>
      </w:r>
      <w:r>
        <w:rPr/>
        <w:t xml:space="preserve"> des Feindesdie Mauern ihrer</w:t>
      </w:r>
      <w:r>
        <w:rPr>
          <w:rStyle w:val="Funotenanker"/>
        </w:rPr>
        <w:footnoteReference w:customMarkFollows="1" w:id="2774"/>
        <w:t>k</w:t>
      </w:r>
      <w:r>
        <w:rPr/>
        <w:t xml:space="preserve"> Paläste.</w:t>
        <w:br/>
        <w:t>Man lärmte</w:t>
      </w:r>
      <w:r>
        <w:rPr>
          <w:rStyle w:val="Funotenanker"/>
        </w:rPr>
        <w:footnoteReference w:customMarkFollows="1" w:id="2775"/>
        <w:t>l</w:t>
      </w:r>
      <w:r>
        <w:rPr/>
        <w:t xml:space="preserve"> im Haus </w:t>
      </w:r>
      <w:r>
        <w:rPr>
          <w:smallCaps/>
          <w:color w:val="FF0000"/>
        </w:rPr>
        <w:t>JHWH</w:t>
      </w:r>
      <w:r>
        <w:rPr/>
        <w:t>swie an einem Festtag.</w:t>
      </w:r>
      <w:r>
        <w:rPr>
          <w:rStyle w:val="Funotenanker"/>
        </w:rPr>
        <w:footnoteReference w:customMarkFollows="1" w:id="2776"/>
        <w:t>m</w:t>
      </w:r>
      <w:r>
        <w:rPr/>
        <w:t xml:space="preserve"> </w:t>
        <w:br/>
        <w:br/>
        <w:t xml:space="preserve">{{field-off:bible}} </w:t>
        <w:br/>
        <w:t>[[@BibleTOBIBLE:La 2:8]]</w:t>
      </w:r>
      <w:r>
        <w:rPr>
          <w:b/>
        </w:rPr>
        <w:t>8</w:t>
      </w:r>
      <w:r>
        <w:rPr/>
        <w:t xml:space="preserve"> {{field-on:bible}} </w:t>
        <w:br/>
      </w:r>
      <w:r>
        <w:rPr>
          <w:smallCaps/>
          <w:color w:val="FF0000"/>
        </w:rPr>
        <w:t>JHWH</w:t>
      </w:r>
      <w:r>
        <w:rPr/>
        <w:t xml:space="preserve"> ersann niederzureißen </w:t>
      </w:r>
      <w:r>
        <w:rPr>
          <w:color w:val="808080"/>
        </w:rPr>
        <w:t>(zu verwüsten)</w:t>
      </w:r>
      <w:r>
        <w:rPr/>
        <w:t>die Mauern der Tochter Zion</w:t>
        <w:br/>
        <w:t>er spannte die Messschnur</w:t>
      </w:r>
      <w:r>
        <w:rPr>
          <w:rStyle w:val="Funotenanker"/>
        </w:rPr>
        <w:footnoteReference w:customMarkFollows="1" w:id="2777"/>
        <w:t>n</w:t>
      </w:r>
      <w:r>
        <w:rPr/>
        <w:t xml:space="preserve"> </w:t>
      </w:r>
      <w:r>
        <w:rPr>
          <w:color w:val="808080"/>
        </w:rPr>
        <w:t>(hatte geplant)</w:t>
      </w:r>
      <w:r>
        <w:rPr/>
        <w:t xml:space="preserve">,hat seine Hand nicht zurückgezogen vom Vernichten </w:t>
      </w:r>
      <w:r>
        <w:rPr>
          <w:color w:val="808080"/>
        </w:rPr>
        <w:t>(Verschlingen)</w:t>
      </w:r>
      <w:r>
        <w:rPr/>
        <w:t>,</w:t>
        <w:br/>
        <w:t>ließ trauern</w:t>
      </w:r>
      <w:r>
        <w:rPr>
          <w:rStyle w:val="Funotenanker"/>
        </w:rPr>
        <w:footnoteReference w:customMarkFollows="1" w:id="2778"/>
        <w:t>o</w:t>
      </w:r>
      <w:r>
        <w:rPr/>
        <w:t xml:space="preserve"> Wall</w:t>
      </w:r>
      <w:r>
        <w:rPr>
          <w:rStyle w:val="Funotenanker"/>
        </w:rPr>
        <w:footnoteReference w:customMarkFollows="1" w:id="2779"/>
        <w:t>p</w:t>
      </w:r>
      <w:r>
        <w:rPr/>
        <w:t xml:space="preserve"> und Mauer,zusammen gaben sie nach</w:t>
      </w:r>
      <w:r>
        <w:rPr>
          <w:rStyle w:val="Funotenanker"/>
        </w:rPr>
        <w:footnoteReference w:customMarkFollows="1" w:id="2780"/>
        <w:t>q</w:t>
      </w:r>
      <w:r>
        <w:rPr/>
        <w:t>.</w:t>
        <w:br/>
        <w:br/>
        <w:t xml:space="preserve">{{field-off:bible}} </w:t>
        <w:br/>
        <w:t>[[@BibleTOBIBLE:La 2:9]]</w:t>
      </w:r>
      <w:r>
        <w:rPr>
          <w:b/>
        </w:rPr>
        <w:t>9</w:t>
      </w:r>
      <w:r>
        <w:rPr/>
        <w:t xml:space="preserve"> {{field-on:bible}} </w:t>
        <w:br/>
        <w:t>Niedergesunken auf die Erde sind ihre Torevernichtet und zerbrochen hat er ihre Riegel,</w:t>
        <w:br/>
        <w:t xml:space="preserve">ihr König und ihre Obersten </w:t>
      </w:r>
      <w:r>
        <w:rPr>
          <w:color w:val="808080"/>
        </w:rPr>
        <w:t>(Beamten, Hauptmänner)</w:t>
      </w:r>
      <w:r>
        <w:rPr/>
        <w:t xml:space="preserve"> </w:t>
      </w:r>
      <w:r>
        <w:rPr>
          <w:b/>
          <w:color w:val="808080"/>
        </w:rPr>
        <w:t>[</w:t>
      </w:r>
      <w:r>
        <w:rPr/>
        <w:t>leben</w:t>
      </w:r>
      <w:r>
        <w:rPr>
          <w:b/>
          <w:color w:val="808080"/>
        </w:rPr>
        <w:t>]</w:t>
      </w:r>
      <w:r>
        <w:rPr/>
        <w:t xml:space="preserve"> in </w:t>
      </w:r>
      <w:r>
        <w:rPr>
          <w:b/>
          <w:color w:val="808080"/>
        </w:rPr>
        <w:t>[</w:t>
      </w:r>
      <w:r>
        <w:rPr/>
        <w:t>fremden</w:t>
      </w:r>
      <w:r>
        <w:rPr>
          <w:b/>
          <w:color w:val="808080"/>
        </w:rPr>
        <w:t>]</w:t>
      </w:r>
      <w:r>
        <w:rPr/>
        <w:t xml:space="preserve"> Völkern,es gibt keine Weisung,</w:t>
        <w:br/>
        <w:t xml:space="preserve">auch ihre Propheten bekommen </w:t>
      </w:r>
      <w:r>
        <w:rPr>
          <w:color w:val="808080"/>
        </w:rPr>
        <w:t>(finden)</w:t>
      </w:r>
      <w:r>
        <w:rPr/>
        <w:t xml:space="preserve">keine Offenbarung </w:t>
      </w:r>
      <w:r>
        <w:rPr>
          <w:color w:val="808080"/>
        </w:rPr>
        <w:t>(Schauung, Vision)</w:t>
      </w:r>
      <w:r>
        <w:rPr/>
        <w:t xml:space="preserve"> </w:t>
      </w:r>
      <w:r>
        <w:rPr>
          <w:smallCaps/>
          <w:color w:val="FF0000"/>
        </w:rPr>
        <w:t>JHWH</w:t>
      </w:r>
      <w:r>
        <w:rPr/>
        <w:t>s.</w:t>
        <w:br/>
        <w:br/>
        <w:t xml:space="preserve">{{field-off:bible}} </w:t>
        <w:br/>
        <w:t>[[@BibleTOBIBLE:La 2:10]]</w:t>
      </w:r>
      <w:r>
        <w:rPr>
          <w:b/>
        </w:rPr>
        <w:t>10</w:t>
      </w:r>
      <w:r>
        <w:rPr/>
        <w:t xml:space="preserve"> {{field-on:bible}} </w:t>
        <w:br/>
        <w:t xml:space="preserve">Auf der Erde sitzen </w:t>
      </w:r>
      <w:r>
        <w:rPr>
          <w:color w:val="808080"/>
        </w:rPr>
        <w:t>(wohnen)</w:t>
      </w:r>
      <w:r>
        <w:rPr/>
        <w:t xml:space="preserve"> </w:t>
      </w:r>
      <w:r>
        <w:rPr>
          <w:rStyle w:val="Funotenanker"/>
        </w:rPr>
        <w:footnoteReference w:customMarkFollows="1" w:id="2781"/>
        <w:t>r</w:t>
      </w:r>
      <w:r>
        <w:rPr/>
        <w:t xml:space="preserve">verstört </w:t>
      </w:r>
      <w:r>
        <w:rPr>
          <w:color w:val="808080"/>
        </w:rPr>
        <w:t>(erstarrt, stumm)</w:t>
      </w:r>
      <w:r>
        <w:rPr/>
        <w:t xml:space="preserve"> </w:t>
      </w:r>
      <w:r>
        <w:rPr>
          <w:rStyle w:val="Funotenanker"/>
        </w:rPr>
        <w:footnoteReference w:customMarkFollows="1" w:id="2782"/>
        <w:t>s</w:t>
      </w:r>
      <w:r>
        <w:rPr/>
        <w:t xml:space="preserve"> die Alten </w:t>
      </w:r>
      <w:r>
        <w:rPr>
          <w:color w:val="808080"/>
        </w:rPr>
        <w:t>(Ältesten)</w:t>
      </w:r>
      <w:r>
        <w:rPr/>
        <w:t xml:space="preserve"> der Tochter Zion,</w:t>
        <w:br/>
        <w:t xml:space="preserve">sie haben Staub auf ihr Haupt gestreut,sich </w:t>
      </w:r>
      <w:r>
        <w:rPr>
          <w:b/>
          <w:color w:val="808080"/>
        </w:rPr>
        <w:t>[</w:t>
      </w:r>
      <w:r>
        <w:rPr/>
        <w:t>mit</w:t>
      </w:r>
      <w:r>
        <w:rPr>
          <w:b/>
          <w:color w:val="808080"/>
        </w:rPr>
        <w:t>]</w:t>
      </w:r>
      <w:r>
        <w:rPr/>
        <w:t xml:space="preserve"> Sackleinen gegürtet</w:t>
      </w:r>
      <w:r>
        <w:rPr>
          <w:rStyle w:val="Funotenanker"/>
        </w:rPr>
        <w:footnoteReference w:customMarkFollows="1" w:id="2783"/>
        <w:t>t</w:t>
      </w:r>
      <w:r>
        <w:rPr/>
        <w:t>;</w:t>
        <w:br/>
        <w:t>auf die Erde ließen ihr Haupt sinkendie Jungfrauen Jerusalems.</w:t>
        <w:br/>
        <w:br/>
        <w:t xml:space="preserve">{{field-off:bible}} </w:t>
        <w:br/>
        <w:t>[[@BibleTOBIBLE:La 2:11]]</w:t>
      </w:r>
      <w:r>
        <w:rPr>
          <w:b/>
        </w:rPr>
        <w:t>11</w:t>
      </w:r>
      <w:r>
        <w:rPr/>
        <w:t xml:space="preserve"> {{field-on:bible}} </w:t>
        <w:br/>
        <w:t xml:space="preserve">Meine Augen sind in Tränen aufgelöst </w:t>
      </w:r>
      <w:r>
        <w:rPr>
          <w:color w:val="808080"/>
        </w:rPr>
        <w:t>(dahingeschwunden, erschöpft)</w:t>
      </w:r>
      <w:r>
        <w:rPr/>
        <w:t xml:space="preserve">,mein Inneres </w:t>
      </w:r>
      <w:r>
        <w:rPr>
          <w:color w:val="808080"/>
        </w:rPr>
        <w:t>(meine Eingeweide)</w:t>
      </w:r>
      <w:r>
        <w:rPr/>
        <w:t xml:space="preserve"> ist aufgewühlt </w:t>
      </w:r>
      <w:r>
        <w:rPr>
          <w:color w:val="808080"/>
        </w:rPr>
        <w:t>(gärt, schäumt)</w:t>
      </w:r>
      <w:r>
        <w:rPr/>
        <w:t>.</w:t>
        <w:br/>
        <w:t>Ausgeschüttet auf die Erde ist meine Leber</w:t>
      </w:r>
      <w:r>
        <w:rPr>
          <w:rStyle w:val="Funotenanker"/>
        </w:rPr>
        <w:footnoteReference w:customMarkFollows="1" w:id="2784"/>
        <w:t>u</w:t>
      </w:r>
      <w:r>
        <w:rPr/>
        <w:t xml:space="preserve"> </w:t>
      </w:r>
      <w:r>
        <w:rPr>
          <w:color w:val="808080"/>
        </w:rPr>
        <w:t>(mein Leben)</w:t>
      </w:r>
      <w:r>
        <w:rPr/>
        <w:t>,wegen des Untergangs der Tochter meines Volkes,</w:t>
        <w:br/>
        <w:t>als Kind und Säugling verrecktenin den Plätzen der Stadt.</w:t>
        <w:br/>
        <w:br/>
        <w:t xml:space="preserve">{{field-off:bible}} </w:t>
        <w:br/>
        <w:t>[[@BibleTOBIBLE:La 2:12]]</w:t>
      </w:r>
      <w:r>
        <w:rPr>
          <w:b/>
        </w:rPr>
        <w:t>12</w:t>
      </w:r>
      <w:r>
        <w:rPr/>
        <w:t xml:space="preserve"> {{field-on:bible}} </w:t>
        <w:br/>
        <w:t>Sie fragten ihre Mütter:„Wo sind Getreide und Wein?“,</w:t>
        <w:br/>
        <w:t>als sie verreckten wie durchbohrtin den Plätzen der Stadt,</w:t>
        <w:br/>
        <w:t xml:space="preserve">als sich ihr Leben </w:t>
      </w:r>
      <w:r>
        <w:rPr>
          <w:color w:val="808080"/>
        </w:rPr>
        <w:t>(ihre Seele)</w:t>
      </w:r>
      <w:r>
        <w:rPr/>
        <w:t xml:space="preserve"> ergossin den Schoß ihrer Mütter.</w:t>
        <w:br/>
        <w:br/>
        <w:t xml:space="preserve">{{field-off:bible}} </w:t>
        <w:br/>
        <w:t>[[@BibleTOBIBLE:La 2:13]]</w:t>
      </w:r>
      <w:r>
        <w:rPr>
          <w:b/>
        </w:rPr>
        <w:t>13</w:t>
      </w:r>
      <w:r>
        <w:rPr/>
        <w:t xml:space="preserve"> {{field-on:bible}} </w:t>
        <w:br/>
        <w:t xml:space="preserve">Was soll ich dir </w:t>
      </w:r>
      <w:r>
        <w:rPr>
          <w:color w:val="808080"/>
        </w:rPr>
        <w:t>(als Trost)</w:t>
      </w:r>
      <w:r>
        <w:rPr/>
        <w:t xml:space="preserve"> bezeugen,was mit dir</w:t>
      </w:r>
      <w:r>
        <w:rPr>
          <w:rStyle w:val="Funotenanker"/>
        </w:rPr>
        <w:footnoteReference w:customMarkFollows="1" w:id="2785"/>
        <w:t>v</w:t>
      </w:r>
      <w:r>
        <w:rPr/>
        <w:t xml:space="preserve"> vergleichen, Tochter Jerusalem?</w:t>
        <w:br/>
        <w:t>Was kann ich dir gleichstellenum dich zu trösten</w:t>
      </w:r>
      <w:r>
        <w:rPr>
          <w:rStyle w:val="Funotenanker"/>
        </w:rPr>
        <w:footnoteReference w:customMarkFollows="1" w:id="2786"/>
        <w:t>w</w:t>
      </w:r>
      <w:r>
        <w:rPr/>
        <w:t>, Jungfrau, Tochter Zion?</w:t>
        <w:br/>
        <w:t xml:space="preserve">Denn groß </w:t>
      </w:r>
      <w:r>
        <w:rPr>
          <w:color w:val="808080"/>
        </w:rPr>
        <w:t>(endlos)</w:t>
      </w:r>
      <w:r>
        <w:rPr/>
        <w:t xml:space="preserve"> wie das Meer </w:t>
      </w:r>
      <w:r>
        <w:rPr>
          <w:b/>
          <w:color w:val="808080"/>
        </w:rPr>
        <w:t>[</w:t>
      </w:r>
      <w:r>
        <w:rPr/>
        <w:t>ist</w:t>
      </w:r>
      <w:r>
        <w:rPr>
          <w:b/>
          <w:color w:val="808080"/>
        </w:rPr>
        <w:t>]</w:t>
      </w:r>
      <w:r>
        <w:rPr/>
        <w:t xml:space="preserve"> dein Untergang </w:t>
      </w:r>
      <w:r>
        <w:rPr>
          <w:color w:val="808080"/>
        </w:rPr>
        <w:t>(Zusammenbruch)</w:t>
      </w:r>
      <w:r>
        <w:rPr/>
        <w:t>:Wer wird dich heilen?</w:t>
        <w:br/>
        <w:br/>
        <w:t xml:space="preserve">{{field-off:bible}} </w:t>
        <w:br/>
        <w:t>[[@BibleTOBIBLE:La 2:14]]</w:t>
      </w:r>
      <w:r>
        <w:rPr>
          <w:b/>
        </w:rPr>
        <w:t>14</w:t>
      </w:r>
      <w:r>
        <w:rPr/>
        <w:t xml:space="preserve"> {{field-on:bible}} </w:t>
        <w:br/>
        <w:t xml:space="preserve">Deine </w:t>
      </w:r>
      <w:r>
        <w:rPr>
          <w:color w:val="808080"/>
        </w:rPr>
        <w:t>(Heils-)</w:t>
      </w:r>
      <w:r>
        <w:rPr/>
        <w:t xml:space="preserve">Propheten hatten Visionen für dich:Lüge </w:t>
      </w:r>
      <w:r>
        <w:rPr>
          <w:color w:val="808080"/>
        </w:rPr>
        <w:t>(Leeres)</w:t>
      </w:r>
      <w:r>
        <w:rPr/>
        <w:t xml:space="preserve"> und Tünche</w:t>
      </w:r>
      <w:r>
        <w:rPr>
          <w:rStyle w:val="Funotenanker"/>
        </w:rPr>
        <w:footnoteReference w:customMarkFollows="1" w:id="2787"/>
        <w:t>x</w:t>
      </w:r>
      <w:r>
        <w:rPr/>
        <w:t>,</w:t>
        <w:br/>
        <w:t>aber deckten nicht auf deine Schuld</w:t>
      </w:r>
      <w:r>
        <w:rPr>
          <w:rStyle w:val="Funotenanker"/>
        </w:rPr>
        <w:footnoteReference w:customMarkFollows="1" w:id="2788"/>
        <w:t>y</w:t>
      </w:r>
      <w:r>
        <w:rPr/>
        <w:t xml:space="preserve"> </w:t>
      </w:r>
      <w:r>
        <w:rPr>
          <w:color w:val="808080"/>
        </w:rPr>
        <w:t>(Missetat; Strafe)</w:t>
      </w:r>
      <w:r>
        <w:rPr/>
        <w:t xml:space="preserve">,um abzuwenden dein Schicksal </w:t>
      </w:r>
      <w:r>
        <w:rPr>
          <w:color w:val="808080"/>
        </w:rPr>
        <w:t>(deine Gefangenschaft)</w:t>
      </w:r>
      <w:r>
        <w:rPr/>
        <w:t>.</w:t>
        <w:br/>
        <w:t>Sie hatten</w:t>
      </w:r>
      <w:r>
        <w:rPr>
          <w:rStyle w:val="Funotenanker"/>
        </w:rPr>
        <w:footnoteReference w:customMarkFollows="1" w:id="2789"/>
        <w:t>z</w:t>
      </w:r>
      <w:r>
        <w:rPr/>
        <w:t xml:space="preserve"> für dich Orakel </w:t>
      </w:r>
      <w:r>
        <w:rPr>
          <w:color w:val="808080"/>
        </w:rPr>
        <w:t>(Sprüche)</w:t>
      </w:r>
      <w:r>
        <w:rPr/>
        <w:t xml:space="preserve">aus Lüge </w:t>
      </w:r>
      <w:r>
        <w:rPr>
          <w:color w:val="808080"/>
        </w:rPr>
        <w:t>(Leerem)</w:t>
      </w:r>
      <w:r>
        <w:rPr/>
        <w:t xml:space="preserve"> und Verführung.</w:t>
      </w:r>
      <w:r>
        <w:rPr>
          <w:rStyle w:val="Funotenanker"/>
        </w:rPr>
        <w:footnoteReference w:customMarkFollows="1" w:id="2790"/>
        <w:t>aa</w:t>
      </w:r>
      <w:r>
        <w:rPr/>
        <w:t xml:space="preserve"> </w:t>
        <w:br/>
        <w:br/>
        <w:t xml:space="preserve">{{field-off:bible}} </w:t>
        <w:br/>
        <w:t>[[@BibleTOBIBLE:La 2:15]]</w:t>
      </w:r>
      <w:r>
        <w:rPr>
          <w:b/>
        </w:rPr>
        <w:t>15</w:t>
      </w:r>
      <w:r>
        <w:rPr/>
        <w:t xml:space="preserve"> {{field-on:bible}} </w:t>
        <w:br/>
        <w:t>Es klatschen</w:t>
      </w:r>
      <w:r>
        <w:rPr>
          <w:rStyle w:val="Funotenanker"/>
        </w:rPr>
        <w:footnoteReference w:customMarkFollows="1" w:id="2791"/>
        <w:t>ab</w:t>
      </w:r>
      <w:r>
        <w:rPr/>
        <w:t xml:space="preserve"> über dich </w:t>
      </w:r>
      <w:r>
        <w:rPr>
          <w:b/>
          <w:color w:val="808080"/>
        </w:rPr>
        <w:t>[</w:t>
      </w:r>
      <w:r>
        <w:rPr/>
        <w:t>in</w:t>
      </w:r>
      <w:r>
        <w:rPr>
          <w:b/>
          <w:color w:val="808080"/>
        </w:rPr>
        <w:t>]</w:t>
      </w:r>
      <w:r>
        <w:rPr/>
        <w:t xml:space="preserve"> die Händealle die des Weges ziehen,</w:t>
        <w:br/>
        <w:t xml:space="preserve">sie zischen </w:t>
      </w:r>
      <w:r>
        <w:rPr>
          <w:color w:val="808080"/>
        </w:rPr>
        <w:t>(pfeifen)</w:t>
      </w:r>
      <w:r>
        <w:rPr/>
        <w:t xml:space="preserve"> und schütteln ihren Kopfüber die Tochter Jerusalem:</w:t>
        <w:br/>
        <w:t xml:space="preserve">Ist dies die Stadt, die sie nennen </w:t>
      </w:r>
      <w:r>
        <w:rPr>
          <w:color w:val="808080"/>
        </w:rPr>
        <w:t>(man nennt)</w:t>
      </w:r>
      <w:r>
        <w:rPr/>
        <w:t xml:space="preserve"> „vollkommene Schönheit“,„Freude der ganzen Erde </w:t>
      </w:r>
      <w:r>
        <w:rPr>
          <w:color w:val="808080"/>
        </w:rPr>
        <w:t>(für die ganze Erde)</w:t>
      </w:r>
      <w:r>
        <w:rPr/>
        <w:t>“?</w:t>
        <w:br/>
        <w:br/>
        <w:t xml:space="preserve">{{field-off:bible}} </w:t>
        <w:br/>
        <w:t>[[@BibleTOBIBLE:La 2:16]]</w:t>
      </w:r>
      <w:r>
        <w:rPr>
          <w:b/>
        </w:rPr>
        <w:t>16</w:t>
      </w:r>
      <w:r>
        <w:rPr/>
        <w:t xml:space="preserve"> {{field-on:bible}} </w:t>
        <w:br/>
        <w:t xml:space="preserve">Sie reißen ihr Maul </w:t>
      </w:r>
      <w:r>
        <w:rPr>
          <w:color w:val="808080"/>
        </w:rPr>
        <w:t>(ihren Mund)</w:t>
      </w:r>
      <w:r>
        <w:rPr/>
        <w:t xml:space="preserve"> auf über dich,alle deine</w:t>
      </w:r>
      <w:r>
        <w:rPr>
          <w:rStyle w:val="Funotenanker"/>
        </w:rPr>
        <w:footnoteReference w:customMarkFollows="1" w:id="2792"/>
        <w:t>ac</w:t>
      </w:r>
      <w:r>
        <w:rPr/>
        <w:t xml:space="preserve"> Feinde,</w:t>
        <w:br/>
        <w:t xml:space="preserve">sie zischen </w:t>
      </w:r>
      <w:r>
        <w:rPr>
          <w:color w:val="808080"/>
        </w:rPr>
        <w:t>(pfeifen)</w:t>
      </w:r>
      <w:r>
        <w:rPr/>
        <w:t xml:space="preserve"> und knirschen mit </w:t>
      </w:r>
      <w:r>
        <w:rPr>
          <w:b/>
          <w:color w:val="808080"/>
        </w:rPr>
        <w:t>[</w:t>
      </w:r>
      <w:r>
        <w:rPr/>
        <w:t>ihren</w:t>
      </w:r>
      <w:r>
        <w:rPr>
          <w:b/>
          <w:color w:val="808080"/>
        </w:rPr>
        <w:t>]</w:t>
      </w:r>
      <w:r>
        <w:rPr/>
        <w:t xml:space="preserve"> Zähnen,sie sagen: Wir haben </w:t>
      </w:r>
      <w:r>
        <w:rPr>
          <w:b/>
          <w:color w:val="808080"/>
        </w:rPr>
        <w:t>[</w:t>
      </w:r>
      <w:r>
        <w:rPr/>
        <w:t>sie</w:t>
      </w:r>
      <w:r>
        <w:rPr>
          <w:b/>
          <w:color w:val="808080"/>
        </w:rPr>
        <w:t>]</w:t>
      </w:r>
      <w:r>
        <w:rPr/>
        <w:t xml:space="preserve"> verschlungen;</w:t>
        <w:br/>
        <w:t xml:space="preserve">ja, dies ist der Tag, auf den wir hofften,wir haben </w:t>
      </w:r>
      <w:r>
        <w:rPr>
          <w:b/>
          <w:color w:val="808080"/>
        </w:rPr>
        <w:t>[</w:t>
      </w:r>
      <w:r>
        <w:rPr/>
        <w:t>es</w:t>
      </w:r>
      <w:r>
        <w:rPr>
          <w:b/>
          <w:color w:val="808080"/>
        </w:rPr>
        <w:t>]</w:t>
      </w:r>
      <w:r>
        <w:rPr/>
        <w:t xml:space="preserve"> erreicht</w:t>
      </w:r>
      <w:r>
        <w:rPr>
          <w:rStyle w:val="Funotenanker"/>
        </w:rPr>
        <w:footnoteReference w:customMarkFollows="1" w:id="2793"/>
        <w:t>ad</w:t>
      </w:r>
      <w:r>
        <w:rPr/>
        <w:t>, gesehen.</w:t>
        <w:br/>
        <w:br/>
        <w:t xml:space="preserve">{{field-off:bible}} </w:t>
        <w:br/>
        <w:t>[[@BibleTOBIBLE:La 2:17]]</w:t>
      </w:r>
      <w:r>
        <w:rPr>
          <w:b/>
        </w:rPr>
        <w:t>17</w:t>
      </w:r>
      <w:r>
        <w:rPr/>
        <w:t xml:space="preserve"> {{field-on:bible}} </w:t>
        <w:br/>
        <w:t xml:space="preserve">Getan hat </w:t>
      </w:r>
      <w:r>
        <w:rPr>
          <w:smallCaps/>
          <w:color w:val="FF0000"/>
        </w:rPr>
        <w:t>JHWH</w:t>
      </w:r>
      <w:r>
        <w:rPr/>
        <w:t>, was er ersann, erfüllt hat er sein Wort,</w:t>
        <w:br/>
        <w:t>das er angeordnet hat seit den Tagen der Urzeit:</w:t>
      </w:r>
      <w:r>
        <w:rPr>
          <w:rStyle w:val="Funotenanker"/>
        </w:rPr>
        <w:footnoteReference w:customMarkFollows="1" w:id="2794"/>
        <w:t>ae</w:t>
      </w:r>
      <w:r>
        <w:rPr/>
        <w:t xml:space="preserve"> er riss ein und hatte kein Mitleid.</w:t>
        <w:br/>
        <w:t>Und er ließ sich freuen über dich den Feind, hat erhöht das Horn</w:t>
      </w:r>
      <w:r>
        <w:rPr>
          <w:rStyle w:val="Funotenanker"/>
        </w:rPr>
        <w:footnoteReference w:customMarkFollows="1" w:id="2795"/>
        <w:t>af</w:t>
      </w:r>
      <w:r>
        <w:rPr/>
        <w:t xml:space="preserve"> deiner Bedränger.</w:t>
        <w:br/>
        <w:br/>
        <w:t xml:space="preserve">{{field-off:bible}} </w:t>
        <w:br/>
        <w:t>[[@BibleTOBIBLE:La 2:18]]</w:t>
      </w:r>
      <w:r>
        <w:rPr>
          <w:b/>
        </w:rPr>
        <w:t>18</w:t>
      </w:r>
      <w:r>
        <w:rPr/>
        <w:t xml:space="preserve"> {{field-on:bible}} </w:t>
        <w:br/>
        <w:t>Ihr</w:t>
      </w:r>
      <w:r>
        <w:rPr>
          <w:rStyle w:val="Funotenanker"/>
        </w:rPr>
        <w:footnoteReference w:customMarkFollows="1" w:id="2796"/>
        <w:t>ag</w:t>
      </w:r>
      <w:r>
        <w:rPr/>
        <w:t xml:space="preserve"> Herz schreit</w:t>
      </w:r>
      <w:r>
        <w:rPr>
          <w:rStyle w:val="Funotenanker"/>
        </w:rPr>
        <w:footnoteReference w:customMarkFollows="1" w:id="2797"/>
        <w:t>ah</w:t>
      </w:r>
      <w:r>
        <w:rPr/>
        <w:t xml:space="preserve"> zum Herrn.</w:t>
      </w:r>
      <w:r>
        <w:rPr>
          <w:b/>
          <w:color w:val="808080"/>
        </w:rPr>
        <w:t>[</w:t>
      </w:r>
      <w:r>
        <w:rPr/>
        <w:t>Du</w:t>
      </w:r>
      <w:r>
        <w:rPr>
          <w:b/>
          <w:color w:val="808080"/>
        </w:rPr>
        <w:t>]</w:t>
      </w:r>
      <w:r>
        <w:rPr/>
        <w:t xml:space="preserve"> Stadtmauer der Tochter Zion,</w:t>
      </w:r>
      <w:r>
        <w:rPr>
          <w:rStyle w:val="Funotenanker"/>
        </w:rPr>
        <w:footnoteReference w:customMarkFollows="1" w:id="2798"/>
        <w:t>ai</w:t>
      </w:r>
      <w:r>
        <w:rPr/>
        <w:t xml:space="preserve"> </w:t>
        <w:br/>
        <w:t>lass herabfließen wie einen Bach die TränenTag und Nacht!</w:t>
        <w:br/>
        <w:t xml:space="preserve">Gönne </w:t>
      </w:r>
      <w:r>
        <w:rPr>
          <w:color w:val="808080"/>
        </w:rPr>
        <w:t>(gib)</w:t>
      </w:r>
      <w:r>
        <w:rPr/>
        <w:t xml:space="preserve"> dir keine Ruhe </w:t>
      </w:r>
      <w:r>
        <w:rPr>
          <w:color w:val="808080"/>
        </w:rPr>
        <w:t>(Aufhören)</w:t>
      </w:r>
      <w:r>
        <w:rPr/>
        <w:t xml:space="preserve">,nicht versiege </w:t>
      </w:r>
      <w:r>
        <w:rPr>
          <w:color w:val="808080"/>
        </w:rPr>
        <w:t>(höre auf)</w:t>
      </w:r>
      <w:r>
        <w:rPr/>
        <w:t xml:space="preserve"> dein Augapfel</w:t>
      </w:r>
      <w:r>
        <w:rPr>
          <w:rStyle w:val="Funotenanker"/>
        </w:rPr>
        <w:footnoteReference w:customMarkFollows="1" w:id="2799"/>
        <w:t>aj</w:t>
      </w:r>
      <w:r>
        <w:rPr/>
        <w:t>!</w:t>
        <w:br/>
        <w:br/>
        <w:t xml:space="preserve">{{field-off:bible}} </w:t>
        <w:br/>
        <w:t>[[@BibleTOBIBLE:La 2:19]]</w:t>
      </w:r>
      <w:r>
        <w:rPr>
          <w:b/>
        </w:rPr>
        <w:t>19</w:t>
      </w:r>
      <w:r>
        <w:rPr/>
        <w:t xml:space="preserve"> {{field-on:bible}} </w:t>
        <w:br/>
        <w:t>Auf, klage in der Nachtzu Beginn der Nachtwachen!</w:t>
        <w:br/>
        <w:t>Gieße dein Herz aus wie Wasservor dem Angesicht des Herrn!</w:t>
        <w:br/>
        <w:t>Erhebe</w:t>
      </w:r>
      <w:r>
        <w:rPr>
          <w:rStyle w:val="Funotenanker"/>
        </w:rPr>
        <w:footnoteReference w:customMarkFollows="1" w:id="2800"/>
        <w:t>ak</w:t>
      </w:r>
      <w:r>
        <w:rPr/>
        <w:t xml:space="preserve"> zu ihm deine Händefür das Leben deiner Kinder,</w:t>
        <w:br/>
        <w:t>die vor Hunger schmachtenan jeder Straßenecke!</w:t>
      </w:r>
      <w:r>
        <w:rPr>
          <w:rStyle w:val="Funotenanker"/>
        </w:rPr>
        <w:footnoteReference w:customMarkFollows="1" w:id="2801"/>
        <w:t>al</w:t>
      </w:r>
      <w:r>
        <w:rPr/>
        <w:t xml:space="preserve"> </w:t>
        <w:br/>
        <w:br/>
        <w:t xml:space="preserve">{{field-off:bible}} </w:t>
        <w:br/>
        <w:t>[[@BibleTOBIBLE:La 2:20]]</w:t>
      </w:r>
      <w:r>
        <w:rPr>
          <w:b/>
        </w:rPr>
        <w:t>20</w:t>
      </w:r>
      <w:r>
        <w:rPr/>
        <w:t xml:space="preserve"> {{field-on:bible}} </w:t>
        <w:br/>
        <w:t xml:space="preserve">Sieh, </w:t>
      </w:r>
      <w:r>
        <w:rPr>
          <w:smallCaps/>
          <w:color w:val="FF0000"/>
        </w:rPr>
        <w:t>JHWH</w:t>
      </w:r>
      <w:r>
        <w:rPr/>
        <w:t>, und schau doch,wem du solches angetan hast!</w:t>
        <w:br/>
        <w:t>Sollen Frauen ihre Leibesfrucht essen,</w:t>
      </w:r>
      <w:r>
        <w:rPr>
          <w:b/>
          <w:color w:val="808080"/>
        </w:rPr>
        <w:t>[</w:t>
      </w:r>
      <w:r>
        <w:rPr/>
        <w:t>ihre</w:t>
      </w:r>
      <w:r>
        <w:rPr>
          <w:b/>
          <w:color w:val="808080"/>
        </w:rPr>
        <w:t>]</w:t>
      </w:r>
      <w:r>
        <w:rPr/>
        <w:t xml:space="preserve"> umsorgten</w:t>
      </w:r>
      <w:r>
        <w:rPr>
          <w:rStyle w:val="Funotenanker"/>
        </w:rPr>
        <w:footnoteReference w:customMarkFollows="1" w:id="2802"/>
        <w:t>am</w:t>
      </w:r>
      <w:r>
        <w:rPr/>
        <w:t xml:space="preserve"> Kinder?</w:t>
        <w:br/>
        <w:t>Sollen im Heiligtum getötet werdenPriester und Prophet?</w:t>
        <w:br/>
        <w:br/>
        <w:t xml:space="preserve">{{field-off:bible}} </w:t>
        <w:br/>
        <w:t>[[@BibleTOBIBLE:La 2:21]]</w:t>
      </w:r>
      <w:r>
        <w:rPr>
          <w:b/>
        </w:rPr>
        <w:t>21</w:t>
      </w:r>
      <w:r>
        <w:rPr/>
        <w:t xml:space="preserve"> {{field-on:bible}} </w:t>
        <w:br/>
        <w:t>Auf der Erde in den Straßen liegenKind und Greis;</w:t>
        <w:br/>
        <w:t>meine jungen Frauen und Männer</w:t>
      </w:r>
      <w:r>
        <w:rPr>
          <w:rStyle w:val="Funotenanker"/>
        </w:rPr>
        <w:footnoteReference w:customMarkFollows="1" w:id="2803"/>
        <w:t>an</w:t>
      </w:r>
      <w:r>
        <w:rPr/>
        <w:t>sind gefallen durch das Schwert,</w:t>
        <w:br/>
        <w:t>du hast getötet am Tag deines Zorns,du hast abgeschlachtet, nicht geschont.</w:t>
        <w:br/>
        <w:br/>
        <w:t xml:space="preserve">{{field-off:bible}} </w:t>
        <w:br/>
        <w:t>[[@BibleTOBIBLE:La 2:22]]</w:t>
      </w:r>
      <w:r>
        <w:rPr>
          <w:b/>
        </w:rPr>
        <w:t>22</w:t>
      </w:r>
      <w:r>
        <w:rPr/>
        <w:t xml:space="preserve"> {{field-on:bible}} </w:t>
        <w:br/>
        <w:t>Du riefst aus wie einen Tag der Festversammlungmeine Fremdlingschaft ringsumher,</w:t>
      </w:r>
      <w:r>
        <w:rPr>
          <w:rStyle w:val="Funotenanker"/>
        </w:rPr>
        <w:footnoteReference w:customMarkFollows="1" w:id="2804"/>
        <w:t>ao</w:t>
      </w:r>
      <w:r>
        <w:rPr/>
        <w:t xml:space="preserve"> </w:t>
        <w:br/>
        <w:t xml:space="preserve">und es gab am Tag des Zorns </w:t>
      </w:r>
      <w:r>
        <w:rPr>
          <w:smallCaps/>
          <w:color w:val="FF0000"/>
        </w:rPr>
        <w:t>JHWH</w:t>
      </w:r>
      <w:r>
        <w:rPr/>
        <w:t>s keinenEntronnenen und Entkommenen;</w:t>
        <w:br/>
        <w:t xml:space="preserve">die ich umsorgt und großgezogen habe, mein Feind hat sie vertilgt. </w:t>
        <w:br/>
        <w:t xml:space="preserve">{{field-off:bible}} </w:t>
      </w:r>
    </w:p>
    <w:p>
      <w:pPr>
        <w:pStyle w:val="Berschrift3"/>
        <w:rPr/>
      </w:pPr>
      <w:r>
        <w:rPr/>
        <w:t>[[@BibleTOBIBLE:La 3]]Kapitel 3</w:t>
      </w:r>
    </w:p>
    <w:p>
      <w:pPr>
        <w:pStyle w:val="Textkrper"/>
        <w:rPr/>
      </w:pPr>
      <w:r>
        <w:rPr/>
        <w:br/>
        <w:t>[[@BibleTOBIBLE:La 3:1]]</w:t>
      </w:r>
      <w:r>
        <w:rPr>
          <w:b/>
        </w:rPr>
        <w:t>1</w:t>
      </w:r>
      <w:r>
        <w:rPr/>
        <w:t xml:space="preserve"> {{field-on:bible}} </w:t>
        <w:br/>
      </w:r>
      <w:r>
        <w:rPr>
          <w:rStyle w:val="Funotenanker"/>
        </w:rPr>
        <w:footnoteReference w:customMarkFollows="1" w:id="2805"/>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806"/>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807"/>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808"/>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809"/>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810"/>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811"/>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812"/>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813"/>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814"/>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815"/>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816"/>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817"/>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818"/>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819"/>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820"/>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821"/>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822"/>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2:4]]</w:t>
      </w:r>
      <w:r>
        <w:rPr>
          <w:b/>
        </w:rPr>
        <w:t>4</w:t>
      </w:r>
      <w:r>
        <w:rPr/>
        <w:t xml:space="preserve"> {{field-on:bible}} </w:t>
      </w:r>
      <w:r>
        <w:rPr>
          <w:rStyle w:val="Funotenanker"/>
        </w:rPr>
        <w:footnoteReference w:customMarkFollows="1" w:id="2823"/>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824"/>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825"/>
        <w:t>b</w:t>
      </w:r>
      <w:r>
        <w:rPr/>
        <w:t xml:space="preserve"> „Ewig lebe der König!</w:t>
      </w:r>
      <w:r>
        <w:rPr>
          <w:rStyle w:val="Funotenanker"/>
        </w:rPr>
        <w:footnoteReference w:customMarkFollows="1" w:id="2826"/>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827"/>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828"/>
        <w:t>e</w:t>
      </w:r>
      <w:r>
        <w:rPr/>
        <w:t xml:space="preserve"> und eure Häuser in Müllhaufen </w:t>
      </w:r>
      <w:r>
        <w:rPr>
          <w:color w:val="808080"/>
        </w:rPr>
        <w:t>(Latrinen; Trümmerhaufen)</w:t>
      </w:r>
      <w:r>
        <w:rPr/>
        <w:t xml:space="preserve"> </w:t>
      </w:r>
      <w:r>
        <w:rPr>
          <w:rStyle w:val="Funotenanker"/>
        </w:rPr>
        <w:footnoteReference w:customMarkFollows="1" w:id="2829"/>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830"/>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831"/>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832"/>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833"/>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834"/>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835"/>
        <w:t>l</w:t>
      </w:r>
      <w:r>
        <w:rPr/>
        <w:t xml:space="preserve">, der erklären könnte, was der König verlangt </w:t>
      </w:r>
      <w:r>
        <w:rPr>
          <w:color w:val="808080"/>
        </w:rPr>
        <w:t>(sagt)</w:t>
      </w:r>
      <w:r>
        <w:rPr/>
        <w:t>!</w:t>
      </w:r>
      <w:r>
        <w:rPr>
          <w:rStyle w:val="Funotenanker"/>
        </w:rPr>
        <w:footnoteReference w:customMarkFollows="1" w:id="2836"/>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837"/>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838"/>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839"/>
        <w:t>p</w:t>
      </w:r>
      <w:r>
        <w:rPr/>
        <w:t>, deren Wohnung nicht beim Fleisch ist!“</w:t>
      </w:r>
      <w:r>
        <w:rPr>
          <w:rStyle w:val="Funotenanker"/>
        </w:rPr>
        <w:footnoteReference w:customMarkFollows="1" w:id="2840"/>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841"/>
        <w:t>r</w:t>
      </w:r>
      <w:r>
        <w:rPr/>
        <w:t xml:space="preserve"> und gebot, alle Weisen</w:t>
      </w:r>
      <w:r>
        <w:rPr>
          <w:rStyle w:val="Funotenanker"/>
        </w:rPr>
        <w:footnoteReference w:customMarkFollows="1" w:id="2842"/>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843"/>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844"/>
        <w:t>u</w:t>
      </w:r>
      <w:r>
        <w:rPr/>
        <w:t xml:space="preserve"> an Arioch, den Obersten der Leibgarde </w:t>
      </w:r>
      <w:r>
        <w:rPr>
          <w:color w:val="808080"/>
        </w:rPr>
        <w:t>(Scharfrichter)</w:t>
      </w:r>
      <w:r>
        <w:rPr/>
        <w:t xml:space="preserve"> </w:t>
      </w:r>
      <w:r>
        <w:rPr>
          <w:rStyle w:val="Funotenanker"/>
        </w:rPr>
        <w:footnoteReference w:customMarkFollows="1" w:id="2845"/>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846"/>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847"/>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848"/>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849"/>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850"/>
        <w:t>aa</w:t>
      </w:r>
      <w:r>
        <w:rPr/>
        <w:t xml:space="preserve"> gewähre,</w:t>
      </w:r>
      <w:r>
        <w:rPr>
          <w:rStyle w:val="Funotenanker"/>
        </w:rPr>
        <w:footnoteReference w:customMarkFollows="1" w:id="2851"/>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852"/>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853"/>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854"/>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855"/>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856"/>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2857"/>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2858"/>
        <w:t>c</w:t>
      </w:r>
      <w:r>
        <w:rPr/>
        <w:t xml:space="preserve"> sagte zu dem Mann, bekleidet in </w:t>
      </w:r>
      <w:r>
        <w:rPr>
          <w:strike/>
          <w:color w:val="808080"/>
        </w:rPr>
        <w:t>{den}</w:t>
      </w:r>
      <w:r>
        <w:rPr/>
        <w:t xml:space="preserve"> Leinen </w:t>
      </w:r>
      <w:r>
        <w:rPr>
          <w:rStyle w:val="Funotenanker"/>
        </w:rPr>
        <w:footnoteReference w:customMarkFollows="1" w:id="2859"/>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2860"/>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2861"/>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2862"/>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2863"/>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13:5]]</w:t>
      </w:r>
      <w:r>
        <w:rPr>
          <w:b/>
        </w:rPr>
        <w:t>5</w:t>
      </w:r>
      <w:r>
        <w:rPr/>
        <w:t xml:space="preserve"> {{field-on:bible}}Ich habe dich gekannt </w:t>
      </w:r>
      <w:r>
        <w:rPr>
          <w:color w:val="808080"/>
        </w:rPr>
        <w:t>(erkannt, mich um dich gekümmert)</w:t>
      </w:r>
      <w:r>
        <w:rPr/>
        <w:t xml:space="preserve"> in der Wüste, im ausgedorrten</w:t>
      </w:r>
      <w:r>
        <w:rPr>
          <w:rStyle w:val="Funotenanker"/>
        </w:rPr>
        <w:footnoteReference w:customMarkFollows="1" w:id="2864"/>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2865"/>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2866"/>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2867"/>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2868"/>
        <w:t>a</w:t>
      </w:r>
      <w:r>
        <w:rPr/>
        <w:t xml:space="preserve">.{{field-off:bible}} </w:t>
        <w:br/>
        <w:t>[[@BibleTOBIBLE:Am 2:3]]</w:t>
      </w:r>
      <w:r>
        <w:rPr>
          <w:b/>
        </w:rPr>
        <w:t>3</w:t>
      </w:r>
      <w:r>
        <w:rPr/>
        <w:t xml:space="preserve"> {{field-on:bible}}Und ich werde die Richter</w:t>
      </w:r>
      <w:r>
        <w:rPr>
          <w:rStyle w:val="Funotenanker"/>
        </w:rPr>
        <w:footnoteReference w:customMarkFollows="1" w:id="2869"/>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2870"/>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2871"/>
        <w:t>d</w:t>
      </w:r>
      <w:r>
        <w:rPr/>
        <w:t xml:space="preserve"> und von euren jungen Männern Nasiräer </w:t>
      </w:r>
      <w:r>
        <w:rPr>
          <w:rStyle w:val="Funotenanker"/>
        </w:rPr>
        <w:footnoteReference w:customMarkFollows="1" w:id="2872"/>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2873"/>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2874"/>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2875"/>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2876"/>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2877"/>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4:4]]</w:t>
      </w:r>
      <w:r>
        <w:rPr>
          <w:b/>
        </w:rPr>
        <w:t>4</w:t>
      </w:r>
      <w:r>
        <w:rPr/>
        <w:t xml:space="preserve"> {{field-on:bible}}Kommt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{{field-on:bible}}Hört dieses Wort, das ich anhebe</w:t>
      </w:r>
      <w:r>
        <w:rPr>
          <w:rStyle w:val="Funotenanker"/>
        </w:rPr>
        <w:footnoteReference w:customMarkFollows="1" w:id="2878"/>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2879"/>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2880"/>
        <w:t>c</w:t>
      </w:r>
      <w:r>
        <w:rPr/>
        <w:t>, wird hundert übrigbehalten. Und die auszieht zu hundert</w:t>
      </w:r>
      <w:r>
        <w:rPr>
          <w:rStyle w:val="Funotenanker"/>
        </w:rPr>
        <w:footnoteReference w:customMarkFollows="1" w:id="2881"/>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2882"/>
        <w:t>e</w:t>
      </w:r>
      <w:r>
        <w:rPr/>
        <w:t xml:space="preserve"> auf und geht nicht nach Gilgal</w:t>
      </w:r>
      <w:r>
        <w:rPr>
          <w:rStyle w:val="Funotenanker"/>
        </w:rPr>
        <w:footnoteReference w:customMarkFollows="1" w:id="2883"/>
        <w:t>f</w:t>
      </w:r>
      <w:r>
        <w:rPr/>
        <w:t xml:space="preserve"> und geht nicht hinüber nach Beerscheba</w:t>
      </w:r>
      <w:r>
        <w:rPr>
          <w:rStyle w:val="Funotenanker"/>
        </w:rPr>
        <w:footnoteReference w:customMarkFollows="1" w:id="2884"/>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2885"/>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2886"/>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2887"/>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2888"/>
        <w:t>b</w:t>
      </w:r>
      <w:r>
        <w:rPr/>
        <w:t xml:space="preserve"> mit dem Feuer</w:t>
      </w:r>
      <w:r>
        <w:rPr>
          <w:rStyle w:val="Funotenanker"/>
        </w:rPr>
        <w:footnoteReference w:customMarkFollows="1" w:id="2889"/>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2890"/>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2891"/>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2892"/>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2893"/>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2894"/>
        <w:t>h</w:t>
      </w:r>
      <w:r>
        <w:rPr/>
        <w:t>: 'Du sollst nicht weissagen über Israel und du sollst nicht weissagen</w:t>
      </w:r>
      <w:r>
        <w:rPr>
          <w:rStyle w:val="Funotenanker"/>
        </w:rPr>
        <w:footnoteReference w:customMarkFollows="1" w:id="2895"/>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2896"/>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2897"/>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2898"/>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2899"/>
        <w:t>c</w:t>
      </w:r>
      <w:r>
        <w:rPr/>
        <w:t>, dass wir das Korn öffnen um das Efa</w:t>
      </w:r>
      <w:r>
        <w:rPr>
          <w:rStyle w:val="Funotenanker"/>
        </w:rPr>
        <w:footnoteReference w:customMarkFollows="1" w:id="2900"/>
        <w:t>d</w:t>
      </w:r>
      <w:r>
        <w:rPr/>
        <w:t xml:space="preserve"> zu verkleinern und um den Schekel zu vergrößern und eine falsche Waage</w:t>
      </w:r>
      <w:r>
        <w:rPr>
          <w:rStyle w:val="Funotenanker"/>
        </w:rPr>
        <w:footnoteReference w:customMarkFollows="1" w:id="2901"/>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2902"/>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2903"/>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2904"/>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2905"/>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2906"/>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2907"/>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2908"/>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2909"/>
        <w:t>b</w:t>
      </w:r>
      <w:r>
        <w:rPr/>
        <w:t>,</w:t>
      </w:r>
      <w:r>
        <w:rPr>
          <w:position w:val="8"/>
          <w:sz w:val="19"/>
        </w:rPr>
        <w:t>[[ ℘ &gt;&gt; BibleTOBIBLE:Jon 3:2]]</w:t>
      </w:r>
      <w:r>
        <w:rPr/>
        <w:t xml:space="preserve"> weil ihre</w:t>
      </w:r>
      <w:r>
        <w:rPr>
          <w:rStyle w:val="Funotenanker"/>
        </w:rPr>
        <w:footnoteReference w:customMarkFollows="1" w:id="2910"/>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2911"/>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2912"/>
        <w:t>e</w:t>
      </w:r>
      <w:r>
        <w:rPr/>
        <w:t xml:space="preserve"> ein Schiff, das im Begriff war, nach Tarschisch zu fahren</w:t>
      </w:r>
      <w:r>
        <w:rPr>
          <w:rStyle w:val="Funotenanker"/>
        </w:rPr>
        <w:footnoteReference w:customMarkFollows="1" w:id="2913"/>
        <w:t>f</w:t>
      </w:r>
      <w:r>
        <w:rPr/>
        <w:t xml:space="preserve">, </w:t>
      </w:r>
      <w:r>
        <w:rPr>
          <w:strike/>
          <w:color w:val="808080"/>
        </w:rPr>
        <w:t>{und}</w:t>
      </w:r>
      <w:r>
        <w:rPr/>
        <w:t xml:space="preserve"> zahlte sein Fährgeld und bestieg es, um mit ihnen</w:t>
      </w:r>
      <w:r>
        <w:rPr>
          <w:rStyle w:val="Funotenanker"/>
        </w:rPr>
        <w:footnoteReference w:customMarkFollows="1" w:id="2914"/>
        <w:t>g</w:t>
      </w:r>
      <w:r>
        <w:rPr/>
        <w:t xml:space="preserve"> nach Tarschisch zu fahren, weg von </w:t>
      </w:r>
      <w:r>
        <w:rPr>
          <w:smallCaps/>
          <w:color w:val="FF0000"/>
        </w:rPr>
        <w:t>JHWH</w:t>
      </w:r>
      <w:r>
        <w:rPr/>
        <w:t xml:space="preserve"> </w:t>
      </w:r>
      <w:r>
        <w:rPr>
          <w:rStyle w:val="Funotenanker"/>
        </w:rPr>
        <w:footnoteReference w:customMarkFollows="1" w:id="2915"/>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2916"/>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2917"/>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2918"/>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2919"/>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2920"/>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2921"/>
        <w:t>n</w:t>
      </w:r>
      <w:r>
        <w:rPr/>
        <w:t xml:space="preserve"> in seine Nähe</w:t>
      </w:r>
      <w:r>
        <w:rPr>
          <w:rStyle w:val="Funotenanker"/>
        </w:rPr>
        <w:footnoteReference w:customMarkFollows="1" w:id="2922"/>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2923"/>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2924"/>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2925"/>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2926"/>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2927"/>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2928"/>
        <w:t>u</w:t>
      </w:r>
      <w:r>
        <w:rPr/>
        <w:t xml:space="preserve"> und sagten zu ihm: „Warum hast du das getan?“ Denn die Männer wussten, dass er ''vor </w:t>
      </w:r>
      <w:r>
        <w:rPr>
          <w:smallCaps/>
          <w:color w:val="FF0000"/>
        </w:rPr>
        <w:t>JHWH</w:t>
      </w:r>
      <w:r>
        <w:rPr/>
        <w:t>''</w:t>
      </w:r>
      <w:r>
        <w:rPr>
          <w:rStyle w:val="Funotenanker"/>
        </w:rPr>
        <w:footnoteReference w:customMarkFollows="1" w:id="2929"/>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2930"/>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2931"/>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2932"/>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2933"/>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2934"/>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2935"/>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2936"/>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2937"/>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2938"/>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2939"/>
        <w:t>d</w:t>
      </w:r>
      <w:r>
        <w:rPr/>
        <w:t xml:space="preserve"> sagte </w:t>
      </w:r>
      <w:r>
        <w:rPr>
          <w:color w:val="808080"/>
        </w:rPr>
        <w:t>(dachte)</w:t>
      </w:r>
      <w:r>
        <w:rPr/>
        <w:t xml:space="preserve"> </w:t>
      </w:r>
      <w:r>
        <w:rPr>
          <w:rStyle w:val="Funotenanker"/>
        </w:rPr>
        <w:footnoteReference w:customMarkFollows="1" w:id="2940"/>
        <w:t>e</w:t>
      </w:r>
      <w:r>
        <w:rPr/>
        <w:t>:</w:t>
      </w:r>
      <w:r>
        <w:rPr>
          <w:rStyle w:val="Funotenanker"/>
        </w:rPr>
        <w:footnoteReference w:customMarkFollows="1" w:id="2941"/>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2942"/>
        <w:t>g</w:t>
      </w:r>
      <w:r>
        <w:rPr/>
        <w:t>.</w:t>
        <w:br/>
        <w:t xml:space="preserve">Dennoch </w:t>
      </w:r>
      <w:r>
        <w:rPr>
          <w:color w:val="808080"/>
        </w:rPr>
        <w:t>(doch; wie)</w:t>
      </w:r>
      <w:r>
        <w:rPr/>
        <w:t xml:space="preserve"> </w:t>
      </w:r>
      <w:r>
        <w:rPr>
          <w:rStyle w:val="Funotenanker"/>
        </w:rPr>
        <w:footnoteReference w:customMarkFollows="1" w:id="2943"/>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2944"/>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2945"/>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2946"/>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2947"/>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2948"/>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2949"/>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2950"/>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2951"/>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2952"/>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2953"/>
        <w:t>Status</w:t>
      </w:r>
      <w:r>
        <w:rPr/>
        <w:t xml:space="preserve"> Aber Jona geriet in große Bosheit</w:t>
      </w:r>
      <w:r>
        <w:rPr>
          <w:rStyle w:val="Funotenanker"/>
        </w:rPr>
        <w:footnoteReference w:customMarkFollows="1" w:id="2954"/>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2955"/>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2956"/>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1:2]]</w:t>
      </w:r>
      <w:r>
        <w:rPr>
          <w:b/>
        </w:rPr>
        <w:t>2</w:t>
      </w:r>
      <w:r>
        <w:rPr/>
        <w:t xml:space="preserve"> {{field-on:bible}}Hört, Völker ihr alle, merke auf Erde und was sie füllt. Der Herr </w:t>
      </w:r>
      <w:r>
        <w:rPr>
          <w:smallCaps/>
          <w:color w:val="FF0000"/>
        </w:rPr>
        <w:t>JHWH</w:t>
      </w:r>
      <w:r>
        <w:rPr/>
        <w:t xml:space="preserve"> wird</w:t>
      </w:r>
      <w:r>
        <w:rPr>
          <w:rStyle w:val="Funotenanker"/>
        </w:rPr>
        <w:footnoteReference w:customMarkFollows="1" w:id="2957"/>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2958"/>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2959"/>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2960"/>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2961"/>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2962"/>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2963"/>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2964"/>
        <w:t>c</w:t>
      </w:r>
      <w:r>
        <w:rPr/>
        <w:t xml:space="preserve"> gefestigt sein </w:t>
      </w:r>
      <w:r>
        <w:rPr>
          <w:color w:val="808080"/>
        </w:rPr>
        <w:t>(feststehen, festgelegt/eingesetzt sein)</w:t>
      </w:r>
      <w:r>
        <w:rPr/>
        <w:t xml:space="preserve"> </w:t>
      </w:r>
      <w:r>
        <w:rPr>
          <w:rStyle w:val="Funotenanker"/>
        </w:rPr>
        <w:footnoteReference w:customMarkFollows="1" w:id="2965"/>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2966"/>
        <w:t>e</w:t>
      </w:r>
      <w:r>
        <w:rPr/>
        <w:t xml:space="preserve"> können!“</w:t>
      </w:r>
      <w:r>
        <w:rPr>
          <w:rStyle w:val="Funotenanker"/>
        </w:rPr>
        <w:footnoteReference w:customMarkFollows="1" w:id="2967"/>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2968"/>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2969"/>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2970"/>
        <w:t>i</w:t>
      </w:r>
      <w:r>
        <w:rPr/>
        <w:t xml:space="preserve"> sammeln</w:t>
      </w:r>
      <w:r>
        <w:rPr>
          <w:rStyle w:val="Funotenanker"/>
        </w:rPr>
        <w:footnoteReference w:customMarkFollows="1" w:id="2971"/>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2972"/>
        <w:t>k</w:t>
      </w:r>
      <w:r>
        <w:rPr/>
        <w:t xml:space="preserve"> zu einer mächtigen Nation </w:t>
      </w:r>
      <w:r>
        <w:rPr>
          <w:color w:val="808080"/>
        </w:rPr>
        <w:t>(Volk)</w:t>
      </w:r>
      <w:r>
        <w:rPr/>
        <w:t xml:space="preserve"> </w:t>
      </w:r>
      <w:r>
        <w:rPr>
          <w:rStyle w:val="Funotenanker"/>
        </w:rPr>
        <w:footnoteReference w:customMarkFollows="1" w:id="2973"/>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2974"/>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2975"/>
        <w:t>n</w:t>
      </w:r>
      <w:r>
        <w:rPr/>
        <w:t xml:space="preserve">.{{field-off:bible}}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2976"/>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2977"/>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2978"/>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2979"/>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[[@BibleTOBIBLE:Zep]]Zefanja</w:t>
      </w:r>
    </w:p>
    <w:p>
      <w:pPr>
        <w:pStyle w:val="Berschrift3"/>
        <w:rPr/>
      </w:pPr>
      <w:r>
        <w:rPr/>
        <w:t>[[@BibleTOBIBLE:Zep 1]]Kapitel 1</w:t>
      </w:r>
    </w:p>
    <w:p>
      <w:pPr>
        <w:pStyle w:val="Textkrper"/>
        <w:rPr/>
      </w:pPr>
      <w:r>
        <w:rPr/>
        <w:br/>
        <w:t>[[@BibleTOBIBLE:Zep 1:1]]</w:t>
      </w:r>
      <w:r>
        <w:rPr>
          <w:b/>
        </w:rPr>
        <w:t>1</w:t>
      </w:r>
      <w:r>
        <w:rPr/>
        <w:t xml:space="preserve"> {{field-on:bible}} </w:t>
      </w:r>
      <w:r>
        <w:rPr>
          <w:b/>
          <w:color w:val="808080"/>
        </w:rPr>
        <w:t>[</w:t>
      </w:r>
      <w:r>
        <w:rPr/>
        <w:t>Ein</w:t>
      </w:r>
      <w:r>
        <w:rPr>
          <w:b/>
          <w:color w:val="808080"/>
        </w:rPr>
        <w:t>]</w:t>
      </w:r>
      <w:r>
        <w:rPr/>
        <w:t xml:space="preserve"> Wort </w:t>
      </w:r>
      <w:r>
        <w:rPr>
          <w:smallCaps/>
          <w:color w:val="FF0000"/>
        </w:rPr>
        <w:t>JHWH</w:t>
      </w:r>
      <w:r>
        <w:rPr/>
        <w:t xml:space="preserve">, welches ward </w:t>
      </w:r>
      <w:r>
        <w:rPr>
          <w:b/>
          <w:color w:val="808080"/>
        </w:rPr>
        <w:t>[</w:t>
      </w:r>
      <w:r>
        <w:rPr/>
        <w:t>gesprochen</w:t>
      </w:r>
      <w:r>
        <w:rPr>
          <w:b/>
          <w:color w:val="808080"/>
        </w:rPr>
        <w:t>]</w:t>
      </w:r>
      <w:r>
        <w:rPr/>
        <w:t xml:space="preserve"> zu Zefanja </w:t>
      </w:r>
      <w:r>
        <w:rPr>
          <w:b/>
          <w:color w:val="808080"/>
        </w:rPr>
        <w:t>[</w:t>
      </w:r>
      <w:r>
        <w:rPr/>
        <w:t>dem</w:t>
      </w:r>
      <w:r>
        <w:rPr>
          <w:b/>
          <w:color w:val="808080"/>
        </w:rPr>
        <w:t>]</w:t>
      </w:r>
      <w:r>
        <w:rPr/>
        <w:t xml:space="preserve"> Sohne Kuschis, </w:t>
      </w:r>
      <w:r>
        <w:rPr>
          <w:b/>
          <w:color w:val="808080"/>
        </w:rPr>
        <w:t>[</w:t>
      </w:r>
      <w:r>
        <w:rPr/>
        <w:t>des</w:t>
      </w:r>
      <w:r>
        <w:rPr>
          <w:b/>
          <w:color w:val="808080"/>
        </w:rPr>
        <w:t>]</w:t>
      </w:r>
      <w:r>
        <w:rPr/>
        <w:t xml:space="preserve"> Sohnes Gedaljas, </w:t>
      </w:r>
      <w:r>
        <w:rPr>
          <w:b/>
          <w:color w:val="808080"/>
        </w:rPr>
        <w:t>[</w:t>
      </w:r>
      <w:r>
        <w:rPr/>
        <w:t>des</w:t>
      </w:r>
      <w:r>
        <w:rPr>
          <w:b/>
          <w:color w:val="808080"/>
        </w:rPr>
        <w:t>]</w:t>
      </w:r>
      <w:r>
        <w:rPr/>
        <w:t xml:space="preserve"> Sohnes Amarjas, </w:t>
      </w:r>
      <w:r>
        <w:rPr>
          <w:b/>
          <w:color w:val="808080"/>
        </w:rPr>
        <w:t>[</w:t>
      </w:r>
      <w:r>
        <w:rPr/>
        <w:t>des</w:t>
      </w:r>
      <w:r>
        <w:rPr>
          <w:b/>
          <w:color w:val="808080"/>
        </w:rPr>
        <w:t>]</w:t>
      </w:r>
      <w:r>
        <w:rPr/>
        <w:t xml:space="preserve"> Sohnes Hiskijas, in den Tagen Joschijas, </w:t>
      </w:r>
      <w:r>
        <w:rPr>
          <w:b/>
          <w:color w:val="808080"/>
        </w:rPr>
        <w:t>[</w:t>
      </w:r>
      <w:r>
        <w:rPr/>
        <w:t>des</w:t>
      </w:r>
      <w:r>
        <w:rPr>
          <w:b/>
          <w:color w:val="808080"/>
        </w:rPr>
        <w:t>]</w:t>
      </w:r>
      <w:r>
        <w:rPr/>
        <w:t xml:space="preserve"> Sohnes Amons, </w:t>
      </w:r>
      <w:r>
        <w:rPr>
          <w:b/>
          <w:color w:val="808080"/>
        </w:rPr>
        <w:t>[</w:t>
      </w:r>
      <w:r>
        <w:rPr/>
        <w:t>dem</w:t>
      </w:r>
      <w:r>
        <w:rPr>
          <w:b/>
          <w:color w:val="808080"/>
        </w:rPr>
        <w:t>]</w:t>
      </w:r>
      <w:r>
        <w:rPr/>
        <w:t xml:space="preserve"> König </w:t>
      </w:r>
      <w:r>
        <w:rPr>
          <w:b/>
          <w:color w:val="808080"/>
        </w:rPr>
        <w:t>[</w:t>
      </w:r>
      <w:r>
        <w:rPr/>
        <w:t>von</w:t>
      </w:r>
      <w:r>
        <w:rPr>
          <w:b/>
          <w:color w:val="808080"/>
        </w:rPr>
        <w:t>]</w:t>
      </w:r>
      <w:r>
        <w:rPr/>
        <w:t xml:space="preserve"> Juda.{{field-off:bible}} </w:t>
        <w:br/>
        <w:t>[[@BibleTOBIBLE:Zep 1:2]]</w:t>
      </w:r>
      <w:r>
        <w:rPr>
          <w:b/>
        </w:rPr>
        <w:t>2</w:t>
      </w:r>
      <w:r>
        <w:rPr/>
        <w:t xml:space="preserve"> {{field-on:bible}}Versammeln, ich werde vernichten lassen, alle von </w:t>
      </w:r>
      <w:r>
        <w:rPr>
          <w:b/>
          <w:color w:val="808080"/>
        </w:rPr>
        <w:t>[</w:t>
      </w:r>
      <w:r>
        <w:rPr/>
        <w:t>denen, die sich</w:t>
      </w:r>
      <w:r>
        <w:rPr>
          <w:b/>
          <w:color w:val="808080"/>
        </w:rPr>
        <w:t>]</w:t>
      </w:r>
      <w:r>
        <w:rPr/>
        <w:t xml:space="preserve"> auf </w:t>
      </w:r>
      <w:r>
        <w:rPr>
          <w:b/>
          <w:color w:val="808080"/>
        </w:rPr>
        <w:t>[</w:t>
      </w:r>
      <w:r>
        <w:rPr/>
        <w:t>dem</w:t>
      </w:r>
      <w:r>
        <w:rPr>
          <w:b/>
          <w:color w:val="808080"/>
        </w:rPr>
        <w:t>]</w:t>
      </w:r>
      <w:r>
        <w:rPr/>
        <w:t xml:space="preserve"> Angesicht der Erde </w:t>
      </w:r>
      <w:r>
        <w:rPr>
          <w:b/>
          <w:color w:val="808080"/>
        </w:rPr>
        <w:t>[</w:t>
      </w:r>
      <w:r>
        <w:rPr/>
        <w:t>befinden</w:t>
      </w:r>
      <w:r>
        <w:rPr>
          <w:b/>
          <w:color w:val="808080"/>
        </w:rPr>
        <w:t>]</w:t>
      </w:r>
      <w:r>
        <w:rPr/>
        <w:t xml:space="preserve">, Erklärung </w:t>
      </w:r>
      <w:r>
        <w:rPr>
          <w:smallCaps/>
          <w:color w:val="FF0000"/>
        </w:rPr>
        <w:t>JHWH</w:t>
      </w:r>
      <w:r>
        <w:rPr/>
        <w:t xml:space="preserve">s.{{field-off:bible}} </w:t>
        <w:br/>
        <w:t>[[@BibleTOBIBLE:Zep 1:3]]</w:t>
      </w:r>
      <w:r>
        <w:rPr>
          <w:b/>
        </w:rPr>
        <w:t>3</w:t>
      </w:r>
      <w:r>
        <w:rPr/>
        <w:t xml:space="preserve"> {{field-on:bible}}Ich werde vernichten lassen, Mensch und Tier, ich werde vernichten lassen Vogel des Himmels und Fische des Meeres und die Verfallenen, die Gottlosen und ich werden ausrotten den Menschen von </w:t>
      </w:r>
      <w:r>
        <w:rPr>
          <w:b/>
          <w:color w:val="808080"/>
        </w:rPr>
        <w:t>[</w:t>
      </w:r>
      <w:r>
        <w:rPr/>
        <w:t>dem</w:t>
      </w:r>
      <w:r>
        <w:rPr>
          <w:b/>
          <w:color w:val="808080"/>
        </w:rPr>
        <w:t>]</w:t>
      </w:r>
      <w:r>
        <w:rPr/>
        <w:t xml:space="preserve"> Angesicht der Erde, Erklärung </w:t>
      </w:r>
      <w:r>
        <w:rPr>
          <w:smallCaps/>
          <w:color w:val="FF0000"/>
        </w:rPr>
        <w:t>JHWH</w:t>
      </w:r>
      <w:r>
        <w:rPr/>
        <w:t xml:space="preserve">s.{{field-off:bible}} </w:t>
        <w:br/>
        <w:t>[[@BibleTOBIBLE:Zep 1:4]]</w:t>
      </w:r>
      <w:r>
        <w:rPr>
          <w:b/>
        </w:rPr>
        <w:t>4</w:t>
      </w:r>
      <w:r>
        <w:rPr/>
        <w:t xml:space="preserve"> {{field-on:bible}}Und dann werde ich ausstrecken meine Hand über Juda und über alle in Jerusalem sitzenden </w:t>
      </w:r>
      <w:r>
        <w:rPr>
          <w:color w:val="808080"/>
        </w:rPr>
        <w:t>(wohnenden)</w:t>
      </w:r>
      <w:r>
        <w:rPr/>
        <w:t xml:space="preserve"> und dann werde ich ausrotten von diesem Ort den Rest des Baals, den Namen der Götzenpriester mit den Priestern.{{field-off:bible}} </w:t>
        <w:br/>
        <w:t>[[@BibleTOBIBLE:Zep 1:5]]</w:t>
      </w:r>
      <w:r>
        <w:rPr>
          <w:b/>
        </w:rPr>
        <w:t>5</w:t>
      </w:r>
      <w:r>
        <w:rPr/>
        <w:t xml:space="preserve"> {{field-on:bible}}Und die Anbetenden auf den Dächern zu </w:t>
      </w:r>
      <w:r>
        <w:rPr>
          <w:b/>
          <w:color w:val="808080"/>
        </w:rPr>
        <w:t>[</w:t>
      </w:r>
      <w:r>
        <w:rPr/>
        <w:t>dem</w:t>
      </w:r>
      <w:r>
        <w:rPr>
          <w:b/>
          <w:color w:val="808080"/>
        </w:rPr>
        <w:t>]</w:t>
      </w:r>
      <w:r>
        <w:rPr/>
        <w:t xml:space="preserve"> Heer der Himmel und die Anbetenden, die Schwörenden bei </w:t>
      </w:r>
      <w:r>
        <w:rPr>
          <w:color w:val="808080"/>
        </w:rPr>
        <w:t>(zu)</w:t>
      </w:r>
      <w:r>
        <w:rPr/>
        <w:t xml:space="preserve"> </w:t>
      </w:r>
      <w:r>
        <w:rPr>
          <w:smallCaps/>
          <w:color w:val="FF0000"/>
        </w:rPr>
        <w:t>JHWH</w:t>
      </w:r>
      <w:r>
        <w:rPr/>
        <w:t xml:space="preserve"> und die Schwörenden bei ihrem König </w:t>
      </w:r>
      <w:r>
        <w:rPr>
          <w:rStyle w:val="Funotenanker"/>
        </w:rPr>
        <w:footnoteReference w:customMarkFollows="1" w:id="2980"/>
        <w:t>a</w:t>
      </w:r>
      <w:r>
        <w:rPr/>
        <w:t xml:space="preserve">.{{field-off:bible}} </w:t>
        <w:br/>
        <w:t>[[@BibleTOBIBLE:Zep 1:6]]</w:t>
      </w:r>
      <w:r>
        <w:rPr>
          <w:b/>
        </w:rPr>
        <w:t>6</w:t>
      </w:r>
      <w:r>
        <w:rPr/>
        <w:t xml:space="preserve"> {{field-on:bible}}Und die Abfallenden von </w:t>
      </w:r>
      <w:r>
        <w:rPr>
          <w:smallCaps/>
          <w:color w:val="FF0000"/>
        </w:rPr>
        <w:t>JHWH</w:t>
      </w:r>
      <w:r>
        <w:rPr/>
        <w:t xml:space="preserve"> und von denen gilt, nicht sie suchten JHWH und nicht sie fragten </w:t>
      </w:r>
      <w:r>
        <w:rPr>
          <w:color w:val="808080"/>
        </w:rPr>
        <w:t>(suchten)</w:t>
      </w:r>
      <w:r>
        <w:rPr/>
        <w:t xml:space="preserve"> ihn.{{field-off:bible}}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2981"/>
        <w:t>Status</w:t>
      </w:r>
      <w:r>
        <w:rPr/>
        <w:t xml:space="preserve"> Im zweiten Jahr des Königs Darius, im sechsten Monat, am ersten Tag</w:t>
      </w:r>
      <w:r>
        <w:rPr>
          <w:rStyle w:val="Funotenanker"/>
        </w:rPr>
        <w:footnoteReference w:customMarkFollows="1" w:id="2982"/>
        <w:t>a</w:t>
      </w:r>
      <w:r>
        <w:rPr/>
        <w:t xml:space="preserve"> des Monats,</w:t>
      </w:r>
      <w:r>
        <w:rPr>
          <w:rStyle w:val="Funotenanker"/>
        </w:rPr>
        <w:footnoteReference w:customMarkFollows="1" w:id="2983"/>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2984"/>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2985"/>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2986"/>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2987"/>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2988"/>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2989"/>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2990"/>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2991"/>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2992"/>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2993"/>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2994"/>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2995"/>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2996"/>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2997"/>
        <w:t>Status</w:t>
      </w:r>
      <w:r>
        <w:rPr/>
        <w:t xml:space="preserve"> Im achten Monat des zweiten Jahres des Darius</w:t>
      </w:r>
      <w:r>
        <w:rPr>
          <w:rStyle w:val="Funotenanker"/>
        </w:rPr>
        <w:footnoteReference w:customMarkFollows="1" w:id="2998"/>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2999"/>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3000"/>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3001"/>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3002"/>
        <w:t>e</w:t>
      </w:r>
      <w:r>
        <w:rPr/>
        <w:t xml:space="preserve"> zwischen den Myrten, die aus der Tiefe </w:t>
      </w:r>
      <w:r>
        <w:rPr>
          <w:color w:val="808080"/>
        </w:rPr>
        <w:t>(Talgrund)</w:t>
      </w:r>
      <w:r>
        <w:rPr/>
        <w:t xml:space="preserve"> </w:t>
      </w:r>
      <w:r>
        <w:rPr>
          <w:rStyle w:val="Funotenanker"/>
        </w:rPr>
        <w:footnoteReference w:customMarkFollows="1" w:id="3003"/>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3004"/>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3005"/>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3006"/>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3007"/>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3008"/>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3009"/>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3010"/>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3011"/>
        <w:t>c</w:t>
      </w:r>
      <w:r>
        <w:rPr/>
        <w:t xml:space="preserve"> die Hörner der Völker</w:t>
      </w:r>
      <w:r>
        <w:rPr>
          <w:rStyle w:val="Funotenanker"/>
        </w:rPr>
        <w:footnoteReference w:customMarkFollows="1" w:id="3012"/>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3013"/>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3014"/>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3015"/>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3016"/>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3017"/>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3018"/>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3019"/>
        <w:t>k</w:t>
      </w:r>
      <w:r>
        <w:rPr/>
        <w:t xml:space="preserve">, schlägt </w:t>
      </w:r>
      <w:r>
        <w:rPr>
          <w:color w:val="808080"/>
        </w:rPr>
        <w:t>(rührt an)</w:t>
      </w:r>
      <w:r>
        <w:rPr/>
        <w:t xml:space="preserve"> </w:t>
      </w:r>
      <w:r>
        <w:rPr>
          <w:rStyle w:val="Funotenanker"/>
        </w:rPr>
        <w:footnoteReference w:customMarkFollows="1" w:id="3020"/>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3021"/>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3022"/>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3023"/>
        <w:t>o</w:t>
      </w:r>
      <w:r>
        <w:rPr/>
        <w:t xml:space="preserve"> meine Hand gegen sie</w:t>
      </w:r>
      <w:r>
        <w:rPr>
          <w:rStyle w:val="Funotenanker"/>
        </w:rPr>
        <w:footnoteReference w:customMarkFollows="1" w:id="3024"/>
        <w:t>p</w:t>
      </w:r>
      <w:r>
        <w:rPr/>
        <w:t xml:space="preserve">, so dass </w:t>
      </w:r>
      <w:r>
        <w:rPr>
          <w:color w:val="808080"/>
        </w:rPr>
        <w:t>(und)</w:t>
      </w:r>
      <w:r>
        <w:rPr/>
        <w:t xml:space="preserve"> sie eine Beute</w:t>
      </w:r>
      <w:r>
        <w:rPr>
          <w:rStyle w:val="Funotenanker"/>
        </w:rPr>
        <w:footnoteReference w:customMarkFollows="1" w:id="3025"/>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3026"/>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3027"/>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3028"/>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3029"/>
        <w:t>Status</w:t>
      </w:r>
      <w:r>
        <w:rPr/>
        <w:t xml:space="preserve"> Und er ließ mich sehen </w:t>
      </w:r>
      <w:r>
        <w:rPr>
          <w:color w:val="808080"/>
        </w:rPr>
        <w:t>(zeigte mir)</w:t>
      </w:r>
      <w:r>
        <w:rPr/>
        <w:t xml:space="preserve"> </w:t>
      </w:r>
      <w:r>
        <w:rPr>
          <w:rStyle w:val="Funotenanker"/>
        </w:rPr>
        <w:footnoteReference w:customMarkFollows="1" w:id="3030"/>
        <w:t>a</w:t>
      </w:r>
      <w:r>
        <w:rPr/>
        <w:t xml:space="preserve"> Jeschua, den Hohenpriester, der stand</w:t>
      </w:r>
      <w:r>
        <w:rPr>
          <w:rStyle w:val="Funotenanker"/>
        </w:rPr>
        <w:footnoteReference w:customMarkFollows="1" w:id="3031"/>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3032"/>
        <w:t>c</w:t>
      </w:r>
      <w:r>
        <w:rPr/>
        <w:t xml:space="preserve"> stand</w:t>
      </w:r>
      <w:r>
        <w:rPr>
          <w:rStyle w:val="Funotenanker"/>
        </w:rPr>
        <w:footnoteReference w:customMarkFollows="1" w:id="3033"/>
        <w:t>d</w:t>
      </w:r>
      <w:r>
        <w:rPr/>
        <w:t xml:space="preserve"> auf seiner rechten Seite </w:t>
      </w:r>
      <w:r>
        <w:rPr>
          <w:color w:val="808080"/>
        </w:rPr>
        <w:t>(zu seiner Rechten)</w:t>
      </w:r>
      <w:r>
        <w:rPr/>
        <w:t xml:space="preserve"> um ihn anzuklagen</w:t>
      </w:r>
      <w:r>
        <w:rPr>
          <w:rStyle w:val="Funotenanker"/>
        </w:rPr>
        <w:footnoteReference w:customMarkFollows="1" w:id="3034"/>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035"/>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036"/>
        <w:t>g</w:t>
      </w:r>
      <w:r>
        <w:rPr/>
        <w:t xml:space="preserve"> dich, der auserwählt hat </w:t>
      </w:r>
      <w:r>
        <w:rPr>
          <w:color w:val="808080"/>
        </w:rPr>
        <w:t>(erwählt hat)</w:t>
      </w:r>
      <w:r>
        <w:rPr/>
        <w:t xml:space="preserve"> </w:t>
      </w:r>
      <w:r>
        <w:rPr>
          <w:rStyle w:val="Funotenanker"/>
        </w:rPr>
        <w:footnoteReference w:customMarkFollows="1" w:id="3037"/>
        <w:t>h</w:t>
      </w:r>
      <w:r>
        <w:rPr/>
        <w:t xml:space="preserve"> Jerusalem! Ist dieser nicht ein Holzscheit </w:t>
      </w:r>
      <w:r>
        <w:rPr>
          <w:color w:val="808080"/>
        </w:rPr>
        <w:t>(Brandscheit)</w:t>
      </w:r>
      <w:r>
        <w:rPr/>
        <w:t>, das herausgezogen</w:t>
      </w:r>
      <w:r>
        <w:rPr>
          <w:rStyle w:val="Funotenanker"/>
        </w:rPr>
        <w:footnoteReference w:customMarkFollows="1" w:id="3038"/>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3039"/>
        <w:t>j</w:t>
      </w:r>
      <w:r>
        <w:rPr/>
        <w:t xml:space="preserve"> mit schmutzigen</w:t>
      </w:r>
      <w:r>
        <w:rPr>
          <w:rStyle w:val="Funotenanker"/>
        </w:rPr>
        <w:footnoteReference w:customMarkFollows="1" w:id="3040"/>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3041"/>
        <w:t>l</w:t>
      </w:r>
      <w:r>
        <w:rPr/>
        <w:t xml:space="preserve"> antwortete und sprach zu denen, die vor ihm </w:t>
      </w:r>
      <w:r>
        <w:rPr>
          <w:color w:val="808080"/>
        </w:rPr>
        <w:t>(vor seinem Angesicht)</w:t>
      </w:r>
      <w:r>
        <w:rPr/>
        <w:t xml:space="preserve"> standen</w:t>
      </w:r>
      <w:r>
        <w:rPr>
          <w:rStyle w:val="Funotenanker"/>
        </w:rPr>
        <w:footnoteReference w:customMarkFollows="1" w:id="3042"/>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3043"/>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3044"/>
        <w:t>o</w:t>
      </w:r>
      <w:r>
        <w:rPr/>
        <w:t xml:space="preserve"> Ich habe weggenommen </w:t>
      </w:r>
      <w:r>
        <w:rPr>
          <w:color w:val="808080"/>
        </w:rPr>
        <w:t>(hinübergehen lassen, vergeben)</w:t>
      </w:r>
      <w:r>
        <w:rPr/>
        <w:t xml:space="preserve"> </w:t>
      </w:r>
      <w:r>
        <w:rPr>
          <w:rStyle w:val="Funotenanker"/>
        </w:rPr>
        <w:footnoteReference w:customMarkFollows="1" w:id="3045"/>
        <w:t>p</w:t>
      </w:r>
      <w:r>
        <w:rPr/>
        <w:t xml:space="preserve"> von dir deine Sünde und bekleide </w:t>
      </w:r>
      <w:r>
        <w:rPr>
          <w:color w:val="808080"/>
        </w:rPr>
        <w:t>(ziehe dich an)</w:t>
      </w:r>
      <w:r>
        <w:rPr/>
        <w:t xml:space="preserve"> </w:t>
      </w:r>
      <w:r>
        <w:rPr>
          <w:rStyle w:val="Funotenanker"/>
        </w:rPr>
        <w:footnoteReference w:customMarkFollows="1" w:id="3046"/>
        <w:t>q</w:t>
      </w:r>
      <w:r>
        <w:rPr/>
        <w:t xml:space="preserve"> dich mit Festgewändern </w:t>
      </w:r>
      <w:r>
        <w:rPr>
          <w:color w:val="808080"/>
        </w:rPr>
        <w:t>(Feierkleidern)</w:t>
      </w:r>
      <w:r>
        <w:rPr/>
        <w:t xml:space="preserve"> </w:t>
      </w:r>
      <w:r>
        <w:rPr>
          <w:rStyle w:val="Funotenanker"/>
        </w:rPr>
        <w:footnoteReference w:customMarkFollows="1" w:id="3047"/>
        <w:t>r</w:t>
      </w:r>
      <w:r>
        <w:rPr/>
        <w:t xml:space="preserve">.{{field-off:bible}} </w:t>
        <w:br/>
        <w:t>[[@BibleTOBIBLE:Zec 3:5]]</w:t>
      </w:r>
      <w:r>
        <w:rPr>
          <w:b/>
        </w:rPr>
        <w:t>5</w:t>
      </w:r>
      <w:r>
        <w:rPr/>
        <w:t xml:space="preserve"> {{field-on:bible}}Und ich</w:t>
      </w:r>
      <w:r>
        <w:rPr>
          <w:rStyle w:val="Funotenanker"/>
        </w:rPr>
        <w:footnoteReference w:customMarkFollows="1" w:id="3048"/>
        <w:t>s</w:t>
      </w:r>
      <w:r>
        <w:rPr/>
        <w:t xml:space="preserve"> sprach: Man setze</w:t>
      </w:r>
      <w:r>
        <w:rPr>
          <w:rStyle w:val="Funotenanker"/>
        </w:rPr>
        <w:footnoteReference w:customMarkFollows="1" w:id="3049"/>
        <w:t>t</w:t>
      </w:r>
      <w:r>
        <w:rPr/>
        <w:t xml:space="preserve"> </w:t>
      </w:r>
      <w:r>
        <w:rPr>
          <w:strike/>
          <w:color w:val="808080"/>
        </w:rPr>
        <w:t>{ihm}</w:t>
      </w:r>
      <w:r>
        <w:rPr/>
        <w:t xml:space="preserve"> einen reinen</w:t>
      </w:r>
      <w:r>
        <w:rPr>
          <w:rStyle w:val="Funotenanker"/>
        </w:rPr>
        <w:footnoteReference w:customMarkFollows="1" w:id="3050"/>
        <w:t>u</w:t>
      </w:r>
      <w:r>
        <w:rPr/>
        <w:t xml:space="preserve"> Kopfbund </w:t>
      </w:r>
      <w:r>
        <w:rPr>
          <w:color w:val="808080"/>
        </w:rPr>
        <w:t>(Turban)</w:t>
      </w:r>
      <w:r>
        <w:rPr/>
        <w:t xml:space="preserve"> </w:t>
      </w:r>
      <w:r>
        <w:rPr>
          <w:rStyle w:val="Funotenanker"/>
        </w:rPr>
        <w:footnoteReference w:customMarkFollows="1" w:id="3051"/>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3052"/>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3053"/>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3054"/>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3055"/>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3056"/>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3057"/>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3058"/>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3059"/>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3060"/>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3061"/>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3062"/>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3063"/>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3064"/>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3065"/>
        <w:t>c</w:t>
      </w:r>
      <w:r>
        <w:rPr/>
        <w:t xml:space="preserve"> und stehen </w:t>
      </w:r>
      <w:r>
        <w:rPr>
          <w:color w:val="808080"/>
        </w:rPr>
        <w:t>(hintreten)</w:t>
      </w:r>
      <w:r>
        <w:rPr/>
        <w:t xml:space="preserve"> </w:t>
      </w:r>
      <w:r>
        <w:rPr>
          <w:rStyle w:val="Funotenanker"/>
        </w:rPr>
        <w:footnoteReference w:customMarkFollows="1" w:id="3066"/>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3067"/>
        <w:t>e</w:t>
      </w:r>
      <w:r>
        <w:rPr/>
        <w:t xml:space="preserve"> und die schwarzen Pferde laufen hinaus</w:t>
      </w:r>
      <w:r>
        <w:rPr>
          <w:rStyle w:val="Funotenanker"/>
        </w:rPr>
        <w:footnoteReference w:customMarkFollows="1" w:id="3068"/>
        <w:t>f</w:t>
      </w:r>
      <w:r>
        <w:rPr/>
        <w:t xml:space="preserve"> zum Land des Nordens und die weißen laufen hinaus</w:t>
      </w:r>
      <w:r>
        <w:rPr>
          <w:rStyle w:val="Funotenanker"/>
        </w:rPr>
        <w:footnoteReference w:customMarkFollows="1" w:id="3069"/>
        <w:t>g</w:t>
      </w:r>
      <w:r>
        <w:rPr/>
        <w:t xml:space="preserve"> hinter ihnen her</w:t>
      </w:r>
      <w:r>
        <w:rPr>
          <w:rStyle w:val="Funotenanker"/>
        </w:rPr>
        <w:footnoteReference w:customMarkFollows="1" w:id="3070"/>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3071"/>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3072"/>
        <w:t>j</w:t>
      </w:r>
      <w:r>
        <w:rPr/>
        <w:t>, von Heldai und von Tobija und von Jedaja und gehe</w:t>
      </w:r>
      <w:r>
        <w:rPr>
          <w:rStyle w:val="Funotenanker"/>
        </w:rPr>
        <w:footnoteReference w:customMarkFollows="1" w:id="3073"/>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3074"/>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3075"/>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3076"/>
        <w:t>n</w:t>
      </w:r>
      <w:r>
        <w:rPr/>
        <w:t xml:space="preserve"> ein Priester auf seinem Thron sein</w:t>
      </w:r>
      <w:r>
        <w:rPr>
          <w:rStyle w:val="Funotenanker"/>
        </w:rPr>
        <w:footnoteReference w:customMarkFollows="1" w:id="3077"/>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3078"/>
        <w:t>p</w:t>
      </w:r>
      <w:r>
        <w:rPr/>
        <w:t xml:space="preserve"> der Heldai</w:t>
      </w:r>
      <w:r>
        <w:rPr>
          <w:rStyle w:val="Funotenanker"/>
        </w:rPr>
        <w:footnoteReference w:customMarkFollows="1" w:id="3079"/>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3080"/>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3081"/>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3082"/>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3083"/>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3084"/>
        <w:t>a</w:t>
      </w:r>
      <w:r>
        <w:rPr/>
        <w:t xml:space="preserve"> von Jesus Christus, dem Sohn</w:t>
      </w:r>
      <w:r>
        <w:rPr>
          <w:rStyle w:val="Funotenanker"/>
        </w:rPr>
        <w:footnoteReference w:customMarkFollows="1" w:id="3085"/>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3086"/>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3087"/>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3088"/>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3089"/>
        <w:t>f</w:t>
      </w:r>
      <w:r>
        <w:rPr/>
        <w:t xml:space="preserve"> Jesu Christi</w:t>
      </w:r>
      <w:r>
        <w:rPr>
          <w:rStyle w:val="Funotenanker"/>
        </w:rPr>
        <w:footnoteReference w:customMarkFollows="1" w:id="3090"/>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3091"/>
        <w:t>h</w:t>
      </w:r>
      <w:r>
        <w:rPr/>
        <w:t xml:space="preserve"> </w:t>
      </w:r>
      <w:r>
        <w:rPr>
          <w:color w:val="808080"/>
        </w:rPr>
        <w:t>(Josefs Braut geworden, dem Josef vertraut)</w:t>
      </w:r>
      <w:r>
        <w:rPr/>
        <w:t>. Bevor sie zusammengekommen waren</w:t>
      </w:r>
      <w:r>
        <w:rPr>
          <w:rStyle w:val="Funotenanker"/>
        </w:rPr>
        <w:footnoteReference w:customMarkFollows="1" w:id="3092"/>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3093"/>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3094"/>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3095"/>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3096"/>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3097"/>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3098"/>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3099"/>
        <w:t>p</w:t>
      </w:r>
      <w:r>
        <w:rPr/>
        <w:t xml:space="preserve">. Er </w:t>
      </w:r>
      <w:r>
        <w:rPr>
          <w:rStyle w:val="Funotenanker"/>
        </w:rPr>
        <w:footnoteReference w:customMarkFollows="1" w:id="3100"/>
        <w:t>q</w:t>
      </w:r>
      <w:r>
        <w:rPr/>
        <w:t xml:space="preserve"> </w:t>
      </w:r>
      <w:r>
        <w:rPr>
          <w:rStyle w:val="Funotenanker"/>
        </w:rPr>
        <w:footnoteReference w:customMarkFollows="1" w:id="3101"/>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3102"/>
        <w:t>s</w:t>
      </w:r>
      <w:r>
        <w:rPr/>
        <w:t xml:space="preserve"> </w:t>
      </w:r>
      <w:r>
        <w:rPr>
          <w:color w:val="808080"/>
        </w:rPr>
        <w:t>(geschah, ereignete sich, trug sich zu)</w:t>
      </w:r>
      <w:r>
        <w:rPr/>
        <w:t>, damit sich das vom Herrn durch einen</w:t>
      </w:r>
      <w:r>
        <w:rPr>
          <w:rStyle w:val="Funotenanker"/>
        </w:rPr>
        <w:footnoteReference w:customMarkFollows="1" w:id="3103"/>
        <w:t>t</w:t>
      </w:r>
      <w:r>
        <w:rPr/>
        <w:t xml:space="preserve"> Propheten</w:t>
      </w:r>
      <w:r>
        <w:rPr>
          <w:rStyle w:val="Funotenanker"/>
        </w:rPr>
        <w:footnoteReference w:customMarkFollows="1" w:id="3104"/>
        <w:t>u</w:t>
      </w:r>
      <w:r>
        <w:rPr/>
        <w:t xml:space="preserve"> Gesagte erfüllte. Er sagte</w:t>
      </w:r>
      <w:r>
        <w:rPr>
          <w:rStyle w:val="Funotenanker"/>
        </w:rPr>
        <w:footnoteReference w:customMarkFollows="1" w:id="3105"/>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3106"/>
        <w:t>w</w:t>
      </w:r>
      <w:r>
        <w:rPr/>
        <w:t xml:space="preserve"> ist schwanger</w:t>
      </w:r>
      <w:r>
        <w:rPr>
          <w:rStyle w:val="Funotenanker"/>
        </w:rPr>
        <w:footnoteReference w:customMarkFollows="1" w:id="3107"/>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3108"/>
        <w:t>y</w:t>
      </w:r>
      <w:r>
        <w:rPr/>
        <w:t xml:space="preserve"> </w:t>
      </w:r>
      <w:r>
        <w:rPr>
          <w:rStyle w:val="Funotenanker"/>
        </w:rPr>
        <w:footnoteReference w:customMarkFollows="1" w:id="3109"/>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3110"/>
        <w:t>aa</w:t>
      </w:r>
      <w:r>
        <w:rPr/>
        <w:t xml:space="preserve"> {{field-off:bible}} </w:t>
        <w:br/>
        <w:t>[[@BibleTOBIBLE:Mt 1:24]]</w:t>
      </w:r>
      <w:r>
        <w:rPr>
          <w:b/>
        </w:rPr>
        <w:t>24</w:t>
      </w:r>
      <w:r>
        <w:rPr/>
        <w:t xml:space="preserve"> {{field-on:bible}}Aus dem Schlaf aufgewacht</w:t>
      </w:r>
      <w:r>
        <w:rPr>
          <w:rStyle w:val="Funotenanker"/>
        </w:rPr>
        <w:footnoteReference w:customMarkFollows="1" w:id="3111"/>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3112"/>
        <w:t>ac</w:t>
      </w:r>
      <w:r>
        <w:rPr/>
        <w:t xml:space="preserve"> bis</w:t>
      </w:r>
      <w:r>
        <w:rPr>
          <w:rStyle w:val="Funotenanker"/>
        </w:rPr>
        <w:footnoteReference w:customMarkFollows="1" w:id="3113"/>
        <w:t>ad</w:t>
      </w:r>
      <w:r>
        <w:rPr/>
        <w:t xml:space="preserve"> sie einen Sohn</w:t>
      </w:r>
      <w:r>
        <w:rPr>
          <w:rStyle w:val="Funotenanker"/>
        </w:rPr>
        <w:footnoteReference w:customMarkFollows="1" w:id="3114"/>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3115"/>
        <w:t>Status</w:t>
      </w:r>
      <w:r>
        <w:rPr/>
        <w:t xml:space="preserve"> Als </w:t>
      </w:r>
      <w:r>
        <w:rPr>
          <w:strike/>
          <w:color w:val="808080"/>
        </w:rPr>
        <w:t>{aber}</w:t>
      </w:r>
      <w:r>
        <w:rPr/>
        <w:t xml:space="preserve"> Jesus geboren worden war</w:t>
      </w:r>
      <w:r>
        <w:rPr>
          <w:rStyle w:val="Funotenanker"/>
        </w:rPr>
        <w:footnoteReference w:customMarkFollows="1" w:id="3116"/>
        <w:t>a</w:t>
      </w:r>
      <w:r>
        <w:rPr/>
        <w:t xml:space="preserve"> in Betlehem in Judäa </w:t>
      </w:r>
      <w:r>
        <w:rPr>
          <w:color w:val="808080"/>
        </w:rPr>
        <w:t>(im jüdäischen Betlehem)</w:t>
      </w:r>
      <w:r>
        <w:rPr/>
        <w:t xml:space="preserve"> </w:t>
      </w:r>
      <w:r>
        <w:rPr>
          <w:rStyle w:val="Funotenanker"/>
        </w:rPr>
        <w:footnoteReference w:customMarkFollows="1" w:id="3117"/>
        <w:t>b</w:t>
      </w:r>
      <w:r>
        <w:rPr/>
        <w:t xml:space="preserve"> in den Tagen des Königs Herodes</w:t>
      </w:r>
      <w:r>
        <w:rPr>
          <w:rStyle w:val="Funotenanker"/>
        </w:rPr>
        <w:footnoteReference w:customMarkFollows="1" w:id="3118"/>
        <w:t>c</w:t>
      </w:r>
      <w:r>
        <w:rPr/>
        <w:t>, siehe, da kamen Magier</w:t>
      </w:r>
      <w:r>
        <w:rPr>
          <w:rStyle w:val="Funotenanker"/>
        </w:rPr>
        <w:footnoteReference w:customMarkFollows="1" w:id="3119"/>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3120"/>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3121"/>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3122"/>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3123"/>
        <w:t>h</w:t>
      </w:r>
      <w:r>
        <w:rPr/>
        <w:t xml:space="preserve"> all</w:t>
      </w:r>
      <w:r>
        <w:rPr>
          <w:rStyle w:val="Funotenanker"/>
        </w:rPr>
        <w:footnoteReference w:customMarkFollows="1" w:id="3124"/>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3125"/>
        <w:t>j</w:t>
      </w:r>
      <w:r>
        <w:rPr/>
        <w:t xml:space="preserve"> mittels</w:t>
      </w:r>
      <w:r>
        <w:rPr>
          <w:rStyle w:val="Funotenanker"/>
        </w:rPr>
        <w:footnoteReference w:customMarkFollows="1" w:id="3126"/>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3127"/>
        <w:t>l</w:t>
      </w:r>
      <w:r>
        <w:rPr/>
        <w:t xml:space="preserve"> in Juda. Aus dir </w:t>
      </w:r>
      <w:r>
        <w:rPr>
          <w:strike/>
          <w:color w:val="808080"/>
        </w:rPr>
        <w:t>{nämlich}</w:t>
      </w:r>
      <w:r>
        <w:rPr/>
        <w:t xml:space="preserve"> wird ein Führender</w:t>
      </w:r>
      <w:r>
        <w:rPr>
          <w:rStyle w:val="Funotenanker"/>
        </w:rPr>
        <w:footnoteReference w:customMarkFollows="1" w:id="3128"/>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3129"/>
        <w:t>n</w:t>
      </w:r>
      <w:r>
        <w:rPr/>
        <w:t xml:space="preserve"> {{field-off:bible}} </w:t>
        <w:br/>
        <w:t>[[@BibleTOBIBLE:Mt 2:7]]</w:t>
      </w:r>
      <w:r>
        <w:rPr>
          <w:b/>
        </w:rPr>
        <w:t>7</w:t>
      </w:r>
      <w:r>
        <w:rPr/>
        <w:t xml:space="preserve"> {{field-on:bible}}Daraufhin rief</w:t>
      </w:r>
      <w:r>
        <w:rPr>
          <w:rStyle w:val="Funotenanker"/>
        </w:rPr>
        <w:footnoteReference w:customMarkFollows="1" w:id="3130"/>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3131"/>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3132"/>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3133"/>
        <w:t>r</w:t>
      </w:r>
      <w:r>
        <w:rPr/>
        <w:t xml:space="preserve"> akribisch genau über das Kind nach. Wenn</w:t>
      </w:r>
      <w:r>
        <w:rPr>
          <w:rStyle w:val="Funotenanker"/>
        </w:rPr>
        <w:footnoteReference w:customMarkFollows="1" w:id="3134"/>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3135"/>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3136"/>
        <w:t>u</w:t>
      </w:r>
      <w:r>
        <w:rPr/>
        <w:t xml:space="preserve">, </w:t>
      </w:r>
      <w:r>
        <w:rPr>
          <w:strike/>
          <w:color w:val="808080"/>
        </w:rPr>
        <w:t>{und}</w:t>
      </w:r>
      <w:r>
        <w:rPr/>
        <w:t xml:space="preserve"> während er ankam, stellte er sich auf dort, wo das Kind war</w:t>
      </w:r>
      <w:r>
        <w:rPr>
          <w:rStyle w:val="Funotenanker"/>
        </w:rPr>
        <w:footnoteReference w:customMarkFollows="1" w:id="3137"/>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3138"/>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3139"/>
        <w:t>x</w:t>
      </w:r>
      <w:r>
        <w:rPr/>
        <w:t xml:space="preserve"> wurde ihnen befohlen</w:t>
      </w:r>
      <w:r>
        <w:rPr>
          <w:rStyle w:val="Funotenanker"/>
        </w:rPr>
        <w:footnoteReference w:customMarkFollows="1" w:id="3140"/>
        <w:t>y</w:t>
      </w:r>
      <w:r>
        <w:rPr/>
        <w:t>, nicht zu Herodes zurückzukehren</w:t>
      </w:r>
      <w:r>
        <w:rPr>
          <w:rStyle w:val="Funotenanker"/>
        </w:rPr>
        <w:footnoteReference w:customMarkFollows="1" w:id="3141"/>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3142"/>
        <w:t>aa</w:t>
      </w:r>
      <w:r>
        <w:rPr/>
        <w:t xml:space="preserve"> dem Josef und sagte</w:t>
      </w:r>
      <w:r>
        <w:rPr>
          <w:rStyle w:val="Funotenanker"/>
        </w:rPr>
        <w:footnoteReference w:customMarkFollows="1" w:id="3143"/>
        <w:t>ab</w:t>
      </w:r>
      <w:r>
        <w:rPr/>
        <w:t>: Steh auf, nimm das Kind und seine Mutter mit und fliehe nach Ägypten und bleibe dort, bis ich dir sage</w:t>
      </w:r>
      <w:r>
        <w:rPr>
          <w:rStyle w:val="Funotenanker"/>
        </w:rPr>
        <w:footnoteReference w:customMarkFollows="1" w:id="3144"/>
        <w:t>ac</w:t>
      </w:r>
      <w:r>
        <w:rPr/>
        <w:t>! Denn Herodes beabsichtigt, dass Kind suchen zu lassen</w:t>
      </w:r>
      <w:r>
        <w:rPr>
          <w:rStyle w:val="Funotenanker"/>
        </w:rPr>
        <w:footnoteReference w:customMarkFollows="1" w:id="3145"/>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3146"/>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3147"/>
        <w:t>af</w:t>
      </w:r>
      <w:r>
        <w:rPr/>
        <w:t xml:space="preserve"> dort bis zum Tode des Herodes; Auf daß vollendet würde was gesagt wurde</w:t>
      </w:r>
      <w:r>
        <w:rPr>
          <w:rStyle w:val="Funotenanker"/>
        </w:rPr>
        <w:footnoteReference w:customMarkFollows="1" w:id="3148"/>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3149"/>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3150"/>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3151"/>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3152"/>
        <w:t>ak</w:t>
      </w:r>
      <w:r>
        <w:rPr/>
        <w:t>; denn es ist tot</w:t>
      </w:r>
      <w:r>
        <w:rPr>
          <w:rStyle w:val="Funotenanker"/>
        </w:rPr>
        <w:footnoteReference w:customMarkFollows="1" w:id="3153"/>
        <w:t>al</w:t>
      </w:r>
      <w:r>
        <w:rPr/>
        <w:t>, der dem Kind nach dem Leben trachtet</w:t>
      </w:r>
      <w:r>
        <w:rPr>
          <w:rStyle w:val="Funotenanker"/>
        </w:rPr>
        <w:footnoteReference w:customMarkFollows="1" w:id="3154"/>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3155"/>
        <w:t>an</w:t>
      </w:r>
      <w:r>
        <w:rPr/>
        <w:t>; Da ihm im eine Weisung gegeben wurde</w:t>
      </w:r>
      <w:r>
        <w:rPr>
          <w:rStyle w:val="Funotenanker"/>
        </w:rPr>
        <w:footnoteReference w:customMarkFollows="1" w:id="3156"/>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3157"/>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3158"/>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3159"/>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3160"/>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3161"/>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3162"/>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3163"/>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3164"/>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3165"/>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3166"/>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3167"/>
        <w:t>a</w:t>
      </w:r>
      <w:r>
        <w:rPr/>
        <w:t xml:space="preserve"> vom Teufel.{{field-off:bible}} </w:t>
        <w:br/>
        <w:t>[[@BibleTOBIBLE:Mt 4:2]]</w:t>
      </w:r>
      <w:r>
        <w:rPr>
          <w:b/>
        </w:rPr>
        <w:t>2</w:t>
      </w:r>
      <w:r>
        <w:rPr/>
        <w:t xml:space="preserve"> {{field-on:bible}}Und er fastete</w:t>
      </w:r>
      <w:r>
        <w:rPr>
          <w:rStyle w:val="Funotenanker"/>
        </w:rPr>
        <w:footnoteReference w:customMarkFollows="1" w:id="3168"/>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3169"/>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3170"/>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jedes Wortes, das herauskommt</w:t>
      </w:r>
      <w:r>
        <w:rPr>
          <w:rStyle w:val="Funotenanker"/>
        </w:rPr>
        <w:footnoteReference w:customMarkFollows="1" w:id="3171"/>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3172"/>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Engeln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3173"/>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3174"/>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3175"/>
        <w:t>i</w:t>
      </w:r>
      <w:r>
        <w:rPr/>
        <w:t xml:space="preserve"> du anebeten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3176"/>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3177"/>
        <w:t>k</w:t>
      </w:r>
      <w:r>
        <w:rPr/>
        <w:t xml:space="preserve"> ging er</w:t>
      </w:r>
      <w:r>
        <w:rPr>
          <w:rStyle w:val="Funotenanker"/>
        </w:rPr>
        <w:footnoteReference w:customMarkFollows="1" w:id="3178"/>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3179"/>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3180"/>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3181"/>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3182"/>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3183"/>
        <w:t>q</w:t>
      </w:r>
      <w:r>
        <w:rPr/>
        <w:t xml:space="preserve"> </w:t>
      </w:r>
      <w:r>
        <w:rPr>
          <w:color w:val="808080"/>
        </w:rPr>
        <w:t>(wanderte)</w:t>
      </w:r>
      <w:r>
        <w:rPr/>
        <w:t>, sah er zwei Brüder, Simon, den man Petrus nennt</w:t>
      </w:r>
      <w:r>
        <w:rPr>
          <w:rStyle w:val="Funotenanker"/>
        </w:rPr>
        <w:footnoteReference w:customMarkFollows="1" w:id="3184"/>
        <w:t>r</w:t>
      </w:r>
      <w:r>
        <w:rPr/>
        <w:t xml:space="preserve"> und Andreas, seinen Bruder, als sie Netze in den See warfen</w:t>
      </w:r>
      <w:r>
        <w:rPr>
          <w:rStyle w:val="Funotenanker"/>
        </w:rPr>
        <w:footnoteReference w:customMarkFollows="1" w:id="3185"/>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3186"/>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3187"/>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3188"/>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3189"/>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3190"/>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3191"/>
        <w:t>y</w:t>
      </w:r>
      <w:r>
        <w:rPr/>
        <w:t xml:space="preserve"> in ihren Synagogen, verkündigte</w:t>
      </w:r>
      <w:r>
        <w:rPr>
          <w:rStyle w:val="Funotenanker"/>
        </w:rPr>
        <w:footnoteReference w:customMarkFollows="1" w:id="3192"/>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3193"/>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3194"/>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3195"/>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3196"/>
        <w:t>Status</w:t>
      </w:r>
      <w:r>
        <w:rPr/>
        <w:t xml:space="preserve"> Aber als er die </w:t>
      </w:r>
      <w:r>
        <w:rPr>
          <w:color w:val="808080"/>
        </w:rPr>
        <w:t>(Volks-)</w:t>
      </w:r>
      <w:r>
        <w:rPr/>
        <w:t>Menge sah</w:t>
      </w:r>
      <w:r>
        <w:rPr>
          <w:rStyle w:val="Funotenanker"/>
        </w:rPr>
        <w:footnoteReference w:customMarkFollows="1" w:id="3197"/>
        <w:t>a</w:t>
      </w:r>
      <w:r>
        <w:rPr/>
        <w:t xml:space="preserve">, stieg er auf den Berg </w:t>
      </w:r>
      <w:r>
        <w:rPr>
          <w:color w:val="808080"/>
        </w:rPr>
        <w:t>(ging hinauf)</w:t>
      </w:r>
      <w:r>
        <w:rPr/>
        <w:t xml:space="preserve"> und setzte sich</w:t>
      </w:r>
      <w:r>
        <w:rPr>
          <w:rStyle w:val="Funotenanker"/>
        </w:rPr>
        <w:footnoteReference w:customMarkFollows="1" w:id="3198"/>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3199"/>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3200"/>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3201"/>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3202"/>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3203"/>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3204"/>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3205"/>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t>
      </w:r>
      <w:r>
        <w:rPr>
          <w:color w:val="808080"/>
        </w:rPr>
        <w:t>(verächtlich behandelt)</w:t>
      </w:r>
      <w:r>
        <w:rPr/>
        <w:t xml:space="preserve"> werde.{{field-off:bible}} </w:t>
        <w:br/>
        <w:t>[[@BibleTOBIBLE:Mt 5:14]]</w:t>
      </w:r>
      <w:r>
        <w:rPr>
          <w:b/>
        </w:rPr>
        <w:t>14</w:t>
      </w:r>
      <w:r>
        <w:rPr/>
        <w:t xml:space="preserve"> {{field-on:bible}}Ihr</w:t>
      </w:r>
      <w:r>
        <w:rPr>
          <w:rStyle w:val="Funotenanker"/>
        </w:rPr>
        <w:footnoteReference w:customMarkFollows="1" w:id="3206"/>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w:t>
      </w:r>
      <w:r>
        <w:rPr>
          <w:rStyle w:val="Funotenanker"/>
        </w:rPr>
        <w:footnoteReference w:customMarkFollows="1" w:id="3207"/>
        <w:t>k</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3208"/>
        <w:t>l</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3209"/>
        <w:t>m</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3210"/>
        <w:t>n</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3211"/>
        <w:t>o</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3212"/>
        <w:t>p</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3213"/>
        <w:t>q</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3214"/>
        <w:t>r</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3215"/>
        <w:t>s</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3216"/>
        <w:t>t</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3217"/>
        <w:t>u</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3218"/>
        <w:t>v</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3219"/>
        <w:t>w</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3220"/>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3221"/>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3222"/>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3223"/>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3224"/>
        <w:t>d</w:t>
      </w:r>
      <w:r>
        <w:rPr/>
        <w:t xml:space="preserve">.{{field-off:bible}} </w:t>
        <w:br/>
        <w:t>[[@BibleTOBIBLE:Mt 6:6]]</w:t>
      </w:r>
      <w:r>
        <w:rPr>
          <w:b/>
        </w:rPr>
        <w:t>6</w:t>
      </w:r>
      <w:r>
        <w:rPr/>
        <w:t xml:space="preserve"> {{field-on:bible}}Wenn du aber betest</w:t>
      </w:r>
      <w:r>
        <w:rPr>
          <w:rStyle w:val="Funotenanker"/>
        </w:rPr>
        <w:footnoteReference w:customMarkFollows="1" w:id="3225"/>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3226"/>
        <w:t>Status</w:t>
      </w:r>
      <w:r>
        <w:rPr/>
        <w:t xml:space="preserve"> Ihr</w:t>
      </w:r>
      <w:r>
        <w:rPr>
          <w:rStyle w:val="Funotenanker"/>
        </w:rPr>
        <w:footnoteReference w:customMarkFollows="1" w:id="3227"/>
        <w:t>f</w:t>
      </w:r>
      <w:r>
        <w:rPr/>
        <w:t xml:space="preserve"> sollt daher </w:t>
      </w:r>
      <w:r>
        <w:rPr>
          <w:color w:val="808080"/>
        </w:rPr>
        <w:t>(also)</w:t>
      </w:r>
      <w:r>
        <w:rPr/>
        <w:t xml:space="preserve"> folgendermaßen beten: </w:t>
        <w:br/>
        <w:t xml:space="preserve">Unser Vater </w:t>
      </w:r>
      <w:r>
        <w:rPr>
          <w:strike/>
          <w:color w:val="808080"/>
        </w:rPr>
        <w:t>{der}</w:t>
      </w:r>
      <w:r>
        <w:rPr/>
        <w:t xml:space="preserve"> im Himmel</w:t>
      </w:r>
      <w:r>
        <w:rPr>
          <w:rStyle w:val="Funotenanker"/>
        </w:rPr>
        <w:footnoteReference w:customMarkFollows="1" w:id="3228"/>
        <w:t>g</w:t>
      </w:r>
      <w:r>
        <w:rPr/>
        <w:t xml:space="preserve"> </w:t>
      </w:r>
      <w:r>
        <w:rPr>
          <w:rStyle w:val="Funotenanker"/>
        </w:rPr>
        <w:footnoteReference w:customMarkFollows="1" w:id="3229"/>
        <w:t>h</w:t>
      </w:r>
      <w:r>
        <w:rPr/>
        <w:t>,</w:t>
      </w:r>
      <w:r>
        <w:rPr>
          <w:position w:val="8"/>
          <w:sz w:val="19"/>
        </w:rPr>
        <w:t>[[ ℘ &gt;&gt; BibleTOBIBLE:Wis 14:3]][[ ℘ &gt;&gt; BibleTOBIBLE:Is 63:16]][[ ℘ &gt;&gt; BibleTOBIBLE:Is 64:7]][[ ℘ &gt;&gt; BibleTOBIBLE:Je 3:19]][[ ℘ &gt;&gt; BibleTOBIBLE:Mk 11:25]][[ ℘ &gt;&gt; BibleTOBIBLE:Mk 14:36]]</w:t>
      </w:r>
      <w:r>
        <w:rPr/>
        <w:t xml:space="preserve"> </w:t>
        <w:br/>
        <w:t xml:space="preserve">Möge </w:t>
      </w:r>
      <w:r>
        <w:rPr>
          <w:color w:val="808080"/>
        </w:rPr>
        <w:t>(Mögest)</w:t>
      </w:r>
      <w:r>
        <w:rPr/>
        <w:t xml:space="preserve"> </w:t>
      </w:r>
      <w:r>
        <w:rPr>
          <w:rStyle w:val="Funotenanker"/>
        </w:rPr>
        <w:footnoteReference w:customMarkFollows="1" w:id="3230"/>
        <w:t>i</w:t>
      </w:r>
      <w:r>
        <w:rPr/>
        <w:t xml:space="preserve"> dein Name </w:t>
      </w:r>
      <w:r>
        <w:rPr>
          <w:color w:val="808080"/>
        </w:rPr>
        <w:t>(du)</w:t>
      </w:r>
      <w:r>
        <w:rPr/>
        <w:t xml:space="preserve"> geheiligt</w:t>
      </w:r>
      <w:r>
        <w:rPr>
          <w:rStyle w:val="Funotenanker"/>
        </w:rPr>
        <w:footnoteReference w:customMarkFollows="1" w:id="3231"/>
        <w:t>j</w:t>
      </w:r>
      <w:r>
        <w:rPr/>
        <w:t xml:space="preserve"> werden.</w:t>
      </w:r>
      <w:r>
        <w:rPr>
          <w:position w:val="8"/>
          <w:sz w:val="19"/>
        </w:rPr>
        <w:t>[[ ℘ &gt;&gt; BibleTOBIBLE:Is 29:23]][[ ℘ &gt;&gt; BibleTOBIBLE:1Pe 3:15]][[ ℘ &gt;&gt; BibleTOBIBLE:Php 2:10]]</w:t>
      </w:r>
      <w:r>
        <w:rPr/>
        <w:t xml:space="preserve"> </w:t>
        <w:br/>
        <w:t xml:space="preserve">{{field-off:bible}} </w:t>
        <w:br/>
        <w:t>[[@BibleTOBIBLE:Mt 6:10]]</w:t>
      </w:r>
      <w:r>
        <w:rPr>
          <w:b/>
        </w:rPr>
        <w:t>10</w:t>
      </w:r>
      <w:r>
        <w:rPr/>
        <w:t xml:space="preserve"> {{field-on:bible}} </w:t>
        <w:br/>
        <w:t xml:space="preserve">Möge dein Königtum </w:t>
      </w:r>
      <w:r>
        <w:rPr>
          <w:color w:val="808080"/>
        </w:rPr>
        <w:t>(Königsherrschaft, Königreich)</w:t>
      </w:r>
      <w:r>
        <w:rPr/>
        <w:t xml:space="preserve"> </w:t>
      </w:r>
      <w:r>
        <w:rPr>
          <w:rStyle w:val="Funotenanker"/>
        </w:rPr>
        <w:footnoteReference w:customMarkFollows="1" w:id="3232"/>
        <w:t>k</w:t>
      </w:r>
      <w:r>
        <w:rPr/>
        <w:t xml:space="preserve"> kommen</w:t>
      </w:r>
      <w:r>
        <w:rPr>
          <w:rStyle w:val="Funotenanker"/>
        </w:rPr>
        <w:footnoteReference w:customMarkFollows="1" w:id="3233"/>
        <w:t>l</w:t>
      </w:r>
      <w:r>
        <w:rPr/>
        <w:t>.Möge dein Wille geschehen - wie im Himmel so auch auf der Erde</w:t>
      </w:r>
      <w:r>
        <w:rPr>
          <w:rStyle w:val="Funotenanker"/>
        </w:rPr>
        <w:footnoteReference w:customMarkFollows="1" w:id="3234"/>
        <w:t>m</w:t>
      </w:r>
      <w:r>
        <w:rPr/>
        <w:t>.</w:t>
        <w:br/>
        <w:t xml:space="preserve">{{field-off:bible}} </w:t>
        <w:br/>
        <w:t>[[@BibleTOBIBLE:Mt 6:11]]</w:t>
      </w:r>
      <w:r>
        <w:rPr>
          <w:b/>
        </w:rPr>
        <w:t>11</w:t>
      </w:r>
      <w:r>
        <w:rPr/>
        <w:t xml:space="preserve"> {{field-on:bible}} </w:t>
        <w:br/>
        <w:t xml:space="preserve">Unser Brot </w:t>
      </w:r>
      <w:r>
        <w:rPr>
          <w:color w:val="808080"/>
        </w:rPr>
        <w:t>(Essen)</w:t>
      </w:r>
      <w:r>
        <w:rPr/>
        <w:t xml:space="preserve"> </w:t>
      </w:r>
      <w:r>
        <w:rPr>
          <w:rStyle w:val="Funotenanker"/>
        </w:rPr>
        <w:footnoteReference w:customMarkFollows="1" w:id="3235"/>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3236"/>
        <w:t>o</w:t>
      </w:r>
      <w:r>
        <w:rPr/>
        <w:t xml:space="preserve"> gib uns heute </w:t>
      </w:r>
      <w:r>
        <w:rPr>
          <w:position w:val="8"/>
          <w:sz w:val="19"/>
        </w:rPr>
        <w:t>[[ ℘ &gt;&gt; BibleTOBIBLE:Pr 30:8]]</w:t>
      </w:r>
      <w:r>
        <w:rPr/>
        <w:t xml:space="preserve"> </w:t>
        <w:br/>
        <w:t xml:space="preserve">{{field-off:bible}} </w:t>
        <w:br/>
        <w:t>[[@BibleTOBIBLE:Mt 6:12]]</w:t>
      </w:r>
      <w:r>
        <w:rPr>
          <w:b/>
        </w:rPr>
        <w:t>12</w:t>
      </w:r>
      <w:r>
        <w:rPr/>
        <w:t xml:space="preserve"> {{field-on:bible}} </w:t>
        <w:br/>
        <w:t xml:space="preserve">und vergib uns unsere Schulden </w:t>
      </w:r>
      <w:r>
        <w:rPr>
          <w:color w:val="808080"/>
        </w:rPr>
        <w:t>(Schuld, Sünden)</w:t>
      </w:r>
      <w:r>
        <w:rPr/>
        <w:t xml:space="preserve"> </w:t>
      </w:r>
      <w:r>
        <w:rPr>
          <w:rStyle w:val="Funotenanker"/>
        </w:rPr>
        <w:footnoteReference w:customMarkFollows="1" w:id="3237"/>
        <w:t>p</w:t>
      </w:r>
      <w:r>
        <w:rPr/>
        <w:t xml:space="preserve">,wie auch wir unseren Schuldnern vergeben haben </w:t>
      </w:r>
      <w:r>
        <w:rPr>
          <w:color w:val="808080"/>
        </w:rPr>
        <w:t>(vergeben)</w:t>
      </w:r>
      <w:r>
        <w:rPr/>
        <w:t xml:space="preserve"> </w:t>
      </w:r>
      <w:r>
        <w:rPr>
          <w:rStyle w:val="Funotenanker"/>
        </w:rPr>
        <w:footnoteReference w:customMarkFollows="1" w:id="3238"/>
        <w:t>q</w:t>
      </w:r>
      <w:r>
        <w:rPr/>
        <w:t>.</w:t>
        <w:br/>
        <w:t xml:space="preserve">{{field-off:bible}} </w:t>
        <w:br/>
        <w:t>[[@BibleTOBIBLE:Mt 6:13]]</w:t>
      </w:r>
      <w:r>
        <w:rPr>
          <w:b/>
        </w:rPr>
        <w:t>13</w:t>
      </w:r>
      <w:r>
        <w:rPr/>
        <w:t xml:space="preserve"> {{field-on:bible}} </w:t>
        <w:br/>
        <w:t xml:space="preserve">Und führe </w:t>
      </w:r>
      <w:r>
        <w:rPr>
          <w:color w:val="808080"/>
        </w:rPr>
        <w:t>(lass nicht zu, dass wir geraten)</w:t>
      </w:r>
      <w:r>
        <w:rPr/>
        <w:t xml:space="preserve"> </w:t>
      </w:r>
      <w:r>
        <w:rPr>
          <w:rStyle w:val="Funotenanker"/>
        </w:rPr>
        <w:footnoteReference w:customMarkFollows="1" w:id="3239"/>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sondern rette </w:t>
      </w:r>
      <w:r>
        <w:rPr>
          <w:color w:val="808080"/>
        </w:rPr>
        <w:t>(erlöse)</w:t>
      </w:r>
      <w:r>
        <w:rPr/>
        <w:t xml:space="preserve"> uns von dem Bösen.</w:t>
      </w:r>
      <w:r>
        <w:rPr>
          <w:rStyle w:val="Funotenanker"/>
        </w:rPr>
        <w:footnoteReference w:customMarkFollows="1" w:id="3240"/>
        <w:t>s</w:t>
      </w:r>
      <w:r>
        <w:rPr/>
        <w:t xml:space="preserve"> </w:t>
        <w:br/>
        <w:t xml:space="preserve">{{field-off:bible}} </w:t>
        <w:br/>
        <w:t>[[@BibleTOBIBLE:Mt 6:14]]</w:t>
      </w:r>
      <w:r>
        <w:rPr>
          <w:b/>
        </w:rPr>
        <w:t>14</w:t>
      </w:r>
      <w:r>
        <w:rPr/>
        <w:t xml:space="preserve"> {{field-on:bible}} </w:t>
      </w:r>
      <w:r>
        <w:rPr>
          <w:rStyle w:val="Funotenanker"/>
        </w:rPr>
        <w:footnoteReference w:customMarkFollows="1" w:id="3241"/>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3242"/>
        <w:t>t</w:t>
      </w:r>
      <w:r>
        <w:rPr/>
        <w:t xml:space="preserve">Wenn ihr aber fastet, werdet </w:t>
      </w:r>
      <w:r>
        <w:rPr>
          <w:color w:val="808080"/>
        </w:rPr>
        <w:t>(seid)</w:t>
      </w:r>
      <w:r>
        <w:rPr/>
        <w:t xml:space="preserve"> nicht verdrießlich</w:t>
      </w:r>
      <w:r>
        <w:rPr>
          <w:rStyle w:val="Funotenanker"/>
        </w:rPr>
        <w:footnoteReference w:customMarkFollows="1" w:id="3243"/>
        <w:t>u</w:t>
      </w:r>
      <w:r>
        <w:rPr/>
        <w:t xml:space="preserve"> wie die Scheinheiligen </w:t>
      </w:r>
      <w:r>
        <w:rPr>
          <w:color w:val="808080"/>
        </w:rPr>
        <w:t>(Heuchler)</w:t>
      </w:r>
      <w:r>
        <w:rPr/>
        <w:t>, die ihr Gesicht verschwinden lassen</w:t>
      </w:r>
      <w:r>
        <w:rPr>
          <w:rStyle w:val="Funotenanker"/>
        </w:rPr>
        <w:footnoteReference w:customMarkFollows="1" w:id="3244"/>
        <w:t>v</w:t>
      </w:r>
      <w:r>
        <w:rPr/>
        <w:t xml:space="preserve">, damit die Leute wahrnehmen </w:t>
      </w:r>
      <w:r>
        <w:rPr>
          <w:color w:val="808080"/>
        </w:rPr>
        <w:t>(sehen, bemerken)</w:t>
      </w:r>
      <w:r>
        <w:rPr/>
        <w:t xml:space="preserve"> </w:t>
      </w:r>
      <w:r>
        <w:rPr>
          <w:rStyle w:val="Funotenanker"/>
        </w:rPr>
        <w:footnoteReference w:customMarkFollows="1" w:id="3245"/>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3246"/>
        <w:t>x</w:t>
      </w:r>
      <w:r>
        <w:rPr/>
        <w:t xml:space="preserve"> </w:t>
      </w:r>
      <w:r>
        <w:rPr>
          <w:rStyle w:val="Funotenanker"/>
        </w:rPr>
        <w:footnoteReference w:customMarkFollows="1" w:id="3247"/>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3248"/>
        <w:t>z</w:t>
      </w:r>
      <w:r>
        <w:rPr/>
        <w:t xml:space="preserve"> nicht die Leute wahrnehmen </w:t>
      </w:r>
      <w:r>
        <w:rPr>
          <w:color w:val="808080"/>
        </w:rPr>
        <w:t>(sehen, bemerken)</w:t>
      </w:r>
      <w:r>
        <w:rPr/>
        <w:t xml:space="preserve">, dass du fastest </w:t>
      </w:r>
      <w:r>
        <w:rPr>
          <w:rStyle w:val="Funotenanker"/>
        </w:rPr>
        <w:footnoteReference w:customMarkFollows="1" w:id="3249"/>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3250"/>
        <w:t>ab</w:t>
      </w:r>
      <w:r>
        <w:rPr/>
        <w:t xml:space="preserve"> und Fraß </w:t>
      </w:r>
      <w:r>
        <w:rPr>
          <w:color w:val="808080"/>
        </w:rPr>
        <w:t>(Holzwurm, Wurmfraß)</w:t>
      </w:r>
      <w:r>
        <w:rPr/>
        <w:t xml:space="preserve"> </w:t>
      </w:r>
      <w:r>
        <w:rPr>
          <w:rStyle w:val="Funotenanker"/>
        </w:rPr>
        <w:footnoteReference w:customMarkFollows="1" w:id="3251"/>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3252"/>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3253"/>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3254"/>
        <w:t>af</w:t>
      </w:r>
      <w:r>
        <w:rPr/>
        <w:t xml:space="preserve">, da </w:t>
      </w:r>
      <w:r>
        <w:rPr>
          <w:color w:val="808080"/>
        </w:rPr>
        <w:t>(dort)</w:t>
      </w:r>
      <w:r>
        <w:rPr/>
        <w:t xml:space="preserve"> wird</w:t>
      </w:r>
      <w:r>
        <w:rPr>
          <w:rStyle w:val="Funotenanker"/>
        </w:rPr>
        <w:footnoteReference w:customMarkFollows="1" w:id="3255"/>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3256"/>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3257"/>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3258"/>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3259"/>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3260"/>
        <w:t>al</w:t>
      </w:r>
      <w:r>
        <w:rPr/>
        <w:t xml:space="preserve">?{{field-off:bible}} </w:t>
        <w:br/>
        <w:t>[[@BibleTOBIBLE:Mt 6:28]]</w:t>
      </w:r>
      <w:r>
        <w:rPr>
          <w:b/>
        </w:rPr>
        <w:t>28</w:t>
      </w:r>
      <w:r>
        <w:rPr/>
        <w:t xml:space="preserve"> {{field-on:bible}}Und um ein Gewand</w:t>
      </w:r>
      <w:r>
        <w:rPr>
          <w:rStyle w:val="Funotenanker"/>
        </w:rPr>
        <w:footnoteReference w:customMarkFollows="1" w:id="3261"/>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3262"/>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3263"/>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3264"/>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3265"/>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3266"/>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3267"/>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3268"/>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3269"/>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3270"/>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3271"/>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3272"/>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3273"/>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3274"/>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3275"/>
        <w:t>h</w:t>
      </w:r>
      <w:r>
        <w:rPr/>
        <w:t>, dass ein guter Baum schlechte Früchte bringt</w:t>
      </w:r>
      <w:r>
        <w:rPr>
          <w:rStyle w:val="Funotenanker"/>
        </w:rPr>
        <w:footnoteReference w:customMarkFollows="1" w:id="3276"/>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3277"/>
        <w:t>j</w:t>
      </w:r>
      <w:r>
        <w:rPr/>
        <w:t xml:space="preserve"> trägt,</w:t>
      </w:r>
      <w:r>
        <w:rPr>
          <w:rStyle w:val="Funotenanker"/>
        </w:rPr>
        <w:footnoteReference w:customMarkFollows="1" w:id="3278"/>
        <w:t>k</w:t>
      </w:r>
      <w:r>
        <w:rPr/>
        <w:t xml:space="preserve"> wird abgehauen </w:t>
      </w:r>
      <w:r>
        <w:rPr>
          <w:color w:val="808080"/>
        </w:rPr>
        <w:t>(abgehackt, gefällt)</w:t>
      </w:r>
      <w:r>
        <w:rPr/>
        <w:t xml:space="preserve"> und ins Feuer geworfen.</w:t>
      </w:r>
      <w:r>
        <w:rPr>
          <w:rStyle w:val="Funotenanker"/>
        </w:rPr>
        <w:footnoteReference w:customMarkFollows="1" w:id="3279"/>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3280"/>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3281"/>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3282"/>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3283"/>
        <w:t>p</w:t>
      </w:r>
      <w:r>
        <w:rPr/>
        <w:t>: Geht weg von mir, ihr, die ihr arbeitet</w:t>
      </w:r>
      <w:r>
        <w:rPr>
          <w:rStyle w:val="Funotenanker"/>
        </w:rPr>
        <w:footnoteReference w:customMarkFollows="1" w:id="3284"/>
        <w:t>q</w:t>
      </w:r>
      <w:r>
        <w:rPr/>
        <w:t xml:space="preserve"> </w:t>
      </w:r>
      <w:r>
        <w:rPr>
          <w:color w:val="808080"/>
        </w:rPr>
        <w:t>(macht, tätig seid)</w:t>
      </w:r>
      <w:r>
        <w:rPr/>
        <w:t xml:space="preserve"> an der Gesetzlosigkeit</w:t>
      </w:r>
      <w:r>
        <w:rPr>
          <w:rStyle w:val="Funotenanker"/>
        </w:rPr>
        <w:footnoteReference w:customMarkFollows="1" w:id="3285"/>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3286"/>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3287"/>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3288"/>
        <w:t>Status</w:t>
      </w:r>
      <w:r>
        <w:rPr/>
        <w:t xml:space="preserve"> Als er </w:t>
      </w:r>
      <w:r>
        <w:rPr>
          <w:strike/>
          <w:color w:val="808080"/>
        </w:rPr>
        <w:t>{aber}</w:t>
      </w:r>
      <w:r>
        <w:rPr/>
        <w:t xml:space="preserve"> vom Berg stieg</w:t>
      </w:r>
      <w:r>
        <w:rPr>
          <w:rStyle w:val="Funotenanker"/>
        </w:rPr>
        <w:footnoteReference w:customMarkFollows="1" w:id="3289"/>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3290"/>
        <w:t>b</w:t>
      </w:r>
      <w:r>
        <w:rPr/>
        <w:t xml:space="preserve"> kam herzu</w:t>
      </w:r>
      <w:r>
        <w:rPr>
          <w:rStyle w:val="Funotenanker"/>
        </w:rPr>
        <w:footnoteReference w:customMarkFollows="1" w:id="3291"/>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3292"/>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3293"/>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3294"/>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3295"/>
        <w:t>g</w:t>
      </w:r>
      <w:r>
        <w:rPr/>
        <w:t xml:space="preserve"> {{field-off:bible}} </w:t>
        <w:br/>
        <w:t>[[@BibleTOBIBLE:Mt 8:6]]</w:t>
      </w:r>
      <w:r>
        <w:rPr>
          <w:b/>
        </w:rPr>
        <w:t>6</w:t>
      </w:r>
      <w:r>
        <w:rPr/>
        <w:t xml:space="preserve"> {{field-on:bible}}und sagte</w:t>
      </w:r>
      <w:r>
        <w:rPr>
          <w:rStyle w:val="Funotenanker"/>
        </w:rPr>
        <w:footnoteReference w:customMarkFollows="1" w:id="3296"/>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3297"/>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3298"/>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3299"/>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3300"/>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3301"/>
        <w:t>m</w:t>
      </w:r>
      <w:r>
        <w:rPr/>
        <w:t xml:space="preserve"> bin unter Vollmacht </w:t>
      </w:r>
      <w:r>
        <w:rPr>
          <w:color w:val="808080"/>
        </w:rPr>
        <w:t>(Macht, Kommandogewalt)</w:t>
      </w:r>
      <w:r>
        <w:rPr/>
        <w:t>, denn ich habe</w:t>
      </w:r>
      <w:r>
        <w:rPr>
          <w:rStyle w:val="Funotenanker"/>
        </w:rPr>
        <w:footnoteReference w:customMarkFollows="1" w:id="3302"/>
        <w:t>n</w:t>
      </w:r>
      <w:r>
        <w:rPr/>
        <w:t xml:space="preserve"> unter mir Soldaten, und wenn ich sage</w:t>
      </w:r>
      <w:r>
        <w:rPr>
          <w:rStyle w:val="Funotenanker"/>
        </w:rPr>
        <w:footnoteReference w:customMarkFollows="1" w:id="3303"/>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3304"/>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3305"/>
        <w:t>q</w:t>
      </w:r>
      <w:r>
        <w:rPr/>
        <w:t>, sah er seine Schwiegermutter, die lag und Fieber hatte</w:t>
      </w:r>
      <w:r>
        <w:rPr>
          <w:rStyle w:val="Funotenanker"/>
        </w:rPr>
        <w:footnoteReference w:customMarkFollows="1" w:id="3306"/>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3307"/>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3308"/>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3309"/>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3310"/>
        <w:t>v</w:t>
      </w:r>
      <w:r>
        <w:rPr/>
        <w:t xml:space="preserve">, sagte ihm: Lehrer, ich will dir folgen wo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3311"/>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3312"/>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sagte </w:t>
      </w:r>
      <w:r>
        <w:rPr>
          <w:color w:val="808080"/>
        </w:rPr>
        <w:t>(sprach)</w:t>
      </w:r>
      <w:r>
        <w:rPr/>
        <w:t xml:space="preserve"> </w:t>
      </w:r>
      <w:r>
        <w:rPr>
          <w:b/>
          <w:color w:val="808080"/>
        </w:rPr>
        <w:t>[</w:t>
      </w:r>
      <w:r>
        <w:rPr/>
        <w:t>zu</w:t>
      </w:r>
      <w:r>
        <w:rPr>
          <w:b/>
          <w:color w:val="808080"/>
        </w:rPr>
        <w:t>]</w:t>
      </w:r>
      <w:r>
        <w:rPr/>
        <w:t xml:space="preserve"> ihnen: Was seid ihr feige </w:t>
      </w:r>
      <w:r>
        <w:rPr>
          <w:color w:val="808080"/>
        </w:rPr>
        <w:t>(verzagt, ängstlich)</w:t>
      </w:r>
      <w:r>
        <w:rPr/>
        <w:t>, Kleingläubige</w:t>
      </w:r>
      <w:r>
        <w:rPr>
          <w:rStyle w:val="Funotenanker"/>
        </w:rPr>
        <w:footnoteReference w:customMarkFollows="1" w:id="3313"/>
        <w:t>y</w:t>
      </w:r>
      <w:r>
        <w:rPr/>
        <w:t>? Dann stand er auf</w:t>
      </w:r>
      <w:r>
        <w:rPr>
          <w:rStyle w:val="Funotenanker"/>
        </w:rPr>
        <w:footnoteReference w:customMarkFollows="1" w:id="3314"/>
        <w:t>z</w:t>
      </w:r>
      <w:r>
        <w:rPr/>
        <w:t xml:space="preserve"> </w:t>
      </w:r>
      <w:r>
        <w:rPr>
          <w:b/>
          <w:color w:val="808080"/>
        </w:rPr>
        <w:t>[</w:t>
      </w:r>
      <w:r>
        <w:rPr/>
        <w:t>und</w:t>
      </w:r>
      <w:r>
        <w:rPr>
          <w:b/>
          <w:color w:val="808080"/>
        </w:rPr>
        <w:t>]</w:t>
      </w:r>
      <w:r>
        <w:rPr/>
        <w:t xml:space="preserve"> tadelte </w:t>
      </w:r>
      <w:r>
        <w:rPr>
          <w:color w:val="808080"/>
        </w:rPr>
        <w:t>(fuhr an)</w:t>
      </w:r>
      <w:r>
        <w:rPr/>
        <w:t xml:space="preserve"> die Winde und den See </w:t>
      </w:r>
      <w:r>
        <w:rPr>
          <w:color w:val="808080"/>
        </w:rPr>
        <w:t>(das Meer)</w:t>
      </w:r>
      <w:r>
        <w:rPr/>
        <w:t xml:space="preserve">; und es entstand eine große Stille </w:t>
      </w:r>
      <w:r>
        <w:rPr>
          <w:color w:val="808080"/>
        </w:rPr>
        <w:t>(es trat eine völlige (Meeres-)Stille ein)</w:t>
      </w:r>
      <w:r>
        <w:rPr/>
        <w:t xml:space="preserve">.{{field-off:bible}} </w:t>
        <w:br/>
        <w:t>[[@BibleTOBIBLE:Mt 8:27]]</w:t>
      </w:r>
      <w:r>
        <w:rPr>
          <w:b/>
        </w:rPr>
        <w:t>27</w:t>
      </w:r>
      <w:r>
        <w:rPr/>
        <w:t xml:space="preserve"> {{field-on:bible}}Die Menschen aber wunderten sich </w:t>
      </w:r>
      <w:r>
        <w:rPr>
          <w:b/>
          <w:color w:val="808080"/>
        </w:rPr>
        <w:t>[</w:t>
      </w:r>
      <w:r>
        <w:rPr/>
        <w:t>und</w:t>
      </w:r>
      <w:r>
        <w:rPr>
          <w:b/>
          <w:color w:val="808080"/>
        </w:rPr>
        <w:t>]</w:t>
      </w:r>
      <w:r>
        <w:rPr/>
        <w:t xml:space="preserve"> sprachen: Was für einer ist dieser </w:t>
      </w:r>
      <w:r>
        <w:rPr>
          <w:color w:val="808080"/>
        </w:rPr>
        <w:t>(Was ist er für einer)</w:t>
      </w:r>
      <w:r>
        <w:rPr/>
        <w:t xml:space="preserve">, dass sowohl </w:t>
      </w:r>
      <w:r>
        <w:rPr>
          <w:color w:val="808080"/>
        </w:rPr>
        <w:t>(auch)</w:t>
      </w:r>
      <w:r>
        <w:rPr/>
        <w:t xml:space="preserve"> die Winde als auch </w:t>
      </w:r>
      <w:r>
        <w:rPr>
          <w:color w:val="808080"/>
        </w:rPr>
        <w:t>(und)</w:t>
      </w:r>
      <w:r>
        <w:rPr/>
        <w:t xml:space="preserve"> der der See </w:t>
      </w:r>
      <w:r>
        <w:rPr>
          <w:color w:val="808080"/>
        </w:rPr>
        <w:t>(das Meer)</w:t>
      </w:r>
      <w:r>
        <w:rPr/>
        <w:t xml:space="preserve"> ihm gehorchen?{{field-off:bible}} </w:t>
        <w:br/>
        <w:t>[[@BibleTOBIBLE:Mt 8:28]]</w:t>
      </w:r>
      <w:r>
        <w:rPr>
          <w:b/>
        </w:rPr>
        <w:t>28</w:t>
      </w:r>
      <w:r>
        <w:rPr/>
        <w:t xml:space="preserve"> {{field-on:bible}}Und als er ankam</w:t>
      </w:r>
      <w:r>
        <w:rPr>
          <w:rStyle w:val="Funotenanker"/>
        </w:rPr>
        <w:footnoteReference w:customMarkFollows="1" w:id="3315"/>
        <w:t>aa</w:t>
      </w:r>
      <w:r>
        <w:rPr/>
        <w:t xml:space="preserve"> auf dem anderen Ufer </w:t>
      </w:r>
      <w:r>
        <w:rPr>
          <w:color w:val="808080"/>
        </w:rPr>
        <w:t>(der anderen Seite des Sees)</w:t>
      </w:r>
      <w:r>
        <w:rPr/>
        <w:t xml:space="preserve"> in das Land </w:t>
      </w:r>
      <w:r>
        <w:rPr>
          <w:color w:val="808080"/>
        </w:rPr>
        <w:t>(die Landschaft, das Gebiet)</w:t>
      </w:r>
      <w:r>
        <w:rPr/>
        <w:t xml:space="preserve"> der Gadarener gingen ihm entgegen zwei Besessene, die aus den Gräbern kamen</w:t>
      </w:r>
      <w:r>
        <w:rPr>
          <w:rStyle w:val="Funotenanker"/>
        </w:rPr>
        <w:footnoteReference w:customMarkFollows="1" w:id="3316"/>
        <w:t>ab</w:t>
      </w:r>
      <w:r>
        <w:rPr/>
        <w:t xml:space="preserve"> sehr gefährlich </w:t>
      </w:r>
      <w:r>
        <w:rPr>
          <w:color w:val="808080"/>
        </w:rPr>
        <w:t>(schlimm, wild)</w:t>
      </w:r>
      <w:r>
        <w:rPr/>
        <w:t xml:space="preserve">, so daß niemand konnte vorübergehen </w:t>
      </w:r>
      <w:r>
        <w:rPr>
          <w:color w:val="808080"/>
        </w:rPr>
        <w:t>(vorbeigehen)</w:t>
      </w:r>
      <w:r>
        <w:rPr/>
        <w:t xml:space="preserve"> durch jenen Weg.{{field-off:bible}} </w:t>
        <w:br/>
        <w:t>[[@BibleTOBIBLE:Mt 8:29]]</w:t>
      </w:r>
      <w:r>
        <w:rPr>
          <w:b/>
        </w:rPr>
        <w:t>29</w:t>
      </w:r>
      <w:r>
        <w:rPr/>
        <w:t xml:space="preserve"> {{field-on:bible}}und siehe, sie rufen </w:t>
      </w:r>
      <w:r>
        <w:rPr>
          <w:strike/>
          <w:color w:val="808080"/>
        </w:rPr>
        <w:t>{sagend}</w:t>
      </w:r>
      <w:r>
        <w:rPr/>
        <w:t>: Lass uns in Ruhe</w:t>
      </w:r>
      <w:r>
        <w:rPr>
          <w:rStyle w:val="Funotenanker"/>
        </w:rPr>
        <w:footnoteReference w:customMarkFollows="1" w:id="3317"/>
        <w:t>ac</w:t>
      </w:r>
      <w:r>
        <w:rPr/>
        <w:t xml:space="preserve">, Sohn Gottes! Kommst du hierher vor der Zeit </w:t>
      </w:r>
      <w:r>
        <w:rPr>
          <w:color w:val="808080"/>
        </w:rPr>
        <w:t>(dem rechten Zeitpunkt)</w:t>
      </w:r>
      <w:r>
        <w:rPr/>
        <w:t xml:space="preserve"> </w:t>
      </w:r>
      <w:r>
        <w:rPr>
          <w:rStyle w:val="Funotenanker"/>
        </w:rPr>
        <w:footnoteReference w:customMarkFollows="1" w:id="3318"/>
        <w:t>ad</w:t>
      </w:r>
      <w:r>
        <w:rPr/>
        <w:t xml:space="preserve"> uns zu foltern </w:t>
      </w:r>
      <w:r>
        <w:rPr>
          <w:color w:val="808080"/>
        </w:rPr>
        <w:t>(quälen)</w:t>
      </w:r>
      <w:r>
        <w:rPr/>
        <w:t xml:space="preserve">?{{field-off:bible}} </w:t>
        <w:br/>
        <w:t>[[@BibleTOBIBLE:Mt 8:30]]</w:t>
      </w:r>
      <w:r>
        <w:rPr>
          <w:b/>
        </w:rPr>
        <w:t>30</w:t>
      </w:r>
      <w:r>
        <w:rPr/>
        <w:t xml:space="preserve"> {{field-on:bible}}Es weideten aber weit weg eine Herde vieler Schweine.{{field-off:bible}} </w:t>
        <w:br/>
        <w:t>[[@BibleTOBIBLE:Mt 8:31]]</w:t>
      </w:r>
      <w:r>
        <w:rPr>
          <w:b/>
        </w:rPr>
        <w:t>31</w:t>
      </w:r>
      <w:r>
        <w:rPr/>
        <w:t xml:space="preserve"> {{field-on:bible}}Die Dämonen aber baten ihn </w:t>
      </w:r>
      <w:r>
        <w:rPr>
          <w:strike/>
          <w:color w:val="808080"/>
        </w:rPr>
        <w:t>{sagend}</w:t>
      </w:r>
      <w:r>
        <w:rPr/>
        <w:t xml:space="preserve">: Wenn du uns austreibst, schicke uns </w:t>
      </w:r>
      <w:r>
        <w:rPr>
          <w:color w:val="808080"/>
        </w:rPr>
        <w:t>(lass uns fahren)</w:t>
      </w:r>
      <w:r>
        <w:rPr/>
        <w:t xml:space="preserve"> in die Herde der Schweine </w:t>
      </w:r>
      <w:r>
        <w:rPr>
          <w:color w:val="808080"/>
        </w:rPr>
        <w:t>(Schweineherde)</w:t>
      </w:r>
      <w:r>
        <w:rPr/>
        <w:t xml:space="preserve">.{{field-off:bible}} </w:t>
        <w:br/>
        <w:t>[[@BibleTOBIBLE:Mt 8:32]]</w:t>
      </w:r>
      <w:r>
        <w:rPr>
          <w:b/>
        </w:rPr>
        <w:t>32</w:t>
      </w:r>
      <w:r>
        <w:rPr/>
        <w:t xml:space="preserve"> {{field-on:bible}}Und er sagte ihnen: Geht </w:t>
      </w:r>
      <w:r>
        <w:rPr>
          <w:color w:val="808080"/>
        </w:rPr>
        <w:t>(fort)</w:t>
      </w:r>
      <w:r>
        <w:rPr/>
        <w:t xml:space="preserve">! Und diese gingen aus und gingen in die Schweine; und siehe, die Herde stürmte </w:t>
      </w:r>
      <w:r>
        <w:rPr>
          <w:color w:val="808080"/>
        </w:rPr>
        <w:t>(stürzte)</w:t>
      </w:r>
      <w:r>
        <w:rPr/>
        <w:t xml:space="preserve"> ganz von dem Abhang hinab in das Meer und starb </w:t>
      </w:r>
      <w:r>
        <w:rPr>
          <w:color w:val="808080"/>
        </w:rPr>
        <w:t>(kam um)</w:t>
      </w:r>
      <w:r>
        <w:rPr/>
        <w:t xml:space="preserve"> in den Fluten </w:t>
      </w:r>
      <w:r>
        <w:rPr>
          <w:color w:val="808080"/>
        </w:rPr>
        <w:t>(im Wasser)</w:t>
      </w:r>
      <w:r>
        <w:rPr/>
        <w:t xml:space="preserve">.{{field-off:bible}} </w:t>
        <w:br/>
        <w:t>[[@BibleTOBIBLE:Mt 8:33]]</w:t>
      </w:r>
      <w:r>
        <w:rPr>
          <w:b/>
        </w:rPr>
        <w:t>33</w:t>
      </w:r>
      <w:r>
        <w:rPr/>
        <w:t xml:space="preserve"> {{field-on:bible}}Aber die Hirten</w:t>
      </w:r>
      <w:r>
        <w:rPr>
          <w:rStyle w:val="Funotenanker"/>
        </w:rPr>
        <w:footnoteReference w:customMarkFollows="1" w:id="3319"/>
        <w:t>ae</w:t>
      </w:r>
      <w:r>
        <w:rPr/>
        <w:t xml:space="preserve"> flohen und gingen weg in die Stadt und erzählten </w:t>
      </w:r>
      <w:r>
        <w:rPr>
          <w:color w:val="808080"/>
        </w:rPr>
        <w:t>(verkündeten, berichteten)</w:t>
      </w:r>
      <w:r>
        <w:rPr/>
        <w:t xml:space="preserve"> alles und das der Besessenen</w:t>
      </w:r>
      <w:r>
        <w:rPr>
          <w:rStyle w:val="Funotenanker"/>
        </w:rPr>
        <w:footnoteReference w:customMarkFollows="1" w:id="3320"/>
        <w:t>af</w:t>
      </w:r>
      <w:r>
        <w:rPr/>
        <w:t xml:space="preserve">.{{field-off:bible}} </w:t>
        <w:br/>
        <w:t>[[@BibleTOBIBLE:Mt 8:34]]</w:t>
      </w:r>
      <w:r>
        <w:rPr>
          <w:b/>
        </w:rPr>
        <w:t>34</w:t>
      </w:r>
      <w:r>
        <w:rPr/>
        <w:t xml:space="preserve"> {{field-on:bible}}Und siehe, die ganze Stadt ging heran zur Begegnung dem Jesu </w:t>
      </w:r>
      <w:r>
        <w:rPr>
          <w:color w:val="808080"/>
        </w:rPr>
        <w:t>(um Jesus zu begegnen, Jesu entgegen)</w:t>
      </w:r>
      <w:r>
        <w:rPr/>
        <w:t xml:space="preserve"> und als sie ihn sahen</w:t>
      </w:r>
      <w:r>
        <w:rPr>
          <w:rStyle w:val="Funotenanker"/>
        </w:rPr>
        <w:footnoteReference w:customMarkFollows="1" w:id="3321"/>
        <w:t>ag</w:t>
      </w:r>
      <w:r>
        <w:rPr/>
        <w:t xml:space="preserve"> baten sie ihn, dass er weggehe aus ihrem Gebiet </w:t>
      </w:r>
      <w:r>
        <w:rPr>
          <w:color w:val="808080"/>
        </w:rPr>
        <w:t>(ihren Grenzen)</w:t>
      </w:r>
      <w:r>
        <w:rPr/>
        <w:t xml:space="preserve">.{{field-off:bible}}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3322"/>
        <w:t>Status</w:t>
      </w:r>
      <w:r>
        <w:rPr/>
        <w:t xml:space="preserve"> Und er stieg in ein Boot </w:t>
      </w:r>
      <w:r>
        <w:rPr>
          <w:color w:val="808080"/>
        </w:rPr>
        <w:t>(ein)</w:t>
      </w:r>
      <w:r>
        <w:rPr/>
        <w:t xml:space="preserve"> und fuhr an das andere Ufer </w:t>
      </w:r>
      <w:r>
        <w:rPr>
          <w:color w:val="808080"/>
        </w:rPr>
        <w:t>(hinüber)</w:t>
      </w:r>
      <w:r>
        <w:rPr/>
        <w:t xml:space="preserve"> und ging in seine eigene Stadt </w:t>
      </w:r>
      <w:r>
        <w:rPr>
          <w:color w:val="808080"/>
        </w:rPr>
        <w:t>(die Stadt, in der er lebte)</w:t>
      </w:r>
      <w:r>
        <w:rPr/>
        <w:t xml:space="preserve">.{{field-off:bible}} </w:t>
        <w:br/>
        <w:t>[[@BibleTOBIBLE:Mt 9:2]]</w:t>
      </w:r>
      <w:r>
        <w:rPr>
          <w:b/>
        </w:rPr>
        <w:t>2</w:t>
      </w:r>
      <w:r>
        <w:rPr/>
        <w:t xml:space="preserve"> {{field-on:bible}}Und siehe man brachte ihm einen Gelähmten </w:t>
      </w:r>
      <w:r>
        <w:rPr>
          <w:color w:val="808080"/>
        </w:rPr>
        <w:t>(vorbei)</w:t>
      </w:r>
      <w:r>
        <w:rPr/>
        <w:t xml:space="preserve">, der auf einer </w:t>
      </w:r>
      <w:r>
        <w:rPr>
          <w:color w:val="808080"/>
        </w:rPr>
        <w:t>(Trag-)</w:t>
      </w:r>
      <w:r>
        <w:rPr/>
        <w:t xml:space="preserve">Bahre </w:t>
      </w:r>
      <w:r>
        <w:rPr>
          <w:color w:val="808080"/>
        </w:rPr>
        <w:t>(Bett)</w:t>
      </w:r>
      <w:r>
        <w:rPr/>
        <w:t xml:space="preserve"> lag</w:t>
      </w:r>
      <w:r>
        <w:rPr>
          <w:rStyle w:val="Funotenanker"/>
        </w:rPr>
        <w:footnoteReference w:customMarkFollows="1" w:id="3323"/>
        <w:t>a</w:t>
      </w:r>
      <w:r>
        <w:rPr/>
        <w:t xml:space="preserve">. Und als Jesus seinen Glauben sah, sprach er zu dem Gelähmten: Sei guten Mutes </w:t>
      </w:r>
      <w:r>
        <w:rPr>
          <w:color w:val="808080"/>
        </w:rPr>
        <w:t>(voller Mut, zuversichtlich, hab keine Angst)</w:t>
      </w:r>
      <w:r>
        <w:rPr/>
        <w:t xml:space="preserve"> mein Kind, dir sind vergeben deine Sünden.{{field-off:bible}} </w:t>
        <w:br/>
        <w:t>[[@BibleTOBIBLE:Mt 9:3]]</w:t>
      </w:r>
      <w:r>
        <w:rPr>
          <w:b/>
        </w:rPr>
        <w:t>3</w:t>
      </w:r>
      <w:r>
        <w:rPr/>
        <w:t xml:space="preserve"> {{field-on:bible}}Und siehe, einige der Schriftgelehrten sprachen bei sich: Dieser lästert </w:t>
      </w:r>
      <w:r>
        <w:rPr>
          <w:color w:val="808080"/>
        </w:rPr>
        <w:t>(Gott)</w:t>
      </w:r>
      <w:r>
        <w:rPr/>
        <w:t xml:space="preserve">.{{field-off:bible}} </w:t>
        <w:br/>
        <w:t>[[@BibleTOBIBLE:Mt 9:4]]</w:t>
      </w:r>
      <w:r>
        <w:rPr>
          <w:b/>
        </w:rPr>
        <w:t>4</w:t>
      </w:r>
      <w:r>
        <w:rPr/>
        <w:t xml:space="preserve"> {{field-on:bible}}Und als Jesus ihre Gedanken </w:t>
      </w:r>
      <w:r>
        <w:rPr>
          <w:color w:val="808080"/>
        </w:rPr>
        <w:t>(Erwägungen, Überlegungen)</w:t>
      </w:r>
      <w:r>
        <w:rPr/>
        <w:t xml:space="preserve"> bemerkte </w:t>
      </w:r>
      <w:r>
        <w:rPr>
          <w:color w:val="808080"/>
        </w:rPr>
        <w:t>(durchschaute)</w:t>
      </w:r>
      <w:r>
        <w:rPr/>
        <w:t xml:space="preserve"> sagte er: Warum </w:t>
      </w:r>
      <w:r>
        <w:rPr>
          <w:color w:val="808080"/>
        </w:rPr>
        <w:t>(wozu)</w:t>
      </w:r>
      <w:r>
        <w:rPr/>
        <w:t xml:space="preserve"> denkt </w:t>
      </w:r>
      <w:r>
        <w:rPr>
          <w:color w:val="808080"/>
        </w:rPr>
        <w:t>(überlegt)</w:t>
      </w:r>
      <w:r>
        <w:rPr/>
        <w:t xml:space="preserve"> ihr Böses </w:t>
      </w:r>
      <w:r>
        <w:rPr>
          <w:color w:val="808080"/>
        </w:rPr>
        <w:t>(böse Gedanken)</w:t>
      </w:r>
      <w:r>
        <w:rPr/>
        <w:t xml:space="preserve"> in eurem Herzen?{{field-off:bible}} </w:t>
        <w:br/>
        <w:t>[[@BibleTOBIBLE:Mt 9:5]]</w:t>
      </w:r>
      <w:r>
        <w:rPr>
          <w:b/>
        </w:rPr>
        <w:t>5</w:t>
      </w:r>
      <w:r>
        <w:rPr/>
        <w:t xml:space="preserve"> {{field-on:bible}}Denn was ist leichter </w:t>
      </w:r>
      <w:r>
        <w:rPr>
          <w:color w:val="808080"/>
        </w:rPr>
        <w:t>(zu bewerkstelligen)</w:t>
      </w:r>
      <w:r>
        <w:rPr/>
        <w:t xml:space="preserve">, zu sagen: Dir sind vergeben deine Sünden oder zu sagen: Auf! </w:t>
      </w:r>
      <w:r>
        <w:rPr>
          <w:color w:val="808080"/>
        </w:rPr>
        <w:t>(Steh auf!)</w:t>
      </w:r>
      <w:r>
        <w:rPr/>
        <w:t xml:space="preserve"> und gehe umher </w:t>
      </w:r>
      <w:r>
        <w:rPr>
          <w:color w:val="808080"/>
        </w:rPr>
        <w:t>(führe dein Leben, gehe deinen Weg)</w:t>
      </w:r>
      <w:r>
        <w:rPr/>
        <w:t xml:space="preserve">?{{field-off:bible}} </w:t>
        <w:br/>
        <w:t>[[@BibleTOBIBLE:Mt 9:6]]</w:t>
      </w:r>
      <w:r>
        <w:rPr>
          <w:b/>
        </w:rPr>
        <w:t>6</w:t>
      </w:r>
      <w:r>
        <w:rPr/>
        <w:t xml:space="preserve"> {{field-on:bible}}Damit ihr aber wisst, daß der Sohn des Menschen </w:t>
      </w:r>
      <w:r>
        <w:rPr>
          <w:color w:val="808080"/>
        </w:rPr>
        <w:t>(Menschensohn)</w:t>
      </w:r>
      <w:r>
        <w:rPr/>
        <w:t xml:space="preserve"> </w:t>
      </w:r>
      <w:r>
        <w:rPr>
          <w:color w:val="808080"/>
        </w:rPr>
        <w:t>(Voll-)</w:t>
      </w:r>
      <w:r>
        <w:rPr/>
        <w:t xml:space="preserve">Macht hat, auf der Erde Sünde zu vergeben - deshalb sagte er </w:t>
      </w:r>
      <w:r>
        <w:rPr>
          <w:color w:val="808080"/>
        </w:rPr>
        <w:t>(zu)</w:t>
      </w:r>
      <w:r>
        <w:rPr/>
        <w:t xml:space="preserve"> dem Gelähmten: Steh auf </w:t>
      </w:r>
      <w:r>
        <w:rPr>
          <w:color w:val="808080"/>
        </w:rPr>
        <w:t>(auf!)</w:t>
      </w:r>
      <w:r>
        <w:rPr/>
        <w:t xml:space="preserve"> nimm deine Bahre </w:t>
      </w:r>
      <w:r>
        <w:rPr>
          <w:color w:val="808080"/>
        </w:rPr>
        <w:t>(Bett)</w:t>
      </w:r>
      <w:r>
        <w:rPr/>
        <w:t xml:space="preserve"> und geh in dein Haus </w:t>
      </w:r>
      <w:r>
        <w:rPr>
          <w:color w:val="808080"/>
        </w:rPr>
        <w:t>(nach Hause)</w:t>
      </w:r>
      <w:r>
        <w:rPr/>
        <w:t xml:space="preserve">.{{field-off:bible}} </w:t>
        <w:br/>
        <w:t>[[@BibleTOBIBLE:Mt 9:7]]</w:t>
      </w:r>
      <w:r>
        <w:rPr>
          <w:b/>
        </w:rPr>
        <w:t>7</w:t>
      </w:r>
      <w:r>
        <w:rPr/>
        <w:t xml:space="preserve"> {{field-on:bible}}Und er stand auf und ging in sein Haus </w:t>
      </w:r>
      <w:r>
        <w:rPr>
          <w:color w:val="808080"/>
        </w:rPr>
        <w:t>(nach Hause)</w:t>
      </w:r>
      <w:r>
        <w:rPr/>
        <w:t xml:space="preserve">.{{field-off:bible}} </w:t>
        <w:br/>
        <w:t>[[@BibleTOBIBLE:Mt 9:8]]</w:t>
      </w:r>
      <w:r>
        <w:rPr>
          <w:b/>
        </w:rPr>
        <w:t>8</w:t>
      </w:r>
      <w:r>
        <w:rPr/>
        <w:t xml:space="preserve"> {{field-on:bible}}Und weil die </w:t>
      </w:r>
      <w:r>
        <w:rPr>
          <w:color w:val="808080"/>
        </w:rPr>
        <w:t>(Volks-)</w:t>
      </w:r>
      <w:r>
        <w:rPr/>
        <w:t>Menge dies sah</w:t>
      </w:r>
      <w:r>
        <w:rPr>
          <w:rStyle w:val="Funotenanker"/>
        </w:rPr>
        <w:footnoteReference w:customMarkFollows="1" w:id="3324"/>
        <w:t>b</w:t>
      </w:r>
      <w:r>
        <w:rPr/>
        <w:t xml:space="preserve"> </w:t>
      </w:r>
      <w:r>
        <w:rPr>
          <w:color w:val="808080"/>
        </w:rPr>
        <w:t>(erblickte)</w:t>
      </w:r>
      <w:r>
        <w:rPr/>
        <w:t xml:space="preserve"> hatte sie Ehrfurcht </w:t>
      </w:r>
      <w:r>
        <w:rPr>
          <w:color w:val="808080"/>
        </w:rPr>
        <w:t>(Angst)</w:t>
      </w:r>
      <w:r>
        <w:rPr/>
        <w:t xml:space="preserve"> </w:t>
      </w:r>
      <w:r>
        <w:rPr>
          <w:color w:val="808080"/>
        </w:rPr>
        <w:t>(fürchtete sich)</w:t>
      </w:r>
      <w:r>
        <w:rPr/>
        <w:t xml:space="preserve"> und pries </w:t>
      </w:r>
      <w:r>
        <w:rPr>
          <w:color w:val="808080"/>
        </w:rPr>
        <w:t>(lobpries, rühmte)</w:t>
      </w:r>
      <w:r>
        <w:rPr/>
        <w:t xml:space="preserve"> Gott, daß er schenkte </w:t>
      </w:r>
      <w:r>
        <w:rPr>
          <w:color w:val="808080"/>
        </w:rPr>
        <w:t>(gewährte)</w:t>
      </w:r>
      <w:r>
        <w:rPr/>
        <w:t xml:space="preserve"> derartige </w:t>
      </w:r>
      <w:r>
        <w:rPr>
          <w:color w:val="808080"/>
        </w:rPr>
        <w:t>(solche)</w:t>
      </w:r>
      <w:r>
        <w:rPr/>
        <w:t xml:space="preserve"> </w:t>
      </w:r>
      <w:r>
        <w:rPr>
          <w:color w:val="808080"/>
        </w:rPr>
        <w:t>(Voll-)</w:t>
      </w:r>
      <w:r>
        <w:rPr/>
        <w:t xml:space="preserve">Macht den Menschen.{{field-off:bible}} </w:t>
        <w:br/>
        <w:t>[[@BibleTOBIBLE:Mt 9:9]]</w:t>
      </w:r>
      <w:r>
        <w:rPr>
          <w:b/>
        </w:rPr>
        <w:t>9</w:t>
      </w:r>
      <w:r>
        <w:rPr/>
        <w:t xml:space="preserve"> {{field-on:bible}}Und von dort weitergehend</w:t>
      </w:r>
      <w:r>
        <w:rPr>
          <w:rStyle w:val="Funotenanker"/>
        </w:rPr>
        <w:footnoteReference w:customMarkFollows="1" w:id="3325"/>
        <w:t>c</w:t>
      </w:r>
      <w:r>
        <w:rPr/>
        <w:t xml:space="preserve"> sah Jesus einen Menschen sitzend</w:t>
      </w:r>
      <w:r>
        <w:rPr>
          <w:rStyle w:val="Funotenanker"/>
        </w:rPr>
        <w:footnoteReference w:customMarkFollows="1" w:id="3326"/>
        <w:t>d</w:t>
      </w:r>
      <w:r>
        <w:rPr/>
        <w:t xml:space="preserve"> bei der Zollstelle </w:t>
      </w:r>
      <w:r>
        <w:rPr>
          <w:color w:val="808080"/>
        </w:rPr>
        <w:t>(Zollhaus)</w:t>
      </w:r>
      <w:r>
        <w:rPr/>
        <w:t xml:space="preserve">, genannt Matthäus, und spricht </w:t>
      </w:r>
      <w:r>
        <w:rPr>
          <w:color w:val="808080"/>
        </w:rPr>
        <w:t>(sagt)</w:t>
      </w:r>
      <w:r>
        <w:rPr/>
        <w:t xml:space="preserve"> zu ihm: Folge mir </w:t>
      </w:r>
      <w:r>
        <w:rPr>
          <w:color w:val="808080"/>
        </w:rPr>
        <w:t>(nach)</w:t>
      </w:r>
      <w:r>
        <w:rPr/>
        <w:t>! Und er stand auf</w:t>
      </w:r>
      <w:r>
        <w:rPr>
          <w:rStyle w:val="Funotenanker"/>
        </w:rPr>
        <w:footnoteReference w:customMarkFollows="1" w:id="3327"/>
        <w:t>e</w:t>
      </w:r>
      <w:r>
        <w:rPr/>
        <w:t xml:space="preserve"> </w:t>
      </w:r>
      <w:r>
        <w:rPr>
          <w:b/>
          <w:color w:val="808080"/>
        </w:rPr>
        <w:t>[</w:t>
      </w:r>
      <w:r>
        <w:rPr/>
        <w:t>und</w:t>
      </w:r>
      <w:r>
        <w:rPr>
          <w:b/>
          <w:color w:val="808080"/>
        </w:rPr>
        <w:t>]</w:t>
      </w:r>
      <w:r>
        <w:rPr/>
        <w:t xml:space="preserve"> folgte ihm.{{field-off:bible}} </w:t>
        <w:br/>
        <w:t>[[@BibleTOBIBLE:Mt 9:10]]</w:t>
      </w:r>
      <w:r>
        <w:rPr>
          <w:b/>
        </w:rPr>
        <w:t>10</w:t>
      </w:r>
      <w:r>
        <w:rPr/>
        <w:t xml:space="preserve"> {{field-on:bible}}Und es war, als er sich </w:t>
      </w:r>
      <w:r>
        <w:rPr>
          <w:color w:val="808080"/>
        </w:rPr>
        <w:t>(zu Tisch)</w:t>
      </w:r>
      <w:r>
        <w:rPr/>
        <w:t xml:space="preserve"> niederlegte im </w:t>
      </w:r>
      <w:r>
        <w:rPr>
          <w:color w:val="808080"/>
        </w:rPr>
        <w:t>(seinem)</w:t>
      </w:r>
      <w:r>
        <w:rPr/>
        <w:t xml:space="preserve"> Haus, und siehe, viele Zöllner und Sünder kamen, um sich mit Jesus und seinen Jüngern niederzulegen </w:t>
      </w:r>
      <w:r>
        <w:rPr>
          <w:color w:val="808080"/>
        </w:rPr>
        <w:t>(zusammen zu Tisch zu sein, am Essen teilzunehmen)</w:t>
      </w:r>
      <w:r>
        <w:rPr/>
        <w:t xml:space="preserve">.{{field-off:bible}} </w:t>
        <w:br/>
        <w:t>[[@BibleTOBIBLE:Mt 9:11]]</w:t>
      </w:r>
      <w:r>
        <w:rPr>
          <w:b/>
        </w:rPr>
        <w:t>11</w:t>
      </w:r>
      <w:r>
        <w:rPr/>
        <w:t xml:space="preserve"> {{field-on:bible}}Und die Pharisäer, als sie es sahen, sprachen zu seinen Jüngern: Weshalb </w:t>
      </w:r>
      <w:r>
        <w:rPr>
          <w:color w:val="808080"/>
        </w:rPr>
        <w:t>(warum)</w:t>
      </w:r>
      <w:r>
        <w:rPr/>
        <w:t xml:space="preserve"> isst euer Lehrer mit den Zöllnern und Sündern?{{field-off:bible}} </w:t>
        <w:br/>
        <w:t>[[@BibleTOBIBLE:Mt 9:12]]</w:t>
      </w:r>
      <w:r>
        <w:rPr>
          <w:b/>
        </w:rPr>
        <w:t>12</w:t>
      </w:r>
      <w:r>
        <w:rPr/>
        <w:t xml:space="preserve"> {{field-on:bible}}Doch dieser hörte es</w:t>
      </w:r>
      <w:r>
        <w:rPr>
          <w:rStyle w:val="Funotenanker"/>
        </w:rPr>
        <w:footnoteReference w:customMarkFollows="1" w:id="3328"/>
        <w:t>f</w:t>
      </w:r>
      <w:r>
        <w:rPr/>
        <w:t xml:space="preserve">, sprach: Nicht die Gesunden brauchen </w:t>
      </w:r>
      <w:r>
        <w:rPr>
          <w:color w:val="808080"/>
        </w:rPr>
        <w:t>(haben nötig)</w:t>
      </w:r>
      <w:r>
        <w:rPr/>
        <w:t xml:space="preserve"> einen Arzt, sondern die Kranken </w:t>
      </w:r>
      <w:r>
        <w:rPr>
          <w:color w:val="808080"/>
        </w:rPr>
        <w:t>(die, denen es schlecht geht, die krank sind)</w:t>
      </w:r>
      <w:r>
        <w:rPr/>
        <w:t xml:space="preserve">.{{field-off:bible}} </w:t>
        <w:br/>
        <w:t>[[@BibleTOBIBLE:Mt 9:13]]</w:t>
      </w:r>
      <w:r>
        <w:rPr>
          <w:b/>
        </w:rPr>
        <w:t>13</w:t>
      </w:r>
      <w:r>
        <w:rPr/>
        <w:t xml:space="preserve"> {{field-on:bible}}Geht aber hin</w:t>
      </w:r>
      <w:r>
        <w:rPr>
          <w:color w:val="808080"/>
        </w:rPr>
        <w:t>(fort)</w:t>
      </w:r>
      <w:r>
        <w:rPr/>
        <w:t xml:space="preserve"> und lernt was ist </w:t>
      </w:r>
      <w:r>
        <w:rPr>
          <w:color w:val="808080"/>
        </w:rPr>
        <w:t>(heißt, bedeutet)</w:t>
      </w:r>
      <w:r>
        <w:rPr/>
        <w:t xml:space="preserve">: Barmherzigkeit </w:t>
      </w:r>
      <w:r>
        <w:rPr>
          <w:color w:val="808080"/>
        </w:rPr>
        <w:t>(Mitleid)</w:t>
      </w:r>
      <w:r>
        <w:rPr/>
        <w:t xml:space="preserve"> möchte </w:t>
      </w:r>
      <w:r>
        <w:rPr>
          <w:color w:val="808080"/>
        </w:rPr>
        <w:t>(will)</w:t>
      </w:r>
      <w:r>
        <w:rPr/>
        <w:t xml:space="preserve"> ich und nicht Opfer; Denn ich bin nicht gekommen zu </w:t>
      </w:r>
      <w:r>
        <w:rPr>
          <w:color w:val="808080"/>
        </w:rPr>
        <w:t>(be-)</w:t>
      </w:r>
      <w:r>
        <w:rPr/>
        <w:t>rufen die Gerechten, sondern die Sünder</w:t>
      </w:r>
      <w:r>
        <w:rPr>
          <w:rStyle w:val="Funotenanker"/>
        </w:rPr>
        <w:footnoteReference w:customMarkFollows="1" w:id="3329"/>
        <w:t>g</w:t>
      </w:r>
      <w:r>
        <w:rPr/>
        <w:t xml:space="preserve">.{{field-off:bible}} </w:t>
        <w:br/>
        <w:t>[[@BibleTOBIBLE:Mt 9:14]]</w:t>
      </w:r>
      <w:r>
        <w:rPr>
          <w:b/>
        </w:rPr>
        <w:t>14</w:t>
      </w:r>
      <w:r>
        <w:rPr/>
        <w:t xml:space="preserve"> {{field-on:bible}}Dann </w:t>
      </w:r>
      <w:r>
        <w:rPr>
          <w:color w:val="808080"/>
        </w:rPr>
        <w:t>(zu der Zeit)</w:t>
      </w:r>
      <w:r>
        <w:rPr/>
        <w:t xml:space="preserve"> kamen zu ihm </w:t>
      </w:r>
      <w:r>
        <w:rPr>
          <w:color w:val="808080"/>
        </w:rPr>
        <w:t>(kamen hinzu, näherten sich ihm)</w:t>
      </w:r>
      <w:r>
        <w:rPr/>
        <w:t xml:space="preserve"> die Jünger des Johannes und sagten: Warum fasten wir und die Pharisäer </w:t>
      </w:r>
      <w:r>
        <w:rPr>
          <w:b/>
          <w:color w:val="808080"/>
        </w:rPr>
        <w:t>[</w:t>
      </w:r>
      <w:r>
        <w:rPr/>
        <w:t>viel, oft</w:t>
      </w:r>
      <w:r>
        <w:rPr>
          <w:b/>
          <w:color w:val="808080"/>
        </w:rPr>
        <w:t>]</w:t>
      </w:r>
      <w:r>
        <w:rPr/>
        <w:t xml:space="preserve"> aber deine Jünger fasten nicht?{{field-off:bible}} </w:t>
        <w:br/>
        <w:t>[[@BibleTOBIBLE:Mt 9:15]]</w:t>
      </w:r>
      <w:r>
        <w:rPr>
          <w:b/>
        </w:rPr>
        <w:t>15</w:t>
      </w:r>
      <w:r>
        <w:rPr/>
        <w:t xml:space="preserve"> {{field-on:bible}}Und es sagte ihnen Jesus: Können </w:t>
      </w:r>
      <w:r>
        <w:rPr>
          <w:color w:val="808080"/>
        </w:rPr>
        <w:t>(vermögen)</w:t>
      </w:r>
      <w:r>
        <w:rPr/>
        <w:t xml:space="preserve"> etwa die Söhne des Bautgemachs </w:t>
      </w:r>
      <w:r>
        <w:rPr>
          <w:color w:val="808080"/>
        </w:rPr>
        <w:t>(die Hochzeitsgäste)</w:t>
      </w:r>
      <w:r>
        <w:rPr/>
        <w:t xml:space="preserve"> zu klagen solange wie mit ihnen der Bräutigam ist? Es werden aber kommen Tage, wo entrissen wird von ihnen der Bräutigam, und dann werden sie fasten.{{field-off:bible}} </w:t>
        <w:br/>
        <w:t>[[@BibleTOBIBLE:Mt 9:16]]</w:t>
      </w:r>
      <w:r>
        <w:rPr>
          <w:b/>
        </w:rPr>
        <w:t>16</w:t>
      </w:r>
      <w:r>
        <w:rPr/>
        <w:t xml:space="preserve"> {{field-on:bible}}Keiner aber setzt einen Flicken aus ungewalktem </w:t>
      </w:r>
      <w:r>
        <w:rPr>
          <w:color w:val="808080"/>
        </w:rPr>
        <w:t>(neuem, frisch vom Webstuhl)</w:t>
      </w:r>
      <w:r>
        <w:rPr/>
        <w:t xml:space="preserve"> Stoff</w:t>
      </w:r>
      <w:r>
        <w:rPr>
          <w:color w:val="808080"/>
        </w:rPr>
        <w:t>(stück)</w:t>
      </w:r>
      <w:r>
        <w:rPr/>
        <w:t xml:space="preserve"> auf ein altes Gewandt; denn sein flicken reißt ab vom Gewandt und es wird ein schlimmerer </w:t>
      </w:r>
      <w:r>
        <w:rPr>
          <w:color w:val="808080"/>
        </w:rPr>
        <w:t>(schlechterer)</w:t>
      </w:r>
      <w:r>
        <w:rPr/>
        <w:t xml:space="preserve"> Riss.{{field-off:bible}} </w:t>
        <w:br/>
        <w:t>[[@BibleTOBIBLE:Mt 9:17]]</w:t>
      </w:r>
      <w:r>
        <w:rPr>
          <w:b/>
        </w:rPr>
        <w:t>17</w:t>
      </w:r>
      <w:r>
        <w:rPr/>
        <w:t xml:space="preserve"> {{field-on:bible}}Und </w:t>
      </w:r>
      <w:r>
        <w:rPr>
          <w:color w:val="808080"/>
        </w:rPr>
        <w:t>(auch)</w:t>
      </w:r>
      <w:r>
        <w:rPr/>
        <w:t xml:space="preserve"> nicht füllt man neuen Wein in alte Schläuche; Andernfalls </w:t>
      </w:r>
      <w:r>
        <w:rPr>
          <w:color w:val="808080"/>
        </w:rPr>
        <w:t>(sonst)</w:t>
      </w:r>
      <w:r>
        <w:rPr/>
        <w:t xml:space="preserve"> platzt der Schlauch und der Wein wird verschüttet und der Schlauch zerstört </w:t>
      </w:r>
      <w:r>
        <w:rPr>
          <w:color w:val="808080"/>
        </w:rPr>
        <w:t>(vernichtet)</w:t>
      </w:r>
      <w:r>
        <w:rPr/>
        <w:t xml:space="preserve">; Aber </w:t>
      </w:r>
      <w:r>
        <w:rPr>
          <w:color w:val="808080"/>
        </w:rPr>
        <w:t>(statt dessen, nein,...)</w:t>
      </w:r>
      <w:r>
        <w:rPr/>
        <w:t xml:space="preserve"> man muss füllen neuen Wein in neue </w:t>
      </w:r>
      <w:r>
        <w:rPr>
          <w:color w:val="808080"/>
        </w:rPr>
        <w:t>(unbenutzte)</w:t>
      </w:r>
      <w:r>
        <w:rPr/>
        <w:t xml:space="preserve"> Schläuche und beide bleiben erhalten </w:t>
      </w:r>
      <w:r>
        <w:rPr>
          <w:color w:val="808080"/>
        </w:rPr>
        <w:t>(bewahrt, behütet)</w:t>
      </w:r>
      <w:r>
        <w:rPr/>
        <w:t xml:space="preserve">.{{field-off:bible}} </w:t>
        <w:br/>
        <w:t>[[@BibleTOBIBLE:Mt 9:18]]</w:t>
      </w:r>
      <w:r>
        <w:rPr>
          <w:b/>
        </w:rPr>
        <w:t>18</w:t>
      </w:r>
      <w:r>
        <w:rPr/>
        <w:t xml:space="preserve"> {{field-on:bible}}Als er dies zu ihnen sagte</w:t>
      </w:r>
      <w:r>
        <w:rPr>
          <w:rStyle w:val="Funotenanker"/>
        </w:rPr>
        <w:footnoteReference w:customMarkFollows="1" w:id="3330"/>
        <w:t>h</w:t>
      </w:r>
      <w:r>
        <w:rPr/>
        <w:t xml:space="preserve">, siehe, ein Herrscher </w:t>
      </w:r>
      <w:r>
        <w:rPr>
          <w:color w:val="808080"/>
        </w:rPr>
        <w:t>(Mitglied der Behörde/Synagogenleitung)</w:t>
      </w:r>
      <w:r>
        <w:rPr/>
        <w:t xml:space="preserve"> kam herzu und kniete vor ihm nieder </w:t>
      </w:r>
      <w:r>
        <w:rPr>
          <w:color w:val="808080"/>
        </w:rPr>
        <w:t>(war sich nieder, betete an)</w:t>
      </w:r>
      <w:r>
        <w:rPr/>
        <w:t xml:space="preserve"> und sagte</w:t>
      </w:r>
      <w:r>
        <w:rPr>
          <w:rStyle w:val="Funotenanker"/>
        </w:rPr>
        <w:footnoteReference w:customMarkFollows="1" w:id="3331"/>
        <w:t>i</w:t>
      </w:r>
      <w:r>
        <w:rPr/>
        <w:t xml:space="preserve">: </w:t>
      </w:r>
      <w:r>
        <w:rPr>
          <w:color w:val="808080"/>
        </w:rPr>
        <w:t>(daß)</w:t>
      </w:r>
      <w:r>
        <w:rPr/>
        <w:t xml:space="preserve"> Meine Tochter stirbt jetzt </w:t>
      </w:r>
      <w:r>
        <w:rPr>
          <w:color w:val="808080"/>
        </w:rPr>
        <w:t>(eben erst, eben)</w:t>
      </w:r>
      <w:r>
        <w:rPr/>
        <w:t xml:space="preserve">; Doch </w:t>
      </w:r>
      <w:r>
        <w:rPr>
          <w:color w:val="808080"/>
        </w:rPr>
        <w:t>(aber)</w:t>
      </w:r>
      <w:r>
        <w:rPr/>
        <w:t xml:space="preserve"> komm herzu und lege deine Hand auf sie, da </w:t>
      </w:r>
      <w:r>
        <w:rPr>
          <w:color w:val="808080"/>
        </w:rPr>
        <w:t>(dann)</w:t>
      </w:r>
      <w:r>
        <w:rPr/>
        <w:t xml:space="preserve"> wird sie wieder leben.{{field-off:bible}} </w:t>
        <w:br/>
        <w:t>[[@BibleTOBIBLE:Mt 9:19]]</w:t>
      </w:r>
      <w:r>
        <w:rPr>
          <w:b/>
        </w:rPr>
        <w:t>19</w:t>
      </w:r>
      <w:r>
        <w:rPr/>
        <w:t xml:space="preserve"> {{field-on:bible}}Und als Jesus aufstand</w:t>
      </w:r>
      <w:r>
        <w:rPr>
          <w:rStyle w:val="Funotenanker"/>
        </w:rPr>
        <w:footnoteReference w:customMarkFollows="1" w:id="3332"/>
        <w:t>j</w:t>
      </w:r>
      <w:r>
        <w:rPr/>
        <w:t xml:space="preserve"> folgte er ihm </w:t>
      </w:r>
      <w:r>
        <w:rPr>
          <w:color w:val="808080"/>
        </w:rPr>
        <w:t>(begleitete er ihn)</w:t>
      </w:r>
      <w:r>
        <w:rPr/>
        <w:t xml:space="preserve"> und seine Jünger ihn </w:t>
      </w:r>
      <w:r>
        <w:rPr>
          <w:color w:val="808080"/>
        </w:rPr>
        <w:t>(mit seinen Jüngern)</w:t>
      </w:r>
      <w:r>
        <w:rPr/>
        <w:t xml:space="preserve">.{{field-off:bible}} </w:t>
        <w:br/>
        <w:t>[[@BibleTOBIBLE:Mt 9:20]]</w:t>
      </w:r>
      <w:r>
        <w:rPr>
          <w:b/>
        </w:rPr>
        <w:t>20</w:t>
      </w:r>
      <w:r>
        <w:rPr/>
        <w:t xml:space="preserve"> {{field-on:bible}}Und siehe</w:t>
      </w:r>
      <w:r>
        <w:rPr>
          <w:rStyle w:val="Funotenanker"/>
        </w:rPr>
        <w:footnoteReference w:customMarkFollows="1" w:id="3333"/>
        <w:t>k</w:t>
      </w:r>
      <w:r>
        <w:rPr/>
        <w:t xml:space="preserve"> eine Frau, die seit zwölf Jahren an </w:t>
      </w:r>
      <w:r>
        <w:rPr>
          <w:color w:val="808080"/>
        </w:rPr>
        <w:t>(schweren)</w:t>
      </w:r>
      <w:r>
        <w:rPr/>
        <w:t xml:space="preserve"> Blutungen litt</w:t>
      </w:r>
      <w:r>
        <w:rPr>
          <w:rStyle w:val="Funotenanker"/>
        </w:rPr>
        <w:footnoteReference w:customMarkFollows="1" w:id="3334"/>
        <w:t>l</w:t>
      </w:r>
      <w:r>
        <w:rPr/>
        <w:t xml:space="preserve">, kam herzu von hinten </w:t>
      </w:r>
      <w:r>
        <w:rPr>
          <w:color w:val="808080"/>
        </w:rPr>
        <w:t>(hinten)</w:t>
      </w:r>
      <w:r>
        <w:rPr/>
        <w:t xml:space="preserve"> </w:t>
      </w:r>
      <w:r>
        <w:rPr>
          <w:b/>
          <w:color w:val="808080"/>
        </w:rPr>
        <w:t>[</w:t>
      </w:r>
      <w:r>
        <w:rPr/>
        <w:t>und</w:t>
      </w:r>
      <w:r>
        <w:rPr>
          <w:b/>
          <w:color w:val="808080"/>
        </w:rPr>
        <w:t>]</w:t>
      </w:r>
      <w:r>
        <w:rPr/>
        <w:t xml:space="preserve"> fasste </w:t>
      </w:r>
      <w:r>
        <w:rPr>
          <w:color w:val="808080"/>
        </w:rPr>
        <w:t>(berührte)</w:t>
      </w:r>
      <w:r>
        <w:rPr/>
        <w:t xml:space="preserve"> den Saum seines Gewandes;{{field-off:bible}} </w:t>
        <w:br/>
        <w:t>[[@BibleTOBIBLE:Mt 9:21]]</w:t>
      </w:r>
      <w:r>
        <w:rPr>
          <w:b/>
        </w:rPr>
        <w:t>21</w:t>
      </w:r>
      <w:r>
        <w:rPr/>
        <w:t xml:space="preserve"> {{field-on:bible}}Denn sie dachte bei sich </w:t>
      </w:r>
      <w:r>
        <w:rPr>
          <w:color w:val="808080"/>
        </w:rPr>
        <w:t>(im Stillen)</w:t>
      </w:r>
      <w:r>
        <w:rPr/>
        <w:t xml:space="preserve">: Wenn ich nur berühre sein Gewand, werde ich </w:t>
      </w:r>
      <w:r>
        <w:rPr>
          <w:color w:val="808080"/>
        </w:rPr>
        <w:t>(von Krankheit)</w:t>
      </w:r>
      <w:r>
        <w:rPr/>
        <w:t xml:space="preserve"> befreit </w:t>
      </w:r>
      <w:r>
        <w:rPr>
          <w:color w:val="808080"/>
        </w:rPr>
        <w:t>(gesund werden)</w:t>
      </w:r>
      <w:r>
        <w:rPr/>
        <w:t xml:space="preserve">.{{field-off:bible}} </w:t>
        <w:br/>
        <w:t>[[@BibleTOBIBLE:Mt 9:22]]</w:t>
      </w:r>
      <w:r>
        <w:rPr>
          <w:b/>
        </w:rPr>
        <w:t>22</w:t>
      </w:r>
      <w:r>
        <w:rPr/>
        <w:t xml:space="preserve"> {{field-on:bible}}Aber Jesus drehte </w:t>
      </w:r>
      <w:r>
        <w:rPr>
          <w:color w:val="808080"/>
        </w:rPr>
        <w:t>(wendete)</w:t>
      </w:r>
      <w:r>
        <w:rPr/>
        <w:t xml:space="preserve"> sich um </w:t>
      </w:r>
      <w:r>
        <w:rPr>
          <w:color w:val="808080"/>
        </w:rPr>
        <w:t>(wendete sich hin)</w:t>
      </w:r>
      <w:r>
        <w:rPr/>
        <w:t xml:space="preserve"> und als er sie sah</w:t>
      </w:r>
      <w:r>
        <w:rPr>
          <w:rStyle w:val="Funotenanker"/>
        </w:rPr>
        <w:footnoteReference w:customMarkFollows="1" w:id="3335"/>
        <w:t>m</w:t>
      </w:r>
      <w:r>
        <w:rPr/>
        <w:t xml:space="preserve"> sagte er: Sei guten Mutes </w:t>
      </w:r>
      <w:r>
        <w:rPr>
          <w:color w:val="808080"/>
        </w:rPr>
        <w:t>(voller Mut, voller Zuversicht, hab keine Angst)</w:t>
      </w:r>
      <w:r>
        <w:rPr/>
        <w:t xml:space="preserve">, </w:t>
      </w:r>
      <w:r>
        <w:rPr>
          <w:b/>
          <w:color w:val="808080"/>
        </w:rPr>
        <w:t>[</w:t>
      </w:r>
      <w:r>
        <w:rPr/>
        <w:t>meine</w:t>
      </w:r>
      <w:r>
        <w:rPr>
          <w:b/>
          <w:color w:val="808080"/>
        </w:rPr>
        <w:t>]</w:t>
      </w:r>
      <w:r>
        <w:rPr/>
        <w:t xml:space="preserve"> Tochter; Dein Glaube hat dich errettet </w:t>
      </w:r>
      <w:r>
        <w:rPr>
          <w:color w:val="808080"/>
        </w:rPr>
        <w:t>(bewahrt, geheilt, gesund gemacht)</w:t>
      </w:r>
      <w:r>
        <w:rPr/>
        <w:t xml:space="preserve"> und es war gesund die Frau von dieser Stunde an.{{field-off:bible}} </w:t>
        <w:br/>
        <w:t>[[@BibleTOBIBLE:Mt 9:23]]</w:t>
      </w:r>
      <w:r>
        <w:rPr>
          <w:b/>
        </w:rPr>
        <w:t>23</w:t>
      </w:r>
      <w:r>
        <w:rPr/>
        <w:t xml:space="preserve"> {{field-on:bible}}Und als Jesus kam</w:t>
      </w:r>
      <w:r>
        <w:rPr>
          <w:rStyle w:val="Funotenanker"/>
        </w:rPr>
        <w:footnoteReference w:customMarkFollows="1" w:id="3336"/>
        <w:t>n</w:t>
      </w:r>
      <w:r>
        <w:rPr/>
        <w:t xml:space="preserve"> in das haus des Herrschers</w:t>
      </w:r>
      <w:r>
        <w:rPr>
          <w:rStyle w:val="Funotenanker"/>
        </w:rPr>
        <w:footnoteReference w:customMarkFollows="1" w:id="3337"/>
        <w:t>o</w:t>
      </w:r>
      <w:r>
        <w:rPr/>
        <w:t xml:space="preserve"> und sah</w:t>
      </w:r>
      <w:r>
        <w:rPr>
          <w:rStyle w:val="Funotenanker"/>
        </w:rPr>
        <w:footnoteReference w:customMarkFollows="1" w:id="3338"/>
        <w:t>p</w:t>
      </w:r>
      <w:r>
        <w:rPr/>
        <w:t xml:space="preserve"> die Flötenspieler und die Menge, sie sich aufregte</w:t>
      </w:r>
      <w:r>
        <w:rPr>
          <w:rStyle w:val="Funotenanker"/>
        </w:rPr>
        <w:footnoteReference w:customMarkFollows="1" w:id="3339"/>
        <w:t>q</w:t>
      </w:r>
      <w:r>
        <w:rPr/>
        <w:t xml:space="preserve"> </w:t>
      </w:r>
      <w:r>
        <w:rPr>
          <w:color w:val="808080"/>
        </w:rPr>
        <w:t>(in Unruhe war)</w:t>
      </w:r>
      <w:r>
        <w:rPr/>
        <w:t xml:space="preserve"> {{field-off:bible}} </w:t>
        <w:br/>
        <w:t>[[@BibleTOBIBLE:Mt 9:24]]</w:t>
      </w:r>
      <w:r>
        <w:rPr>
          <w:b/>
        </w:rPr>
        <w:t>24</w:t>
      </w:r>
      <w:r>
        <w:rPr/>
        <w:t xml:space="preserve"> {{field-on:bible}}sagte er: geht weg </w:t>
      </w:r>
      <w:r>
        <w:rPr>
          <w:color w:val="808080"/>
        </w:rPr>
        <w:t>(entfernt euch)</w:t>
      </w:r>
      <w:r>
        <w:rPr/>
        <w:t xml:space="preserve">, denn das Mädchen ist nicht gestorben sondern es schläft. Und sie lachten ihn aus.{{field-off:bible}} </w:t>
        <w:br/>
        <w:t>[[@BibleTOBIBLE:Mt 9:25]]</w:t>
      </w:r>
      <w:r>
        <w:rPr>
          <w:b/>
        </w:rPr>
        <w:t>25</w:t>
      </w:r>
      <w:r>
        <w:rPr/>
        <w:t xml:space="preserve"> {{field-on:bible}}Als </w:t>
      </w:r>
      <w:r>
        <w:rPr>
          <w:color w:val="808080"/>
        </w:rPr>
        <w:t>(nachdem)</w:t>
      </w:r>
      <w:r>
        <w:rPr/>
        <w:t xml:space="preserve"> aber er fortgejagt </w:t>
      </w:r>
      <w:r>
        <w:rPr>
          <w:color w:val="808080"/>
        </w:rPr>
        <w:t>(weggetrieben)</w:t>
      </w:r>
      <w:r>
        <w:rPr/>
        <w:t xml:space="preserve"> hatte die Volksmenge ging er hinein</w:t>
      </w:r>
      <w:r>
        <w:rPr>
          <w:rStyle w:val="Funotenanker"/>
        </w:rPr>
        <w:footnoteReference w:customMarkFollows="1" w:id="3340"/>
        <w:t>r</w:t>
      </w:r>
      <w:r>
        <w:rPr/>
        <w:t xml:space="preserve"> </w:t>
      </w:r>
      <w:r>
        <w:rPr>
          <w:b/>
          <w:color w:val="808080"/>
        </w:rPr>
        <w:t>[</w:t>
      </w:r>
      <w:r>
        <w:rPr/>
        <w:t>und</w:t>
      </w:r>
      <w:r>
        <w:rPr>
          <w:b/>
          <w:color w:val="808080"/>
        </w:rPr>
        <w:t>]</w:t>
      </w:r>
      <w:r>
        <w:rPr/>
        <w:t xml:space="preserve"> ergriff ihre Hand und das Mädchen erwachte.{{field-off:bible}} </w:t>
        <w:br/>
        <w:t>[[@BibleTOBIBLE:Mt 9:26]]</w:t>
      </w:r>
      <w:r>
        <w:rPr>
          <w:b/>
        </w:rPr>
        <w:t>26</w:t>
      </w:r>
      <w:r>
        <w:rPr/>
        <w:t xml:space="preserve"> {{field-on:bible}}Und es verbreitete sich die Kunde </w:t>
      </w:r>
      <w:r>
        <w:rPr>
          <w:color w:val="808080"/>
        </w:rPr>
        <w:t>(Nachricht)</w:t>
      </w:r>
      <w:r>
        <w:rPr/>
        <w:t xml:space="preserve"> davon in jenem ganzen Land </w:t>
      </w:r>
      <w:r>
        <w:rPr>
          <w:color w:val="808080"/>
        </w:rPr>
        <w:t>(Gegend)</w:t>
      </w:r>
      <w:r>
        <w:rPr/>
        <w:t xml:space="preserve">.{{field-off:bible}} </w:t>
        <w:br/>
        <w:t>[[@BibleTOBIBLE:Mt 9:27]]</w:t>
      </w:r>
      <w:r>
        <w:rPr>
          <w:b/>
        </w:rPr>
        <w:t>27</w:t>
      </w:r>
      <w:r>
        <w:rPr/>
        <w:t xml:space="preserve"> {{field-on:bible}}Und als er von dort weiterging</w:t>
      </w:r>
      <w:r>
        <w:rPr>
          <w:rStyle w:val="Funotenanker"/>
        </w:rPr>
        <w:footnoteReference w:customMarkFollows="1" w:id="3341"/>
        <w:t>s</w:t>
      </w:r>
      <w:r>
        <w:rPr/>
        <w:t xml:space="preserve"> folgten Jesus zwei Blinde, die riefen und sagten: Erbarme dich unser, Sohn Davids.{{field-off:bible}} </w:t>
        <w:br/>
        <w:t>[[@BibleTOBIBLE:Mt 9:28]]</w:t>
      </w:r>
      <w:r>
        <w:rPr>
          <w:b/>
        </w:rPr>
        <w:t>28</w:t>
      </w:r>
      <w:r>
        <w:rPr/>
        <w:t xml:space="preserve"> {{field-on:bible}}Als er aber nach Hause kam, näherten </w:t>
      </w:r>
      <w:r>
        <w:rPr>
          <w:color w:val="808080"/>
        </w:rPr>
        <w:t>(herzukamen)</w:t>
      </w:r>
      <w:r>
        <w:rPr/>
        <w:t xml:space="preserve"> sich ihm die Blinden und es sagte ihnen Jesus: Glaubt ihr, dass ich kann </w:t>
      </w:r>
      <w:r>
        <w:rPr>
          <w:color w:val="808080"/>
        </w:rPr>
        <w:t>(vermag)</w:t>
      </w:r>
      <w:r>
        <w:rPr/>
        <w:t xml:space="preserve"> dies zu tun? Sie sagten </w:t>
      </w:r>
      <w:r>
        <w:rPr>
          <w:color w:val="808080"/>
        </w:rPr>
        <w:t>(antworteten)</w:t>
      </w:r>
      <w:r>
        <w:rPr/>
        <w:t xml:space="preserve"> ihm: Ja </w:t>
      </w:r>
      <w:r>
        <w:rPr>
          <w:color w:val="808080"/>
        </w:rPr>
        <w:t>(gewiss, freilich)</w:t>
      </w:r>
      <w:r>
        <w:rPr/>
        <w:t xml:space="preserve">, Herr.{{field-off:bible}} </w:t>
        <w:br/>
        <w:t>[[@BibleTOBIBLE:Mt 9:29]]</w:t>
      </w:r>
      <w:r>
        <w:rPr>
          <w:b/>
        </w:rPr>
        <w:t>29</w:t>
      </w:r>
      <w:r>
        <w:rPr/>
        <w:t xml:space="preserve"> {{field-on:bible}}Da berührte er ihre Augen </w:t>
      </w:r>
      <w:r>
        <w:rPr>
          <w:b/>
          <w:color w:val="808080"/>
        </w:rPr>
        <w:t>[</w:t>
      </w:r>
      <w:r>
        <w:rPr/>
        <w:t>und</w:t>
      </w:r>
      <w:r>
        <w:rPr>
          <w:b/>
          <w:color w:val="808080"/>
        </w:rPr>
        <w:t>]</w:t>
      </w:r>
      <w:r>
        <w:rPr/>
        <w:t xml:space="preserve"> sagte: gemäß </w:t>
      </w:r>
      <w:r>
        <w:rPr>
          <w:color w:val="808080"/>
        </w:rPr>
        <w:t>(nach)</w:t>
      </w:r>
      <w:r>
        <w:rPr/>
        <w:t xml:space="preserve"> eures Glaubens soll euch geschehen </w:t>
      </w:r>
      <w:r>
        <w:rPr>
          <w:color w:val="808080"/>
        </w:rPr>
        <w:t>(wie ihr glaubt soll euch geschehen)</w:t>
      </w:r>
      <w:r>
        <w:rPr/>
        <w:t xml:space="preserve">.{{field-off:bible}} </w:t>
        <w:br/>
        <w:t>[[@BibleTOBIBLE:Mt 9:30]]</w:t>
      </w:r>
      <w:r>
        <w:rPr>
          <w:b/>
        </w:rPr>
        <w:t>30</w:t>
      </w:r>
      <w:r>
        <w:rPr/>
        <w:t xml:space="preserve"> {{field-on:bible}}Und ihre Augen wurden geöffnet. Und Jesus fuhr sie an </w:t>
      </w:r>
      <w:r>
        <w:rPr>
          <w:color w:val="808080"/>
        </w:rPr>
        <w:t>(schärfte ihnen ein, befahl mit aller Entschlossenheit)</w:t>
      </w:r>
      <w:r>
        <w:rPr/>
        <w:t xml:space="preserve">: hütet euch, niemand soll es wissen.{{field-off:bible}} </w:t>
        <w:br/>
        <w:t>[[@BibleTOBIBLE:Mt 9:31]]</w:t>
      </w:r>
      <w:r>
        <w:rPr>
          <w:b/>
        </w:rPr>
        <w:t>31</w:t>
      </w:r>
      <w:r>
        <w:rPr/>
        <w:t xml:space="preserve"> {{field-on:bible}}Und doch </w:t>
      </w:r>
      <w:r>
        <w:rPr>
          <w:color w:val="808080"/>
        </w:rPr>
        <w:t>(aber)</w:t>
      </w:r>
      <w:r>
        <w:rPr/>
        <w:t xml:space="preserve"> gingen sie heraus </w:t>
      </w:r>
      <w:r>
        <w:rPr>
          <w:b/>
          <w:color w:val="808080"/>
        </w:rPr>
        <w:t>[</w:t>
      </w:r>
      <w:r>
        <w:rPr/>
        <w:t>und</w:t>
      </w:r>
      <w:r>
        <w:rPr>
          <w:b/>
          <w:color w:val="808080"/>
        </w:rPr>
        <w:t>]</w:t>
      </w:r>
      <w:r>
        <w:rPr/>
        <w:t xml:space="preserve"> verkündeten </w:t>
      </w:r>
      <w:r>
        <w:rPr>
          <w:color w:val="808080"/>
        </w:rPr>
        <w:t>(erzählten, machten bekannt)</w:t>
      </w:r>
      <w:r>
        <w:rPr/>
        <w:t xml:space="preserve"> sie dieses in jenem ganzen Land.{{field-off:bible}} </w:t>
        <w:br/>
        <w:t>[[@BibleTOBIBLE:Mt 9:32]]</w:t>
      </w:r>
      <w:r>
        <w:rPr>
          <w:b/>
        </w:rPr>
        <w:t>32</w:t>
      </w:r>
      <w:r>
        <w:rPr/>
        <w:t xml:space="preserve"> {{field-on:bible}}Als sie aber herausgegangen waren</w:t>
      </w:r>
      <w:r>
        <w:rPr>
          <w:rStyle w:val="Funotenanker"/>
        </w:rPr>
        <w:footnoteReference w:customMarkFollows="1" w:id="3342"/>
        <w:t>t</w:t>
      </w:r>
      <w:r>
        <w:rPr/>
        <w:t xml:space="preserve">, siehe, sie brachten herzu ein Mensch der stumm </w:t>
      </w:r>
      <w:r>
        <w:rPr>
          <w:b/>
          <w:color w:val="808080"/>
        </w:rPr>
        <w:t>[</w:t>
      </w:r>
      <w:r>
        <w:rPr/>
        <w:t>und</w:t>
      </w:r>
      <w:r>
        <w:rPr>
          <w:b/>
          <w:color w:val="808080"/>
        </w:rPr>
        <w:t>]</w:t>
      </w:r>
      <w:r>
        <w:rPr/>
        <w:t xml:space="preserve"> </w:t>
      </w:r>
      <w:r>
        <w:rPr>
          <w:color w:val="808080"/>
        </w:rPr>
        <w:t>(von Dämonen)</w:t>
      </w:r>
      <w:r>
        <w:rPr/>
        <w:t xml:space="preserve"> besessen war.{{field-off:bible}} </w:t>
        <w:br/>
        <w:t>[[@BibleTOBIBLE:Mt 9:33]]</w:t>
      </w:r>
      <w:r>
        <w:rPr>
          <w:b/>
        </w:rPr>
        <w:t>33</w:t>
      </w:r>
      <w:r>
        <w:rPr/>
        <w:t xml:space="preserve"> {{field-on:bible}}Und nachdem der Dämon ausgetrieben war konnte der Stumme reden. Und die Menge wunderte sich </w:t>
      </w:r>
      <w:r>
        <w:rPr>
          <w:color w:val="808080"/>
        </w:rPr>
        <w:t>(staunte)</w:t>
      </w:r>
      <w:r>
        <w:rPr/>
        <w:t xml:space="preserve"> und sagte: Niemals wurde solches sichtbar </w:t>
      </w:r>
      <w:r>
        <w:rPr>
          <w:color w:val="808080"/>
        </w:rPr>
        <w:t>(hat man noch nie gesehen)</w:t>
      </w:r>
      <w:r>
        <w:rPr/>
        <w:t xml:space="preserve"> in Israel.{{field-off:bible}} </w:t>
        <w:br/>
        <w:t>[[@BibleTOBIBLE:Mt 9:34]]</w:t>
      </w:r>
      <w:r>
        <w:rPr>
          <w:b/>
        </w:rPr>
        <w:t>34</w:t>
      </w:r>
      <w:r>
        <w:rPr/>
        <w:t xml:space="preserve"> {{field-on:bible}}Die Pharisäer aber sagten: Durch </w:t>
      </w:r>
      <w:r>
        <w:rPr>
          <w:color w:val="808080"/>
        </w:rPr>
        <w:t>(mit Hilfe von)</w:t>
      </w:r>
      <w:r>
        <w:rPr/>
        <w:t xml:space="preserve"> dem Herrscher </w:t>
      </w:r>
      <w:r>
        <w:rPr>
          <w:color w:val="808080"/>
        </w:rPr>
        <w:t>(dem Fürst)</w:t>
      </w:r>
      <w:r>
        <w:rPr/>
        <w:t xml:space="preserve"> der Dämonen treibt er aus die Dämonen.{{field-off:bible}} </w:t>
        <w:br/>
        <w:t>[[@BibleTOBIBLE:Mt 9:35]]</w:t>
      </w:r>
      <w:r>
        <w:rPr>
          <w:b/>
        </w:rPr>
        <w:t>35</w:t>
      </w:r>
      <w:r>
        <w:rPr/>
        <w:t xml:space="preserve"> {{field-on:bible}}und Jesus zog durch </w:t>
      </w:r>
      <w:r>
        <w:rPr>
          <w:color w:val="808080"/>
        </w:rPr>
        <w:t>(ging herum)</w:t>
      </w:r>
      <w:r>
        <w:rPr/>
        <w:t xml:space="preserve"> viele Städte und Dörfer </w:t>
      </w:r>
      <w:r>
        <w:rPr>
          <w:b/>
          <w:color w:val="808080"/>
        </w:rPr>
        <w:t>[</w:t>
      </w:r>
      <w:r>
        <w:rPr/>
        <w:t>und</w:t>
      </w:r>
      <w:r>
        <w:rPr>
          <w:b/>
          <w:color w:val="808080"/>
        </w:rPr>
        <w:t>]</w:t>
      </w:r>
      <w:r>
        <w:rPr/>
        <w:t xml:space="preserve"> lehrte</w:t>
      </w:r>
      <w:r>
        <w:rPr>
          <w:rStyle w:val="Funotenanker"/>
        </w:rPr>
        <w:footnoteReference w:customMarkFollows="1" w:id="3343"/>
        <w:t>u</w:t>
      </w:r>
      <w:r>
        <w:rPr/>
        <w:t xml:space="preserve"> in ihren Synagogen und verkündete</w:t>
      </w:r>
      <w:r>
        <w:rPr>
          <w:rStyle w:val="Funotenanker"/>
        </w:rPr>
        <w:footnoteReference w:customMarkFollows="1" w:id="3344"/>
        <w:t>v</w:t>
      </w:r>
      <w:r>
        <w:rPr/>
        <w:t xml:space="preserve"> die frohe Botschaft </w:t>
      </w:r>
      <w:r>
        <w:rPr>
          <w:color w:val="808080"/>
        </w:rPr>
        <w:t>(das Evangelium)</w:t>
      </w:r>
      <w:r>
        <w:rPr/>
        <w:t xml:space="preserve"> des Königreichs </w:t>
      </w:r>
      <w:r>
        <w:rPr>
          <w:color w:val="808080"/>
        </w:rPr>
        <w:t>(der Herrschaft)</w:t>
      </w:r>
      <w:r>
        <w:rPr/>
        <w:t xml:space="preserve"> und heilte</w:t>
      </w:r>
      <w:r>
        <w:rPr>
          <w:rStyle w:val="Funotenanker"/>
        </w:rPr>
        <w:footnoteReference w:customMarkFollows="1" w:id="3345"/>
        <w:t>w</w:t>
      </w:r>
      <w:r>
        <w:rPr/>
        <w:t xml:space="preserve"> viele Krankheiten und viele Leiden </w:t>
      </w:r>
      <w:r>
        <w:rPr>
          <w:color w:val="808080"/>
        </w:rPr>
        <w:t>(Gebrechen)</w:t>
      </w:r>
      <w:r>
        <w:rPr/>
        <w:t xml:space="preserve">.{{field-off:bible}} </w:t>
        <w:br/>
        <w:t>[[@BibleTOBIBLE:Mt 9:36]]</w:t>
      </w:r>
      <w:r>
        <w:rPr>
          <w:b/>
        </w:rPr>
        <w:t>36</w:t>
      </w:r>
      <w:r>
        <w:rPr/>
        <w:t xml:space="preserve"> {{field-on:bible}}Als er aber die Volksmenge sah</w:t>
      </w:r>
      <w:r>
        <w:rPr>
          <w:rStyle w:val="Funotenanker"/>
        </w:rPr>
        <w:footnoteReference w:customMarkFollows="1" w:id="3346"/>
        <w:t>x</w:t>
      </w:r>
      <w:r>
        <w:rPr/>
        <w:t xml:space="preserve"> hatte er Mitleid mit ihnen, dass sie ermattet </w:t>
      </w:r>
      <w:r>
        <w:rPr>
          <w:color w:val="808080"/>
        </w:rPr>
        <w:t>(müde, abgehetzt)</w:t>
      </w:r>
      <w:r>
        <w:rPr/>
        <w:t xml:space="preserve"> und darniederliegend </w:t>
      </w:r>
      <w:r>
        <w:rPr>
          <w:color w:val="808080"/>
        </w:rPr>
        <w:t>(am Boden liegend)</w:t>
      </w:r>
      <w:r>
        <w:rPr/>
        <w:t xml:space="preserve"> waren: wie Schade, die keinen Hirten haben.{{field-off:bible}} </w:t>
        <w:br/>
        <w:t>[[@BibleTOBIBLE:Mt 9:37]]</w:t>
      </w:r>
      <w:r>
        <w:rPr>
          <w:b/>
        </w:rPr>
        <w:t>37</w:t>
      </w:r>
      <w:r>
        <w:rPr/>
        <w:t xml:space="preserve"> {{field-on:bible}}Da sagte er seinen Jüngern: Zwar </w:t>
      </w:r>
      <w:r>
        <w:rPr>
          <w:b/>
          <w:color w:val="808080"/>
        </w:rPr>
        <w:t>[</w:t>
      </w:r>
      <w:r>
        <w:rPr/>
        <w:t>ist</w:t>
      </w:r>
      <w:r>
        <w:rPr>
          <w:b/>
          <w:color w:val="808080"/>
        </w:rPr>
        <w:t>]</w:t>
      </w:r>
      <w:r>
        <w:rPr/>
        <w:t xml:space="preserve"> die Ernte groß, aber der Arbeiter sind wenig.{{field-off:bible}} </w:t>
        <w:br/>
        <w:t>[[@BibleTOBIBLE:Mt 9:38]]</w:t>
      </w:r>
      <w:r>
        <w:rPr>
          <w:b/>
        </w:rPr>
        <w:t>38</w:t>
      </w:r>
      <w:r>
        <w:rPr/>
        <w:t xml:space="preserve"> {{field-on:bible}}Bittet nun den Herrn der Ernte </w:t>
      </w:r>
      <w:r>
        <w:rPr>
          <w:color w:val="808080"/>
        </w:rPr>
        <w:t>(den Herrn, dem die Ernte gehört)</w:t>
      </w:r>
      <w:r>
        <w:rPr/>
        <w:t xml:space="preserve"> dass er aussendet Arbeiter in seine Ernte.{{field-off:bible}} </w:t>
      </w:r>
    </w:p>
    <w:p>
      <w:pPr>
        <w:pStyle w:val="Berschrift3"/>
        <w:rPr/>
      </w:pPr>
      <w:r>
        <w:rPr/>
        <w:t>[[@BibleTOBIBLE:Mt 10]]Kapitel 10</w:t>
      </w:r>
    </w:p>
    <w:p>
      <w:pPr>
        <w:pStyle w:val="Textkrper"/>
        <w:rPr/>
      </w:pPr>
      <w:r>
        <w:rPr/>
        <w:br/>
        <w:t>[[@BibleTOBIBLE:Mt 10:1]]</w:t>
      </w:r>
      <w:r>
        <w:rPr>
          <w:b/>
        </w:rPr>
        <w:t>1</w:t>
      </w:r>
      <w:r>
        <w:rPr/>
        <w:t xml:space="preserve"> {{field-on:bible}} </w:t>
      </w:r>
      <w:r>
        <w:rPr>
          <w:rStyle w:val="Funotenanker"/>
        </w:rPr>
        <w:footnoteReference w:customMarkFollows="1" w:id="3347"/>
        <w:t>Status</w:t>
      </w:r>
      <w:r>
        <w:rPr/>
        <w:t xml:space="preserve"> Und als er seine zwölf Jünger herbeirief</w:t>
      </w:r>
      <w:r>
        <w:rPr>
          <w:rStyle w:val="Funotenanker"/>
        </w:rPr>
        <w:footnoteReference w:customMarkFollows="1" w:id="3348"/>
        <w:t>a</w:t>
      </w:r>
      <w:r>
        <w:rPr/>
        <w:t xml:space="preserve"> verlieh </w:t>
      </w:r>
      <w:r>
        <w:rPr>
          <w:color w:val="808080"/>
        </w:rPr>
        <w:t>(gab, schenkte)</w:t>
      </w:r>
      <w:r>
        <w:rPr/>
        <w:t xml:space="preserve"> er ihnen </w:t>
      </w:r>
      <w:r>
        <w:rPr>
          <w:color w:val="808080"/>
        </w:rPr>
        <w:t>(die)</w:t>
      </w:r>
      <w:r>
        <w:rPr/>
        <w:t xml:space="preserve"> Vollmacht </w:t>
      </w:r>
      <w:r>
        <w:rPr>
          <w:color w:val="808080"/>
        </w:rPr>
        <w:t>(Freiheit, Macht)</w:t>
      </w:r>
      <w:r>
        <w:rPr/>
        <w:t xml:space="preserve"> der unreinen Geister damit </w:t>
      </w:r>
      <w:r>
        <w:rPr>
          <w:color w:val="808080"/>
        </w:rPr>
        <w:t>(daß, damit)</w:t>
      </w:r>
      <w:r>
        <w:rPr/>
        <w:t xml:space="preserve"> sie austreiben diese und heilen jede Art </w:t>
      </w:r>
      <w:r>
        <w:rPr>
          <w:color w:val="808080"/>
        </w:rPr>
        <w:t>(jegliche, jede beliebige)</w:t>
      </w:r>
      <w:r>
        <w:rPr/>
        <w:t xml:space="preserve"> Krankheiten und alle Leiden </w:t>
      </w:r>
      <w:r>
        <w:rPr>
          <w:color w:val="808080"/>
        </w:rPr>
        <w:t>(Gebrechen)</w:t>
      </w:r>
      <w:r>
        <w:rPr/>
        <w:t xml:space="preserve">.{{field-off:bible}} </w:t>
        <w:br/>
        <w:t>[[@BibleTOBIBLE:Mt 10:2]]</w:t>
      </w:r>
      <w:r>
        <w:rPr>
          <w:b/>
        </w:rPr>
        <w:t>2</w:t>
      </w:r>
      <w:r>
        <w:rPr/>
        <w:t xml:space="preserve"> {{field-on:bible}}Aber die Namen der zwölf Ausgesendeten</w:t>
      </w:r>
      <w:r>
        <w:rPr>
          <w:rStyle w:val="Funotenanker"/>
        </w:rPr>
        <w:footnoteReference w:customMarkFollows="1" w:id="3349"/>
        <w:t>b</w:t>
      </w:r>
      <w:r>
        <w:rPr/>
        <w:t xml:space="preserve"> sind diese: Als erster Simon, der genannt wird Petrus und Andreas, sein Bruder, und Jakobus der </w:t>
      </w:r>
      <w:r>
        <w:rPr>
          <w:b/>
          <w:color w:val="808080"/>
        </w:rPr>
        <w:t>[</w:t>
      </w:r>
      <w:r>
        <w:rPr/>
        <w:t>Sohn</w:t>
      </w:r>
      <w:r>
        <w:rPr>
          <w:b/>
          <w:color w:val="808080"/>
        </w:rPr>
        <w:t>]</w:t>
      </w:r>
      <w:r>
        <w:rPr/>
        <w:t xml:space="preserve"> des Zebedäus und Johannes, sein Bruder{{field-off:bible}} </w:t>
        <w:br/>
        <w:t>[[@BibleTOBIBLE:Mt 10:3]]</w:t>
      </w:r>
      <w:r>
        <w:rPr>
          <w:b/>
        </w:rPr>
        <w:t>3</w:t>
      </w:r>
      <w:r>
        <w:rPr/>
        <w:t xml:space="preserve"> {{field-on:bible}}Philipus und Bartholomäus, Thomas und Matthäus, Jakobus, der </w:t>
      </w:r>
      <w:r>
        <w:rPr>
          <w:b/>
          <w:color w:val="808080"/>
        </w:rPr>
        <w:t>[</w:t>
      </w:r>
      <w:r>
        <w:rPr/>
        <w:t>Sohn</w:t>
      </w:r>
      <w:r>
        <w:rPr>
          <w:b/>
          <w:color w:val="808080"/>
        </w:rPr>
        <w:t>]</w:t>
      </w:r>
      <w:r>
        <w:rPr/>
        <w:t xml:space="preserve"> des Alfaious und Thadäus,{{field-off:bible}} </w:t>
        <w:br/>
        <w:t>[[@BibleTOBIBLE:Mt 10:4]]</w:t>
      </w:r>
      <w:r>
        <w:rPr>
          <w:b/>
        </w:rPr>
        <w:t>4</w:t>
      </w:r>
      <w:r>
        <w:rPr/>
        <w:t xml:space="preserve"> {{field-on:bible}}Simon der Zelot </w:t>
      </w:r>
      <w:r>
        <w:rPr>
          <w:color w:val="808080"/>
        </w:rPr>
        <w:t>(Kananäus)</w:t>
      </w:r>
      <w:r>
        <w:rPr/>
        <w:t xml:space="preserve"> und Judas Iskariot, der ihn verriet.{{field-off:bible}} </w:t>
        <w:br/>
        <w:t>[[@BibleTOBIBLE:Mt 10:5]]</w:t>
      </w:r>
      <w:r>
        <w:rPr>
          <w:b/>
        </w:rPr>
        <w:t>5</w:t>
      </w:r>
      <w:r>
        <w:rPr/>
        <w:t xml:space="preserve"> {{field-on:bible}}Diese Zwölf sandte Jesus aus und forderte sie auf </w:t>
      </w:r>
      <w:r>
        <w:rPr>
          <w:color w:val="808080"/>
        </w:rPr>
        <w:t>(befahl ihnen)</w:t>
      </w:r>
      <w:r>
        <w:rPr/>
        <w:t xml:space="preserve"> </w:t>
      </w:r>
      <w:r>
        <w:rPr>
          <w:strike/>
          <w:color w:val="808080"/>
        </w:rPr>
        <w:t>{sagend}</w:t>
      </w:r>
      <w:r>
        <w:rPr/>
        <w:t xml:space="preserve">:Auf dem Weg </w:t>
      </w:r>
      <w:r>
        <w:rPr>
          <w:color w:val="808080"/>
        </w:rPr>
        <w:t>(hin zu dem Weg)</w:t>
      </w:r>
      <w:r>
        <w:rPr/>
        <w:t xml:space="preserve"> der Heiden geht nicht und in keine Stadt der Samaritaner geht hinein </w:t>
      </w:r>
      <w:r>
        <w:rPr>
          <w:color w:val="808080"/>
        </w:rPr>
        <w:t>(tretet ein)</w:t>
      </w:r>
      <w:r>
        <w:rPr/>
        <w:t xml:space="preserve"> {{field-off:bible}} </w:t>
        <w:br/>
        <w:t>[[@BibleTOBIBLE:Mt 10:6]]</w:t>
      </w:r>
      <w:r>
        <w:rPr>
          <w:b/>
        </w:rPr>
        <w:t>6</w:t>
      </w:r>
      <w:r>
        <w:rPr/>
        <w:t xml:space="preserve"> {{field-on:bible}}geht aber noch lieber </w:t>
      </w:r>
      <w:r>
        <w:rPr>
          <w:color w:val="808080"/>
        </w:rPr>
        <w:t>(mehr, eher)</w:t>
      </w:r>
      <w:r>
        <w:rPr/>
        <w:t xml:space="preserve"> zu den Schafen, die verloren sind, </w:t>
      </w:r>
      <w:r>
        <w:rPr>
          <w:color w:val="808080"/>
        </w:rPr>
        <w:t>(den verlorenen Schafen)</w:t>
      </w:r>
      <w:r>
        <w:rPr/>
        <w:t xml:space="preserve"> des Hauses Israels{{field-off:bible}} </w:t>
        <w:br/>
        <w:t>[[@BibleTOBIBLE:Mt 10:7]]</w:t>
      </w:r>
      <w:r>
        <w:rPr>
          <w:b/>
        </w:rPr>
        <w:t>7</w:t>
      </w:r>
      <w:r>
        <w:rPr/>
        <w:t xml:space="preserve"> {{field-on:bible}}geht aber und verkündigt </w:t>
      </w:r>
      <w:r>
        <w:rPr>
          <w:strike/>
          <w:color w:val="808080"/>
        </w:rPr>
        <w:t>{sagend}</w:t>
      </w:r>
      <w:r>
        <w:rPr/>
        <w:t xml:space="preserve">, dass die Herrschaft der Himmel </w:t>
      </w:r>
      <w:r>
        <w:rPr>
          <w:color w:val="808080"/>
        </w:rPr>
        <w:t>(das Himmelreich)</w:t>
      </w:r>
      <w:r>
        <w:rPr/>
        <w:t xml:space="preserve"> nahe </w:t>
      </w:r>
      <w:r>
        <w:rPr>
          <w:color w:val="808080"/>
        </w:rPr>
        <w:t>(herbeigekommen)</w:t>
      </w:r>
      <w:r>
        <w:rPr/>
        <w:t xml:space="preserve"> ist.{{field-off:bible}} </w:t>
        <w:br/>
        <w:t>[[@BibleTOBIBLE:Mt 10:8]]</w:t>
      </w:r>
      <w:r>
        <w:rPr>
          <w:b/>
        </w:rPr>
        <w:t>8</w:t>
      </w:r>
      <w:r>
        <w:rPr/>
        <w:t xml:space="preserve"> {{field-on:bible}}die, die krank </w:t>
      </w:r>
      <w:r>
        <w:rPr>
          <w:color w:val="808080"/>
        </w:rPr>
        <w:t>(schwach)</w:t>
      </w:r>
      <w:r>
        <w:rPr/>
        <w:t xml:space="preserve"> sind, heilt, die, die tot sind, weckt </w:t>
      </w:r>
      <w:r>
        <w:rPr>
          <w:color w:val="808080"/>
        </w:rPr>
        <w:t>(richtet)</w:t>
      </w:r>
      <w:r>
        <w:rPr/>
        <w:t xml:space="preserve"> auf, die Aussätzigen reinigt </w:t>
      </w:r>
      <w:r>
        <w:rPr>
          <w:color w:val="808080"/>
        </w:rPr>
        <w:t>(säubert)</w:t>
      </w:r>
      <w:r>
        <w:rPr/>
        <w:t xml:space="preserve">, Dämonen treibt aus; umsonst </w:t>
      </w:r>
      <w:r>
        <w:rPr>
          <w:color w:val="808080"/>
        </w:rPr>
        <w:t>(habt ihr)</w:t>
      </w:r>
      <w:r>
        <w:rPr/>
        <w:t xml:space="preserve"> empfangen, umsonst gebt </w:t>
      </w:r>
      <w:r>
        <w:rPr>
          <w:color w:val="808080"/>
        </w:rPr>
        <w:t>(weiter)</w:t>
      </w:r>
      <w:r>
        <w:rPr/>
        <w:t xml:space="preserve">.{{field-off:bible}} </w:t>
        <w:br/>
        <w:t>[[@BibleTOBIBLE:Mt 10:9]]</w:t>
      </w:r>
      <w:r>
        <w:rPr>
          <w:b/>
        </w:rPr>
        <w:t>9</w:t>
      </w:r>
      <w:r>
        <w:rPr/>
        <w:t xml:space="preserve"> {{field-on:bible}}Ihr sollt nicht erwerben </w:t>
      </w:r>
      <w:r>
        <w:rPr>
          <w:color w:val="808080"/>
        </w:rPr>
        <w:t>(beschaffen)</w:t>
      </w:r>
      <w:r>
        <w:rPr/>
        <w:t xml:space="preserve"> Gold und auch nicht Silber, nicht einmal Bronze </w:t>
      </w:r>
      <w:r>
        <w:rPr>
          <w:color w:val="808080"/>
        </w:rPr>
        <w:t>(Kupfermünzen)</w:t>
      </w:r>
      <w:r>
        <w:rPr/>
        <w:t xml:space="preserve"> in euren Gürteln,{{field-off:bible}} </w:t>
        <w:br/>
        <w:t>[[@BibleTOBIBLE:Mt 10:10]]</w:t>
      </w:r>
      <w:r>
        <w:rPr>
          <w:b/>
        </w:rPr>
        <w:t>10</w:t>
      </w:r>
      <w:r>
        <w:rPr/>
        <w:t xml:space="preserve"> {{field-on:bible}}keine Reisetasche </w:t>
      </w:r>
      <w:r>
        <w:rPr>
          <w:color w:val="808080"/>
        </w:rPr>
        <w:t>(Ranzen)</w:t>
      </w:r>
      <w:r>
        <w:rPr/>
        <w:t xml:space="preserve"> auf den Weg </w:t>
      </w:r>
      <w:r>
        <w:rPr>
          <w:color w:val="808080"/>
        </w:rPr>
        <w:t>(für die Reise)</w:t>
      </w:r>
      <w:r>
        <w:rPr/>
        <w:t xml:space="preserve"> zund auch nicht zwei Untergewänder </w:t>
      </w:r>
      <w:r>
        <w:rPr>
          <w:color w:val="808080"/>
        </w:rPr>
        <w:t>(Hemden, Unterwäsche)</w:t>
      </w:r>
      <w:r>
        <w:rPr/>
        <w:t xml:space="preserve"> und auch keine Sandalen und keinen </w:t>
      </w:r>
      <w:r>
        <w:rPr>
          <w:color w:val="808080"/>
        </w:rPr>
        <w:t>(Wander-)</w:t>
      </w:r>
      <w:r>
        <w:rPr/>
        <w:t>Stab; denn ein gerechter Arbeiter ist seinen Lebensunterhalt</w:t>
      </w:r>
      <w:r>
        <w:rPr>
          <w:rStyle w:val="Funotenanker"/>
        </w:rPr>
        <w:footnoteReference w:customMarkFollows="1" w:id="3350"/>
        <w:t>c</w:t>
      </w:r>
      <w:r>
        <w:rPr/>
        <w:t xml:space="preserve"> wert.{{field-off:bible}} </w:t>
        <w:br/>
        <w:t>[[@BibleTOBIBLE:Mt 10:11]]</w:t>
      </w:r>
      <w:r>
        <w:rPr>
          <w:b/>
        </w:rPr>
        <w:t>11</w:t>
      </w:r>
      <w:r>
        <w:rPr/>
        <w:t xml:space="preserve"> {{field-on:bible}}Wenn ihr in eine Stadt oder ein Dorf kommt, erforscht </w:t>
      </w:r>
      <w:r>
        <w:rPr>
          <w:color w:val="808080"/>
        </w:rPr>
        <w:t>(untersucht)</w:t>
      </w:r>
      <w:r>
        <w:rPr/>
        <w:t xml:space="preserve"> wer in dieser Gerecht ist; und </w:t>
      </w:r>
      <w:r>
        <w:rPr>
          <w:color w:val="808080"/>
        </w:rPr>
        <w:t>(bei)</w:t>
      </w:r>
      <w:r>
        <w:rPr/>
        <w:t xml:space="preserve"> diesen wohnt </w:t>
      </w:r>
      <w:r>
        <w:rPr>
          <w:color w:val="808080"/>
        </w:rPr>
        <w:t>(bleibt)</w:t>
      </w:r>
      <w:r>
        <w:rPr/>
        <w:t xml:space="preserve"> bist ihr fortgeht </w:t>
      </w:r>
      <w:r>
        <w:rPr>
          <w:color w:val="808080"/>
        </w:rPr>
        <w:t>(weiter geht)</w:t>
      </w:r>
      <w:r>
        <w:rPr/>
        <w:t xml:space="preserve">.{{field-off:bible}} </w:t>
        <w:br/>
        <w:t>[[@BibleTOBIBLE:Mt 10:12]]</w:t>
      </w:r>
      <w:r>
        <w:rPr>
          <w:b/>
        </w:rPr>
        <w:t>12</w:t>
      </w:r>
      <w:r>
        <w:rPr/>
        <w:t xml:space="preserve"> {{field-on:bible}}Wenn ihr aber in das Haus hineingeht</w:t>
      </w:r>
      <w:r>
        <w:rPr>
          <w:rStyle w:val="Funotenanker"/>
        </w:rPr>
        <w:footnoteReference w:customMarkFollows="1" w:id="3351"/>
        <w:t>d</w:t>
      </w:r>
      <w:r>
        <w:rPr/>
        <w:t xml:space="preserve"> sollt ihr grüßen</w:t>
      </w:r>
      <w:r>
        <w:rPr>
          <w:rStyle w:val="Funotenanker"/>
        </w:rPr>
        <w:footnoteReference w:customMarkFollows="1" w:id="3352"/>
        <w:t>e</w:t>
      </w:r>
      <w:r>
        <w:rPr/>
        <w:t xml:space="preserve">.{{field-off:bible}} </w:t>
        <w:br/>
        <w:t>[[@BibleTOBIBLE:Mt 10:13]]</w:t>
      </w:r>
      <w:r>
        <w:rPr>
          <w:b/>
        </w:rPr>
        <w:t>13</w:t>
      </w:r>
      <w:r>
        <w:rPr/>
        <w:t xml:space="preserve"> {{field-on:bible}}und wenn aber das Haus gerecht ist, soll Frieden über es kommen, wenn es aber nicht gerecht ist, soll euer Friede zu euch umkehren </w:t>
      </w:r>
      <w:r>
        <w:rPr>
          <w:color w:val="808080"/>
        </w:rPr>
        <w:t>(zurückkehren)</w:t>
      </w:r>
      <w:r>
        <w:rPr/>
        <w:t xml:space="preserve">.{{field-off:bible}} </w:t>
        <w:br/>
        <w:t>[[@BibleTOBIBLE:Mt 10:14]]</w:t>
      </w:r>
      <w:r>
        <w:rPr>
          <w:b/>
        </w:rPr>
        <w:t>14</w:t>
      </w:r>
      <w:r>
        <w:rPr/>
        <w:t xml:space="preserve"> {{field-on:bible}}und wenn man </w:t>
      </w:r>
      <w:r>
        <w:rPr>
          <w:color w:val="808080"/>
        </w:rPr>
        <w:t>(wer auch immer)</w:t>
      </w:r>
      <w:r>
        <w:rPr/>
        <w:t xml:space="preserve"> nicht einmal </w:t>
      </w:r>
      <w:r>
        <w:rPr>
          <w:color w:val="808080"/>
        </w:rPr>
        <w:t>(auch nicht)</w:t>
      </w:r>
      <w:r>
        <w:rPr/>
        <w:t xml:space="preserve"> euren Worten Gehör gibt, verlasst jenes Dorf oder Stadt </w:t>
      </w:r>
      <w:r>
        <w:rPr>
          <w:color w:val="808080"/>
        </w:rPr>
        <w:t>(diesen Ort)</w:t>
      </w:r>
      <w:r>
        <w:rPr/>
        <w:t xml:space="preserve"> und schüttelt den Staub von euren Füßenö.{{field-off:bible}} </w:t>
        <w:br/>
        <w:t>[[@BibleTOBIBLE:Mt 10:15]]</w:t>
      </w:r>
      <w:r>
        <w:rPr>
          <w:b/>
        </w:rPr>
        <w:t>15</w:t>
      </w:r>
      <w:r>
        <w:rPr/>
        <w:t xml:space="preserve"> {{field-on:bible}}Amen </w:t>
      </w:r>
      <w:r>
        <w:rPr>
          <w:color w:val="808080"/>
        </w:rPr>
        <w:t>(wahrlich)</w:t>
      </w:r>
      <w:r>
        <w:rPr/>
        <w:t xml:space="preserve"> ich sage euch, es wird für die Gegend </w:t>
      </w:r>
      <w:r>
        <w:rPr>
          <w:color w:val="808080"/>
        </w:rPr>
        <w:t>(Landschaft, Erde)</w:t>
      </w:r>
      <w:r>
        <w:rPr/>
        <w:t xml:space="preserve"> Sodoms und Gomorras erträglicher sein am Tag des Gerichts als jener Stadt.{{field-off:bible}} </w:t>
        <w:br/>
        <w:t>[[@BibleTOBIBLE:Mt 10:16]]</w:t>
      </w:r>
      <w:r>
        <w:rPr>
          <w:b/>
        </w:rPr>
        <w:t>16</w:t>
      </w:r>
      <w:r>
        <w:rPr/>
        <w:t xml:space="preserve"> {{field-on:bible}} </w:t>
      </w:r>
      <w:r>
        <w:rPr>
          <w:strike/>
          <w:color w:val="808080"/>
        </w:rPr>
        <w:t>{Bedenkt wohl}</w:t>
      </w:r>
      <w:r>
        <w:rPr/>
        <w:t xml:space="preserve"> ich sende euch wie Schafe inmitten </w:t>
      </w:r>
      <w:r>
        <w:rPr>
          <w:color w:val="808080"/>
        </w:rPr>
        <w:t>(mitten unter die)</w:t>
      </w:r>
      <w:r>
        <w:rPr/>
        <w:t xml:space="preserve"> der Wölfe; ihr sollt sein </w:t>
      </w:r>
      <w:r>
        <w:rPr>
          <w:color w:val="808080"/>
        </w:rPr>
        <w:t>(seid)</w:t>
      </w:r>
      <w:r>
        <w:rPr/>
        <w:t xml:space="preserve"> nun verständig </w:t>
      </w:r>
      <w:r>
        <w:rPr>
          <w:color w:val="808080"/>
        </w:rPr>
        <w:t>(klug)</w:t>
      </w:r>
      <w:r>
        <w:rPr/>
        <w:t xml:space="preserve"> wie die Schlangen und rein </w:t>
      </w:r>
      <w:r>
        <w:rPr>
          <w:color w:val="808080"/>
        </w:rPr>
        <w:t>(lauter, ohne Falsch)</w:t>
      </w:r>
      <w:r>
        <w:rPr/>
        <w:t xml:space="preserve"> wie die Tauben.{{field-off:bible}} </w:t>
        <w:br/>
        <w:t>[[@BibleTOBIBLE:Mt 10:17]]</w:t>
      </w:r>
      <w:r>
        <w:rPr>
          <w:b/>
        </w:rPr>
        <w:t>17</w:t>
      </w:r>
      <w:r>
        <w:rPr/>
        <w:t xml:space="preserve"> {{field-on:bible}}Achtet aber auf </w:t>
      </w:r>
      <w:r>
        <w:rPr>
          <w:color w:val="808080"/>
        </w:rPr>
        <w:t>(richtet den Sinn auf)</w:t>
      </w:r>
      <w:r>
        <w:rPr/>
        <w:t xml:space="preserve"> die Menschen: Denn sie werden euch an die Lokalgerichte übergeben und euch in den Synagogen auspeitschen </w:t>
      </w:r>
      <w:r>
        <w:rPr>
          <w:color w:val="808080"/>
        </w:rPr>
        <w:t>(strafen, züchtigen)</w:t>
      </w:r>
      <w:r>
        <w:rPr/>
        <w:t xml:space="preserve">;{{field-off:bible}} </w:t>
        <w:br/>
        <w:t>[[@BibleTOBIBLE:Mt 10:18]]</w:t>
      </w:r>
      <w:r>
        <w:rPr>
          <w:b/>
        </w:rPr>
        <w:t>18</w:t>
      </w:r>
      <w:r>
        <w:rPr/>
        <w:t xml:space="preserve"> {{field-on:bible}}und vor die Herrscher </w:t>
      </w:r>
      <w:r>
        <w:rPr>
          <w:strike/>
          <w:color w:val="808080"/>
        </w:rPr>
        <w:t>{aber}</w:t>
      </w:r>
      <w:r>
        <w:rPr/>
        <w:t xml:space="preserve"> und Könige bringen </w:t>
      </w:r>
      <w:r>
        <w:rPr>
          <w:color w:val="808080"/>
        </w:rPr>
        <w:t>(führen)</w:t>
      </w:r>
      <w:r>
        <w:rPr/>
        <w:t xml:space="preserve"> um meiner willen zum Zeugnis vor ihnen und vor den anderen Völkern.{{field-off:bible}} </w:t>
        <w:br/>
        <w:t>[[@BibleTOBIBLE:Mt 10:19]]</w:t>
      </w:r>
      <w:r>
        <w:rPr>
          <w:b/>
        </w:rPr>
        <w:t>19</w:t>
      </w:r>
      <w:r>
        <w:rPr/>
        <w:t xml:space="preserve"> {{field-on:bible}}Wenn man euch aber ausliefert </w:t>
      </w:r>
      <w:r>
        <w:rPr>
          <w:color w:val="808080"/>
        </w:rPr>
        <w:t>(übergibt)</w:t>
      </w:r>
      <w:r>
        <w:rPr/>
        <w:t xml:space="preserve"> macht euch keine Sorgen, wie oder was ihr reden sollt; denn es wird euch </w:t>
      </w:r>
      <w:r>
        <w:rPr>
          <w:color w:val="808080"/>
        </w:rPr>
        <w:t>(ein-)</w:t>
      </w:r>
      <w:r>
        <w:rPr/>
        <w:t xml:space="preserve">gegeben in jener Stunde was ihr reden sollt;{{field-off:bible}} </w:t>
        <w:br/>
        <w:t>[[@BibleTOBIBLE:Mt 10:20]]</w:t>
      </w:r>
      <w:r>
        <w:rPr>
          <w:b/>
        </w:rPr>
        <w:t>20</w:t>
      </w:r>
      <w:r>
        <w:rPr/>
        <w:t xml:space="preserve"> {{field-on:bible}}denn nicht </w:t>
      </w:r>
      <w:r>
        <w:rPr>
          <w:color w:val="808080"/>
        </w:rPr>
        <w:t>(nicht so sehr)</w:t>
      </w:r>
      <w:r>
        <w:rPr/>
        <w:t xml:space="preserve"> ist euer Reden</w:t>
      </w:r>
      <w:r>
        <w:rPr>
          <w:rStyle w:val="Funotenanker"/>
        </w:rPr>
        <w:footnoteReference w:customMarkFollows="1" w:id="3353"/>
        <w:t>f</w:t>
      </w:r>
      <w:r>
        <w:rPr/>
        <w:t xml:space="preserve">, sondern </w:t>
      </w:r>
      <w:r>
        <w:rPr>
          <w:color w:val="808080"/>
        </w:rPr>
        <w:t>(als vielmehr)</w:t>
      </w:r>
      <w:r>
        <w:rPr/>
        <w:t xml:space="preserve"> der Geist eures Vaters ist es, der durch euch reden wird.{{field-off:bible}} </w:t>
        <w:br/>
        <w:t>[[@BibleTOBIBLE:Mt 10:21]]</w:t>
      </w:r>
      <w:r>
        <w:rPr>
          <w:b/>
        </w:rPr>
        <w:t>21</w:t>
      </w:r>
      <w:r>
        <w:rPr/>
        <w:t xml:space="preserve"> {{field-on:bible}}Es wird aber ein Bruder einen </w:t>
      </w:r>
      <w:r>
        <w:rPr>
          <w:color w:val="808080"/>
        </w:rPr>
        <w:t>(seinen)</w:t>
      </w:r>
      <w:r>
        <w:rPr/>
        <w:t xml:space="preserve"> Bruder, und ein Vater ein </w:t>
      </w:r>
      <w:r>
        <w:rPr>
          <w:color w:val="808080"/>
        </w:rPr>
        <w:t>(sein)</w:t>
      </w:r>
      <w:r>
        <w:rPr/>
        <w:t xml:space="preserve"> Kind dem Tode </w:t>
      </w:r>
      <w:r>
        <w:rPr>
          <w:color w:val="808080"/>
        </w:rPr>
        <w:t>(Henker)</w:t>
      </w:r>
      <w:r>
        <w:rPr/>
        <w:t xml:space="preserve"> überliefern und es werden sich Kinder gegen ihre Eltern stellen und sie umbringen lassen.{{field-off:bible}} </w:t>
        <w:br/>
        <w:t>[[@BibleTOBIBLE:Mt 10:22]]</w:t>
      </w:r>
      <w:r>
        <w:rPr>
          <w:b/>
        </w:rPr>
        <w:t>22</w:t>
      </w:r>
      <w:r>
        <w:rPr/>
        <w:t xml:space="preserve"> {{field-on:bible}}Und es wird Hass sein von jedem um meines Namens willen; Wer aber bis zuletzt bleibt, der wird errettet </w:t>
      </w:r>
      <w:r>
        <w:rPr>
          <w:color w:val="808080"/>
        </w:rPr>
        <w:t>(gerettet, bewahrt)</w:t>
      </w:r>
      <w:r>
        <w:rPr/>
        <w:t xml:space="preserve"> bleiben.{{field-off:bible}} </w:t>
        <w:br/>
        <w:t>[[@BibleTOBIBLE:Mt 10:23]]</w:t>
      </w:r>
      <w:r>
        <w:rPr>
          <w:b/>
        </w:rPr>
        <w:t>23</w:t>
      </w:r>
      <w:r>
        <w:rPr/>
        <w:t xml:space="preserve"> {{field-on:bible}}Wenn man euch aber verfolgt in der </w:t>
      </w:r>
      <w:r>
        <w:rPr>
          <w:color w:val="808080"/>
        </w:rPr>
        <w:t>(einen)</w:t>
      </w:r>
      <w:r>
        <w:rPr/>
        <w:t xml:space="preserve"> Stadt, flieht in eine andere </w:t>
      </w:r>
      <w:r>
        <w:rPr>
          <w:color w:val="808080"/>
        </w:rPr>
        <w:t>(die nächste)</w:t>
      </w:r>
      <w:r>
        <w:rPr/>
        <w:t xml:space="preserve">; Amen </w:t>
      </w:r>
      <w:r>
        <w:rPr>
          <w:color w:val="808080"/>
        </w:rPr>
        <w:t>(Wahrlich)</w:t>
      </w:r>
      <w:r>
        <w:rPr/>
        <w:t xml:space="preserve">, denn ich sage euch ihr werdet nicht beenden </w:t>
      </w:r>
      <w:r>
        <w:rPr>
          <w:color w:val="808080"/>
        </w:rPr>
        <w:t>(fertig sein)</w:t>
      </w:r>
      <w:r>
        <w:rPr/>
        <w:t xml:space="preserve"> mit den Städten Israels bis kommt der Sohn des Menschen.{{field-off:bible}} </w:t>
        <w:br/>
        <w:t>[[@BibleTOBIBLE:Mt 10:24]]</w:t>
      </w:r>
      <w:r>
        <w:rPr>
          <w:b/>
        </w:rPr>
        <w:t>24</w:t>
      </w:r>
      <w:r>
        <w:rPr/>
        <w:t xml:space="preserve"> {{field-on:bible}}Der Schüler </w:t>
      </w:r>
      <w:r>
        <w:rPr>
          <w:color w:val="808080"/>
        </w:rPr>
        <w:t>(Jünger)</w:t>
      </w:r>
      <w:r>
        <w:rPr/>
        <w:t xml:space="preserve"> ist nicht über </w:t>
      </w:r>
      <w:r>
        <w:rPr>
          <w:color w:val="808080"/>
        </w:rPr>
        <w:t>(mehr als, steht nicht über)</w:t>
      </w:r>
      <w:r>
        <w:rPr/>
        <w:t xml:space="preserve"> dem Lehrer oder der Knecht </w:t>
      </w:r>
      <w:r>
        <w:rPr>
          <w:color w:val="808080"/>
        </w:rPr>
        <w:t>(Diener)</w:t>
      </w:r>
      <w:r>
        <w:rPr/>
        <w:t xml:space="preserve"> über seinem Herrn.{{field-off:bible}} </w:t>
        <w:br/>
        <w:t>[[@BibleTOBIBLE:Mt 10:25]]</w:t>
      </w:r>
      <w:r>
        <w:rPr>
          <w:b/>
        </w:rPr>
        <w:t>25</w:t>
      </w:r>
      <w:r>
        <w:rPr/>
        <w:t xml:space="preserve"> {{field-on:bible}}Es genügt dem Jünger </w:t>
      </w:r>
      <w:r>
        <w:rPr>
          <w:color w:val="808080"/>
        </w:rPr>
        <w:t>(es ist ihm hinreichend)</w:t>
      </w:r>
      <w:r>
        <w:rPr/>
        <w:t xml:space="preserve">, dass er ist wie sein Lehrer und dem Diener </w:t>
      </w:r>
      <w:r>
        <w:rPr>
          <w:color w:val="808080"/>
        </w:rPr>
        <w:t>(Kencth)</w:t>
      </w:r>
      <w:r>
        <w:rPr/>
        <w:t xml:space="preserve"> wie sein Herr. Wenn man den Hausherrn Beeltebuul nennt, wie viel mehr wird man das mit seinen Hausgenossen tun.{{field-off:bible}} </w:t>
        <w:br/>
        <w:t>[[@BibleTOBIBLE:Mt 10:26]]</w:t>
      </w:r>
      <w:r>
        <w:rPr>
          <w:b/>
        </w:rPr>
        <w:t>26</w:t>
      </w:r>
      <w:r>
        <w:rPr/>
        <w:t xml:space="preserve"> {{field-on:bible}}Fürchtet sie also nicht: denn es ist auch nichts verborgen, was nicht offenbart </w:t>
      </w:r>
      <w:r>
        <w:rPr>
          <w:color w:val="808080"/>
        </w:rPr>
        <w:t>(enthüllt)</w:t>
      </w:r>
      <w:r>
        <w:rPr/>
        <w:t xml:space="preserve"> wird und nichts verborgen </w:t>
      </w:r>
      <w:r>
        <w:rPr>
          <w:color w:val="808080"/>
        </w:rPr>
        <w:t>(geheim)</w:t>
      </w:r>
      <w:r>
        <w:rPr/>
        <w:t xml:space="preserve">, was nicht bekannt wird.{{field-off:bible}} </w:t>
        <w:br/>
        <w:t>[[@BibleTOBIBLE:Mt 10:27]]</w:t>
      </w:r>
      <w:r>
        <w:rPr>
          <w:b/>
        </w:rPr>
        <w:t>27</w:t>
      </w:r>
      <w:r>
        <w:rPr/>
        <w:t xml:space="preserve"> {{field-on:bible}}Was ich euch sage in der Dunkelheit </w:t>
      </w:r>
      <w:r>
        <w:rPr>
          <w:color w:val="808080"/>
        </w:rPr>
        <w:t>(im dunklen, geheimen)</w:t>
      </w:r>
      <w:r>
        <w:rPr/>
        <w:t xml:space="preserve"> </w:t>
      </w:r>
      <w:r>
        <w:rPr>
          <w:strike/>
          <w:color w:val="808080"/>
        </w:rPr>
        <w:t>{daß}</w:t>
      </w:r>
      <w:r>
        <w:rPr/>
        <w:t xml:space="preserve"> sagt im Licht </w:t>
      </w:r>
      <w:r>
        <w:rPr>
          <w:color w:val="808080"/>
        </w:rPr>
        <w:t>(am hellen Tag, in der Öffentlichkeit)</w:t>
      </w:r>
      <w:r>
        <w:rPr/>
        <w:t xml:space="preserve">, und was ihr ins Ohr geflüstert bekommt, verkündet auf den Dächern.{{field-off:bible}} </w:t>
        <w:br/>
        <w:t>[[@BibleTOBIBLE:Mt 10:28]]</w:t>
      </w:r>
      <w:r>
        <w:rPr>
          <w:b/>
        </w:rPr>
        <w:t>28</w:t>
      </w:r>
      <w:r>
        <w:rPr/>
        <w:t xml:space="preserve"> {{field-on:bible}}Und fürchtet euch nicht vor denen, die den Leib töten, aber die Seele nicht töten können; fürchtet aber mehr den, der die Seele dem Verderben preisgeben kann und den Leib tötet in der Hölle.{{field-off:bible}} </w:t>
        <w:br/>
        <w:t>[[@BibleTOBIBLE:Mt 10:29]]</w:t>
      </w:r>
      <w:r>
        <w:rPr>
          <w:b/>
        </w:rPr>
        <w:t>29</w:t>
      </w:r>
      <w:r>
        <w:rPr/>
        <w:t xml:space="preserve"> {{field-on:bible}}Es werden nicht zwei Spatzen für ein paar Groschen zum Kauf angeboten? Und doch fällt kein einziger von diesen auf die Erde ohne euren Vater.{{field-off:bible}} </w:t>
        <w:br/>
        <w:t>[[@BibleTOBIBLE:Mt 10:30]]</w:t>
      </w:r>
      <w:r>
        <w:rPr>
          <w:b/>
        </w:rPr>
        <w:t>30</w:t>
      </w:r>
      <w:r>
        <w:rPr/>
        <w:t xml:space="preserve"> {{field-on:bible}}Bei euch aber sind auch die Haare des Kopfes </w:t>
      </w:r>
      <w:r>
        <w:rPr>
          <w:color w:val="808080"/>
        </w:rPr>
        <w:t>(auf dem Kopf)</w:t>
      </w:r>
      <w:r>
        <w:rPr/>
        <w:t xml:space="preserve"> alle gezählt.{{field-off:bible}} </w:t>
        <w:br/>
        <w:t>[[@BibleTOBIBLE:Mt 10:31]]</w:t>
      </w:r>
      <w:r>
        <w:rPr>
          <w:b/>
        </w:rPr>
        <w:t>31</w:t>
      </w:r>
      <w:r>
        <w:rPr/>
        <w:t xml:space="preserve"> {{field-on:bible}}Fürchtet euch nicht: Ihr seid viel wertvoller </w:t>
      </w:r>
      <w:r>
        <w:rPr>
          <w:color w:val="808080"/>
        </w:rPr>
        <w:t>(besser, mehr)</w:t>
      </w:r>
      <w:r>
        <w:rPr/>
        <w:t xml:space="preserve"> als die Spatzen.{{field-off:bible}} </w:t>
        <w:br/>
        <w:t>[[@BibleTOBIBLE:Mt 10:32]]</w:t>
      </w:r>
      <w:r>
        <w:rPr>
          <w:b/>
        </w:rPr>
        <w:t>32</w:t>
      </w:r>
      <w:r>
        <w:rPr/>
        <w:t xml:space="preserve"> {{field-on:bible}}Jeder nun, der sich zu mir bekennt vor den Menschen, zu dem werde ich mich auch bekennen vor meinem Vater in </w:t>
      </w:r>
      <w:r>
        <w:rPr>
          <w:b/>
          <w:color w:val="808080"/>
        </w:rPr>
        <w:t>[</w:t>
      </w:r>
      <w:r>
        <w:rPr/>
        <w:t>den</w:t>
      </w:r>
      <w:r>
        <w:rPr>
          <w:b/>
          <w:color w:val="808080"/>
        </w:rPr>
        <w:t>]</w:t>
      </w:r>
      <w:r>
        <w:rPr/>
        <w:t xml:space="preserve"> Himmeln.{{field-off:bible}} </w:t>
        <w:br/>
        <w:t>[[@BibleTOBIBLE:Mt 10:33]]</w:t>
      </w:r>
      <w:r>
        <w:rPr>
          <w:b/>
        </w:rPr>
        <w:t>33</w:t>
      </w:r>
      <w:r>
        <w:rPr/>
        <w:t xml:space="preserve"> {{field-on:bible}}Wer auch immer mich leugnet vor den Menschen, den werde ich auch verleugnen vor meinem Vater in den Himmeln.{{field-off:bible}} </w:t>
        <w:br/>
        <w:t>[[@BibleTOBIBLE:Mt 10:34]]</w:t>
      </w:r>
      <w:r>
        <w:rPr>
          <w:b/>
        </w:rPr>
        <w:t>34</w:t>
      </w:r>
      <w:r>
        <w:rPr/>
        <w:t xml:space="preserve"> {{field-on:bible}}Glaubt nicht, dass ich gekommen bin Frieden auf der Erde zu bringen; Ich bin nicht gekommen Frieden zu Bringen sondern ein Schwer.{{field-off:bible}} </w:t>
        <w:br/>
        <w:t>[[@BibleTOBIBLE:Mt 10:35]]</w:t>
      </w:r>
      <w:r>
        <w:rPr>
          <w:b/>
        </w:rPr>
        <w:t>35</w:t>
      </w:r>
      <w:r>
        <w:rPr/>
        <w:t xml:space="preserve"> {{field-on:bible}}Denn ich bin gekommen zu trennen </w:t>
      </w:r>
      <w:r>
        <w:rPr>
          <w:color w:val="808080"/>
        </w:rPr>
        <w:t>(entzweien)</w:t>
      </w:r>
      <w:r>
        <w:rPr/>
        <w:t xml:space="preserve"> ein Sohn</w:t>
      </w:r>
      <w:r>
        <w:rPr>
          <w:rStyle w:val="Funotenanker"/>
        </w:rPr>
        <w:footnoteReference w:customMarkFollows="1" w:id="3354"/>
        <w:t>g</w:t>
      </w:r>
      <w:r>
        <w:rPr/>
        <w:t xml:space="preserve"> mit seinem Vater und eine Tochter mit ihrer Mutter und eine Braut</w:t>
      </w:r>
      <w:r>
        <w:rPr>
          <w:rStyle w:val="Funotenanker"/>
        </w:rPr>
        <w:footnoteReference w:customMarkFollows="1" w:id="3355"/>
        <w:t>h</w:t>
      </w:r>
      <w:r>
        <w:rPr/>
        <w:t xml:space="preserve"> mit ihrer Schwiegermutter</w:t>
      </w:r>
      <w:r>
        <w:rPr>
          <w:rStyle w:val="Funotenanker"/>
        </w:rPr>
        <w:footnoteReference w:customMarkFollows="1" w:id="3356"/>
        <w:t>i</w:t>
      </w:r>
      <w:r>
        <w:rPr/>
        <w:t xml:space="preserve">.{{field-off:bible}} </w:t>
        <w:br/>
        <w:t>[[@BibleTOBIBLE:Mt 10:36]]</w:t>
      </w:r>
      <w:r>
        <w:rPr>
          <w:b/>
        </w:rPr>
        <w:t>36</w:t>
      </w:r>
      <w:r>
        <w:rPr/>
        <w:t xml:space="preserve"> {{field-on:bible}}und ein Feind des Menschen wird seine Hausgemeinschaft sein.{{field-off:bible}} </w:t>
        <w:br/>
        <w:t>[[@BibleTOBIBLE:Mt 10:37]]</w:t>
      </w:r>
      <w:r>
        <w:rPr>
          <w:b/>
        </w:rPr>
        <w:t>37</w:t>
      </w:r>
      <w:r>
        <w:rPr/>
        <w:t xml:space="preserve"> {{field-on:bible}}Wer seinen Vater oder seine Mutter mehr lieb </w:t>
      </w:r>
      <w:r>
        <w:rPr>
          <w:color w:val="808080"/>
        </w:rPr>
        <w:t>(gern)</w:t>
      </w:r>
      <w:r>
        <w:rPr/>
        <w:t xml:space="preserve"> hat als mich, ist meiner nicht wert </w:t>
      </w:r>
      <w:r>
        <w:rPr>
          <w:color w:val="808080"/>
        </w:rPr>
        <w:t>(ist nicht wert mein Jünger zu sein)</w:t>
      </w:r>
      <w:r>
        <w:rPr/>
        <w:t xml:space="preserve"> und wer seinen Sohn oder seine Tochter mehr lieb </w:t>
      </w:r>
      <w:r>
        <w:rPr>
          <w:color w:val="808080"/>
        </w:rPr>
        <w:t>(gern)</w:t>
      </w:r>
      <w:r>
        <w:rPr/>
        <w:t xml:space="preserve"> hat als mich, ist meiner nicht wert </w:t>
      </w:r>
      <w:r>
        <w:rPr>
          <w:color w:val="808080"/>
        </w:rPr>
        <w:t>(ist nicht wert mein Jünger zu sein)</w:t>
      </w:r>
      <w:r>
        <w:rPr/>
        <w:t xml:space="preserve">.{{field-off:bible}} </w:t>
        <w:br/>
        <w:t>[[@BibleTOBIBLE:Mt 10:38]]</w:t>
      </w:r>
      <w:r>
        <w:rPr>
          <w:b/>
        </w:rPr>
        <w:t>38</w:t>
      </w:r>
      <w:r>
        <w:rPr/>
        <w:t xml:space="preserve"> {{field-on:bible}}Und wer nicht sein Kreuz auf sich nimmt und mir nachfolgt </w:t>
      </w:r>
      <w:r>
        <w:rPr>
          <w:color w:val="808080"/>
        </w:rPr>
        <w:t>(mein Jünger ist)</w:t>
      </w:r>
      <w:r>
        <w:rPr/>
        <w:t xml:space="preserve"> ist meiner nicht wert.{{field-off:bible}} </w:t>
        <w:br/>
        <w:t>[[@BibleTOBIBLE:Mt 10:39]]</w:t>
      </w:r>
      <w:r>
        <w:rPr>
          <w:b/>
        </w:rPr>
        <w:t>39</w:t>
      </w:r>
      <w:r>
        <w:rPr/>
        <w:t xml:space="preserve"> {{field-on:bible}}Wer sein Leben</w:t>
      </w:r>
      <w:r>
        <w:rPr>
          <w:rStyle w:val="Funotenanker"/>
        </w:rPr>
        <w:footnoteReference w:customMarkFollows="1" w:id="3357"/>
        <w:t>j</w:t>
      </w:r>
      <w:r>
        <w:rPr/>
        <w:t xml:space="preserve"> findet </w:t>
      </w:r>
      <w:r>
        <w:rPr>
          <w:color w:val="808080"/>
        </w:rPr>
        <w:t>(festhalten will)</w:t>
      </w:r>
      <w:r>
        <w:rPr/>
        <w:t xml:space="preserve"> wird es zerstören </w:t>
      </w:r>
      <w:r>
        <w:rPr>
          <w:color w:val="808080"/>
        </w:rPr>
        <w:t>(verderben, vernichten, verlieren)</w:t>
      </w:r>
      <w:r>
        <w:rPr/>
        <w:t xml:space="preserve"> und wer sein Leben zerstört um meiner Willen </w:t>
      </w:r>
      <w:r>
        <w:rPr>
          <w:color w:val="808080"/>
        </w:rPr>
        <w:t>(wegen mir)</w:t>
      </w:r>
      <w:r>
        <w:rPr/>
        <w:t xml:space="preserve"> wird es erlangen.{{field-off:bible}} </w:t>
        <w:br/>
        <w:t>[[@BibleTOBIBLE:Mt 10:40]]</w:t>
      </w:r>
      <w:r>
        <w:rPr>
          <w:b/>
        </w:rPr>
        <w:t>40</w:t>
      </w:r>
      <w:r>
        <w:rPr/>
        <w:t xml:space="preserve"> {{field-on:bible}}Die euch aufnehmen, nehmen mich auf und die mich aufnehmen, nehmen den auf, der mich gesandt hat.{{field-off:bible}} </w:t>
        <w:br/>
        <w:t>[[@BibleTOBIBLE:Mt 10:41]]</w:t>
      </w:r>
      <w:r>
        <w:rPr>
          <w:b/>
        </w:rPr>
        <w:t>41</w:t>
      </w:r>
      <w:r>
        <w:rPr/>
        <w:t xml:space="preserve"> {{field-on:bible}}Wer einen Propheten aufnimmt, weil er ein Prophet ist</w:t>
      </w:r>
      <w:r>
        <w:rPr>
          <w:rStyle w:val="Funotenanker"/>
        </w:rPr>
        <w:footnoteReference w:customMarkFollows="1" w:id="3358"/>
        <w:t>k</w:t>
      </w:r>
      <w:r>
        <w:rPr/>
        <w:t xml:space="preserve">. wird den Lohn eines Propheten empfangen </w:t>
      </w:r>
      <w:r>
        <w:rPr>
          <w:color w:val="808080"/>
        </w:rPr>
        <w:t>(bekommen)</w:t>
      </w:r>
      <w:r>
        <w:rPr/>
        <w:t xml:space="preserve"> und wer einen Gerechten, weil er ein Gerechter ist</w:t>
      </w:r>
      <w:r>
        <w:rPr>
          <w:rStyle w:val="Funotenanker"/>
        </w:rPr>
        <w:footnoteReference w:customMarkFollows="1" w:id="3359"/>
        <w:t>l</w:t>
      </w:r>
      <w:r>
        <w:rPr/>
        <w:t xml:space="preserve">, aufnimmt, wird den Lohn eines Gerechten bekommen.{{field-off:bible}} </w:t>
        <w:br/>
        <w:t>[[@BibleTOBIBLE:Mt 10:42]]</w:t>
      </w:r>
      <w:r>
        <w:rPr>
          <w:b/>
        </w:rPr>
        <w:t>42</w:t>
      </w:r>
      <w:r>
        <w:rPr/>
        <w:t xml:space="preserve"> {{field-on:bible}}Und wer auch immer einen Becher kalten Wassers zu Trinken gibt einem der Geringsten im Namen eines Jüngers, wahrlich </w:t>
      </w:r>
      <w:r>
        <w:rPr>
          <w:color w:val="808080"/>
        </w:rPr>
        <w:t>(Amen)</w:t>
      </w:r>
      <w:r>
        <w:rPr/>
        <w:t xml:space="preserve">, ich sage euch, er wird seines Lohnes </w:t>
      </w:r>
      <w:r>
        <w:rPr>
          <w:color w:val="808080"/>
        </w:rPr>
        <w:t>(auf keinen Fall)</w:t>
      </w:r>
      <w:r>
        <w:rPr/>
        <w:t xml:space="preserve"> verlustig gehen </w:t>
      </w:r>
      <w:r>
        <w:rPr>
          <w:color w:val="808080"/>
        </w:rPr>
        <w:t>(wird auf keinen Fall um seinen Lohn kommen)</w:t>
      </w:r>
      <w:r>
        <w:rPr/>
        <w:t xml:space="preserve">.{{field-off:bible}} </w:t>
      </w:r>
    </w:p>
    <w:p>
      <w:pPr>
        <w:pStyle w:val="Berschrift3"/>
        <w:rPr/>
      </w:pPr>
      <w:r>
        <w:rPr/>
        <w:t>[[@BibleTOBIBLE:Mt 11]]Kapitel 11</w:t>
      </w:r>
    </w:p>
    <w:p>
      <w:pPr>
        <w:pStyle w:val="Textkrper"/>
        <w:rPr/>
      </w:pPr>
      <w:r>
        <w:rPr/>
        <w:br/>
        <w:t>[[@BibleTOBIBLE:Mt 11:1]]</w:t>
      </w:r>
      <w:r>
        <w:rPr>
          <w:b/>
        </w:rPr>
        <w:t>1</w:t>
      </w:r>
      <w:r>
        <w:rPr/>
        <w:t xml:space="preserve"> {{field-on:bible}} </w:t>
      </w:r>
      <w:r>
        <w:rPr>
          <w:rStyle w:val="Funotenanker"/>
        </w:rPr>
        <w:footnoteReference w:customMarkFollows="1" w:id="3360"/>
        <w:t>Status</w:t>
      </w:r>
      <w:r>
        <w:rPr/>
        <w:t xml:space="preserve"> Und es geschah, als Jesus vollendet hatte das Befehlen an seine zwölf Jünger, dass er weiterzog von dort, um zu lehren und zu predigen in ihren Städten.{{field-off:bible}} </w:t>
        <w:br/>
        <w:t>[[@BibleTOBIBLE:Mt 11:2]]</w:t>
      </w:r>
      <w:r>
        <w:rPr>
          <w:b/>
        </w:rPr>
        <w:t>2</w:t>
      </w:r>
      <w:r>
        <w:rPr/>
        <w:t xml:space="preserve"> {{field-on:bible}}Der Johannes aber hörte in dem Gefängnis </w:t>
      </w:r>
      <w:r>
        <w:rPr>
          <w:color w:val="808080"/>
        </w:rPr>
        <w:t>(von den)</w:t>
      </w:r>
      <w:r>
        <w:rPr/>
        <w:t xml:space="preserve"> die Werke Christi </w:t>
      </w:r>
      <w:r>
        <w:rPr>
          <w:b/>
          <w:color w:val="808080"/>
        </w:rPr>
        <w:t>[</w:t>
      </w:r>
      <w:r>
        <w:rPr/>
        <w:t>und</w:t>
      </w:r>
      <w:r>
        <w:rPr>
          <w:b/>
          <w:color w:val="808080"/>
        </w:rPr>
        <w:t>]</w:t>
      </w:r>
      <w:r>
        <w:rPr/>
        <w:t xml:space="preserve"> er sandte durch seine Jünger,{{field-off:bible}} </w:t>
        <w:br/>
        <w:t>[[@BibleTOBIBLE:Mt 11:3]]</w:t>
      </w:r>
      <w:r>
        <w:rPr>
          <w:b/>
        </w:rPr>
        <w:t>3</w:t>
      </w:r>
      <w:r>
        <w:rPr/>
        <w:t xml:space="preserve"> {{field-on:bible}}die sagten ihm: Bist du</w:t>
      </w:r>
      <w:r>
        <w:rPr>
          <w:rStyle w:val="Funotenanker"/>
        </w:rPr>
        <w:footnoteReference w:customMarkFollows="1" w:id="3361"/>
        <w:t>a</w:t>
      </w:r>
      <w:r>
        <w:rPr/>
        <w:t xml:space="preserve"> der kommen soll, oder sollen </w:t>
      </w:r>
      <w:r>
        <w:rPr>
          <w:color w:val="808080"/>
        </w:rPr>
        <w:t>(müssen)</w:t>
      </w:r>
      <w:r>
        <w:rPr/>
        <w:t xml:space="preserve"> wir auf einen anderen warten?{{field-off:bible}} </w:t>
        <w:br/>
        <w:t>[[@BibleTOBIBLE:Mt 11:4]]</w:t>
      </w:r>
      <w:r>
        <w:rPr>
          <w:b/>
        </w:rPr>
        <w:t>4</w:t>
      </w:r>
      <w:r>
        <w:rPr/>
        <w:t xml:space="preserve"> {{field-on:bible}}Und Jesus sagte ihnen antwortend </w:t>
      </w:r>
      <w:r>
        <w:rPr>
          <w:color w:val="808080"/>
        </w:rPr>
        <w:t>(antwortete ihnen)</w:t>
      </w:r>
      <w:r>
        <w:rPr/>
        <w:t xml:space="preserve">: Geht, um Johannes zu berichten, was ihr hört und seht:{{field-off:bible}} </w:t>
        <w:br/>
        <w:t>[[@BibleTOBIBLE:Mt 11:5]]</w:t>
      </w:r>
      <w:r>
        <w:rPr>
          <w:b/>
        </w:rPr>
        <w:t>5</w:t>
      </w:r>
      <w:r>
        <w:rPr/>
        <w:t xml:space="preserve"> {{field-on:bible}}Blinde können wieder sehen und Gelähmte können gehen, Aussätzige sind geheilt und Taube hören und Tote werden lebendig und Arme bekommen die gute Nachricht zu hören;{{field-off:bible}} </w:t>
        <w:br/>
        <w:t>[[@BibleTOBIBLE:Mt 11:6]]</w:t>
      </w:r>
      <w:r>
        <w:rPr>
          <w:b/>
        </w:rPr>
        <w:t>6</w:t>
      </w:r>
      <w:r>
        <w:rPr/>
        <w:t xml:space="preserve"> {{field-on:bible}}und glücklich </w:t>
      </w:r>
      <w:r>
        <w:rPr>
          <w:color w:val="808080"/>
        </w:rPr>
        <w:t>(glückselig)</w:t>
      </w:r>
      <w:r>
        <w:rPr/>
        <w:t xml:space="preserve"> ist, wer auch immer nicht an mir Anstoß nimmt </w:t>
      </w:r>
      <w:r>
        <w:rPr>
          <w:color w:val="808080"/>
        </w:rPr>
        <w:t>(wer meinetwegen nicht zu Fall kommt)</w:t>
      </w:r>
      <w:r>
        <w:rPr/>
        <w:t xml:space="preserve">.{{field-off:bible}} </w:t>
        <w:br/>
        <w:t>[[@BibleTOBIBLE:Mt 11:7]]</w:t>
      </w:r>
      <w:r>
        <w:rPr>
          <w:b/>
        </w:rPr>
        <w:t>7</w:t>
      </w:r>
      <w:r>
        <w:rPr/>
        <w:t xml:space="preserve"> {{field-on:bible}}Als diese aber gingen, fing Jesus an, der Menge über Johannes zu sagen </w:t>
      </w:r>
      <w:r>
        <w:rPr>
          <w:color w:val="808080"/>
        </w:rPr>
        <w:t>(reden, erzählen)</w:t>
      </w:r>
      <w:r>
        <w:rPr/>
        <w:t xml:space="preserve">: Was gingt ihr in die Wüste zu sehen </w:t>
      </w:r>
      <w:r>
        <w:rPr>
          <w:color w:val="808080"/>
        </w:rPr>
        <w:t>(anzusehen)</w:t>
      </w:r>
      <w:r>
        <w:rPr/>
        <w:t xml:space="preserve"> ein Schilfrohr, das vom Wind hin- und herbewegt wird?{{field-off:bible}} </w:t>
        <w:br/>
        <w:t>[[@BibleTOBIBLE:Mt 11:8]]</w:t>
      </w:r>
      <w:r>
        <w:rPr>
          <w:b/>
        </w:rPr>
        <w:t>8</w:t>
      </w:r>
      <w:r>
        <w:rPr/>
        <w:t xml:space="preserve"> {{field-on:bible}}Oder seid ihr gegangen zu sehen einen Mann in weicher </w:t>
      </w:r>
      <w:r>
        <w:rPr>
          <w:color w:val="808080"/>
        </w:rPr>
        <w:t>(feine)</w:t>
      </w:r>
      <w:r>
        <w:rPr/>
        <w:t xml:space="preserve"> Kleidung gekleidet </w:t>
      </w:r>
      <w:r>
        <w:rPr>
          <w:color w:val="808080"/>
        </w:rPr>
        <w:t>(bestückt)</w:t>
      </w:r>
      <w:r>
        <w:rPr/>
        <w:t xml:space="preserve">? Nein </w:t>
      </w:r>
      <w:r>
        <w:rPr>
          <w:color w:val="808080"/>
        </w:rPr>
        <w:t>(ihr wisst doch)</w:t>
      </w:r>
      <w:r>
        <w:rPr/>
        <w:t xml:space="preserve">, die feine Kleidung tragen, sind in den Häusern der Könige </w:t>
      </w:r>
      <w:r>
        <w:rPr>
          <w:color w:val="808080"/>
        </w:rPr>
        <w:t>(den königlichen Palästen)</w:t>
      </w:r>
      <w:r>
        <w:rPr/>
        <w:t xml:space="preserve">.{{field-off:bible}} </w:t>
        <w:br/>
        <w:t>[[@BibleTOBIBLE:Mt 11:9]]</w:t>
      </w:r>
      <w:r>
        <w:rPr>
          <w:b/>
        </w:rPr>
        <w:t>9</w:t>
      </w:r>
      <w:r>
        <w:rPr/>
        <w:t xml:space="preserve"> {{field-on:bible}}Oder was seid ihr ausgezogen zu sehen? Einen Propheten? Ja </w:t>
      </w:r>
      <w:r>
        <w:rPr>
          <w:color w:val="808080"/>
        </w:rPr>
        <w:t>(gewiss, freilich)</w:t>
      </w:r>
      <w:r>
        <w:rPr/>
        <w:t xml:space="preserve">, ich sage euch, ihr habt gesehen, was sogar noch größer ist als ein Prophet.{{field-off:bible}} </w:t>
        <w:br/>
        <w:t>[[@BibleTOBIBLE:Mt 11:10]]</w:t>
      </w:r>
      <w:r>
        <w:rPr>
          <w:b/>
        </w:rPr>
        <w:t>10</w:t>
      </w:r>
      <w:r>
        <w:rPr/>
        <w:t xml:space="preserve"> {{field-on:bible}}Dieser ist es, über den geschrieben ist:„ Siehe, ich sende meinen Engel </w:t>
      </w:r>
      <w:r>
        <w:rPr>
          <w:color w:val="808080"/>
        </w:rPr>
        <w:t>(Boten)</w:t>
      </w:r>
      <w:r>
        <w:rPr/>
        <w:t xml:space="preserve"> zu dir, der, welcher bereitet </w:t>
      </w:r>
      <w:r>
        <w:rPr>
          <w:color w:val="808080"/>
        </w:rPr>
        <w:t>(instand setzt)</w:t>
      </w:r>
      <w:r>
        <w:rPr/>
        <w:t xml:space="preserve"> deinen Weg vor dir.</w:t>
      </w:r>
      <w:r>
        <w:rPr>
          <w:rStyle w:val="Funotenanker"/>
        </w:rPr>
        <w:footnoteReference w:customMarkFollows="1" w:id="3362"/>
        <w:t>b</w:t>
      </w:r>
      <w:r>
        <w:rPr/>
        <w:t xml:space="preserve">“{{field-off:bible}} </w:t>
        <w:br/>
        <w:t>[[@BibleTOBIBLE:Mt 11:11]]</w:t>
      </w:r>
      <w:r>
        <w:rPr>
          <w:b/>
        </w:rPr>
        <w:t>11</w:t>
      </w:r>
      <w:r>
        <w:rPr/>
        <w:t xml:space="preserve"> {{field-on:bible}}Amen </w:t>
      </w:r>
      <w:r>
        <w:rPr>
          <w:color w:val="808080"/>
        </w:rPr>
        <w:t>(wahrlich)</w:t>
      </w:r>
      <w:r>
        <w:rPr/>
        <w:t xml:space="preserve"> ich sage euch: nichts ist durch das Gebären von Frauen </w:t>
      </w:r>
      <w:r>
        <w:rPr>
          <w:color w:val="808080"/>
        </w:rPr>
        <w:t>(unter von Frauen geborenen)</w:t>
      </w:r>
      <w:r>
        <w:rPr/>
        <w:t xml:space="preserve"> größeres entstanden als Johannes der Täufer; aber der Kleinste im Königreich der Himmel </w:t>
      </w:r>
      <w:r>
        <w:rPr>
          <w:color w:val="808080"/>
        </w:rPr>
        <w:t>(im Himmelreich)</w:t>
      </w:r>
      <w:r>
        <w:rPr/>
        <w:t xml:space="preserve"> ist größer als er.{{field-off:bible}} </w:t>
        <w:br/>
        <w:t>[[@BibleTOBIBLE:Mt 11:12]]</w:t>
      </w:r>
      <w:r>
        <w:rPr>
          <w:b/>
        </w:rPr>
        <w:t>12</w:t>
      </w:r>
      <w:r>
        <w:rPr/>
        <w:t xml:space="preserve"> {{field-on:bible}}Aber seit den Tagen Johannes des Täufers bis zum heutigen Tage </w:t>
      </w:r>
      <w:r>
        <w:rPr>
          <w:color w:val="808080"/>
        </w:rPr>
        <w:t>(bis jetzt)</w:t>
      </w:r>
      <w:r>
        <w:rPr/>
        <w:t xml:space="preserve"> bahnt sich das Königreich der Himmel mit Gewalt Bahn</w:t>
      </w:r>
      <w:r>
        <w:rPr>
          <w:rStyle w:val="Funotenanker"/>
        </w:rPr>
        <w:footnoteReference w:customMarkFollows="1" w:id="3363"/>
        <w:t>c</w:t>
      </w:r>
      <w:r>
        <w:rPr/>
        <w:t xml:space="preserve"> und Gewalttäter greifen es an </w:t>
      </w:r>
      <w:r>
        <w:rPr>
          <w:color w:val="808080"/>
        </w:rPr>
        <w:t>(rauben es, ergfreifen es begierig.)</w:t>
      </w:r>
      <w:r>
        <w:rPr/>
        <w:t xml:space="preserve">.{{field-off:bible}} </w:t>
        <w:br/>
        <w:t>[[@BibleTOBIBLE:Mt 11:13]]</w:t>
      </w:r>
      <w:r>
        <w:rPr>
          <w:b/>
        </w:rPr>
        <w:t>13</w:t>
      </w:r>
      <w:r>
        <w:rPr/>
        <w:t xml:space="preserve"> {{field-on:bible}}Denn alle Propheten und das Gesetz bis</w:t>
      </w:r>
      <w:r>
        <w:rPr>
          <w:rStyle w:val="Funotenanker"/>
        </w:rPr>
        <w:footnoteReference w:customMarkFollows="1" w:id="3364"/>
        <w:t>d</w:t>
      </w:r>
      <w:r>
        <w:rPr/>
        <w:t xml:space="preserve"> Johannes haben prophezeit;{{field-off:bible}} </w:t>
        <w:br/>
        <w:t>[[@BibleTOBIBLE:Mt 11:14]]</w:t>
      </w:r>
      <w:r>
        <w:rPr>
          <w:b/>
        </w:rPr>
        <w:t>14</w:t>
      </w:r>
      <w:r>
        <w:rPr/>
        <w:t xml:space="preserve"> {{field-on:bible}}Und ihr wollt gut heißen </w:t>
      </w:r>
      <w:r>
        <w:rPr>
          <w:color w:val="808080"/>
        </w:rPr>
        <w:t>(gelten lassen)</w:t>
      </w:r>
      <w:r>
        <w:rPr/>
        <w:t xml:space="preserve"> dies ist Elija, der kommen soll.{{field-off:bible}} </w:t>
        <w:br/>
        <w:t>[[@BibleTOBIBLE:Mt 11:15]]</w:t>
      </w:r>
      <w:r>
        <w:rPr>
          <w:b/>
        </w:rPr>
        <w:t>15</w:t>
      </w:r>
      <w:r>
        <w:rPr/>
        <w:t xml:space="preserve"> {{field-on:bible}}Wer Ohren hat</w:t>
      </w:r>
      <w:r>
        <w:rPr>
          <w:rStyle w:val="Funotenanker"/>
        </w:rPr>
        <w:footnoteReference w:customMarkFollows="1" w:id="3365"/>
        <w:t>e</w:t>
      </w:r>
      <w:r>
        <w:rPr/>
        <w:t xml:space="preserve"> </w:t>
      </w:r>
      <w:r>
        <w:rPr>
          <w:color w:val="808080"/>
        </w:rPr>
        <w:t>(wer hören kann)</w:t>
      </w:r>
      <w:r>
        <w:rPr/>
        <w:t xml:space="preserve">, höre.{{field-off:bible}} </w:t>
        <w:br/>
        <w:t>[[@BibleTOBIBLE:Mt 11:16]]</w:t>
      </w:r>
      <w:r>
        <w:rPr>
          <w:b/>
        </w:rPr>
        <w:t>16</w:t>
      </w:r>
      <w:r>
        <w:rPr/>
        <w:t xml:space="preserve"> {{field-on:bible}}Mit wem aber soll ich vergleichen das gegenwärtige Geschlecht? Es gleicht </w:t>
      </w:r>
      <w:r>
        <w:rPr>
          <w:color w:val="808080"/>
        </w:rPr>
        <w:t>(es ist gleich)</w:t>
      </w:r>
      <w:r>
        <w:rPr/>
        <w:t xml:space="preserve"> den Kindern, die auf den Marktplätzen sitzen </w:t>
      </w:r>
      <w:r>
        <w:rPr>
          <w:color w:val="808080"/>
        </w:rPr>
        <w:t>(sich befinden, wohnen)</w:t>
      </w:r>
      <w:r>
        <w:rPr/>
        <w:t xml:space="preserve"> und den anderen zurufen,{{field-off:bible}} </w:t>
        <w:br/>
        <w:t>[[@BibleTOBIBLE:Mt 11:17]]</w:t>
      </w:r>
      <w:r>
        <w:rPr>
          <w:b/>
        </w:rPr>
        <w:t>17</w:t>
      </w:r>
      <w:r>
        <w:rPr/>
        <w:t xml:space="preserve"> {{field-on:bible}}sie sprechen:„ Wir haben euch die Flöte gespielt, aber ihr tanzt nicht, wir haben ein Trauerlied angestimmt, aber ihr habt nicht getrauert.“{{field-off:bible}} </w:t>
        <w:br/>
        <w:t>[[@BibleTOBIBLE:Mt 11:18]]</w:t>
      </w:r>
      <w:r>
        <w:rPr>
          <w:b/>
        </w:rPr>
        <w:t>18</w:t>
      </w:r>
      <w:r>
        <w:rPr/>
        <w:t xml:space="preserve"> {{field-on:bible}}Denn Johannes kam weder essend noch trinkend</w:t>
      </w:r>
      <w:r>
        <w:rPr>
          <w:rStyle w:val="Funotenanker"/>
        </w:rPr>
        <w:footnoteReference w:customMarkFollows="1" w:id="3366"/>
        <w:t>f</w:t>
      </w:r>
      <w:r>
        <w:rPr/>
        <w:t xml:space="preserve"> und sie sagten: Er hat einen Dämonen </w:t>
      </w:r>
      <w:r>
        <w:rPr>
          <w:color w:val="808080"/>
        </w:rPr>
        <w:t>(er ist von einem Dämonen besessen)</w:t>
      </w:r>
      <w:r>
        <w:rPr/>
        <w:t xml:space="preserve">.{{field-off:bible}} </w:t>
        <w:br/>
        <w:t>[[@BibleTOBIBLE:Mt 11:19]]</w:t>
      </w:r>
      <w:r>
        <w:rPr>
          <w:b/>
        </w:rPr>
        <w:t>19</w:t>
      </w:r>
      <w:r>
        <w:rPr/>
        <w:t xml:space="preserve"> {{field-on:bible}}Und der Sohn des Menschen kam essend und trinkend</w:t>
      </w:r>
      <w:r>
        <w:rPr>
          <w:rStyle w:val="Funotenanker"/>
        </w:rPr>
        <w:footnoteReference w:customMarkFollows="1" w:id="3367"/>
        <w:t>g</w:t>
      </w:r>
      <w:r>
        <w:rPr/>
        <w:t xml:space="preserve"> und sie sagten: Siehe, ein </w:t>
      </w:r>
      <w:r>
        <w:rPr>
          <w:color w:val="808080"/>
        </w:rPr>
        <w:t>(der)</w:t>
      </w:r>
      <w:r>
        <w:rPr/>
        <w:t xml:space="preserve"> Mensch </w:t>
      </w:r>
      <w:r>
        <w:rPr>
          <w:b/>
          <w:color w:val="808080"/>
        </w:rPr>
        <w:t>[</w:t>
      </w:r>
      <w:r>
        <w:rPr/>
        <w:t>ist</w:t>
      </w:r>
      <w:r>
        <w:rPr>
          <w:b/>
          <w:color w:val="808080"/>
        </w:rPr>
        <w:t>]</w:t>
      </w:r>
      <w:r>
        <w:rPr/>
        <w:t xml:space="preserve"> ein Fresser </w:t>
      </w:r>
      <w:r>
        <w:rPr>
          <w:color w:val="808080"/>
        </w:rPr>
        <w:t>(Schlemmer)</w:t>
      </w:r>
      <w:r>
        <w:rPr/>
        <w:t xml:space="preserve"> und ein Weintrinker </w:t>
      </w:r>
      <w:r>
        <w:rPr>
          <w:color w:val="808080"/>
        </w:rPr>
        <w:t>(Säufer)</w:t>
      </w:r>
      <w:r>
        <w:rPr/>
        <w:t xml:space="preserve">, ein Freund der Zöllner und der Sünder. Und die Weisheit ist gerechtfertigt durch ihre Werke.{{field-off:bible}} </w:t>
        <w:br/>
        <w:t>[[@BibleTOBIBLE:Mt 11:20]]</w:t>
      </w:r>
      <w:r>
        <w:rPr>
          <w:b/>
        </w:rPr>
        <w:t>20</w:t>
      </w:r>
      <w:r>
        <w:rPr/>
        <w:t xml:space="preserve"> {{field-on:bible}}Darauf fing er an, die Städte zu beschimpfen, in denen er begann seine Wundertaten, denn sie waren nicht umgekehrt.{{field-off:bible}} </w:t>
        <w:br/>
        <w:t>[[@BibleTOBIBLE:Mt 11:21]]</w:t>
      </w:r>
      <w:r>
        <w:rPr>
          <w:b/>
        </w:rPr>
        <w:t>21</w:t>
      </w:r>
      <w:r>
        <w:rPr/>
        <w:t xml:space="preserve"> {{field-on:bible}}Wehe dir, Chorazin, wehe dir, Betsaida: Denn wenn in Tyrus und Sidon die Wundertaten geschehen wären wie bei euch, schon lange hätten sie in Sack und Asche Buße getan.{{field-off:bible}} </w:t>
        <w:br/>
        <w:t>[[@BibleTOBIBLE:Mt 11:22]]</w:t>
      </w:r>
      <w:r>
        <w:rPr>
          <w:b/>
        </w:rPr>
        <w:t>22</w:t>
      </w:r>
      <w:r>
        <w:rPr/>
        <w:t xml:space="preserve"> {{field-on:bible}}Aber ich sage euch: Für Tyrus und Sidon wird es erträglicher sein im himmlischen Gericht als euch.{{field-off:bible}} </w:t>
        <w:br/>
        <w:t>[[@BibleTOBIBLE:Mt 11:23]]</w:t>
      </w:r>
      <w:r>
        <w:rPr>
          <w:b/>
        </w:rPr>
        <w:t>23</w:t>
      </w:r>
      <w:r>
        <w:rPr/>
        <w:t xml:space="preserve"> {{field-on:bible}}Und du, Kaphernaum, wirst du etwa bis zum Himmel erhoben werden? Bis zum Hades </w:t>
      </w:r>
      <w:r>
        <w:rPr>
          <w:color w:val="808080"/>
        </w:rPr>
        <w:t>(zur Unterwelt)</w:t>
      </w:r>
      <w:r>
        <w:rPr/>
        <w:t xml:space="preserve"> wirst du herabgestoßen werden. Denn wenn in Sodom die Wundertaten geschehen wären wie bei dir, wäre es bis zum heutigen Tag stehen geblieben.{{field-off:bible}} </w:t>
        <w:br/>
        <w:t>[[@BibleTOBIBLE:Mt 11:24]]</w:t>
      </w:r>
      <w:r>
        <w:rPr>
          <w:b/>
        </w:rPr>
        <w:t>24</w:t>
      </w:r>
      <w:r>
        <w:rPr/>
        <w:t xml:space="preserve"> {{field-on:bible}}Aber ich sage euch, dass es dem Land </w:t>
      </w:r>
      <w:r>
        <w:rPr>
          <w:color w:val="808080"/>
        </w:rPr>
        <w:t>(der Erde)</w:t>
      </w:r>
      <w:r>
        <w:rPr/>
        <w:t xml:space="preserve"> Sodoms erträglicher sein wird an Tag des Gerichts als dir.{{field-off:bible}} </w:t>
        <w:br/>
        <w:t>[[@BibleTOBIBLE:Mt 11:25]]</w:t>
      </w:r>
      <w:r>
        <w:rPr>
          <w:b/>
        </w:rPr>
        <w:t>25</w:t>
      </w:r>
      <w:r>
        <w:rPr/>
        <w:t xml:space="preserve"> {{field-on:bible}}In jener Zeit </w:t>
      </w:r>
      <w:r>
        <w:rPr>
          <w:color w:val="808080"/>
        </w:rPr>
        <w:t>(zu jenem Zeitpunkt)</w:t>
      </w:r>
      <w:r>
        <w:rPr/>
        <w:t xml:space="preserve"> ergriff Jesus das Wort </w:t>
      </w:r>
      <w:r>
        <w:rPr>
          <w:b/>
          <w:color w:val="808080"/>
        </w:rPr>
        <w:t>[</w:t>
      </w:r>
      <w:r>
        <w:rPr/>
        <w:t>und</w:t>
      </w:r>
      <w:r>
        <w:rPr>
          <w:b/>
          <w:color w:val="808080"/>
        </w:rPr>
        <w:t>]</w:t>
      </w:r>
      <w:r>
        <w:rPr/>
        <w:t xml:space="preserve"> sprach: Ich preise dich, Vater, Herr des </w:t>
      </w:r>
      <w:r>
        <w:rPr>
          <w:color w:val="808080"/>
        </w:rPr>
        <w:t>(über)</w:t>
      </w:r>
      <w:r>
        <w:rPr/>
        <w:t xml:space="preserve"> des Himmels und der Erde, dass du verborgen hast dies </w:t>
      </w:r>
      <w:r>
        <w:rPr>
          <w:color w:val="808080"/>
        </w:rPr>
        <w:t>(das alles)</w:t>
      </w:r>
      <w:r>
        <w:rPr/>
        <w:t xml:space="preserve"> vor den Weisen und Verständigen </w:t>
      </w:r>
      <w:r>
        <w:rPr>
          <w:color w:val="808080"/>
        </w:rPr>
        <w:t>(Klugen)</w:t>
      </w:r>
      <w:r>
        <w:rPr/>
        <w:t xml:space="preserve"> und enthüllst </w:t>
      </w:r>
      <w:r>
        <w:rPr>
          <w:color w:val="808080"/>
        </w:rPr>
        <w:t>(offenbarst)</w:t>
      </w:r>
      <w:r>
        <w:rPr/>
        <w:t xml:space="preserve"> den kleinen Kindern </w:t>
      </w:r>
      <w:r>
        <w:rPr>
          <w:color w:val="808080"/>
        </w:rPr>
        <w:t>(Unmündigen)</w:t>
      </w:r>
      <w:r>
        <w:rPr/>
        <w:t xml:space="preserve">.{{field-off:bible}} </w:t>
        <w:br/>
        <w:t>[[@BibleTOBIBLE:Mt 11:26]]</w:t>
      </w:r>
      <w:r>
        <w:rPr>
          <w:b/>
        </w:rPr>
        <w:t>26</w:t>
      </w:r>
      <w:r>
        <w:rPr/>
        <w:t xml:space="preserve"> {{field-on:bible}}Ja </w:t>
      </w:r>
      <w:r>
        <w:rPr>
          <w:color w:val="808080"/>
        </w:rPr>
        <w:t>(gewiss, freilich)</w:t>
      </w:r>
      <w:r>
        <w:rPr/>
        <w:t xml:space="preserve"> Vater, denn was dir wohlgefällig </w:t>
      </w:r>
      <w:r>
        <w:rPr>
          <w:b/>
          <w:color w:val="808080"/>
        </w:rPr>
        <w:t>[</w:t>
      </w:r>
      <w:r>
        <w:rPr/>
        <w:t>ist</w:t>
      </w:r>
      <w:r>
        <w:rPr>
          <w:b/>
          <w:color w:val="808080"/>
        </w:rPr>
        <w:t>]</w:t>
      </w:r>
      <w:r>
        <w:rPr/>
        <w:t xml:space="preserve">, ist geschehen.{{field-off:bible}} </w:t>
        <w:br/>
        <w:t>[[@BibleTOBIBLE:Mt 11:27]]</w:t>
      </w:r>
      <w:r>
        <w:rPr>
          <w:b/>
        </w:rPr>
        <w:t>27</w:t>
      </w:r>
      <w:r>
        <w:rPr/>
        <w:t xml:space="preserve"> {{field-on:bible}}Alles ist mir ausgeliefert </w:t>
      </w:r>
      <w:r>
        <w:rPr>
          <w:color w:val="808080"/>
        </w:rPr>
        <w:t>(anvertraut)</w:t>
      </w:r>
      <w:r>
        <w:rPr/>
        <w:t xml:space="preserve"> von meinem Vater und keiner erkennt den Sohn außer dem Vater, auch keiner erkennt den Vater als der Sohn und jeder, dem wünscht der Sohn es aufzudecken </w:t>
      </w:r>
      <w:r>
        <w:rPr>
          <w:color w:val="808080"/>
        </w:rPr>
        <w:t>(und jeder, dem es durch den Sohn enthüllt wird)</w:t>
      </w:r>
      <w:r>
        <w:rPr/>
        <w:t xml:space="preserve">.{{field-off:bible}} </w:t>
        <w:br/>
        <w:t>[[@BibleTOBIBLE:Mt 11:28]]</w:t>
      </w:r>
      <w:r>
        <w:rPr>
          <w:b/>
        </w:rPr>
        <w:t>28</w:t>
      </w:r>
      <w:r>
        <w:rPr/>
        <w:t xml:space="preserve"> {{field-on:bible}}Kommt her </w:t>
      </w:r>
      <w:r>
        <w:rPr>
          <w:color w:val="808080"/>
        </w:rPr>
        <w:t>(auf!)</w:t>
      </w:r>
      <w:r>
        <w:rPr/>
        <w:t xml:space="preserve"> zu mir, alle die ihr euch abmüht </w:t>
      </w:r>
      <w:r>
        <w:rPr>
          <w:color w:val="808080"/>
        </w:rPr>
        <w:t>(müde werdet)</w:t>
      </w:r>
      <w:r>
        <w:rPr/>
        <w:t xml:space="preserve"> und mit Lasten beladen seid und ich </w:t>
      </w:r>
      <w:r>
        <w:rPr>
          <w:color w:val="808080"/>
        </w:rPr>
        <w:t>(ich aber, ich selbst)</w:t>
      </w:r>
      <w:r>
        <w:rPr/>
        <w:t xml:space="preserve"> will euch Ruhe gewähren </w:t>
      </w:r>
      <w:r>
        <w:rPr>
          <w:color w:val="808080"/>
        </w:rPr>
        <w:t>(euch erquicken)</w:t>
      </w:r>
      <w:r>
        <w:rPr/>
        <w:t xml:space="preserve">.{{field-off:bible}} </w:t>
        <w:br/>
        <w:t>[[@BibleTOBIBLE:Mt 11:29]]</w:t>
      </w:r>
      <w:r>
        <w:rPr>
          <w:b/>
        </w:rPr>
        <w:t>29</w:t>
      </w:r>
      <w:r>
        <w:rPr/>
        <w:t xml:space="preserve"> {{field-on:bible}}Nehmt </w:t>
      </w:r>
      <w:r>
        <w:rPr>
          <w:color w:val="808080"/>
        </w:rPr>
        <w:t>(tragt, hebt)</w:t>
      </w:r>
      <w:r>
        <w:rPr/>
        <w:t xml:space="preserve"> mein Joch auf euch selbst und lernt von mir, denn ich bin sanftmütig </w:t>
      </w:r>
      <w:r>
        <w:rPr>
          <w:color w:val="808080"/>
        </w:rPr>
        <w:t>(freundlich, milde)</w:t>
      </w:r>
      <w:r>
        <w:rPr/>
        <w:t xml:space="preserve"> und von Herzen </w:t>
      </w:r>
      <w:r>
        <w:rPr>
          <w:color w:val="808080"/>
        </w:rPr>
        <w:t>(demütig, niedrig, bescheiden)</w:t>
      </w:r>
      <w:r>
        <w:rPr/>
        <w:t xml:space="preserve"> und ihr werdet bekommen </w:t>
      </w:r>
      <w:r>
        <w:rPr>
          <w:color w:val="808080"/>
        </w:rPr>
        <w:t>(finden, entdecken)</w:t>
      </w:r>
      <w:r>
        <w:rPr/>
        <w:t xml:space="preserve"> Ruhe </w:t>
      </w:r>
      <w:r>
        <w:rPr>
          <w:color w:val="808080"/>
        </w:rPr>
        <w:t>(Erquickung, das Aufhören)</w:t>
      </w:r>
      <w:r>
        <w:rPr/>
        <w:t xml:space="preserve"> für eure Seele.{{field-off:bible}} </w:t>
        <w:br/>
        <w:t>[[@BibleTOBIBLE:Mt 11:30]]</w:t>
      </w:r>
      <w:r>
        <w:rPr>
          <w:b/>
        </w:rPr>
        <w:t>30</w:t>
      </w:r>
      <w:r>
        <w:rPr/>
        <w:t xml:space="preserve"> {{field-on:bible}}Denn mein Joch ist </w:t>
      </w:r>
      <w:r>
        <w:rPr>
          <w:color w:val="808080"/>
        </w:rPr>
        <w:t>(angenehm, gütig, leicht zu tragen, brauchbar, freundlich)</w:t>
      </w:r>
      <w:r>
        <w:rPr/>
        <w:t xml:space="preserve"> und meine Last ist leicht.{{field-off:bible}}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3368"/>
        <w:t>Status</w:t>
      </w:r>
      <w:r>
        <w:rPr/>
        <w:t xml:space="preserve"> In jener Zeit ging Jesus am Sabbat durch die Saaten </w:t>
      </w:r>
      <w:r>
        <w:rPr>
          <w:color w:val="808080"/>
        </w:rPr>
        <w:t>(Kornfelder)</w:t>
      </w:r>
      <w:r>
        <w:rPr/>
        <w:t xml:space="preserve">; </w:t>
      </w:r>
      <w:r>
        <w:rPr>
          <w:strike/>
          <w:color w:val="808080"/>
        </w:rPr>
        <w:t>{aber}</w:t>
      </w:r>
      <w:r>
        <w:rPr/>
        <w:t xml:space="preserve"> seine Jünger hatten Hunger und fingen an </w:t>
      </w:r>
      <w:r>
        <w:rPr>
          <w:color w:val="808080"/>
        </w:rPr>
        <w:t>(begannen)</w:t>
      </w:r>
      <w:r>
        <w:rPr/>
        <w:t xml:space="preserve"> Ähren auszuraufen </w:t>
      </w:r>
      <w:r>
        <w:rPr>
          <w:color w:val="808080"/>
        </w:rPr>
        <w:t>(abzureißen)</w:t>
      </w:r>
      <w:r>
        <w:rPr/>
        <w:t xml:space="preserve"> und zu essen.{{field-off:bible}} </w:t>
        <w:br/>
        <w:t>[[@BibleTOBIBLE:Mt 12:2]]</w:t>
      </w:r>
      <w:r>
        <w:rPr>
          <w:b/>
        </w:rPr>
        <w:t>2</w:t>
      </w:r>
      <w:r>
        <w:rPr/>
        <w:t xml:space="preserve"> {{field-on:bible}}Als aber die Pharisäer </w:t>
      </w:r>
      <w:r>
        <w:rPr>
          <w:b/>
          <w:color w:val="808080"/>
        </w:rPr>
        <w:t>[</w:t>
      </w:r>
      <w:r>
        <w:rPr/>
        <w:t>dies, es</w:t>
      </w:r>
      <w:r>
        <w:rPr>
          <w:b/>
          <w:color w:val="808080"/>
        </w:rPr>
        <w:t>]</w:t>
      </w:r>
      <w:r>
        <w:rPr/>
        <w:t xml:space="preserve"> sahen, sagten sie </w:t>
      </w:r>
      <w:r>
        <w:rPr>
          <w:b/>
          <w:color w:val="808080"/>
        </w:rPr>
        <w:t>[</w:t>
      </w:r>
      <w:r>
        <w:rPr/>
        <w:t>zu</w:t>
      </w:r>
      <w:r>
        <w:rPr>
          <w:b/>
          <w:color w:val="808080"/>
        </w:rPr>
        <w:t>]</w:t>
      </w:r>
      <w:r>
        <w:rPr/>
        <w:t xml:space="preserve"> ihm: Siehe, deine Jünger tun etwas, das an einem Sabbat verboten </w:t>
      </w:r>
      <w:r>
        <w:rPr>
          <w:color w:val="808080"/>
        </w:rPr>
        <w:t>(nicht erlaubt)</w:t>
      </w:r>
      <w:r>
        <w:rPr/>
        <w:t xml:space="preserve"> ist.{{field-off:bible}} </w:t>
        <w:br/>
        <w:t>[[@BibleTOBIBLE:Mt 12:3]]</w:t>
      </w:r>
      <w:r>
        <w:rPr>
          <w:b/>
        </w:rPr>
        <w:t>3</w:t>
      </w:r>
      <w:r>
        <w:rPr/>
        <w:t xml:space="preserve"> {{field-on:bible}}Aber er sagte ihnen: Habt ihr nicht gelesen, was David tat </w:t>
      </w:r>
      <w:r>
        <w:rPr>
          <w:color w:val="808080"/>
        </w:rPr>
        <w:t>(machte)</w:t>
      </w:r>
      <w:r>
        <w:rPr/>
        <w:t xml:space="preserve">, als er Hunger hatte und sie mit ihm </w:t>
      </w:r>
      <w:r>
        <w:rPr>
          <w:color w:val="808080"/>
        </w:rPr>
        <w:t>(seine Begleiter)</w:t>
      </w:r>
      <w:r>
        <w:rPr/>
        <w:t xml:space="preserve">,{{field-off:bible}} </w:t>
        <w:br/>
        <w:t>[[@BibleTOBIBLE:Mt 12:4]]</w:t>
      </w:r>
      <w:r>
        <w:rPr>
          <w:b/>
        </w:rPr>
        <w:t>4</w:t>
      </w:r>
      <w:r>
        <w:rPr/>
        <w:t xml:space="preserve"> {{field-on:bible}}wie </w:t>
      </w:r>
      <w:r>
        <w:rPr>
          <w:color w:val="808080"/>
        </w:rPr>
        <w:t>(auf welche Weise)</w:t>
      </w:r>
      <w:r>
        <w:rPr/>
        <w:t xml:space="preserve"> er in das Haus Gottes ging und aß die Brote der Aufstellung </w:t>
      </w:r>
      <w:r>
        <w:rPr>
          <w:color w:val="808080"/>
        </w:rPr>
        <w:t>(die Schaubrote)</w:t>
      </w:r>
      <w:r>
        <w:rPr/>
        <w:t xml:space="preserve">, was er und sie mit ihm nicht durften, vielmehr </w:t>
      </w:r>
      <w:r>
        <w:rPr>
          <w:color w:val="808080"/>
        </w:rPr>
        <w:t>(sondern)</w:t>
      </w:r>
      <w:r>
        <w:rPr/>
        <w:t xml:space="preserve"> nur die Priester?{{field-off:bible}} </w:t>
        <w:br/>
        <w:t>[[@BibleTOBIBLE:Mt 12:5]]</w:t>
      </w:r>
      <w:r>
        <w:rPr>
          <w:b/>
        </w:rPr>
        <w:t>5</w:t>
      </w:r>
      <w:r>
        <w:rPr/>
        <w:t xml:space="preserve"> {{field-on:bible}}Weder </w:t>
      </w:r>
      <w:r>
        <w:rPr>
          <w:color w:val="808080"/>
        </w:rPr>
        <w:t>(oder)</w:t>
      </w:r>
      <w:r>
        <w:rPr/>
        <w:t xml:space="preserve"> habt ihr nicht im Gesetz gelesen, dass am Sabbat</w:t>
      </w:r>
      <w:r>
        <w:rPr>
          <w:rStyle w:val="Funotenanker"/>
        </w:rPr>
        <w:footnoteReference w:customMarkFollows="1" w:id="3369"/>
        <w:t>a</w:t>
      </w:r>
      <w:r>
        <w:rPr/>
        <w:t xml:space="preserve"> die Priester im Tempel den Sabbat entweihen, noch </w:t>
      </w:r>
      <w:r>
        <w:rPr>
          <w:color w:val="808080"/>
        </w:rPr>
        <w:t>(und doch, trotzdem)</w:t>
      </w:r>
      <w:r>
        <w:rPr/>
        <w:t xml:space="preserve"> sind sie unschuldig?{{field-off:bible}} </w:t>
        <w:br/>
        <w:t>[[@BibleTOBIBLE:Mt 12:6]]</w:t>
      </w:r>
      <w:r>
        <w:rPr>
          <w:b/>
        </w:rPr>
        <w:t>6</w:t>
      </w:r>
      <w:r>
        <w:rPr/>
        <w:t xml:space="preserve"> {{field-on:bible}}Ich aber sage euch, dass </w:t>
      </w:r>
      <w:r>
        <w:rPr>
          <w:color w:val="808080"/>
        </w:rPr>
        <w:t>(:)</w:t>
      </w:r>
      <w:r>
        <w:rPr/>
        <w:t xml:space="preserve"> hier ist etwas </w:t>
      </w:r>
      <w:r>
        <w:rPr>
          <w:color w:val="808080"/>
        </w:rPr>
        <w:t>(einer)</w:t>
      </w:r>
      <w:r>
        <w:rPr/>
        <w:t xml:space="preserve"> Größeres als der Tempel.{{field-off:bible}} </w:t>
        <w:br/>
        <w:t>[[@BibleTOBIBLE:Mt 12:7]]</w:t>
      </w:r>
      <w:r>
        <w:rPr>
          <w:b/>
        </w:rPr>
        <w:t>7</w:t>
      </w:r>
      <w:r>
        <w:rPr/>
        <w:t xml:space="preserve"> {{field-on:bible}}Wenn ihr verstanden</w:t>
      </w:r>
      <w:r>
        <w:rPr>
          <w:rStyle w:val="Funotenanker"/>
        </w:rPr>
        <w:footnoteReference w:customMarkFollows="1" w:id="3370"/>
        <w:t>b</w:t>
      </w:r>
      <w:r>
        <w:rPr/>
        <w:t xml:space="preserve"> </w:t>
      </w:r>
      <w:r>
        <w:rPr>
          <w:color w:val="808080"/>
        </w:rPr>
        <w:t>(erkannt)</w:t>
      </w:r>
      <w:r>
        <w:rPr/>
        <w:t xml:space="preserve"> hättet, was das bedeutet</w:t>
      </w:r>
      <w:r>
        <w:rPr>
          <w:rStyle w:val="Funotenanker"/>
        </w:rPr>
        <w:footnoteReference w:customMarkFollows="1" w:id="3371"/>
        <w:t>c</w:t>
      </w:r>
      <w:r>
        <w:rPr/>
        <w:t xml:space="preserve"> Barmherzigkeit </w:t>
      </w:r>
      <w:r>
        <w:rPr>
          <w:color w:val="808080"/>
        </w:rPr>
        <w:t>(Erbarmen, Mitleid)</w:t>
      </w:r>
      <w:r>
        <w:rPr/>
        <w:t xml:space="preserve"> will ich </w:t>
      </w:r>
      <w:r>
        <w:rPr>
          <w:color w:val="808080"/>
        </w:rPr>
        <w:t>(begehre ich, will ich haben)</w:t>
      </w:r>
      <w:r>
        <w:rPr/>
        <w:t xml:space="preserve"> und keine Opfer </w:t>
      </w:r>
      <w:r>
        <w:rPr>
          <w:color w:val="808080"/>
        </w:rPr>
        <w:t>(Schlachtopfer)</w:t>
      </w:r>
      <w:r>
        <w:rPr/>
        <w:t xml:space="preserve">, hättet ihr keine </w:t>
      </w:r>
      <w:r>
        <w:rPr>
          <w:color w:val="808080"/>
        </w:rPr>
        <w:t>(nicht diese)</w:t>
      </w:r>
      <w:r>
        <w:rPr/>
        <w:t xml:space="preserve"> Unschuldigen </w:t>
      </w:r>
      <w:r>
        <w:rPr>
          <w:color w:val="808080"/>
        </w:rPr>
        <w:t>(Schuldlosen)</w:t>
      </w:r>
      <w:r>
        <w:rPr/>
        <w:t xml:space="preserve"> verurteilt.{{field-off:bible}} </w:t>
        <w:br/>
        <w:t>[[@BibleTOBIBLE:Mt 12:8]]</w:t>
      </w:r>
      <w:r>
        <w:rPr>
          <w:b/>
        </w:rPr>
        <w:t>8</w:t>
      </w:r>
      <w:r>
        <w:rPr/>
        <w:t xml:space="preserve"> {{field-on:bible}}Denn der Herr über den Sabbat ist der Sohn des Menschen.{{field-off:bible}} </w:t>
        <w:br/>
        <w:t>[[@BibleTOBIBLE:Mt 12:9]]</w:t>
      </w:r>
      <w:r>
        <w:rPr>
          <w:b/>
        </w:rPr>
        <w:t>9</w:t>
      </w:r>
      <w:r>
        <w:rPr/>
        <w:t xml:space="preserve"> {{field-on:bible}}Und als er wegging</w:t>
      </w:r>
      <w:r>
        <w:rPr>
          <w:rStyle w:val="Funotenanker"/>
        </w:rPr>
        <w:footnoteReference w:customMarkFollows="1" w:id="3372"/>
        <w:t>d</w:t>
      </w:r>
      <w:r>
        <w:rPr/>
        <w:t xml:space="preserve"> von dort, ging er in ihre </w:t>
      </w:r>
      <w:r>
        <w:rPr>
          <w:color w:val="808080"/>
        </w:rPr>
        <w:t>(die dortigen)</w:t>
      </w:r>
      <w:r>
        <w:rPr/>
        <w:t xml:space="preserve"> Synagogen;{{field-off:bible}} </w:t>
        <w:br/>
        <w:t>[[@BibleTOBIBLE:Mt 12:10]]</w:t>
      </w:r>
      <w:r>
        <w:rPr>
          <w:b/>
        </w:rPr>
        <w:t>10</w:t>
      </w:r>
      <w:r>
        <w:rPr/>
        <w:t xml:space="preserve"> {{field-on:bible}}Und siehe </w:t>
      </w:r>
      <w:r>
        <w:rPr>
          <w:b/>
          <w:color w:val="808080"/>
        </w:rPr>
        <w:t>[</w:t>
      </w:r>
      <w:r>
        <w:rPr/>
        <w:t>dort war</w:t>
      </w:r>
      <w:r>
        <w:rPr>
          <w:b/>
          <w:color w:val="808080"/>
        </w:rPr>
        <w:t>]</w:t>
      </w:r>
      <w:r>
        <w:rPr/>
        <w:t xml:space="preserve"> ein Mensch </w:t>
      </w:r>
      <w:r>
        <w:rPr>
          <w:color w:val="808080"/>
        </w:rPr>
        <w:t>(eine Person)</w:t>
      </w:r>
      <w:r>
        <w:rPr/>
        <w:t xml:space="preserve">, der eine gelähmte </w:t>
      </w:r>
      <w:r>
        <w:rPr>
          <w:color w:val="808080"/>
        </w:rPr>
        <w:t>(vertrocknete, dürre)</w:t>
      </w:r>
      <w:r>
        <w:rPr/>
        <w:t xml:space="preserve"> Hand hatte</w:t>
      </w:r>
      <w:r>
        <w:rPr>
          <w:rStyle w:val="Funotenanker"/>
        </w:rPr>
        <w:footnoteReference w:customMarkFollows="1" w:id="3373"/>
        <w:t>e</w:t>
      </w:r>
      <w:r>
        <w:rPr/>
        <w:t xml:space="preserve"> </w:t>
      </w:r>
      <w:r>
        <w:rPr>
          <w:color w:val="808080"/>
        </w:rPr>
        <w:t>(der eine gelähmte Hand hatte)</w:t>
      </w:r>
      <w:r>
        <w:rPr/>
        <w:t xml:space="preserve">. Und man fragte ihn </w:t>
      </w:r>
      <w:r>
        <w:rPr>
          <w:color w:val="808080"/>
        </w:rPr>
        <w:t>(er wurde gefragt)</w:t>
      </w:r>
      <w:r>
        <w:rPr/>
        <w:t xml:space="preserve"> </w:t>
      </w:r>
      <w:r>
        <w:rPr>
          <w:strike/>
          <w:color w:val="808080"/>
        </w:rPr>
        <w:t>{sagend}</w:t>
      </w:r>
      <w:r>
        <w:rPr/>
        <w:t xml:space="preserve">: Ist es erlaubt am Sabbat zu heilen? Um ihn anklagen zu können.{{field-off:bible}} </w:t>
        <w:br/>
        <w:t>[[@BibleTOBIBLE:Mt 12:11]]</w:t>
      </w:r>
      <w:r>
        <w:rPr>
          <w:b/>
        </w:rPr>
        <w:t>11</w:t>
      </w:r>
      <w:r>
        <w:rPr/>
        <w:t xml:space="preserve"> {{field-on:bible}}Aber </w:t>
      </w:r>
      <w:r>
        <w:rPr>
          <w:color w:val="808080"/>
        </w:rPr>
        <w:t>(und doch)</w:t>
      </w:r>
      <w:r>
        <w:rPr/>
        <w:t xml:space="preserve"> er sagte ihnen: Wer von euch wird </w:t>
      </w:r>
      <w:r>
        <w:rPr>
          <w:strike/>
          <w:color w:val="808080"/>
        </w:rPr>
        <w:t>{ein Mensch}</w:t>
      </w:r>
      <w:r>
        <w:rPr/>
        <w:t xml:space="preserve"> sein, der ein Schaf haben wird, das wenn </w:t>
      </w:r>
      <w:r>
        <w:rPr>
          <w:color w:val="808080"/>
        </w:rPr>
        <w:t>(falls)</w:t>
      </w:r>
      <w:r>
        <w:rPr/>
        <w:t xml:space="preserve"> es auch an diesem Sabbat in eine Grube hineinfällt, nicht es ergreifen </w:t>
      </w:r>
      <w:r>
        <w:rPr>
          <w:color w:val="808080"/>
        </w:rPr>
        <w:t>(erfassen)</w:t>
      </w:r>
      <w:r>
        <w:rPr/>
        <w:t xml:space="preserve"> wird und es herausziehen wird?{{field-off:bible}} </w:t>
        <w:br/>
        <w:t>[[@BibleTOBIBLE:Mt 12:12]]</w:t>
      </w:r>
      <w:r>
        <w:rPr>
          <w:b/>
        </w:rPr>
        <w:t>12</w:t>
      </w:r>
      <w:r>
        <w:rPr/>
        <w:t xml:space="preserve"> {{field-on:bible}}Wie viel demnach </w:t>
      </w:r>
      <w:r>
        <w:rPr>
          <w:color w:val="808080"/>
        </w:rPr>
        <w:t>(also)</w:t>
      </w:r>
      <w:r>
        <w:rPr/>
        <w:t xml:space="preserve"> unterscheidet sich der Mensch vom Schaf </w:t>
      </w:r>
      <w:r>
        <w:rPr>
          <w:color w:val="808080"/>
        </w:rPr>
        <w:t>(Wie viel mehr wert ist der Mensch als ein Schaf)</w:t>
      </w:r>
      <w:r>
        <w:rPr/>
        <w:t xml:space="preserve">. Es ist also erlaubt, das man am Sabbat Gutes tut </w:t>
      </w:r>
      <w:r>
        <w:rPr>
          <w:color w:val="808080"/>
        </w:rPr>
        <w:t>(bewirkt, macht)</w:t>
      </w:r>
      <w:r>
        <w:rPr/>
        <w:t xml:space="preserve">.{{field-off:bible}} </w:t>
        <w:br/>
        <w:t>[[@BibleTOBIBLE:Mt 12:13]]</w:t>
      </w:r>
      <w:r>
        <w:rPr>
          <w:b/>
        </w:rPr>
        <w:t>13</w:t>
      </w:r>
      <w:r>
        <w:rPr/>
        <w:t xml:space="preserve"> {{field-on:bible}}Dann </w:t>
      </w:r>
      <w:r>
        <w:rPr>
          <w:color w:val="808080"/>
        </w:rPr>
        <w:t>(danach, darauf)</w:t>
      </w:r>
      <w:r>
        <w:rPr/>
        <w:t xml:space="preserve"> sagte er dem Menschen: Strecke deine Hand aus. und er streckte sie aus. Und sie wurde geheilt </w:t>
      </w:r>
      <w:r>
        <w:rPr>
          <w:color w:val="808080"/>
        </w:rPr>
        <w:t>(wiederhergestellt, in den richtigen Zustand versetzt)</w:t>
      </w:r>
      <w:r>
        <w:rPr/>
        <w:t xml:space="preserve">, gesund </w:t>
      </w:r>
      <w:r>
        <w:rPr>
          <w:color w:val="808080"/>
        </w:rPr>
        <w:t>(unversehrt)</w:t>
      </w:r>
      <w:r>
        <w:rPr/>
        <w:t xml:space="preserve"> wie die andere.{{field-off:bible}} </w:t>
        <w:br/>
        <w:t>[[@BibleTOBIBLE:Mt 12:14]]</w:t>
      </w:r>
      <w:r>
        <w:rPr>
          <w:b/>
        </w:rPr>
        <w:t>14</w:t>
      </w:r>
      <w:r>
        <w:rPr/>
        <w:t xml:space="preserve"> {{field-on:bible}}Die Pharisäer aber gingen heraus</w:t>
      </w:r>
      <w:r>
        <w:rPr>
          <w:rStyle w:val="Funotenanker"/>
        </w:rPr>
        <w:footnoteReference w:customMarkFollows="1" w:id="3374"/>
        <w:t>f</w:t>
      </w:r>
      <w:r>
        <w:rPr/>
        <w:t xml:space="preserve"> ergriffen </w:t>
      </w:r>
      <w:r>
        <w:rPr>
          <w:color w:val="808080"/>
        </w:rPr>
        <w:t>(fassten)</w:t>
      </w:r>
      <w:r>
        <w:rPr/>
        <w:t xml:space="preserve"> sie den Entschluss gegen ihn </w:t>
      </w:r>
      <w:r>
        <w:rPr>
          <w:color w:val="808080"/>
        </w:rPr>
        <w:t>(hielten sie eine Beratung (Versammlung) gegen ihn)</w:t>
      </w:r>
      <w:r>
        <w:rPr/>
        <w:t xml:space="preserve">, wie sie ihn umbringen </w:t>
      </w:r>
      <w:r>
        <w:rPr>
          <w:color w:val="808080"/>
        </w:rPr>
        <w:t>(töten)</w:t>
      </w:r>
      <w:r>
        <w:rPr/>
        <w:t xml:space="preserve"> konnten</w:t>
      </w:r>
      <w:r>
        <w:rPr>
          <w:rStyle w:val="Funotenanker"/>
        </w:rPr>
        <w:footnoteReference w:customMarkFollows="1" w:id="3375"/>
        <w:t>g</w:t>
      </w:r>
      <w:r>
        <w:rPr/>
        <w:t xml:space="preserve">.{{field-off:bible}} </w:t>
        <w:br/>
        <w:t>[[@BibleTOBIBLE:Mt 12:15]]</w:t>
      </w:r>
      <w:r>
        <w:rPr>
          <w:b/>
        </w:rPr>
        <w:t>15</w:t>
      </w:r>
      <w:r>
        <w:rPr/>
        <w:t xml:space="preserve"> {{field-on:bible}}Als aber Jesus </w:t>
      </w:r>
      <w:r>
        <w:rPr>
          <w:b/>
          <w:color w:val="808080"/>
        </w:rPr>
        <w:t>[</w:t>
      </w:r>
      <w:r>
        <w:rPr/>
        <w:t>es, das</w:t>
      </w:r>
      <w:r>
        <w:rPr>
          <w:b/>
          <w:color w:val="808080"/>
        </w:rPr>
        <w:t>]</w:t>
      </w:r>
      <w:r>
        <w:rPr/>
        <w:t xml:space="preserve"> erkannte </w:t>
      </w:r>
      <w:r>
        <w:rPr>
          <w:color w:val="808080"/>
        </w:rPr>
        <w:t>(erfuhr)</w:t>
      </w:r>
      <w:r>
        <w:rPr/>
        <w:t xml:space="preserve">, ging er weg </w:t>
      </w:r>
      <w:r>
        <w:rPr>
          <w:color w:val="808080"/>
        </w:rPr>
        <w:t>(entfernte er sich)</w:t>
      </w:r>
      <w:r>
        <w:rPr/>
        <w:t xml:space="preserve"> von dort. Und es folgten </w:t>
      </w:r>
      <w:r>
        <w:rPr>
          <w:color w:val="808080"/>
        </w:rPr>
        <w:t>(begleiteten, nachfolgen)</w:t>
      </w:r>
      <w:r>
        <w:rPr/>
        <w:t xml:space="preserve"> ihm Viele</w:t>
      </w:r>
      <w:r>
        <w:rPr>
          <w:rStyle w:val="Funotenanker"/>
        </w:rPr>
        <w:footnoteReference w:customMarkFollows="1" w:id="3376"/>
        <w:t>h</w:t>
      </w:r>
      <w:r>
        <w:rPr/>
        <w:t xml:space="preserve"> und er heilte sie alle.{{field-off:bible}} </w:t>
        <w:br/>
        <w:t>[[@BibleTOBIBLE:Mt 12:16]]</w:t>
      </w:r>
      <w:r>
        <w:rPr>
          <w:b/>
        </w:rPr>
        <w:t>16</w:t>
      </w:r>
      <w:r>
        <w:rPr/>
        <w:t xml:space="preserve"> {{field-on:bible}}Und er befahl ihnen streng </w:t>
      </w:r>
      <w:r>
        <w:rPr>
          <w:color w:val="808080"/>
        </w:rPr>
        <w:t>(gebot, tadelte)</w:t>
      </w:r>
      <w:r>
        <w:rPr/>
        <w:t xml:space="preserve">, ihn nicht bekannt </w:t>
      </w:r>
      <w:r>
        <w:rPr>
          <w:color w:val="808080"/>
        </w:rPr>
        <w:t>(offenbar)</w:t>
      </w:r>
      <w:r>
        <w:rPr/>
        <w:t xml:space="preserve"> zu machen</w:t>
      </w:r>
      <w:r>
        <w:rPr>
          <w:rStyle w:val="Funotenanker"/>
        </w:rPr>
        <w:footnoteReference w:customMarkFollows="1" w:id="3377"/>
        <w:t>i</w:t>
      </w:r>
      <w:r>
        <w:rPr/>
        <w:t xml:space="preserve">.{{field-off:bible}} </w:t>
        <w:br/>
        <w:t>[[@BibleTOBIBLE:Mt 12:17]]</w:t>
      </w:r>
      <w:r>
        <w:rPr>
          <w:b/>
        </w:rPr>
        <w:t>17</w:t>
      </w:r>
      <w:r>
        <w:rPr/>
        <w:t xml:space="preserve"> {{field-on:bible}}Damit erfüllt </w:t>
      </w:r>
      <w:r>
        <w:rPr>
          <w:color w:val="808080"/>
        </w:rPr>
        <w:t>(vollendet, abgeschlossen)</w:t>
      </w:r>
      <w:r>
        <w:rPr/>
        <w:t xml:space="preserve"> würde, was gesagt wurde durch Jesaja, den propheten, der da spricht</w:t>
      </w:r>
      <w:r>
        <w:rPr>
          <w:rStyle w:val="Funotenanker"/>
        </w:rPr>
        <w:footnoteReference w:customMarkFollows="1" w:id="3378"/>
        <w:t>j</w:t>
      </w:r>
      <w:r>
        <w:rPr/>
        <w:t xml:space="preserve">:{{field-off:bible}} </w:t>
        <w:br/>
        <w:t>[[@BibleTOBIBLE:Mt 12:18]]</w:t>
      </w:r>
      <w:r>
        <w:rPr>
          <w:b/>
        </w:rPr>
        <w:t>18</w:t>
      </w:r>
      <w:r>
        <w:rPr/>
        <w:t xml:space="preserve"> {{field-on:bible}}Siehe </w:t>
      </w:r>
      <w:r>
        <w:rPr>
          <w:color w:val="808080"/>
        </w:rPr>
        <w:t>(da ist, hier ist)</w:t>
      </w:r>
      <w:r>
        <w:rPr/>
        <w:t xml:space="preserve"> mein Kind </w:t>
      </w:r>
      <w:r>
        <w:rPr>
          <w:color w:val="808080"/>
        </w:rPr>
        <w:t>(Knecht, Diener)</w:t>
      </w:r>
      <w:r>
        <w:rPr/>
        <w:t>, den ich erwählt habe, mein Geliebter</w:t>
      </w:r>
      <w:r>
        <w:rPr>
          <w:rStyle w:val="Funotenanker"/>
        </w:rPr>
        <w:footnoteReference w:customMarkFollows="1" w:id="3379"/>
        <w:t>k</w:t>
      </w:r>
      <w:r>
        <w:rPr/>
        <w:t xml:space="preserve">, an ihm hat meine Seele </w:t>
      </w:r>
      <w:r>
        <w:rPr>
          <w:color w:val="808080"/>
        </w:rPr>
        <w:t>(Herz)</w:t>
      </w:r>
      <w:r>
        <w:rPr/>
        <w:t xml:space="preserve"> Wohlgefallen </w:t>
      </w:r>
      <w:r>
        <w:rPr>
          <w:color w:val="808080"/>
        </w:rPr>
        <w:t>(Freude, sie ist zufrieden mit ihm)</w:t>
      </w:r>
      <w:r>
        <w:rPr/>
        <w:t xml:space="preserve">; ich werde meinen Geist ihm zuweisen und er wird den Völkern Recht </w:t>
      </w:r>
      <w:r>
        <w:rPr>
          <w:color w:val="808080"/>
        </w:rPr>
        <w:t>(Gerechtigkeit)</w:t>
      </w:r>
      <w:r>
        <w:rPr/>
        <w:t xml:space="preserve"> verkünden.{{field-off:bible}} </w:t>
        <w:br/>
        <w:t>[[@BibleTOBIBLE:Mt 12:19]]</w:t>
      </w:r>
      <w:r>
        <w:rPr>
          <w:b/>
        </w:rPr>
        <w:t>19</w:t>
      </w:r>
      <w:r>
        <w:rPr/>
        <w:t xml:space="preserve"> {{field-on:bible}}Er wird weder zanken </w:t>
      </w:r>
      <w:r>
        <w:rPr>
          <w:color w:val="808080"/>
        </w:rPr>
        <w:t>(Streiten)</w:t>
      </w:r>
      <w:r>
        <w:rPr/>
        <w:t xml:space="preserve"> noch brüllen </w:t>
      </w:r>
      <w:r>
        <w:rPr>
          <w:color w:val="808080"/>
        </w:rPr>
        <w:t>(lärmen, schreien)</w:t>
      </w:r>
      <w:r>
        <w:rPr/>
        <w:t xml:space="preserve"> noch wird jemand hören seine Stimme auf den breiten Wegen </w:t>
      </w:r>
      <w:r>
        <w:rPr>
          <w:color w:val="808080"/>
        </w:rPr>
        <w:t>(Straßen)</w:t>
      </w:r>
      <w:r>
        <w:rPr/>
        <w:t xml:space="preserve">.{{field-off:bible}} </w:t>
        <w:br/>
        <w:t>[[@BibleTOBIBLE:Mt 12:20]]</w:t>
      </w:r>
      <w:r>
        <w:rPr>
          <w:b/>
        </w:rPr>
        <w:t>20</w:t>
      </w:r>
      <w:r>
        <w:rPr/>
        <w:t xml:space="preserve"> {{field-on:bible}}Das Schilfrohr, das geknickt </w:t>
      </w:r>
      <w:r>
        <w:rPr>
          <w:color w:val="808080"/>
        </w:rPr>
        <w:t>(zerstoßen, zerschlagen)</w:t>
      </w:r>
      <w:r>
        <w:rPr/>
        <w:t xml:space="preserve"> wurde</w:t>
      </w:r>
      <w:r>
        <w:rPr>
          <w:rStyle w:val="Funotenanker"/>
        </w:rPr>
        <w:footnoteReference w:customMarkFollows="1" w:id="3380"/>
        <w:t>l</w:t>
      </w:r>
      <w:r>
        <w:rPr/>
        <w:t xml:space="preserve"> wird nicht </w:t>
      </w:r>
      <w:r>
        <w:rPr>
          <w:color w:val="808080"/>
        </w:rPr>
        <w:t>(zer-, ge-)</w:t>
      </w:r>
      <w:r>
        <w:rPr/>
        <w:t xml:space="preserve">brochen werden und der glimmende Lampendocht wird nicht ausgelöscht werden, bis er führt zum Zieg das Recht </w:t>
      </w:r>
      <w:r>
        <w:rPr>
          <w:color w:val="808080"/>
        </w:rPr>
        <w:t>(die Gerechtigkeit)</w:t>
      </w:r>
      <w:r>
        <w:rPr/>
        <w:t xml:space="preserve">.{{field-off:bible}} </w:t>
        <w:br/>
        <w:t>[[@BibleTOBIBLE:Mt 12:21]]</w:t>
      </w:r>
      <w:r>
        <w:rPr>
          <w:b/>
        </w:rPr>
        <w:t>21</w:t>
      </w:r>
      <w:r>
        <w:rPr/>
        <w:t xml:space="preserve"> {{field-on:bible}}Und auf seinen Namen hoffen die Völker.{{field-off:bible}} </w:t>
        <w:br/>
        <w:t>[[@BibleTOBIBLE:Mt 12:22]]</w:t>
      </w:r>
      <w:r>
        <w:rPr>
          <w:b/>
        </w:rPr>
        <w:t>22</w:t>
      </w:r>
      <w:r>
        <w:rPr/>
        <w:t xml:space="preserve"> {{field-on:bible}}Darauf </w:t>
      </w:r>
      <w:r>
        <w:rPr>
          <w:color w:val="808080"/>
        </w:rPr>
        <w:t>(dann)</w:t>
      </w:r>
      <w:r>
        <w:rPr/>
        <w:t xml:space="preserve"> brachte man ihm </w:t>
      </w:r>
      <w:r>
        <w:rPr>
          <w:color w:val="808080"/>
        </w:rPr>
        <w:t>(wurde ihm gebracht, hinzugebracht)</w:t>
      </w:r>
      <w:r>
        <w:rPr/>
        <w:t xml:space="preserve"> ein Besessener gebracht, der blind und stumm war und er heilte ihn, damit </w:t>
      </w:r>
      <w:r>
        <w:rPr>
          <w:color w:val="808080"/>
        </w:rPr>
        <w:t>(so dass)</w:t>
      </w:r>
      <w:r>
        <w:rPr/>
        <w:t xml:space="preserve"> der Stumme reden und sehen konnte.{{field-off:bible}} </w:t>
        <w:br/>
        <w:t>[[@BibleTOBIBLE:Mt 12:23]]</w:t>
      </w:r>
      <w:r>
        <w:rPr>
          <w:b/>
        </w:rPr>
        <w:t>23</w:t>
      </w:r>
      <w:r>
        <w:rPr/>
        <w:t xml:space="preserve"> {{field-on:bible}}Und alle der Volksmenge gerieten außer sich </w:t>
      </w:r>
      <w:r>
        <w:rPr>
          <w:color w:val="808080"/>
        </w:rPr>
        <w:t>(vor Erstaunen)</w:t>
      </w:r>
      <w:r>
        <w:rPr/>
        <w:t xml:space="preserve"> und sagten: Ist dies etwa </w:t>
      </w:r>
      <w:r>
        <w:rPr>
          <w:color w:val="808080"/>
        </w:rPr>
        <w:t>(am Ende doch)</w:t>
      </w:r>
      <w:r>
        <w:rPr/>
        <w:t xml:space="preserve"> der Sohn Davids?{{field-off:bible}} </w:t>
        <w:br/>
        <w:t>[[@BibleTOBIBLE:Mt 12:24]]</w:t>
      </w:r>
      <w:r>
        <w:rPr>
          <w:b/>
        </w:rPr>
        <w:t>24</w:t>
      </w:r>
      <w:r>
        <w:rPr/>
        <w:t xml:space="preserve"> {{field-on:bible}}Als aber die Pharisäer </w:t>
      </w:r>
      <w:r>
        <w:rPr>
          <w:b/>
          <w:color w:val="808080"/>
        </w:rPr>
        <w:t>[</w:t>
      </w:r>
      <w:r>
        <w:rPr/>
        <w:t>das</w:t>
      </w:r>
      <w:r>
        <w:rPr>
          <w:b/>
          <w:color w:val="808080"/>
        </w:rPr>
        <w:t>]</w:t>
      </w:r>
      <w:r>
        <w:rPr/>
        <w:t xml:space="preserve"> hörten</w:t>
      </w:r>
      <w:r>
        <w:rPr>
          <w:rStyle w:val="Funotenanker"/>
        </w:rPr>
        <w:footnoteReference w:customMarkFollows="1" w:id="3381"/>
        <w:t>m</w:t>
      </w:r>
      <w:r>
        <w:rPr/>
        <w:t xml:space="preserve">, sagten sie: Dieser treibt die Dämone nicht aus, außer durch Beelzebul den Herrscher </w:t>
      </w:r>
      <w:r>
        <w:rPr>
          <w:color w:val="808080"/>
        </w:rPr>
        <w:t>(Herrn, Machthaber)</w:t>
      </w:r>
      <w:r>
        <w:rPr/>
        <w:t xml:space="preserve"> der Dämonen.{{field-off:bible}} </w:t>
        <w:br/>
        <w:t>[[@BibleTOBIBLE:Mt 12:25]]</w:t>
      </w:r>
      <w:r>
        <w:rPr>
          <w:b/>
        </w:rPr>
        <w:t>25</w:t>
      </w:r>
      <w:r>
        <w:rPr/>
        <w:t xml:space="preserve"> {{field-on:bible}}Als er aber ihre Überlegungen durchschaute </w:t>
      </w:r>
      <w:r>
        <w:rPr>
          <w:color w:val="808080"/>
        </w:rPr>
        <w:t>(erkannte, bemerkte)</w:t>
      </w:r>
      <w:r>
        <w:rPr/>
        <w:t xml:space="preserve"> </w:t>
      </w:r>
      <w:r>
        <w:rPr>
          <w:rStyle w:val="Funotenanker"/>
        </w:rPr>
        <w:footnoteReference w:customMarkFollows="1" w:id="3382"/>
        <w:t>n</w:t>
      </w:r>
      <w:r>
        <w:rPr/>
        <w:t xml:space="preserve"> sagte er ihnen: Jedes Königreich, dass gegen sich selbst uneins ist </w:t>
      </w:r>
      <w:r>
        <w:rPr>
          <w:color w:val="808080"/>
        </w:rPr>
        <w:t>(mit sich selbst entzweit ist)</w:t>
      </w:r>
      <w:r>
        <w:rPr/>
        <w:t xml:space="preserve"> </w:t>
      </w:r>
      <w:r>
        <w:rPr>
          <w:rStyle w:val="Funotenanker"/>
        </w:rPr>
        <w:footnoteReference w:customMarkFollows="1" w:id="3383"/>
        <w:t>o</w:t>
      </w:r>
      <w:r>
        <w:rPr/>
        <w:t xml:space="preserve"> ist zerstört worden, und jede Stadt oder Familie, die gegen sich selbst uneins ist </w:t>
      </w:r>
      <w:r>
        <w:rPr>
          <w:color w:val="808080"/>
        </w:rPr>
        <w:t>(mit sich selbst entzweit ist)</w:t>
      </w:r>
      <w:r>
        <w:rPr/>
        <w:t xml:space="preserve"> </w:t>
      </w:r>
      <w:r>
        <w:rPr>
          <w:rStyle w:val="Funotenanker"/>
        </w:rPr>
        <w:footnoteReference w:customMarkFollows="1" w:id="3384"/>
        <w:t>p</w:t>
      </w:r>
      <w:r>
        <w:rPr/>
        <w:t xml:space="preserve"> wird keinen Bestand haben </w:t>
      </w:r>
      <w:r>
        <w:rPr>
          <w:color w:val="808080"/>
        </w:rPr>
        <w:t>(wird nicht bestehen bleiben)</w:t>
      </w:r>
      <w:r>
        <w:rPr/>
        <w:t xml:space="preserve">.{{field-off:bible}} </w:t>
        <w:br/>
        <w:t>[[@BibleTOBIBLE:Mt 12:26]]</w:t>
      </w:r>
      <w:r>
        <w:rPr>
          <w:b/>
        </w:rPr>
        <w:t>26</w:t>
      </w:r>
      <w:r>
        <w:rPr/>
        <w:t xml:space="preserve"> {{field-on:bible}}Und </w:t>
      </w:r>
      <w:r>
        <w:rPr>
          <w:color w:val="808080"/>
        </w:rPr>
        <w:t>(selbst)</w:t>
      </w:r>
      <w:r>
        <w:rPr/>
        <w:t xml:space="preserve"> wenn der Satan den Satan austreibt, entzweit er sich selbst </w:t>
      </w:r>
      <w:r>
        <w:rPr>
          <w:color w:val="808080"/>
        </w:rPr>
        <w:t>(er teilt gegen sich selbst)</w:t>
      </w:r>
      <w:r>
        <w:rPr/>
        <w:t xml:space="preserve">, wie wird es nun möglich sein, dass seine Herrschaft Bestand haben wird </w:t>
      </w:r>
      <w:r>
        <w:rPr>
          <w:color w:val="808080"/>
        </w:rPr>
        <w:t>(bestehen bleiben wird)</w:t>
      </w:r>
      <w:r>
        <w:rPr/>
        <w:t xml:space="preserve">?{{field-off:bible}} </w:t>
        <w:br/>
        <w:t>[[@BibleTOBIBLE:Mt 12:27]]</w:t>
      </w:r>
      <w:r>
        <w:rPr>
          <w:b/>
        </w:rPr>
        <w:t>27</w:t>
      </w:r>
      <w:r>
        <w:rPr/>
        <w:t xml:space="preserve"> {{field-on:bible}}Und wenn ich durch Beelzebul den Dämon austreibe, durch wen </w:t>
      </w:r>
      <w:r>
        <w:rPr>
          <w:color w:val="808080"/>
        </w:rPr>
        <w:t>(mit wessen Hilfe)</w:t>
      </w:r>
      <w:r>
        <w:rPr/>
        <w:t xml:space="preserve"> triben eure Söhne </w:t>
      </w:r>
      <w:r>
        <w:rPr>
          <w:color w:val="808080"/>
        </w:rPr>
        <w:t>(Schüler)</w:t>
      </w:r>
      <w:r>
        <w:rPr/>
        <w:t xml:space="preserve"> aus? Darum </w:t>
      </w:r>
      <w:r>
        <w:rPr>
          <w:color w:val="808080"/>
        </w:rPr>
        <w:t>(deshalb)</w:t>
      </w:r>
      <w:r>
        <w:rPr/>
        <w:t xml:space="preserve"> werden sie selbst eure Richter sein.{{field-off:bible}} </w:t>
        <w:br/>
        <w:t>[[@BibleTOBIBLE:Mt 12:28]]</w:t>
      </w:r>
      <w:r>
        <w:rPr>
          <w:b/>
        </w:rPr>
        <w:t>28</w:t>
      </w:r>
      <w:r>
        <w:rPr/>
        <w:t xml:space="preserve"> {{field-on:bible}}Wenn ich aber durch den Geist Gottes den Dämon austreibe, ist folglich </w:t>
      </w:r>
      <w:r>
        <w:rPr>
          <w:color w:val="808080"/>
        </w:rPr>
        <w:t>(also)</w:t>
      </w:r>
      <w:r>
        <w:rPr/>
        <w:t xml:space="preserve"> zu euch gekommen </w:t>
      </w:r>
      <w:r>
        <w:rPr>
          <w:color w:val="808080"/>
        </w:rPr>
        <w:t>(hat euch erreicht)</w:t>
      </w:r>
      <w:r>
        <w:rPr/>
        <w:t xml:space="preserve"> die Königsherrschaft Gottes.{{field-off:bible}} </w:t>
        <w:br/>
        <w:t>[[@BibleTOBIBLE:Mt 12:29]]</w:t>
      </w:r>
      <w:r>
        <w:rPr>
          <w:b/>
        </w:rPr>
        <w:t>29</w:t>
      </w:r>
      <w:r>
        <w:rPr/>
        <w:t xml:space="preserve"> {{field-on:bible}}Oder wie geht jemand in das Haus des Mächtigen </w:t>
      </w:r>
      <w:r>
        <w:rPr>
          <w:color w:val="808080"/>
        </w:rPr>
        <w:t>(Starken)</w:t>
      </w:r>
      <w:r>
        <w:rPr/>
        <w:t xml:space="preserve"> und raubt sein Habe </w:t>
      </w:r>
      <w:r>
        <w:rPr>
          <w:color w:val="808080"/>
        </w:rPr>
        <w:t>(Gerät, Gefäß)</w:t>
      </w:r>
      <w:r>
        <w:rPr/>
        <w:t xml:space="preserve">, wenn er nicht erst den Starken gefangen setzt </w:t>
      </w:r>
      <w:r>
        <w:rPr>
          <w:color w:val="808080"/>
        </w:rPr>
        <w:t>(bindet)</w:t>
      </w:r>
      <w:r>
        <w:rPr/>
        <w:t xml:space="preserve">? Und dann wird sein Haus ausgeraubt </w:t>
      </w:r>
      <w:r>
        <w:rPr>
          <w:color w:val="808080"/>
        </w:rPr>
        <w:t>(geplündert)</w:t>
      </w:r>
      <w:r>
        <w:rPr/>
        <w:t xml:space="preserve">.{{field-off:bible}} </w:t>
        <w:br/>
        <w:t>[[@BibleTOBIBLE:Mt 12:30]]</w:t>
      </w:r>
      <w:r>
        <w:rPr>
          <w:b/>
        </w:rPr>
        <w:t>30</w:t>
      </w:r>
      <w:r>
        <w:rPr/>
        <w:t xml:space="preserve"> {{field-on:bible}}Der, der nicht mit mir ist, ist gegen mich, und wer nicht mit mir sammelt </w:t>
      </w:r>
      <w:r>
        <w:rPr>
          <w:color w:val="808080"/>
        </w:rPr>
        <w:t>(vereint, zusammenkommt)</w:t>
      </w:r>
      <w:r>
        <w:rPr/>
        <w:t xml:space="preserve">, der zerstreut.{{field-off:bible}} </w:t>
        <w:br/>
        <w:t>[[@BibleTOBIBLE:Mt 12:31]]</w:t>
      </w:r>
      <w:r>
        <w:rPr>
          <w:b/>
        </w:rPr>
        <w:t>31</w:t>
      </w:r>
      <w:r>
        <w:rPr/>
        <w:t xml:space="preserve"> {{field-on:bible}}Darum sage ich euch, alle Sünde und Verleumdung </w:t>
      </w:r>
      <w:r>
        <w:rPr>
          <w:color w:val="808080"/>
        </w:rPr>
        <w:t>(Schmähung, Lästerung)</w:t>
      </w:r>
      <w:r>
        <w:rPr/>
        <w:t xml:space="preserve"> wird er den Menschen vergeben </w:t>
      </w:r>
      <w:r>
        <w:rPr>
          <w:color w:val="808080"/>
        </w:rPr>
        <w:t>(verzeihen)</w:t>
      </w:r>
      <w:r>
        <w:rPr/>
        <w:t xml:space="preserve"> </w:t>
      </w:r>
      <w:r>
        <w:rPr>
          <w:b/>
          <w:color w:val="808080"/>
        </w:rPr>
        <w:t>[</w:t>
      </w:r>
      <w:r>
        <w:rPr/>
        <w:t>können</w:t>
      </w:r>
      <w:r>
        <w:rPr>
          <w:b/>
          <w:color w:val="808080"/>
        </w:rPr>
        <w:t>]</w:t>
      </w:r>
      <w:r>
        <w:rPr/>
        <w:t xml:space="preserve">, außer aber des Geistes Lästerung wird er nicht vergeben.{{field-off:bible}} </w:t>
        <w:br/>
        <w:t>[[@BibleTOBIBLE:Mt 12:32]]</w:t>
      </w:r>
      <w:r>
        <w:rPr>
          <w:b/>
        </w:rPr>
        <w:t>32</w:t>
      </w:r>
      <w:r>
        <w:rPr/>
        <w:t xml:space="preserve"> {{field-on:bible}}Und wer </w:t>
      </w:r>
      <w:r>
        <w:rPr>
          <w:color w:val="808080"/>
        </w:rPr>
        <w:t>(auch immer)</w:t>
      </w:r>
      <w:r>
        <w:rPr/>
        <w:t xml:space="preserve"> sagen </w:t>
      </w:r>
      <w:r>
        <w:rPr>
          <w:color w:val="808080"/>
        </w:rPr>
        <w:t>(sprechen)</w:t>
      </w:r>
      <w:r>
        <w:rPr/>
        <w:t xml:space="preserve"> wird ein Wort gegen den Menschensohn, ihm wird er vergeben </w:t>
      </w:r>
      <w:r>
        <w:rPr>
          <w:b/>
          <w:color w:val="808080"/>
        </w:rPr>
        <w:t>[</w:t>
      </w:r>
      <w:r>
        <w:rPr/>
        <w:t>können</w:t>
      </w:r>
      <w:r>
        <w:rPr>
          <w:b/>
          <w:color w:val="808080"/>
        </w:rPr>
        <w:t>]</w:t>
      </w:r>
      <w:r>
        <w:rPr/>
        <w:t xml:space="preserve">; Wer aber gegen den heiligen Geist sagen </w:t>
      </w:r>
      <w:r>
        <w:rPr>
          <w:color w:val="808080"/>
        </w:rPr>
        <w:t>(sprechen)</w:t>
      </w:r>
      <w:r>
        <w:rPr/>
        <w:t xml:space="preserve"> wird, ihm wird er nicht vergeben </w:t>
      </w:r>
      <w:r>
        <w:rPr>
          <w:b/>
          <w:color w:val="808080"/>
        </w:rPr>
        <w:t>[</w:t>
      </w:r>
      <w:r>
        <w:rPr/>
        <w:t>können</w:t>
      </w:r>
      <w:r>
        <w:rPr>
          <w:b/>
          <w:color w:val="808080"/>
        </w:rPr>
        <w:t>]</w:t>
      </w:r>
      <w:r>
        <w:rPr/>
        <w:t xml:space="preserve">, weder in diesem Zeitalter, noch im Kommenden </w:t>
      </w:r>
      <w:r>
        <w:rPr>
          <w:color w:val="808080"/>
        </w:rPr>
        <w:t>(Zukünftigen)</w:t>
      </w:r>
      <w:r>
        <w:rPr/>
        <w:t xml:space="preserve">.{{field-off:bible}} </w:t>
        <w:br/>
        <w:t>[[@BibleTOBIBLE:Mt 12:33]]</w:t>
      </w:r>
      <w:r>
        <w:rPr>
          <w:b/>
        </w:rPr>
        <w:t>33</w:t>
      </w:r>
      <w:r>
        <w:rPr/>
        <w:t xml:space="preserve"> {{field-on:bible}}Entweder ist der Baum gut und seine Früchte auch</w:t>
      </w:r>
      <w:r>
        <w:rPr>
          <w:rStyle w:val="Funotenanker"/>
        </w:rPr>
        <w:footnoteReference w:customMarkFollows="1" w:id="3385"/>
        <w:t>q</w:t>
      </w:r>
      <w:r>
        <w:rPr/>
        <w:t xml:space="preserve"> oder der Baum ist faul </w:t>
      </w:r>
      <w:r>
        <w:rPr>
          <w:color w:val="808080"/>
        </w:rPr>
        <w:t>(schlecht)</w:t>
      </w:r>
      <w:r>
        <w:rPr/>
        <w:t xml:space="preserve"> und seine Früchte auch</w:t>
      </w:r>
      <w:r>
        <w:rPr>
          <w:rStyle w:val="Funotenanker"/>
        </w:rPr>
        <w:footnoteReference w:customMarkFollows="1" w:id="3386"/>
        <w:t>r</w:t>
      </w:r>
      <w:r>
        <w:rPr/>
        <w:t xml:space="preserve">; denn aus der </w:t>
      </w:r>
      <w:r>
        <w:rPr>
          <w:color w:val="808080"/>
        </w:rPr>
        <w:t>(an seiner)</w:t>
      </w:r>
      <w:r>
        <w:rPr/>
        <w:t xml:space="preserve"> Frucht erkennt man den Baum.{{field-off:bible}} </w:t>
        <w:br/>
        <w:t>[[@BibleTOBIBLE:Mt 12:34]]</w:t>
      </w:r>
      <w:r>
        <w:rPr>
          <w:b/>
        </w:rPr>
        <w:t>34</w:t>
      </w:r>
      <w:r>
        <w:rPr/>
        <w:t xml:space="preserve"> {{field-on:bible}}Schlangenbrut </w:t>
      </w:r>
      <w:r>
        <w:rPr>
          <w:color w:val="808080"/>
        </w:rPr>
        <w:t>(Sprösslinge der Schlange)</w:t>
      </w:r>
      <w:r>
        <w:rPr/>
        <w:t xml:space="preserve">, wie könnt ihr gut </w:t>
      </w:r>
      <w:r>
        <w:rPr>
          <w:color w:val="808080"/>
        </w:rPr>
        <w:t>(gerecht, gütig)</w:t>
      </w:r>
      <w:r>
        <w:rPr/>
        <w:t xml:space="preserve"> sprechen wo ihr doch böse seid</w:t>
      </w:r>
      <w:r>
        <w:rPr>
          <w:rStyle w:val="Funotenanker"/>
        </w:rPr>
        <w:footnoteReference w:customMarkFollows="1" w:id="3387"/>
        <w:t>s</w:t>
      </w:r>
      <w:r>
        <w:rPr/>
        <w:t xml:space="preserve">? Denn aus dem Überfluss </w:t>
      </w:r>
      <w:r>
        <w:rPr>
          <w:color w:val="808080"/>
        </w:rPr>
        <w:t>(Fülle)</w:t>
      </w:r>
      <w:r>
        <w:rPr/>
        <w:t xml:space="preserve"> des Herzen spricht die Zunge </w:t>
      </w:r>
      <w:r>
        <w:rPr>
          <w:color w:val="808080"/>
        </w:rPr>
        <w:t>(der Mund)</w:t>
      </w:r>
      <w:r>
        <w:rPr/>
        <w:t xml:space="preserve">.{{field-off:bible}} </w:t>
        <w:br/>
        <w:t>[[@BibleTOBIBLE:Mt 12:35]]</w:t>
      </w:r>
      <w:r>
        <w:rPr>
          <w:b/>
        </w:rPr>
        <w:t>35</w:t>
      </w:r>
      <w:r>
        <w:rPr/>
        <w:t xml:space="preserve"> {{field-on:bible}}Der gute Mensch holt aus dem guten Schatz Gutes hervor und der schlechte Mensch holt aus dem schlechten Schatz Schlechtes hervor.{{field-off:bible}} </w:t>
        <w:br/>
        <w:t>[[@BibleTOBIBLE:Mt 12:36]]</w:t>
      </w:r>
      <w:r>
        <w:rPr>
          <w:b/>
        </w:rPr>
        <w:t>36</w:t>
      </w:r>
      <w:r>
        <w:rPr/>
        <w:t xml:space="preserve"> {{field-on:bible}}Ich aber sage euch, dass </w:t>
      </w:r>
      <w:r>
        <w:rPr>
          <w:color w:val="808080"/>
        </w:rPr>
        <w:t>(:)</w:t>
      </w:r>
      <w:r>
        <w:rPr/>
        <w:t xml:space="preserve"> über jedes unnütze </w:t>
      </w:r>
      <w:r>
        <w:rPr>
          <w:color w:val="808080"/>
        </w:rPr>
        <w:t>(nutzlose)</w:t>
      </w:r>
      <w:r>
        <w:rPr/>
        <w:t xml:space="preserve"> Wort das sprechen werden die Menschen werden sie Rechenschaft ablegen müssen am </w:t>
      </w:r>
      <w:r>
        <w:rPr>
          <w:color w:val="808080"/>
        </w:rPr>
        <w:t>(im)</w:t>
      </w:r>
      <w:r>
        <w:rPr/>
        <w:t xml:space="preserve"> Tag des Gerichts;{{field-off:bible}} </w:t>
        <w:br/>
        <w:t>[[@BibleTOBIBLE:Mt 12:37]]</w:t>
      </w:r>
      <w:r>
        <w:rPr>
          <w:b/>
        </w:rPr>
        <w:t>37</w:t>
      </w:r>
      <w:r>
        <w:rPr/>
        <w:t xml:space="preserve"> {{field-on:bible}}Denn aufgrund </w:t>
      </w:r>
      <w:r>
        <w:rPr>
          <w:color w:val="808080"/>
        </w:rPr>
        <w:t>(gemäß)</w:t>
      </w:r>
      <w:r>
        <w:rPr/>
        <w:t xml:space="preserve"> deiner Worte wirst du gerechtfertigt werden </w:t>
      </w:r>
      <w:r>
        <w:rPr>
          <w:color w:val="808080"/>
        </w:rPr>
        <w:t>(für gerecht erklärt werden)</w:t>
      </w:r>
      <w:r>
        <w:rPr/>
        <w:t xml:space="preserve"> und aufgrund deiner Worte wirst du verurteilt werden.{{field-off:bible}} </w:t>
        <w:br/>
        <w:t>[[@BibleTOBIBLE:Mt 12:38]]</w:t>
      </w:r>
      <w:r>
        <w:rPr>
          <w:b/>
        </w:rPr>
        <w:t>38</w:t>
      </w:r>
      <w:r>
        <w:rPr/>
        <w:t xml:space="preserve"> {{field-on:bible}}Dann antworteten </w:t>
      </w:r>
      <w:r>
        <w:rPr>
          <w:color w:val="808080"/>
        </w:rPr>
        <w:t>(ergriffen das Wort)</w:t>
      </w:r>
      <w:r>
        <w:rPr/>
        <w:t xml:space="preserve"> ihm einige der Schriftgelehrten und Pharisäer, indem sie sprachen</w:t>
      </w:r>
      <w:r>
        <w:rPr>
          <w:rStyle w:val="Funotenanker"/>
        </w:rPr>
        <w:footnoteReference w:customMarkFollows="1" w:id="3388"/>
        <w:t>t</w:t>
      </w:r>
      <w:r>
        <w:rPr/>
        <w:t xml:space="preserve">: Lehrer </w:t>
      </w:r>
      <w:r>
        <w:rPr>
          <w:color w:val="808080"/>
        </w:rPr>
        <w:t>(Rabbi)</w:t>
      </w:r>
      <w:r>
        <w:rPr/>
        <w:t xml:space="preserve">, wir wollen </w:t>
      </w:r>
      <w:r>
        <w:rPr>
          <w:color w:val="808080"/>
        </w:rPr>
        <w:t>(wünschen, begehren)</w:t>
      </w:r>
      <w:r>
        <w:rPr/>
        <w:t xml:space="preserve"> von dir ein Zeichen sehen!{{field-off:bible}} </w:t>
        <w:br/>
        <w:t>[[@BibleTOBIBLE:Mt 12:39]]</w:t>
      </w:r>
      <w:r>
        <w:rPr>
          <w:b/>
        </w:rPr>
        <w:t>39</w:t>
      </w:r>
      <w:r>
        <w:rPr/>
        <w:t xml:space="preserve"> {{field-on:bible}}Da </w:t>
      </w:r>
      <w:r>
        <w:rPr>
          <w:strike/>
          <w:color w:val="808080"/>
        </w:rPr>
        <w:t>{aber}</w:t>
      </w:r>
      <w:r>
        <w:rPr/>
        <w:t xml:space="preserve"> antwortete er</w:t>
      </w:r>
      <w:r>
        <w:rPr>
          <w:rStyle w:val="Funotenanker"/>
        </w:rPr>
        <w:footnoteReference w:customMarkFollows="1" w:id="3389"/>
        <w:t>u</w:t>
      </w:r>
      <w:r>
        <w:rPr/>
        <w:t xml:space="preserve"> </w:t>
      </w:r>
      <w:r>
        <w:rPr>
          <w:strike/>
          <w:color w:val="808080"/>
        </w:rPr>
        <w:t>{und sagte}</w:t>
      </w:r>
      <w:r>
        <w:rPr/>
        <w:t xml:space="preserve"> ihnen: Eine schlechte und treulose </w:t>
      </w:r>
      <w:r>
        <w:rPr>
          <w:color w:val="808080"/>
        </w:rPr>
        <w:t>(ehebrecherische)</w:t>
      </w:r>
      <w:r>
        <w:rPr/>
        <w:t xml:space="preserve"> Generation verlangt </w:t>
      </w:r>
      <w:r>
        <w:rPr>
          <w:color w:val="808080"/>
        </w:rPr>
        <w:t>(fordert, sucht)</w:t>
      </w:r>
      <w:r>
        <w:rPr/>
        <w:t xml:space="preserve">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t>
      </w:r>
      <w:r>
        <w:rPr>
          <w:color w:val="808080"/>
        </w:rPr>
        <w:t>(großen Fisches)</w:t>
      </w:r>
      <w:r>
        <w:rPr/>
        <w:t xml:space="preserve"> war drei Tage und drei Nächte,</w:t>
      </w:r>
      <w:r>
        <w:rPr>
          <w:position w:val="8"/>
          <w:sz w:val="19"/>
        </w:rPr>
        <w:t>[[ ℘ &gt;&gt; BibleTOBIBLE:Jon 2:1]]</w:t>
      </w:r>
      <w:r>
        <w:rPr/>
        <w:t xml:space="preserve"> so wird der Sohn des Menschen </w:t>
      </w:r>
      <w:r>
        <w:rPr>
          <w:color w:val="808080"/>
        </w:rPr>
        <w:t>(Menschensohn)</w:t>
      </w:r>
      <w:r>
        <w:rPr/>
        <w:t xml:space="preserve"> sein im Inneren</w:t>
      </w:r>
      <w:r>
        <w:rPr>
          <w:rStyle w:val="Funotenanker"/>
        </w:rPr>
        <w:footnoteReference w:customMarkFollows="1" w:id="3390"/>
        <w:t>v</w:t>
      </w:r>
      <w:r>
        <w:rPr/>
        <w:t xml:space="preserve"> der Erde drei Tage und drei Nächte.{{field-off:bible}} </w:t>
        <w:br/>
        <w:t>[[@BibleTOBIBLE:Mt 12:41]]</w:t>
      </w:r>
      <w:r>
        <w:rPr>
          <w:b/>
        </w:rPr>
        <w:t>41</w:t>
      </w:r>
      <w:r>
        <w:rPr/>
        <w:t xml:space="preserve"> {{field-on:bible}}Männer </w:t>
      </w:r>
      <w:r>
        <w:rPr>
          <w:color w:val="808080"/>
        </w:rPr>
        <w:t>(Leute)</w:t>
      </w:r>
      <w:r>
        <w:rPr/>
        <w:t xml:space="preserve">,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t>
      </w:r>
      <w:r>
        <w:rPr>
          <w:color w:val="808080"/>
        </w:rPr>
        <w:t>(auftreten)</w:t>
      </w:r>
      <w:r>
        <w:rPr/>
        <w:t xml:space="preserve"> werden im Gericht gemeinsam mit dieser Generation und wird über sie urteilen </w:t>
      </w:r>
      <w:r>
        <w:rPr>
          <w:color w:val="808080"/>
        </w:rPr>
        <w:t>(sie verurteilen)</w:t>
      </w:r>
      <w:r>
        <w:rPr/>
        <w:t xml:space="preserve">, denn sie kam aus den Randregionen </w:t>
      </w:r>
      <w:r>
        <w:rPr>
          <w:color w:val="808080"/>
        </w:rPr>
        <w:t>(den Enden)</w:t>
      </w:r>
      <w:r>
        <w:rPr/>
        <w:t xml:space="preserve">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br/>
        <w:t>[[@BibleTOBIBLE:Mt 12:43]]</w:t>
      </w:r>
      <w:r>
        <w:rPr>
          <w:b/>
        </w:rPr>
        <w:t>43</w:t>
      </w:r>
      <w:r>
        <w:rPr/>
        <w:t xml:space="preserve"> {{field-on:bible}}Wenn </w:t>
      </w:r>
      <w:r>
        <w:rPr>
          <w:color w:val="808080"/>
        </w:rPr>
        <w:t>(wann, dann)</w:t>
      </w:r>
      <w:r>
        <w:rPr/>
        <w:t xml:space="preserve"> aber der unreine Geist den Menschen verlassen hat </w:t>
      </w:r>
      <w:r>
        <w:rPr>
          <w:color w:val="808080"/>
        </w:rPr>
        <w:t>(von dem Menschen ausgefahren ist)</w:t>
      </w:r>
      <w:r>
        <w:rPr/>
        <w:t xml:space="preserve"> durchzieht </w:t>
      </w:r>
      <w:r>
        <w:rPr>
          <w:color w:val="808080"/>
        </w:rPr>
        <w:t>(irrt)</w:t>
      </w:r>
      <w:r>
        <w:rPr/>
        <w:t xml:space="preserve"> er durch dürre </w:t>
      </w:r>
      <w:r>
        <w:rPr>
          <w:color w:val="808080"/>
        </w:rPr>
        <w:t>(wasserlase)</w:t>
      </w:r>
      <w:r>
        <w:rPr/>
        <w:t xml:space="preserve"> Orte </w:t>
      </w:r>
      <w:r>
        <w:rPr>
          <w:color w:val="808080"/>
        </w:rPr>
        <w:t>(Plätze, Stellen)</w:t>
      </w:r>
      <w:r>
        <w:rPr/>
        <w:t xml:space="preserve"> und sucht nach Ruhe </w:t>
      </w:r>
      <w:r>
        <w:rPr>
          <w:color w:val="808080"/>
        </w:rPr>
        <w:t>(Erquickung, einem Ruheplatz)</w:t>
      </w:r>
      <w:r>
        <w:rPr/>
        <w:t xml:space="preserve"> und </w:t>
      </w:r>
      <w:r>
        <w:rPr>
          <w:color w:val="808080"/>
        </w:rPr>
        <w:t>(aber)</w:t>
      </w:r>
      <w:r>
        <w:rPr/>
        <w:t xml:space="preserve"> findet keinen.{{field-off:bible}} </w:t>
        <w:br/>
        <w:t>[[@BibleTOBIBLE:Mt 12:44]]</w:t>
      </w:r>
      <w:r>
        <w:rPr>
          <w:b/>
        </w:rPr>
        <w:t>44</w:t>
      </w:r>
      <w:r>
        <w:rPr/>
        <w:t xml:space="preserve"> {{field-on:bible}}Dann sagt er: In mein Haus werde ich zurückkehren </w:t>
      </w:r>
      <w:r>
        <w:rPr>
          <w:color w:val="808080"/>
        </w:rPr>
        <w:t>(umkehren)</w:t>
      </w:r>
      <w:r>
        <w:rPr/>
        <w:t xml:space="preserve">, von wo </w:t>
      </w:r>
      <w:r>
        <w:rPr>
          <w:color w:val="808080"/>
        </w:rPr>
        <w:t>(woher)</w:t>
      </w:r>
      <w:r>
        <w:rPr/>
        <w:t xml:space="preserve"> ich fortgegangen bin; und wenn er kommt wird er es finden leer</w:t>
      </w:r>
      <w:r>
        <w:rPr>
          <w:rStyle w:val="Funotenanker"/>
        </w:rPr>
        <w:footnoteReference w:customMarkFollows="1" w:id="3391"/>
        <w:t>w</w:t>
      </w:r>
      <w:r>
        <w:rPr/>
        <w:t>, gepflegt</w:t>
      </w:r>
      <w:r>
        <w:rPr>
          <w:rStyle w:val="Funotenanker"/>
        </w:rPr>
        <w:footnoteReference w:customMarkFollows="1" w:id="3392"/>
        <w:t>x</w:t>
      </w:r>
      <w:r>
        <w:rPr/>
        <w:t xml:space="preserve"> </w:t>
      </w:r>
      <w:r>
        <w:rPr>
          <w:color w:val="808080"/>
        </w:rPr>
        <w:t>(gefegt)</w:t>
      </w:r>
      <w:r>
        <w:rPr/>
        <w:t xml:space="preserve"> und geschmückt</w:t>
      </w:r>
      <w:r>
        <w:rPr>
          <w:rStyle w:val="Funotenanker"/>
        </w:rPr>
        <w:footnoteReference w:customMarkFollows="1" w:id="3393"/>
        <w:t>y</w:t>
      </w:r>
      <w:r>
        <w:rPr/>
        <w:t xml:space="preserve"> </w:t>
      </w:r>
      <w:r>
        <w:rPr>
          <w:color w:val="808080"/>
        </w:rPr>
        <w:t>(in Ordnung)</w:t>
      </w:r>
      <w:r>
        <w:rPr/>
        <w:t xml:space="preserve">.{{field-off:bible}} </w:t>
        <w:br/>
        <w:t>[[@BibleTOBIBLE:Mt 12:45]]</w:t>
      </w:r>
      <w:r>
        <w:rPr>
          <w:b/>
        </w:rPr>
        <w:t>45</w:t>
      </w:r>
      <w:r>
        <w:rPr/>
        <w:t xml:space="preserve"> {{field-on:bible}}Dann geht er und nimmt mit sich selbst sieben andere Geister, schlimmer als er selbst, und sie treten ein und wohnen dort; und der spätere Zustand </w:t>
      </w:r>
      <w:r>
        <w:rPr>
          <w:color w:val="808080"/>
        </w:rPr>
        <w:t>(das Ende)</w:t>
      </w:r>
      <w:r>
        <w:rPr/>
        <w:t xml:space="preserve"> jenes </w:t>
      </w:r>
      <w:r>
        <w:rPr>
          <w:color w:val="808080"/>
        </w:rPr>
        <w:t>(dieses)</w:t>
      </w:r>
      <w:r>
        <w:rPr/>
        <w:t xml:space="preserve"> Menschen wird schlechter </w:t>
      </w:r>
      <w:r>
        <w:rPr>
          <w:color w:val="808080"/>
        </w:rPr>
        <w:t>(schlimmer)</w:t>
      </w:r>
      <w:r>
        <w:rPr/>
        <w:t xml:space="preserve"> sein als der frühere Zustand </w:t>
      </w:r>
      <w:r>
        <w:rPr>
          <w:color w:val="808080"/>
        </w:rPr>
        <w:t>(Anfang)</w:t>
      </w:r>
      <w:r>
        <w:rPr/>
        <w:t xml:space="preserve">. So wird es auch dieser bösen Generation </w:t>
      </w:r>
      <w:r>
        <w:rPr>
          <w:color w:val="808080"/>
        </w:rPr>
        <w:t>(Geschlecht)</w:t>
      </w:r>
      <w:r>
        <w:rPr/>
        <w:t xml:space="preserve"> zuteil werden </w:t>
      </w:r>
      <w:r>
        <w:rPr>
          <w:color w:val="808080"/>
        </w:rPr>
        <w:t>(ergehen)</w:t>
      </w:r>
      <w:r>
        <w:rPr/>
        <w:t xml:space="preserve">.{{field-off:bible}} </w:t>
        <w:br/>
        <w:t>[[@BibleTOBIBLE:Mt 12:46]]</w:t>
      </w:r>
      <w:r>
        <w:rPr>
          <w:b/>
        </w:rPr>
        <w:t>46</w:t>
      </w:r>
      <w:r>
        <w:rPr/>
        <w:t xml:space="preserve"> {{field-on:bible}}Als er noch sprach zur Volksmenge siehe, seine Mutter und seine Brüder standen </w:t>
      </w:r>
      <w:r>
        <w:rPr>
          <w:color w:val="808080"/>
        </w:rPr>
        <w:t>(befanden)</w:t>
      </w:r>
      <w:r>
        <w:rPr/>
        <w:t xml:space="preserve"> sich draußen und wollten ihn sprechen.{{field-off:bible}} </w:t>
        <w:br/>
        <w:t>[[@BibleTOBIBLE:Mt 12:47]]</w:t>
      </w:r>
      <w:r>
        <w:rPr>
          <w:b/>
        </w:rPr>
        <w:t>47</w:t>
      </w:r>
      <w:r>
        <w:rPr/>
        <w:t xml:space="preserve"> {{field-on:bible}} </w:t>
      </w:r>
      <w:r>
        <w:rPr>
          <w:b/>
          <w:color w:val="808080"/>
        </w:rPr>
        <w:t>[</w:t>
      </w:r>
      <w:r>
        <w:rPr/>
        <w:t>Einer sagte aber: Siehe deine Mutter und deine Brüder stehen draußen und wollen dich sprechen.</w:t>
      </w:r>
      <w:r>
        <w:rPr>
          <w:b/>
          <w:color w:val="808080"/>
        </w:rPr>
        <w:t>]</w:t>
      </w:r>
      <w:r>
        <w:rPr/>
        <w:t xml:space="preserve"> {{field-off:bible}} </w:t>
        <w:br/>
        <w:t>[[@BibleTOBIBLE:Mt 12:48]]</w:t>
      </w:r>
      <w:r>
        <w:rPr>
          <w:b/>
        </w:rPr>
        <w:t>48</w:t>
      </w:r>
      <w:r>
        <w:rPr/>
        <w:t xml:space="preserve"> {{field-on:bible}}Er aber antwortet</w:t>
      </w:r>
      <w:r>
        <w:rPr>
          <w:rStyle w:val="Funotenanker"/>
        </w:rPr>
        <w:footnoteReference w:customMarkFollows="1" w:id="3394"/>
        <w:t>z</w:t>
      </w:r>
      <w:r>
        <w:rPr/>
        <w:t xml:space="preserve"> und sprach zu dem, der </w:t>
      </w:r>
      <w:r>
        <w:rPr>
          <w:b/>
          <w:color w:val="808080"/>
        </w:rPr>
        <w:t>[</w:t>
      </w:r>
      <w:r>
        <w:rPr/>
        <w:t>dies</w:t>
      </w:r>
      <w:r>
        <w:rPr>
          <w:b/>
          <w:color w:val="808080"/>
        </w:rPr>
        <w:t>]</w:t>
      </w:r>
      <w:r>
        <w:rPr/>
        <w:t xml:space="preserve"> sagte: Wer ist meine Mutter und wer sind meine Brüder?{{field-off:bible}} </w:t>
        <w:br/>
        <w:t>[[@BibleTOBIBLE:Mt 12:49]]</w:t>
      </w:r>
      <w:r>
        <w:rPr>
          <w:b/>
        </w:rPr>
        <w:t>49</w:t>
      </w:r>
      <w:r>
        <w:rPr/>
        <w:t xml:space="preserve"> {{field-on:bible}}Und er streckte seine Hand auf seine Jünger </w:t>
      </w:r>
      <w:r>
        <w:rPr>
          <w:color w:val="808080"/>
        </w:rPr>
        <w:t>(aus)</w:t>
      </w:r>
      <w:r>
        <w:rPr/>
        <w:t xml:space="preserve"> </w:t>
      </w:r>
      <w:r>
        <w:rPr>
          <w:b/>
          <w:color w:val="808080"/>
        </w:rPr>
        <w:t>[</w:t>
      </w:r>
      <w:r>
        <w:rPr/>
        <w:t>und</w:t>
      </w:r>
      <w:r>
        <w:rPr>
          <w:b/>
          <w:color w:val="808080"/>
        </w:rPr>
        <w:t>]</w:t>
      </w:r>
      <w:r>
        <w:rPr/>
        <w:t xml:space="preserve"> sagte: Siehe </w:t>
      </w:r>
      <w:r>
        <w:rPr>
          <w:color w:val="808080"/>
        </w:rPr>
        <w:t>(hier sind)</w:t>
      </w:r>
      <w:r>
        <w:rPr/>
        <w:t xml:space="preserve"> meine Mutter und meine Brüder.{{field-off:bible}} </w:t>
        <w:br/>
        <w:t>[[@BibleTOBIBLE:Mt 12:50]]</w:t>
      </w:r>
      <w:r>
        <w:rPr>
          <w:b/>
        </w:rPr>
        <w:t>50</w:t>
      </w:r>
      <w:r>
        <w:rPr/>
        <w:t xml:space="preserve"> {{field-on:bible}}Denn wer auch immer tut den Willen meines Vater </w:t>
      </w:r>
      <w:r>
        <w:rPr>
          <w:color w:val="808080"/>
        </w:rPr>
        <w:t>(der ist)</w:t>
      </w:r>
      <w:r>
        <w:rPr/>
        <w:t xml:space="preserve"> in den Himmeln, er </w:t>
      </w:r>
      <w:r>
        <w:rPr>
          <w:color w:val="808080"/>
        </w:rPr>
        <w:t>(dieser)</w:t>
      </w:r>
      <w:r>
        <w:rPr/>
        <w:t xml:space="preserve"> </w:t>
      </w:r>
      <w:r>
        <w:rPr>
          <w:rStyle w:val="Funotenanker"/>
        </w:rPr>
        <w:footnoteReference w:customMarkFollows="1" w:id="3395"/>
        <w:t>aa</w:t>
      </w:r>
      <w:r>
        <w:rPr/>
        <w:t xml:space="preserve"> ist mein Bruder und Schwester und Mutter.{{field-off:bible}} </w:t>
      </w:r>
    </w:p>
    <w:p>
      <w:pPr>
        <w:pStyle w:val="Berschrift3"/>
        <w:rPr/>
      </w:pPr>
      <w:r>
        <w:rPr/>
        <w:t>[[@BibleTOBIBLE:Mt 13]]Kapitel 13</w:t>
      </w:r>
    </w:p>
    <w:p>
      <w:pPr>
        <w:pStyle w:val="Textkrper"/>
        <w:rPr/>
      </w:pPr>
      <w:r>
        <w:rPr/>
        <w:br/>
        <w:t>[[@BibleTOBIBLE:Mt 13:1]]</w:t>
      </w:r>
      <w:r>
        <w:rPr>
          <w:b/>
        </w:rPr>
        <w:t>1</w:t>
      </w:r>
      <w:r>
        <w:rPr/>
        <w:t xml:space="preserve"> {{field-on:bible}} </w:t>
      </w:r>
      <w:r>
        <w:rPr>
          <w:rStyle w:val="Funotenanker"/>
        </w:rPr>
        <w:footnoteReference w:customMarkFollows="1" w:id="3396"/>
        <w:t>Status</w:t>
      </w:r>
      <w:r>
        <w:rPr/>
        <w:t xml:space="preserve"> An diesem Tag ging</w:t>
      </w:r>
      <w:r>
        <w:rPr>
          <w:rStyle w:val="Funotenanker"/>
        </w:rPr>
        <w:footnoteReference w:customMarkFollows="1" w:id="3397"/>
        <w:t>a</w:t>
      </w:r>
      <w:r>
        <w:rPr/>
        <w:t xml:space="preserve"> Jesus aus dem Haus und setzte sich zum Lehren an das Ufer des Sees;{{field-off:bible}} </w:t>
        <w:br/>
        <w:t>[[@BibleTOBIBLE:Mt 13:2]]</w:t>
      </w:r>
      <w:r>
        <w:rPr>
          <w:b/>
        </w:rPr>
        <w:t>2</w:t>
      </w:r>
      <w:r>
        <w:rPr/>
        <w:t xml:space="preserve"> {{field-on:bible}}und es versammelte sich vor ihm eine große Volksmenge, so daß </w:t>
      </w:r>
      <w:r>
        <w:rPr>
          <w:color w:val="808080"/>
        </w:rPr>
        <w:t>(derart das)</w:t>
      </w:r>
      <w:r>
        <w:rPr/>
        <w:t xml:space="preserve"> er in ein Boot einstieg</w:t>
      </w:r>
      <w:r>
        <w:rPr>
          <w:rStyle w:val="Funotenanker"/>
        </w:rPr>
        <w:footnoteReference w:customMarkFollows="1" w:id="3398"/>
        <w:t>b</w:t>
      </w:r>
      <w:r>
        <w:rPr/>
        <w:t xml:space="preserve"> und sich setzte, und die ganze Volksmenge stand am Ufer </w:t>
      </w:r>
      <w:r>
        <w:rPr>
          <w:color w:val="808080"/>
        </w:rPr>
        <w:t>(Strand)</w:t>
      </w:r>
      <w:r>
        <w:rPr/>
        <w:t xml:space="preserve"> {{field-off:bible}} </w:t>
        <w:br/>
        <w:t>[[@BibleTOBIBLE:Mt 13:3]]</w:t>
      </w:r>
      <w:r>
        <w:rPr>
          <w:b/>
        </w:rPr>
        <w:t>3</w:t>
      </w:r>
      <w:r>
        <w:rPr/>
        <w:t xml:space="preserve"> {{field-on:bible}}und er erzählte </w:t>
      </w:r>
      <w:r>
        <w:rPr>
          <w:color w:val="808080"/>
        </w:rPr>
        <w:t>(sagte)</w:t>
      </w:r>
      <w:r>
        <w:rPr/>
        <w:t xml:space="preserve"> ihnen Vieles </w:t>
      </w:r>
      <w:r>
        <w:rPr>
          <w:color w:val="808080"/>
        </w:rPr>
        <w:t>(viele Dinge)</w:t>
      </w:r>
      <w:r>
        <w:rPr/>
        <w:t xml:space="preserve"> in Gleichnissen </w:t>
      </w:r>
      <w:r>
        <w:rPr>
          <w:strike/>
          <w:color w:val="808080"/>
        </w:rPr>
        <w:t>{sagend}</w:t>
      </w:r>
      <w:r>
        <w:rPr/>
        <w:t xml:space="preserve">: Siehe </w:t>
      </w:r>
      <w:r>
        <w:rPr>
          <w:color w:val="808080"/>
        </w:rPr>
        <w:t>(hört zu)</w:t>
      </w:r>
      <w:r>
        <w:rPr/>
        <w:t xml:space="preserve">, es ging der Bauer </w:t>
      </w:r>
      <w:r>
        <w:rPr>
          <w:color w:val="808080"/>
        </w:rPr>
        <w:t>(Sämann)</w:t>
      </w:r>
      <w:r>
        <w:rPr/>
        <w:t xml:space="preserve"> hinaus </w:t>
      </w:r>
      <w:r>
        <w:rPr>
          <w:b/>
          <w:color w:val="808080"/>
        </w:rPr>
        <w:t>[</w:t>
      </w:r>
      <w:r>
        <w:rPr/>
        <w:t>aufs Feld</w:t>
      </w:r>
      <w:r>
        <w:rPr>
          <w:b/>
          <w:color w:val="808080"/>
        </w:rPr>
        <w:t>]</w:t>
      </w:r>
      <w:r>
        <w:rPr/>
        <w:t xml:space="preserve"> </w:t>
      </w:r>
      <w:r>
        <w:rPr>
          <w:color w:val="808080"/>
        </w:rPr>
        <w:t>(um)</w:t>
      </w:r>
      <w:r>
        <w:rPr/>
        <w:t xml:space="preserve"> zu säen.{{field-off:bible}} </w:t>
        <w:br/>
        <w:t>[[@BibleTOBIBLE:Mt 13:4]]</w:t>
      </w:r>
      <w:r>
        <w:rPr>
          <w:b/>
        </w:rPr>
        <w:t>4</w:t>
      </w:r>
      <w:r>
        <w:rPr/>
        <w:t xml:space="preserve"> {{field-on:bible}}Und als </w:t>
      </w:r>
      <w:r>
        <w:rPr>
          <w:color w:val="808080"/>
        </w:rPr>
        <w:t>(während)</w:t>
      </w:r>
      <w:r>
        <w:rPr/>
        <w:t xml:space="preserve"> er säte fielen einige der Samenkörner</w:t>
      </w:r>
      <w:r>
        <w:rPr>
          <w:rStyle w:val="Funotenanker"/>
        </w:rPr>
        <w:footnoteReference w:customMarkFollows="1" w:id="3399"/>
        <w:t>c</w:t>
      </w:r>
      <w:r>
        <w:rPr/>
        <w:t xml:space="preserve"> auf den Weg </w:t>
      </w:r>
      <w:r>
        <w:rPr>
          <w:color w:val="808080"/>
        </w:rPr>
        <w:t>(die Straße)</w:t>
      </w:r>
      <w:r>
        <w:rPr/>
        <w:t xml:space="preserve"> und es kamen die Vögel und fraßen es auf.{{field-off:bible}} </w:t>
        <w:br/>
        <w:t>[[@BibleTOBIBLE:Mt 13:5]]</w:t>
      </w:r>
      <w:r>
        <w:rPr>
          <w:b/>
        </w:rPr>
        <w:t>5</w:t>
      </w:r>
      <w:r>
        <w:rPr/>
        <w:t xml:space="preserve"> {{field-on:bible}}Andere aber fielen auf den felsigen Boden, </w:t>
      </w:r>
      <w:r>
        <w:rPr>
          <w:color w:val="808080"/>
        </w:rPr>
        <w:t>(dort)</w:t>
      </w:r>
      <w:r>
        <w:rPr/>
        <w:t xml:space="preserve"> wo sie nicht viel Erde hatten, und sofort gingen sie auf, weil sie keine tiefe Erde hatten;{{field-off:bible}} </w:t>
        <w:br/>
        <w:t>[[@BibleTOBIBLE:Mt 13:6]]</w:t>
      </w:r>
      <w:r>
        <w:rPr>
          <w:b/>
        </w:rPr>
        <w:t>6</w:t>
      </w:r>
      <w:r>
        <w:rPr/>
        <w:t xml:space="preserve"> {{field-on:bible}}als die Sonne aber aufging</w:t>
      </w:r>
      <w:r>
        <w:rPr>
          <w:rStyle w:val="Funotenanker"/>
        </w:rPr>
        <w:footnoteReference w:customMarkFollows="1" w:id="3400"/>
        <w:t>d</w:t>
      </w:r>
      <w:r>
        <w:rPr/>
        <w:t xml:space="preserve"> wurden sie verbrannt </w:t>
      </w:r>
      <w:r>
        <w:rPr>
          <w:color w:val="808080"/>
        </w:rPr>
        <w:t>(versengt)</w:t>
      </w:r>
      <w:r>
        <w:rPr/>
        <w:t xml:space="preserve"> und weil sie keine Wurzeln hatten, gingen sie ein </w:t>
      </w:r>
      <w:r>
        <w:rPr>
          <w:color w:val="808080"/>
        </w:rPr>
        <w:t>(verdorrten, vertrockneten sie)</w:t>
      </w:r>
      <w:r>
        <w:rPr/>
        <w:t xml:space="preserve"> {{field-off:bible}} </w:t>
        <w:br/>
        <w:t>[[@BibleTOBIBLE:Mt 13:7]]</w:t>
      </w:r>
      <w:r>
        <w:rPr>
          <w:b/>
        </w:rPr>
        <w:t>7</w:t>
      </w:r>
      <w:r>
        <w:rPr/>
        <w:t xml:space="preserve"> {{field-on:bible}}Andere aber fielen auf das Dorngewächs </w:t>
      </w:r>
      <w:r>
        <w:rPr>
          <w:color w:val="808080"/>
        </w:rPr>
        <w:t>(unter die Dornen)</w:t>
      </w:r>
      <w:r>
        <w:rPr/>
        <w:t xml:space="preserve"> und die Dornen gingen auf </w:t>
      </w:r>
      <w:r>
        <w:rPr>
          <w:color w:val="808080"/>
        </w:rPr>
        <w:t>(wuchsen empor)</w:t>
      </w:r>
      <w:r>
        <w:rPr/>
        <w:t xml:space="preserve"> und erwürgten </w:t>
      </w:r>
      <w:r>
        <w:rPr>
          <w:color w:val="808080"/>
        </w:rPr>
        <w:t>(erstickten)</w:t>
      </w:r>
      <w:r>
        <w:rPr/>
        <w:t xml:space="preserve"> sie.{{field-off:bible}} </w:t>
        <w:br/>
        <w:t>[[@BibleTOBIBLE:Mt 13:8]]</w:t>
      </w:r>
      <w:r>
        <w:rPr>
          <w:b/>
        </w:rPr>
        <w:t>8</w:t>
      </w:r>
      <w:r>
        <w:rPr/>
        <w:t xml:space="preserve"> {{field-on:bible}}Andere aber fielen auf die gute Erde, und brachten Frucht, dass eine einhundert</w:t>
      </w:r>
      <w:r>
        <w:rPr>
          <w:color w:val="808080"/>
        </w:rPr>
        <w:t>(-fach, Körner)</w:t>
      </w:r>
      <w:r>
        <w:rPr/>
        <w:t>, dass andere sechzig</w:t>
      </w:r>
      <w:r>
        <w:rPr>
          <w:color w:val="808080"/>
        </w:rPr>
        <w:t>(-fach, Körner)</w:t>
      </w:r>
      <w:r>
        <w:rPr/>
        <w:t>, dass andere dreißig</w:t>
      </w:r>
      <w:r>
        <w:rPr>
          <w:color w:val="808080"/>
        </w:rPr>
        <w:t>(-fach, Körner)</w:t>
      </w:r>
      <w:r>
        <w:rPr/>
        <w:t xml:space="preserve">.{{field-off:bible}} </w:t>
        <w:br/>
        <w:t>[[@BibleTOBIBLE:Mt 13:9]]</w:t>
      </w:r>
      <w:r>
        <w:rPr>
          <w:b/>
        </w:rPr>
        <w:t>9</w:t>
      </w:r>
      <w:r>
        <w:rPr/>
        <w:t xml:space="preserve"> {{field-on:bible}}Wer Ohren hat </w:t>
      </w:r>
      <w:r>
        <w:rPr>
          <w:color w:val="808080"/>
        </w:rPr>
        <w:t>(wer hören kann)</w:t>
      </w:r>
      <w:r>
        <w:rPr/>
        <w:t xml:space="preserve">, der höre.{{field-off:bible}} </w:t>
        <w:br/>
        <w:t>[[@BibleTOBIBLE:Mt 13:10]]</w:t>
      </w:r>
      <w:r>
        <w:rPr>
          <w:b/>
        </w:rPr>
        <w:t>10</w:t>
      </w:r>
      <w:r>
        <w:rPr/>
        <w:t xml:space="preserve"> {{field-on:bible}}Und die Jünger kamen hinzu</w:t>
      </w:r>
      <w:r>
        <w:rPr>
          <w:rStyle w:val="Funotenanker"/>
        </w:rPr>
        <w:footnoteReference w:customMarkFollows="1" w:id="3401"/>
        <w:t>e</w:t>
      </w:r>
      <w:r>
        <w:rPr/>
        <w:t xml:space="preserve"> und sagten ihm: Warum sprichst du zu ihnen in Gleichnissen?{{field-off:bible}} </w:t>
        <w:br/>
        <w:t>[[@BibleTOBIBLE:Mt 13:11]]</w:t>
      </w:r>
      <w:r>
        <w:rPr>
          <w:b/>
        </w:rPr>
        <w:t>11</w:t>
      </w:r>
      <w:r>
        <w:rPr/>
        <w:t xml:space="preserve"> {{field-on:bible}}Dieser aber antwortete ihnen: Weil euch gegeben ist das Geheimnis der Königsherrschaft der Himmeln, jenen </w:t>
      </w:r>
      <w:r>
        <w:rPr>
          <w:color w:val="808080"/>
        </w:rPr>
        <w:t>(ihnen)</w:t>
      </w:r>
      <w:r>
        <w:rPr/>
        <w:t xml:space="preserve"> ist es aber nicht gegeben.{{field-off:bible}} </w:t>
        <w:br/>
        <w:t>[[@BibleTOBIBLE:Mt 13:12]]</w:t>
      </w:r>
      <w:r>
        <w:rPr>
          <w:b/>
        </w:rPr>
        <w:t>12</w:t>
      </w:r>
      <w:r>
        <w:rPr/>
        <w:t xml:space="preserve"> {{field-on:bible}}Denn wer hat, dem wird gegeben und überfließend zuteil gegeben werden </w:t>
      </w:r>
      <w:r>
        <w:rPr>
          <w:color w:val="808080"/>
        </w:rPr>
        <w:t>(im Überfluss, der wird überreich gemacht werden)</w:t>
      </w:r>
      <w:r>
        <w:rPr/>
        <w:t xml:space="preserve">; aber wer da nicht hat, dem wird, was er hat, auch noch genommen werden.{{field-off:bible}} </w:t>
        <w:br/>
        <w:t>[[@BibleTOBIBLE:Mt 13:13]]</w:t>
      </w:r>
      <w:r>
        <w:rPr>
          <w:b/>
        </w:rPr>
        <w:t>13</w:t>
      </w:r>
      <w:r>
        <w:rPr/>
        <w:t xml:space="preserve"> {{field-on:bible}}Deshalb </w:t>
      </w:r>
      <w:r>
        <w:rPr>
          <w:color w:val="808080"/>
        </w:rPr>
        <w:t>(darum)</w:t>
      </w:r>
      <w:r>
        <w:rPr/>
        <w:t xml:space="preserve"> spreche ich zu ihnen in Gleichnissen, weil sie sehend</w:t>
      </w:r>
      <w:r>
        <w:rPr>
          <w:rStyle w:val="Funotenanker"/>
        </w:rPr>
        <w:footnoteReference w:customMarkFollows="1" w:id="3402"/>
        <w:t>f</w:t>
      </w:r>
      <w:r>
        <w:rPr/>
        <w:t xml:space="preserve"> nicht sehen und hörend</w:t>
      </w:r>
      <w:r>
        <w:rPr>
          <w:rStyle w:val="Funotenanker"/>
        </w:rPr>
        <w:footnoteReference w:customMarkFollows="1" w:id="3403"/>
        <w:t>g</w:t>
      </w:r>
      <w:r>
        <w:rPr/>
        <w:t xml:space="preserve"> nicht hören und nicht verstehen,{{field-off:bible}} </w:t>
        <w:br/>
        <w:t>[[@BibleTOBIBLE:Mt 13:14]]</w:t>
      </w:r>
      <w:r>
        <w:rPr>
          <w:b/>
        </w:rPr>
        <w:t>14</w:t>
      </w:r>
      <w:r>
        <w:rPr/>
        <w:t xml:space="preserve"> {{field-on:bible}}und es wird an ihnen offenbar </w:t>
      </w:r>
      <w:r>
        <w:rPr>
          <w:color w:val="808080"/>
        </w:rPr>
        <w:t>(erfüllt, vollständig werden)</w:t>
      </w:r>
      <w:r>
        <w:rPr/>
        <w:t xml:space="preserve"> das Prophetenwort </w:t>
      </w:r>
      <w:r>
        <w:rPr>
          <w:color w:val="808080"/>
        </w:rPr>
        <w:t>(die Prophetie, Weissagung)</w:t>
      </w:r>
      <w:r>
        <w:rPr/>
        <w:t xml:space="preserve"> Jesajas, der da sagt</w:t>
      </w:r>
      <w:r>
        <w:rPr>
          <w:rStyle w:val="Funotenanker"/>
        </w:rPr>
        <w:footnoteReference w:customMarkFollows="1" w:id="3404"/>
        <w:t>h</w:t>
      </w:r>
      <w:r>
        <w:rPr/>
        <w:t xml:space="preserve"> </w:t>
      </w:r>
      <w:r>
        <w:rPr>
          <w:rStyle w:val="Funotenanker"/>
        </w:rPr>
        <w:footnoteReference w:customMarkFollows="1" w:id="3405"/>
        <w:t>i</w:t>
      </w:r>
      <w:r>
        <w:rPr/>
        <w:t xml:space="preserve">: Durch das Hören werdet ihr hören und nicht verstehen </w:t>
      </w:r>
      <w:r>
        <w:rPr>
          <w:color w:val="808080"/>
        </w:rPr>
        <w:t>(ihr werdet immerfort hören, ihr sollt hören)</w:t>
      </w:r>
      <w:r>
        <w:rPr/>
        <w:t>, und sehend</w:t>
      </w:r>
      <w:r>
        <w:rPr>
          <w:rStyle w:val="Funotenanker"/>
        </w:rPr>
        <w:footnoteReference w:customMarkFollows="1" w:id="3406"/>
        <w:t>j</w:t>
      </w:r>
      <w:r>
        <w:rPr/>
        <w:t xml:space="preserve"> werdet ihr sehen und nicht erkennen </w:t>
      </w:r>
      <w:r>
        <w:rPr>
          <w:color w:val="808080"/>
        </w:rPr>
        <w:t>(erblicken, verstehen)</w:t>
      </w:r>
      <w:r>
        <w:rPr/>
        <w:t xml:space="preserve">.{{field-off:bible}} </w:t>
        <w:br/>
        <w:t>[[@BibleTOBIBLE:Mt 13:15]]</w:t>
      </w:r>
      <w:r>
        <w:rPr>
          <w:b/>
        </w:rPr>
        <w:t>15</w:t>
      </w:r>
      <w:r>
        <w:rPr/>
        <w:t xml:space="preserve"> {{field-on:bible}}Denn das Herz dieses Volkes ist dick </w:t>
      </w:r>
      <w:r>
        <w:rPr>
          <w:color w:val="808080"/>
        </w:rPr>
        <w:t>(unempfindlich, unempfänglich, stumpf)</w:t>
      </w:r>
      <w:r>
        <w:rPr/>
        <w:t xml:space="preserve"> geworden und mit den Ohren haben sie schwer gehört und ihre Augen haben sie geschlossen, damit nicht </w:t>
      </w:r>
      <w:r>
        <w:rPr>
          <w:color w:val="808080"/>
        </w:rPr>
        <w:t>(etwa)</w:t>
      </w:r>
      <w:r>
        <w:rPr/>
        <w:t xml:space="preserve"> sie erkennen mit ihren Augen und mit den Ohren hören und mit dem Herzen verstehen </w:t>
      </w:r>
      <w:r>
        <w:rPr>
          <w:color w:val="808080"/>
        </w:rPr>
        <w:t>(einsehen, begreifen)</w:t>
      </w:r>
      <w:r>
        <w:rPr/>
        <w:t xml:space="preserve"> und sich umkehren </w:t>
      </w:r>
      <w:r>
        <w:rPr>
          <w:color w:val="808080"/>
        </w:rPr>
        <w:t>(bekehren, umwenden, zurückkehren)</w:t>
      </w:r>
      <w:r>
        <w:rPr/>
        <w:t xml:space="preserve"> und ich sie nicht heile </w:t>
      </w:r>
      <w:r>
        <w:rPr>
          <w:color w:val="808080"/>
        </w:rPr>
        <w:t>(da dass ich sie heilen könnte)</w:t>
      </w:r>
      <w:r>
        <w:rPr/>
        <w:t xml:space="preserve">.{{field-off:bible}} </w:t>
        <w:br/>
        <w:t>[[@BibleTOBIBLE:Mt 13:16]]</w:t>
      </w:r>
      <w:r>
        <w:rPr>
          <w:b/>
        </w:rPr>
        <w:t>16</w:t>
      </w:r>
      <w:r>
        <w:rPr/>
        <w:t xml:space="preserve"> {{field-on:bible}}Eure Augen aber sind glücklich </w:t>
      </w:r>
      <w:r>
        <w:rPr>
          <w:color w:val="808080"/>
        </w:rPr>
        <w:t>(seelig)</w:t>
      </w:r>
      <w:r>
        <w:rPr/>
        <w:t xml:space="preserve"> </w:t>
      </w:r>
      <w:r>
        <w:rPr>
          <w:b/>
          <w:color w:val="808080"/>
        </w:rPr>
        <w:t>[</w:t>
      </w:r>
      <w:r>
        <w:rPr/>
        <w:t>zu preisen</w:t>
      </w:r>
      <w:r>
        <w:rPr>
          <w:b/>
          <w:color w:val="808080"/>
        </w:rPr>
        <w:t>]</w:t>
      </w:r>
      <w:r>
        <w:rPr/>
        <w:t xml:space="preserve">, dass sie sehen und eure Ohren, dass sie hören.{{field-off:bible}} </w:t>
        <w:br/>
        <w:t>[[@BibleTOBIBLE:Mt 13:17]]</w:t>
      </w:r>
      <w:r>
        <w:rPr>
          <w:b/>
        </w:rPr>
        <w:t>17</w:t>
      </w:r>
      <w:r>
        <w:rPr/>
        <w:t xml:space="preserve"> {{field-on:bible}}Wahrlich </w:t>
      </w:r>
      <w:r>
        <w:rPr>
          <w:color w:val="808080"/>
        </w:rPr>
        <w:t>(Amen)</w:t>
      </w:r>
      <w:r>
        <w:rPr/>
        <w:t xml:space="preserve"> denn ich sage euch, dass viele Propheten und Gerechten verlangen </w:t>
      </w:r>
      <w:r>
        <w:rPr>
          <w:color w:val="808080"/>
        </w:rPr>
        <w:t>(wünschen, begehren)</w:t>
      </w:r>
      <w:r>
        <w:rPr/>
        <w:t xml:space="preserve"> zu sehen, was ihr gesehen, und nicht gesehen, und zu hören, was ihr gehört, und nicht gehört.{{field-off:bible}} </w:t>
        <w:br/>
        <w:t>[[@BibleTOBIBLE:Mt 13:18]]</w:t>
      </w:r>
      <w:r>
        <w:rPr>
          <w:b/>
        </w:rPr>
        <w:t>18</w:t>
      </w:r>
      <w:r>
        <w:rPr/>
        <w:t xml:space="preserve"> {{field-on:bible}}Ihr</w:t>
      </w:r>
      <w:r>
        <w:rPr>
          <w:rStyle w:val="Funotenanker"/>
        </w:rPr>
        <w:footnoteReference w:customMarkFollows="1" w:id="3407"/>
        <w:t>k</w:t>
      </w:r>
      <w:r>
        <w:rPr/>
        <w:t xml:space="preserve"> hört</w:t>
      </w:r>
      <w:r>
        <w:rPr>
          <w:rStyle w:val="Funotenanker"/>
        </w:rPr>
        <w:footnoteReference w:customMarkFollows="1" w:id="3408"/>
        <w:t>l</w:t>
      </w:r>
      <w:r>
        <w:rPr/>
        <w:t xml:space="preserve"> nun das Gleichnis </w:t>
      </w:r>
      <w:r>
        <w:rPr>
          <w:color w:val="808080"/>
        </w:rPr>
        <w:t>(seine Bedeutung)</w:t>
      </w:r>
      <w:r>
        <w:rPr/>
        <w:t xml:space="preserve"> des Sämanns!{{field-off:bible}} </w:t>
        <w:br/>
        <w:t>[[@BibleTOBIBLE:Mt 13:19]]</w:t>
      </w:r>
      <w:r>
        <w:rPr>
          <w:b/>
        </w:rPr>
        <w:t>19</w:t>
      </w:r>
      <w:r>
        <w:rPr/>
        <w:t xml:space="preserve"> {{field-on:bible}}Wann immer </w:t>
      </w:r>
      <w:r>
        <w:rPr>
          <w:color w:val="808080"/>
        </w:rPr>
        <w:t>(jedes mal wenn)</w:t>
      </w:r>
      <w:r>
        <w:rPr/>
        <w:t xml:space="preserve"> jemand hört</w:t>
      </w:r>
      <w:r>
        <w:rPr>
          <w:rStyle w:val="Funotenanker"/>
        </w:rPr>
        <w:footnoteReference w:customMarkFollows="1" w:id="3409"/>
        <w:t>m</w:t>
      </w:r>
      <w:r>
        <w:rPr/>
        <w:t xml:space="preserve"> das Wort der Königsherrschaft </w:t>
      </w:r>
      <w:r>
        <w:rPr>
          <w:color w:val="808080"/>
        </w:rPr>
        <w:t>(die Botschaft vom Reich Gottes)</w:t>
      </w:r>
      <w:r>
        <w:rPr/>
        <w:t xml:space="preserve"> und nicht versteht</w:t>
      </w:r>
      <w:r>
        <w:rPr>
          <w:rStyle w:val="Funotenanker"/>
        </w:rPr>
        <w:footnoteReference w:customMarkFollows="1" w:id="3410"/>
        <w:t>n</w:t>
      </w:r>
      <w:r>
        <w:rPr/>
        <w:t xml:space="preserve"> es kommt das Böse und raubt </w:t>
      </w:r>
      <w:r>
        <w:rPr>
          <w:color w:val="808080"/>
        </w:rPr>
        <w:t>(reißt, nimmt weg)</w:t>
      </w:r>
      <w:r>
        <w:rPr/>
        <w:t xml:space="preserve"> das Gesäte in ihrem Herzen, dies ist der, der auf den Weg besät worden ist</w:t>
      </w:r>
      <w:r>
        <w:rPr>
          <w:rStyle w:val="Funotenanker"/>
        </w:rPr>
        <w:footnoteReference w:customMarkFollows="1" w:id="3411"/>
        <w:t>o</w:t>
      </w:r>
      <w:r>
        <w:rPr/>
        <w:t xml:space="preserve">.{{field-off:bible}} </w:t>
        <w:br/>
        <w:t>[[@BibleTOBIBLE:Mt 13:20]]</w:t>
      </w:r>
      <w:r>
        <w:rPr>
          <w:b/>
        </w:rPr>
        <w:t>20</w:t>
      </w:r>
      <w:r>
        <w:rPr/>
        <w:t xml:space="preserve"> {{field-on:bible}}Der aber, der auf den felsigen Grund besät wurde</w:t>
      </w:r>
      <w:r>
        <w:rPr>
          <w:rStyle w:val="Funotenanker"/>
        </w:rPr>
        <w:footnoteReference w:customMarkFollows="1" w:id="3412"/>
        <w:t>p</w:t>
      </w:r>
      <w:r>
        <w:rPr/>
        <w:t xml:space="preserve"> dies ist der das Wort hörende</w:t>
      </w:r>
      <w:r>
        <w:rPr>
          <w:rStyle w:val="Funotenanker"/>
        </w:rPr>
        <w:footnoteReference w:customMarkFollows="1" w:id="3413"/>
        <w:t>q</w:t>
      </w:r>
      <w:r>
        <w:rPr/>
        <w:t xml:space="preserve"> und aufrichtig mit Freude nimmt er es,{{field-off:bible}} </w:t>
        <w:br/>
        <w:t>[[@BibleTOBIBLE:Mt 13:21]]</w:t>
      </w:r>
      <w:r>
        <w:rPr>
          <w:b/>
        </w:rPr>
        <w:t>21</w:t>
      </w:r>
      <w:r>
        <w:rPr/>
        <w:t xml:space="preserve"> {{field-on:bible}}aber er hat keine Wurzeln in sich sondern ist vorübegehend </w:t>
      </w:r>
      <w:r>
        <w:rPr>
          <w:color w:val="808080"/>
        </w:rPr>
        <w:t>(unbeständig, dem Augenblick hingegeben)</w:t>
      </w:r>
      <w:r>
        <w:rPr/>
        <w:t xml:space="preserve"> und wenn aber Trübsale oder Verfolgung entstehen</w:t>
      </w:r>
      <w:r>
        <w:rPr>
          <w:rStyle w:val="Funotenanker"/>
        </w:rPr>
        <w:footnoteReference w:customMarkFollows="1" w:id="3414"/>
        <w:t>r</w:t>
      </w:r>
      <w:r>
        <w:rPr/>
        <w:t xml:space="preserve"> durch das Wort, wird er zur Sünde verführt </w:t>
      </w:r>
      <w:r>
        <w:rPr>
          <w:color w:val="808080"/>
        </w:rPr>
        <w:t>(sich wieder abwenden)</w:t>
      </w:r>
      <w:r>
        <w:rPr/>
        <w:t xml:space="preserve">.{{field-off:bible}} </w:t>
        <w:br/>
        <w:t>[[@BibleTOBIBLE:Mt 13:22]]</w:t>
      </w:r>
      <w:r>
        <w:rPr>
          <w:b/>
        </w:rPr>
        <w:t>22</w:t>
      </w:r>
      <w:r>
        <w:rPr/>
        <w:t xml:space="preserve"> {{field-on:bible}}Der aber, der in die Dornen</w:t>
      </w:r>
      <w:r>
        <w:rPr>
          <w:color w:val="808080"/>
        </w:rPr>
        <w:t>(-gewächse)</w:t>
      </w:r>
      <w:r>
        <w:rPr/>
        <w:t xml:space="preserve"> besät wurde, dies ist der das Wort hörende</w:t>
      </w:r>
      <w:r>
        <w:rPr>
          <w:rStyle w:val="Funotenanker"/>
        </w:rPr>
        <w:footnoteReference w:customMarkFollows="1" w:id="3415"/>
        <w:t>s</w:t>
      </w:r>
      <w:r>
        <w:rPr/>
        <w:t xml:space="preserve"> und </w:t>
      </w:r>
      <w:r>
        <w:rPr>
          <w:color w:val="808080"/>
        </w:rPr>
        <w:t>(doch)</w:t>
      </w:r>
      <w:r>
        <w:rPr/>
        <w:t xml:space="preserve"> die Sorge des </w:t>
      </w:r>
      <w:r>
        <w:rPr>
          <w:color w:val="808080"/>
        </w:rPr>
        <w:t>(gegenwärtigen)</w:t>
      </w:r>
      <w:r>
        <w:rPr/>
        <w:t xml:space="preserve"> Zeitalters </w:t>
      </w:r>
      <w:r>
        <w:rPr>
          <w:color w:val="808080"/>
        </w:rPr>
        <w:t>(der Gegenwart)</w:t>
      </w:r>
      <w:r>
        <w:rPr/>
        <w:t xml:space="preserve"> und die Verführung </w:t>
      </w:r>
      <w:r>
        <w:rPr>
          <w:color w:val="808080"/>
        </w:rPr>
        <w:t>(Täuschung, Betrug)</w:t>
      </w:r>
      <w:r>
        <w:rPr/>
        <w:t xml:space="preserve"> des Reichtums ersticken das Wort so dass </w:t>
      </w:r>
      <w:r>
        <w:rPr>
          <w:color w:val="808080"/>
        </w:rPr>
        <w:t>(und)</w:t>
      </w:r>
      <w:r>
        <w:rPr/>
        <w:t xml:space="preserve"> er keine Frucht bricht.{{field-off:bible}} </w:t>
        <w:br/>
        <w:t>[[@BibleTOBIBLE:Mt 13:23]]</w:t>
      </w:r>
      <w:r>
        <w:rPr>
          <w:b/>
        </w:rPr>
        <w:t>23</w:t>
      </w:r>
      <w:r>
        <w:rPr/>
        <w:t xml:space="preserve"> {{field-on:bible}}Der aber, der auf die gute Erde besät wurde, dies ist der das Wort hörende</w:t>
      </w:r>
      <w:r>
        <w:rPr>
          <w:rStyle w:val="Funotenanker"/>
        </w:rPr>
        <w:footnoteReference w:customMarkFollows="1" w:id="3416"/>
        <w:t>t</w:t>
      </w:r>
      <w:r>
        <w:rPr/>
        <w:t xml:space="preserve"> und versteht, der </w:t>
      </w:r>
      <w:r>
        <w:rPr>
          <w:color w:val="808080"/>
        </w:rPr>
        <w:t>(welcher)</w:t>
      </w:r>
      <w:r>
        <w:rPr/>
        <w:t xml:space="preserve"> dann auch Frucht bringt und trägt das eine einhundert</w:t>
      </w:r>
      <w:r>
        <w:rPr>
          <w:color w:val="808080"/>
        </w:rPr>
        <w:t>(-fach)</w:t>
      </w:r>
      <w:r>
        <w:rPr/>
        <w:t>, das andere sechzig</w:t>
      </w:r>
      <w:r>
        <w:rPr>
          <w:color w:val="808080"/>
        </w:rPr>
        <w:t>(-fach)</w:t>
      </w:r>
      <w:r>
        <w:rPr/>
        <w:t>, das andere dreißig</w:t>
      </w:r>
      <w:r>
        <w:rPr>
          <w:color w:val="808080"/>
        </w:rPr>
        <w:t>(-fach)</w:t>
      </w:r>
      <w:r>
        <w:rPr/>
        <w:t xml:space="preserve"> {{field-off:bible}} </w:t>
        <w:br/>
        <w:t>[[@BibleTOBIBLE:Mt 13:24]]</w:t>
      </w:r>
      <w:r>
        <w:rPr>
          <w:b/>
        </w:rPr>
        <w:t>24</w:t>
      </w:r>
      <w:r>
        <w:rPr/>
        <w:t xml:space="preserve"> {{field-on:bible}}Er trug </w:t>
      </w:r>
      <w:r>
        <w:rPr>
          <w:color w:val="808080"/>
        </w:rPr>
        <w:t>(legte)</w:t>
      </w:r>
      <w:r>
        <w:rPr/>
        <w:t xml:space="preserve"> ihnen ein anderes Gleichnis vor </w:t>
      </w:r>
      <w:r>
        <w:rPr>
          <w:strike/>
          <w:color w:val="808080"/>
        </w:rPr>
        <w:t>{sagend}</w:t>
      </w:r>
      <w:r>
        <w:rPr/>
        <w:t xml:space="preserve">: Es gleicht die Königsherrschaft der Himmeln einem Menschen, der gesät hatte guten Samen in </w:t>
      </w:r>
      <w:r>
        <w:rPr>
          <w:color w:val="808080"/>
        </w:rPr>
        <w:t>(auf)</w:t>
      </w:r>
      <w:r>
        <w:rPr/>
        <w:t xml:space="preserve"> seinen Acker </w:t>
      </w:r>
      <w:r>
        <w:rPr>
          <w:color w:val="808080"/>
        </w:rPr>
        <w:t>(Feld)</w:t>
      </w:r>
      <w:r>
        <w:rPr/>
        <w:t xml:space="preserve">.{{field-off:bible}} </w:t>
        <w:br/>
        <w:t>[[@BibleTOBIBLE:Mt 13:25]]</w:t>
      </w:r>
      <w:r>
        <w:rPr>
          <w:b/>
        </w:rPr>
        <w:t>25</w:t>
      </w:r>
      <w:r>
        <w:rPr/>
        <w:t xml:space="preserve"> {{field-on:bible}}Zu der Zeit </w:t>
      </w:r>
      <w:r>
        <w:rPr>
          <w:color w:val="808080"/>
        </w:rPr>
        <w:t>(als, während)</w:t>
      </w:r>
      <w:r>
        <w:rPr/>
        <w:t xml:space="preserve"> es schliefen die Menschen kam sein Feind und säte dazwischen </w:t>
      </w:r>
      <w:r>
        <w:rPr>
          <w:color w:val="808080"/>
        </w:rPr>
        <w:t>(dazu)</w:t>
      </w:r>
      <w:r>
        <w:rPr/>
        <w:t xml:space="preserve"> Unkraut </w:t>
      </w:r>
      <w:r>
        <w:rPr>
          <w:color w:val="808080"/>
        </w:rPr>
        <w:t>(Lolch)</w:t>
      </w:r>
      <w:r>
        <w:rPr/>
        <w:t xml:space="preserve"> mitten hinein in </w:t>
      </w:r>
      <w:r>
        <w:rPr>
          <w:color w:val="808080"/>
        </w:rPr>
        <w:t>(zwischen)</w:t>
      </w:r>
      <w:r>
        <w:rPr/>
        <w:t xml:space="preserve"> das Getreide </w:t>
      </w:r>
      <w:r>
        <w:rPr>
          <w:color w:val="808080"/>
        </w:rPr>
        <w:t>(den Weizen)</w:t>
      </w:r>
      <w:r>
        <w:rPr/>
        <w:t xml:space="preserve"> und ging weg.{{field-off:bible}} </w:t>
        <w:br/>
        <w:t>[[@BibleTOBIBLE:Mt 13:26]]</w:t>
      </w:r>
      <w:r>
        <w:rPr>
          <w:b/>
        </w:rPr>
        <w:t>26</w:t>
      </w:r>
      <w:r>
        <w:rPr/>
        <w:t xml:space="preserve"> {{field-on:bible}}Als aber sprossen die Getreidehalme </w:t>
      </w:r>
      <w:r>
        <w:rPr>
          <w:color w:val="808080"/>
        </w:rPr>
        <w:t>(das Gras/Heu)</w:t>
      </w:r>
      <w:r>
        <w:rPr/>
        <w:t xml:space="preserve"> und sie Frucht ansetzten, da kam zum Vorschein </w:t>
      </w:r>
      <w:r>
        <w:rPr>
          <w:color w:val="808080"/>
        </w:rPr>
        <w:t>(wurde sichtbar)</w:t>
      </w:r>
      <w:r>
        <w:rPr/>
        <w:t xml:space="preserve"> auch das Unkraut.{{field-off:bible}} </w:t>
        <w:br/>
        <w:t>[[@BibleTOBIBLE:Mt 13:27]]</w:t>
      </w:r>
      <w:r>
        <w:rPr>
          <w:b/>
        </w:rPr>
        <w:t>27</w:t>
      </w:r>
      <w:r>
        <w:rPr/>
        <w:t xml:space="preserve"> {{field-on:bible}}Als aber die Diener </w:t>
      </w:r>
      <w:r>
        <w:rPr>
          <w:color w:val="808080"/>
        </w:rPr>
        <w:t>(Knechte)</w:t>
      </w:r>
      <w:r>
        <w:rPr/>
        <w:t xml:space="preserve"> des Hausherrn kamen</w:t>
      </w:r>
      <w:r>
        <w:rPr>
          <w:rStyle w:val="Funotenanker"/>
        </w:rPr>
        <w:footnoteReference w:customMarkFollows="1" w:id="3417"/>
        <w:t>u</w:t>
      </w:r>
      <w:r>
        <w:rPr/>
        <w:t xml:space="preserve">, sagten sie zu ihm: Herr, hast du nicht guten Samen auf </w:t>
      </w:r>
      <w:r>
        <w:rPr>
          <w:color w:val="808080"/>
        </w:rPr>
        <w:t>(in)</w:t>
      </w:r>
      <w:r>
        <w:rPr/>
        <w:t xml:space="preserve"> deinem Feld gesät? Woher denn nun hat es Unkraut?{{field-off:bible}} </w:t>
        <w:br/>
        <w:t>[[@BibleTOBIBLE:Mt 13:28]]</w:t>
      </w:r>
      <w:r>
        <w:rPr>
          <w:b/>
        </w:rPr>
        <w:t>28</w:t>
      </w:r>
      <w:r>
        <w:rPr/>
        <w:t xml:space="preserve"> {{field-on:bible}}Und </w:t>
      </w:r>
      <w:r>
        <w:rPr>
          <w:color w:val="808080"/>
        </w:rPr>
        <w:t>(aber)</w:t>
      </w:r>
      <w:r>
        <w:rPr/>
        <w:t xml:space="preserve"> dieser sagte: Ein feindseliger Mensch </w:t>
      </w:r>
      <w:r>
        <w:rPr>
          <w:color w:val="808080"/>
        </w:rPr>
        <w:t>(irgendein Feind)</w:t>
      </w:r>
      <w:r>
        <w:rPr/>
        <w:t xml:space="preserve"> muss dies getan haben. Aber die Knechte sagten zu ihm: Sollen wir gehen und es ausreißen?{{field-off:bible}} </w:t>
        <w:br/>
        <w:t>[[@BibleTOBIBLE:Mt 13:29]]</w:t>
      </w:r>
      <w:r>
        <w:rPr>
          <w:b/>
        </w:rPr>
        <w:t>29</w:t>
      </w:r>
      <w:r>
        <w:rPr/>
        <w:t xml:space="preserve"> {{field-on:bible}}Er aber sprach: Nein, damit nicht </w:t>
      </w:r>
      <w:r>
        <w:rPr>
          <w:color w:val="808080"/>
        </w:rPr>
        <w:t>(etwa)</w:t>
      </w:r>
      <w:r>
        <w:rPr/>
        <w:t xml:space="preserve"> beim Zusammenlesen das Unkraut entwurzelt </w:t>
      </w:r>
      <w:r>
        <w:rPr>
          <w:color w:val="808080"/>
        </w:rPr>
        <w:t>(ausreißt)</w:t>
      </w:r>
      <w:r>
        <w:rPr/>
        <w:t xml:space="preserve"> das Getreide.{{field-off:bible}} </w:t>
        <w:br/>
        <w:t>[[@BibleTOBIBLE:Mt 13:30]]</w:t>
      </w:r>
      <w:r>
        <w:rPr>
          <w:b/>
        </w:rPr>
        <w:t>30</w:t>
      </w:r>
      <w:r>
        <w:rPr/>
        <w:t xml:space="preserve"> {{field-on:bible}}Lasst zu, dass beides gemeinsam </w:t>
      </w:r>
      <w:r>
        <w:rPr>
          <w:color w:val="808080"/>
        </w:rPr>
        <w:t>(zusammen)</w:t>
      </w:r>
      <w:r>
        <w:rPr/>
        <w:t xml:space="preserve"> wächst bis zur Ernte, und in der Zeit der Ernte werde ich den Erntearbeitern </w:t>
      </w:r>
      <w:r>
        <w:rPr>
          <w:color w:val="808080"/>
        </w:rPr>
        <w:t>(Schnittern)</w:t>
      </w:r>
      <w:r>
        <w:rPr/>
        <w:t xml:space="preserve"> sagen: Sammelt zuerst das Unkraut und bindet es in Bündeln um es zu verbrennen, das Getreide </w:t>
      </w:r>
      <w:r>
        <w:rPr>
          <w:color w:val="808080"/>
        </w:rPr>
        <w:t>(Weizen)</w:t>
      </w:r>
      <w:r>
        <w:rPr/>
        <w:t xml:space="preserve"> aber sammelt in meiner Scheune.{{field-off:bible}} </w:t>
        <w:br/>
        <w:t>[[@BibleTOBIBLE:Mt 13:31]]</w:t>
      </w:r>
      <w:r>
        <w:rPr>
          <w:b/>
        </w:rPr>
        <w:t>31</w:t>
      </w:r>
      <w:r>
        <w:rPr/>
        <w:t xml:space="preserve"> {{field-on:bible}}Er legte </w:t>
      </w:r>
      <w:r>
        <w:rPr>
          <w:color w:val="808080"/>
        </w:rPr>
        <w:t>(trug)</w:t>
      </w:r>
      <w:r>
        <w:rPr/>
        <w:t xml:space="preserve"> ihnen ein anderes Gleichnis vor </w:t>
      </w:r>
      <w:r>
        <w:rPr>
          <w:strike/>
          <w:color w:val="808080"/>
        </w:rPr>
        <w:t>{sagend}</w:t>
      </w:r>
      <w:r>
        <w:rPr/>
        <w:t>: Es ist die Königsherrschaft der Himmeln gleich einem Senfkorn, das von einem Menschen genommen</w:t>
      </w:r>
      <w:r>
        <w:rPr>
          <w:rStyle w:val="Funotenanker"/>
        </w:rPr>
        <w:footnoteReference w:customMarkFollows="1" w:id="3418"/>
        <w:t>v</w:t>
      </w:r>
      <w:r>
        <w:rPr/>
        <w:t xml:space="preserve"> wurde, der es säte in </w:t>
      </w:r>
      <w:r>
        <w:rPr>
          <w:color w:val="808080"/>
        </w:rPr>
        <w:t>(auf)</w:t>
      </w:r>
      <w:r>
        <w:rPr/>
        <w:t xml:space="preserve"> seinen Acker.{{field-off:bible}} </w:t>
        <w:br/>
        <w:t>[[@BibleTOBIBLE:Mt 13:32]]</w:t>
      </w:r>
      <w:r>
        <w:rPr>
          <w:b/>
        </w:rPr>
        <w:t>32</w:t>
      </w:r>
      <w:r>
        <w:rPr/>
        <w:t xml:space="preserve"> {{field-on:bible}}Es ist das kleinste unter den Samenkörnern, wenn es aber hoch gewachsen ist, ist es größer als die anderen Kräuter </w:t>
      </w:r>
      <w:r>
        <w:rPr>
          <w:color w:val="808080"/>
        </w:rPr>
        <w:t>(Gemüse, Gartenpflanzen)</w:t>
      </w:r>
      <w:r>
        <w:rPr/>
        <w:t xml:space="preserve"> und es wird ein Baum derart, dass </w:t>
      </w:r>
      <w:r>
        <w:rPr>
          <w:color w:val="808080"/>
        </w:rPr>
        <w:t>(so dass)</w:t>
      </w:r>
      <w:r>
        <w:rPr/>
        <w:t xml:space="preserve"> es kommen die Vögel des Himmels und lassen sich nieder </w:t>
      </w:r>
      <w:r>
        <w:rPr>
          <w:color w:val="808080"/>
        </w:rPr>
        <w:t>(nisten, wohnen)</w:t>
      </w:r>
      <w:r>
        <w:rPr/>
        <w:t xml:space="preserve"> in seinen Zweigen </w:t>
      </w:r>
      <w:r>
        <w:rPr>
          <w:color w:val="808080"/>
        </w:rPr>
        <w:t>(Ästen)</w:t>
      </w:r>
      <w:r>
        <w:rPr/>
        <w:t xml:space="preserve">.{{field-off:bible}} </w:t>
        <w:br/>
        <w:t>[[@BibleTOBIBLE:Mt 13:33]]</w:t>
      </w:r>
      <w:r>
        <w:rPr>
          <w:b/>
        </w:rPr>
        <w:t>33</w:t>
      </w:r>
      <w:r>
        <w:rPr/>
        <w:t xml:space="preserve"> {{field-on:bible}}Ein anderes Gleichnis erzählte er ihnen: Es gleicht die Königsherrschaft der Himmeln einem Sauerteig, der war genommen worden</w:t>
      </w:r>
      <w:r>
        <w:rPr>
          <w:rStyle w:val="Funotenanker"/>
        </w:rPr>
        <w:footnoteReference w:customMarkFollows="1" w:id="3419"/>
        <w:t>w</w:t>
      </w:r>
      <w:r>
        <w:rPr/>
        <w:t xml:space="preserve"> und eine Frau tat einen halben Zentner Mehl hinein, bis der ganze Teig durchsäuert war.{{field-off:bible}} </w:t>
        <w:br/>
        <w:t>[[@BibleTOBIBLE:Mt 13:34]]</w:t>
      </w:r>
      <w:r>
        <w:rPr>
          <w:b/>
        </w:rPr>
        <w:t>34</w:t>
      </w:r>
      <w:r>
        <w:rPr/>
        <w:t xml:space="preserve"> {{field-on:bible}}Dies alles erzählte Jesus in Gleichnissen der Volksmenge, und ohne Gleichnisse redete er er nicht zu ihnen,{{field-off:bible}} </w:t>
        <w:br/>
        <w:t>[[@BibleTOBIBLE:Mt 13:35]]</w:t>
      </w:r>
      <w:r>
        <w:rPr>
          <w:b/>
        </w:rPr>
        <w:t>35</w:t>
      </w:r>
      <w:r>
        <w:rPr/>
        <w:t xml:space="preserve"> {{field-on:bible}}damit erfüllt würde, was gesagt wurde durch den Propheten, der da spricht: Ich werde</w:t>
      </w:r>
      <w:r>
        <w:rPr>
          <w:rStyle w:val="Funotenanker"/>
        </w:rPr>
        <w:footnoteReference w:customMarkFollows="1" w:id="3420"/>
        <w:t>x</w:t>
      </w:r>
      <w:r>
        <w:rPr/>
        <w:t xml:space="preserve"> in Gleichnissen meinen Mund auftun, ich werde</w:t>
      </w:r>
      <w:r>
        <w:rPr>
          <w:rStyle w:val="Funotenanker"/>
        </w:rPr>
        <w:footnoteReference w:customMarkFollows="1" w:id="3421"/>
        <w:t>y</w:t>
      </w:r>
      <w:r>
        <w:rPr/>
        <w:t xml:space="preserve"> aussprechen </w:t>
      </w:r>
      <w:r>
        <w:rPr>
          <w:color w:val="808080"/>
        </w:rPr>
        <w:t>(verkünden)</w:t>
      </w:r>
      <w:r>
        <w:rPr/>
        <w:t xml:space="preserve"> Verborgenes </w:t>
      </w:r>
      <w:r>
        <w:rPr>
          <w:color w:val="808080"/>
        </w:rPr>
        <w:t>(Unbekanntes)</w:t>
      </w:r>
      <w:r>
        <w:rPr/>
        <w:t xml:space="preserve"> seit dem Anfang </w:t>
      </w:r>
      <w:r>
        <w:rPr>
          <w:color w:val="808080"/>
        </w:rPr>
        <w:t>(Beginn, Grundlegung, Erschaffung)</w:t>
      </w:r>
      <w:r>
        <w:rPr/>
        <w:t xml:space="preserve"> </w:t>
      </w:r>
      <w:r>
        <w:rPr>
          <w:b/>
          <w:color w:val="808080"/>
        </w:rPr>
        <w:t>[</w:t>
      </w:r>
      <w:r>
        <w:rPr/>
        <w:t>der Erde</w:t>
      </w:r>
      <w:r>
        <w:rPr>
          <w:b/>
          <w:color w:val="808080"/>
        </w:rPr>
        <w:t>]</w:t>
      </w:r>
      <w:r>
        <w:rPr/>
        <w:t xml:space="preserve">.{{field-off:bible}} </w:t>
        <w:br/>
        <w:t>[[@BibleTOBIBLE:Mt 13:36]]</w:t>
      </w:r>
      <w:r>
        <w:rPr>
          <w:b/>
        </w:rPr>
        <w:t>36</w:t>
      </w:r>
      <w:r>
        <w:rPr/>
        <w:t xml:space="preserve"> {{field-on:bible}}Dann verlies er </w:t>
      </w:r>
      <w:r>
        <w:rPr>
          <w:color w:val="808080"/>
        </w:rPr>
        <w:t>(schickte er weg)</w:t>
      </w:r>
      <w:r>
        <w:rPr/>
        <w:t xml:space="preserve"> Volksmenge und ging ins Haus </w:t>
      </w:r>
      <w:r>
        <w:rPr>
          <w:color w:val="808080"/>
        </w:rPr>
        <w:t>(nach Hause)</w:t>
      </w:r>
      <w:r>
        <w:rPr/>
        <w:t xml:space="preserve">. Und es kamen zu ihm </w:t>
      </w:r>
      <w:r>
        <w:rPr>
          <w:color w:val="808080"/>
        </w:rPr>
        <w:t>(traten herzu, näherten sich)</w:t>
      </w:r>
      <w:r>
        <w:rPr/>
        <w:t xml:space="preserve"> seine Jünger und sagten</w:t>
      </w:r>
      <w:r>
        <w:rPr>
          <w:rStyle w:val="Funotenanker"/>
        </w:rPr>
        <w:footnoteReference w:customMarkFollows="1" w:id="3422"/>
        <w:t>z</w:t>
      </w:r>
      <w:r>
        <w:rPr/>
        <w:t xml:space="preserve">: Erkläre </w:t>
      </w:r>
      <w:r>
        <w:rPr>
          <w:color w:val="808080"/>
        </w:rPr>
        <w:t>(deute)</w:t>
      </w:r>
      <w:r>
        <w:rPr/>
        <w:t xml:space="preserve"> uns das Gleichnis vom Unkraut des </w:t>
      </w:r>
      <w:r>
        <w:rPr>
          <w:color w:val="808080"/>
        </w:rPr>
        <w:t>(auf dem)</w:t>
      </w:r>
      <w:r>
        <w:rPr/>
        <w:t xml:space="preserve"> Ackers.{{field-off:bible}} </w:t>
        <w:br/>
        <w:t>[[@BibleTOBIBLE:Mt 13:37]]</w:t>
      </w:r>
      <w:r>
        <w:rPr>
          <w:b/>
        </w:rPr>
        <w:t>37</w:t>
      </w:r>
      <w:r>
        <w:rPr/>
        <w:t xml:space="preserve"> {{field-on:bible}}Dieser aber antwortete: Der Mann, der den guten Samen sät, ist der Sohn des Menschen,{{field-off:bible}} </w:t>
        <w:br/>
        <w:t>[[@BibleTOBIBLE:Mt 13:38]]</w:t>
      </w:r>
      <w:r>
        <w:rPr>
          <w:b/>
        </w:rPr>
        <w:t>38</w:t>
      </w:r>
      <w:r>
        <w:rPr/>
        <w:t xml:space="preserve"> {{field-on:bible}}der Acker aber ist die Welt, der gute Samen aber, das sind die Söhne des Reiches </w:t>
      </w:r>
      <w:r>
        <w:rPr>
          <w:color w:val="808080"/>
        </w:rPr>
        <w:t>(der Königsherrschaft)</w:t>
      </w:r>
      <w:r>
        <w:rPr/>
        <w:t xml:space="preserve">; aber das Unkraut, </w:t>
      </w:r>
      <w:r>
        <w:rPr>
          <w:color w:val="808080"/>
        </w:rPr>
        <w:t>(das)</w:t>
      </w:r>
      <w:r>
        <w:rPr/>
        <w:t xml:space="preserve"> sind die Söhne des Schlechten </w:t>
      </w:r>
      <w:r>
        <w:rPr>
          <w:color w:val="808080"/>
        </w:rPr>
        <w:t>(Bösen)</w:t>
      </w:r>
      <w:r>
        <w:rPr/>
        <w:t xml:space="preserve">,{{field-off:bible}} </w:t>
        <w:br/>
        <w:t>[[@BibleTOBIBLE:Mt 13:39]]</w:t>
      </w:r>
      <w:r>
        <w:rPr>
          <w:b/>
        </w:rPr>
        <w:t>39</w:t>
      </w:r>
      <w:r>
        <w:rPr/>
        <w:t xml:space="preserve"> {{field-on:bible}}aber der Feind, der es gesät hat, ist der Teufel </w:t>
      </w:r>
      <w:r>
        <w:rPr>
          <w:color w:val="808080"/>
        </w:rPr>
        <w:t>(Verleumder)</w:t>
      </w:r>
      <w:r>
        <w:rPr/>
        <w:t xml:space="preserve">, aber die Ernte ist das Ende </w:t>
      </w:r>
      <w:r>
        <w:rPr>
          <w:color w:val="808080"/>
        </w:rPr>
        <w:t>(die Vollendung)</w:t>
      </w:r>
      <w:r>
        <w:rPr/>
        <w:t xml:space="preserve"> des Zeitalters </w:t>
      </w:r>
      <w:r>
        <w:rPr>
          <w:color w:val="808080"/>
        </w:rPr>
        <w:t>(das Ende der Zeit)</w:t>
      </w:r>
      <w:r>
        <w:rPr/>
        <w:t xml:space="preserve">, die Erntearbeiter </w:t>
      </w:r>
      <w:r>
        <w:rPr>
          <w:color w:val="808080"/>
        </w:rPr>
        <w:t>(Schnitter)</w:t>
      </w:r>
      <w:r>
        <w:rPr/>
        <w:t xml:space="preserve"> aber sind die Engel </w:t>
      </w:r>
      <w:r>
        <w:rPr>
          <w:color w:val="808080"/>
        </w:rPr>
        <w:t>(Boten)</w:t>
      </w:r>
      <w:r>
        <w:rPr/>
        <w:t xml:space="preserve">.{{field-off:bible}} </w:t>
        <w:br/>
        <w:t>[[@BibleTOBIBLE:Mt 13:40]]</w:t>
      </w:r>
      <w:r>
        <w:rPr>
          <w:b/>
        </w:rPr>
        <w:t>40</w:t>
      </w:r>
      <w:r>
        <w:rPr/>
        <w:t xml:space="preserve"> {{field-on:bible}}Geradeso wie </w:t>
      </w:r>
      <w:r>
        <w:rPr>
          <w:color w:val="808080"/>
        </w:rPr>
        <w:t>(gleichwie)</w:t>
      </w:r>
      <w:r>
        <w:rPr/>
        <w:t xml:space="preserve"> das Unkraut nun zusammengelesen </w:t>
      </w:r>
      <w:r>
        <w:rPr>
          <w:color w:val="808080"/>
        </w:rPr>
        <w:t>(eingesammelt)</w:t>
      </w:r>
      <w:r>
        <w:rPr/>
        <w:t xml:space="preserve"> wird und mit Feuer verbrannt wird, so wird es sein am Ende der Zeit</w:t>
      </w:r>
      <w:r>
        <w:rPr>
          <w:rStyle w:val="Funotenanker"/>
        </w:rPr>
        <w:footnoteReference w:customMarkFollows="1" w:id="3423"/>
        <w:t>aa</w:t>
      </w:r>
      <w:r>
        <w:rPr/>
        <w:t xml:space="preserve">;{{field-off:bible}} </w:t>
        <w:br/>
        <w:t>[[@BibleTOBIBLE:Mt 13:41]]</w:t>
      </w:r>
      <w:r>
        <w:rPr>
          <w:b/>
        </w:rPr>
        <w:t>41</w:t>
      </w:r>
      <w:r>
        <w:rPr/>
        <w:t xml:space="preserve"> {{field-on:bible}}Es wird aussenden der Sohn des Menschen seine Engel </w:t>
      </w:r>
      <w:r>
        <w:rPr>
          <w:color w:val="808080"/>
        </w:rPr>
        <w:t>(Boten)</w:t>
      </w:r>
      <w:r>
        <w:rPr/>
        <w:t xml:space="preserve"> und sie werden einsammeln aus seinem Reich </w:t>
      </w:r>
      <w:r>
        <w:rPr>
          <w:color w:val="808080"/>
        </w:rPr>
        <w:t>(seiner Königsherrschaft)</w:t>
      </w:r>
      <w:r>
        <w:rPr/>
        <w:t xml:space="preserve"> alle, die Verführen </w:t>
      </w:r>
      <w:r>
        <w:rPr>
          <w:color w:val="808080"/>
        </w:rPr>
        <w:t>(die Ärgernisse, eine Falle machen, die anstößig sind)</w:t>
      </w:r>
      <w:r>
        <w:rPr/>
        <w:t xml:space="preserve"> und die tun das Gesetzwidrige </w:t>
      </w:r>
      <w:r>
        <w:rPr>
          <w:color w:val="808080"/>
        </w:rPr>
        <w:t>(das Gesetzlose)</w:t>
      </w:r>
      <w:r>
        <w:rPr/>
        <w:t xml:space="preserve"> </w:t>
      </w:r>
      <w:r>
        <w:rPr>
          <w:color w:val="808080"/>
        </w:rPr>
        <w:t>(die ein gesetzloses Leben führen)</w:t>
      </w:r>
      <w:r>
        <w:rPr/>
        <w:t xml:space="preserve"> {{field-off:bible}} </w:t>
        <w:br/>
        <w:t>[[@BibleTOBIBLE:Mt 13:42]]</w:t>
      </w:r>
      <w:r>
        <w:rPr>
          <w:b/>
        </w:rPr>
        <w:t>42</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13:43]]</w:t>
      </w:r>
      <w:r>
        <w:rPr>
          <w:b/>
        </w:rPr>
        <w:t>43</w:t>
      </w:r>
      <w:r>
        <w:rPr/>
        <w:t xml:space="preserve"> {{field-on:bible}}Dann werden die Gerechten </w:t>
      </w:r>
      <w:r>
        <w:rPr>
          <w:color w:val="808080"/>
        </w:rPr>
        <w:t>(er-)</w:t>
      </w:r>
      <w:r>
        <w:rPr/>
        <w:t>strahlen ((auf-</w:t>
      </w:r>
      <w:r>
        <w:rPr>
          <w:color w:val="808080"/>
        </w:rPr>
        <w:t>((auf-)leuchten)</w:t>
      </w:r>
      <w:r>
        <w:rPr/>
        <w:t xml:space="preserve"> wie die Sonne in dem Reiche ihres Vaters </w:t>
      </w:r>
      <w:r>
        <w:rPr>
          <w:color w:val="808080"/>
        </w:rPr>
        <w:t>(Himmelreich)</w:t>
      </w:r>
      <w:r>
        <w:rPr/>
        <w:t xml:space="preserve">. Wer ihren hat </w:t>
      </w:r>
      <w:r>
        <w:rPr>
          <w:color w:val="808080"/>
        </w:rPr>
        <w:t>(wer hören kann)</w:t>
      </w:r>
      <w:r>
        <w:rPr/>
        <w:t xml:space="preserve">, der höre.{{field-off:bible}} </w:t>
        <w:br/>
        <w:t>[[@BibleTOBIBLE:Mt 13:44]]</w:t>
      </w:r>
      <w:r>
        <w:rPr>
          <w:b/>
        </w:rPr>
        <w:t>44</w:t>
      </w:r>
      <w:r>
        <w:rPr/>
        <w:t xml:space="preserve"> {{field-on:bible}}Das Himmelreich </w:t>
      </w:r>
      <w:r>
        <w:rPr>
          <w:color w:val="808080"/>
        </w:rPr>
        <w:t>(die Königsherrschaft der Himmeln)</w:t>
      </w:r>
      <w:r>
        <w:rPr/>
        <w:t xml:space="preserve"> gleicht einem Schatz, der verborgen </w:t>
      </w:r>
      <w:r>
        <w:rPr>
          <w:color w:val="808080"/>
        </w:rPr>
        <w:t>(vergraben)</w:t>
      </w:r>
      <w:r>
        <w:rPr/>
        <w:t xml:space="preserve"> war in einem Acker, welcher ein Mensch verbarg, als er ihn fand </w:t>
      </w:r>
      <w:r>
        <w:rPr>
          <w:color w:val="808080"/>
        </w:rPr>
        <w:t>(entdeckte)</w:t>
      </w:r>
      <w:r>
        <w:rPr/>
        <w:t xml:space="preserve">, und in seiner Freude ging er </w:t>
      </w:r>
      <w:r>
        <w:rPr>
          <w:color w:val="808080"/>
        </w:rPr>
        <w:t>(hin)</w:t>
      </w:r>
      <w:r>
        <w:rPr/>
        <w:t xml:space="preserve"> und verkaufte alles, was er hatte und kaufte jenen Acker.{{field-off:bible}} </w:t>
        <w:br/>
        <w:t>[[@BibleTOBIBLE:Mt 13:45]]</w:t>
      </w:r>
      <w:r>
        <w:rPr>
          <w:b/>
        </w:rPr>
        <w:t>45</w:t>
      </w:r>
      <w:r>
        <w:rPr/>
        <w:t xml:space="preserve"> {{field-on:bible}}Wiederum gleicht das Himmelreich </w:t>
      </w:r>
      <w:r>
        <w:rPr>
          <w:color w:val="808080"/>
        </w:rPr>
        <w:t>(die Königsherrschaft der Himmeln)</w:t>
      </w:r>
      <w:r>
        <w:rPr/>
        <w:t xml:space="preserve"> einem Kaufmann, der schöne Perlen suchte </w:t>
      </w:r>
      <w:r>
        <w:rPr>
          <w:color w:val="808080"/>
        </w:rPr>
        <w:t>(erstrebte)</w:t>
      </w:r>
      <w:r>
        <w:rPr/>
        <w:t xml:space="preserve">;{{field-off:bible}} </w:t>
        <w:br/>
        <w:t>[[@BibleTOBIBLE:Mt 13:46]]</w:t>
      </w:r>
      <w:r>
        <w:rPr>
          <w:b/>
        </w:rPr>
        <w:t>46</w:t>
      </w:r>
      <w:r>
        <w:rPr/>
        <w:t xml:space="preserve"> {{field-on:bible}}als er aber eine kostbare </w:t>
      </w:r>
      <w:r>
        <w:rPr>
          <w:color w:val="808080"/>
        </w:rPr>
        <w:t>(sehr wertvolle)</w:t>
      </w:r>
      <w:r>
        <w:rPr/>
        <w:t xml:space="preserve"> Perle fand, ging er </w:t>
      </w:r>
      <w:r>
        <w:rPr>
          <w:color w:val="808080"/>
        </w:rPr>
        <w:t>(hin)</w:t>
      </w:r>
      <w:r>
        <w:rPr/>
        <w:t xml:space="preserve"> und verkaufte alles, was er hatte und kaufte sie.{{field-off:bible}} </w:t>
        <w:br/>
        <w:t>[[@BibleTOBIBLE:Mt 13:47]]</w:t>
      </w:r>
      <w:r>
        <w:rPr>
          <w:b/>
        </w:rPr>
        <w:t>47</w:t>
      </w:r>
      <w:r>
        <w:rPr/>
        <w:t xml:space="preserve"> {{field-on:bible}}Wiederum gleicht das Himmelreich </w:t>
      </w:r>
      <w:r>
        <w:rPr>
          <w:color w:val="808080"/>
        </w:rPr>
        <w:t>(die Königsherrschaft der Himmeln)</w:t>
      </w:r>
      <w:r>
        <w:rPr/>
        <w:t xml:space="preserve"> einem </w:t>
      </w:r>
      <w:r>
        <w:rPr>
          <w:color w:val="808080"/>
        </w:rPr>
        <w:t>(Schlepp-)</w:t>
      </w:r>
      <w:r>
        <w:rPr/>
        <w:t xml:space="preserve">Netz, das in das Meer </w:t>
      </w:r>
      <w:r>
        <w:rPr>
          <w:color w:val="808080"/>
        </w:rPr>
        <w:t>(aus-)</w:t>
      </w:r>
      <w:r>
        <w:rPr/>
        <w:t xml:space="preserve">geworfen wurde und aus jeder Gattung </w:t>
      </w:r>
      <w:r>
        <w:rPr>
          <w:color w:val="808080"/>
        </w:rPr>
        <w:t>(Art)</w:t>
      </w:r>
      <w:r>
        <w:rPr/>
        <w:t xml:space="preserve"> fängt,{{field-off:bible}} </w:t>
        <w:br/>
        <w:t>[[@BibleTOBIBLE:Mt 13:48]]</w:t>
      </w:r>
      <w:r>
        <w:rPr>
          <w:b/>
        </w:rPr>
        <w:t>48</w:t>
      </w:r>
      <w:r>
        <w:rPr/>
        <w:t xml:space="preserve"> {{field-on:bible}}dieses, als </w:t>
      </w:r>
      <w:r>
        <w:rPr>
          <w:color w:val="808080"/>
        </w:rPr>
        <w:t>(nachdem)</w:t>
      </w:r>
      <w:r>
        <w:rPr/>
        <w:t xml:space="preserve"> es gefüllt </w:t>
      </w:r>
      <w:r>
        <w:rPr>
          <w:color w:val="808080"/>
        </w:rPr>
        <w:t>(voll)</w:t>
      </w:r>
      <w:r>
        <w:rPr/>
        <w:t xml:space="preserve"> war an das Ufer gebracht wurde, uns sie setzten sich </w:t>
      </w:r>
      <w:r>
        <w:rPr>
          <w:color w:val="808080"/>
        </w:rPr>
        <w:t>(nahmen Platz)</w:t>
      </w:r>
      <w:r>
        <w:rPr/>
        <w:t xml:space="preserve"> und sammelten die Guten in Gefäße, aber die Faulen </w:t>
      </w:r>
      <w:r>
        <w:rPr>
          <w:color w:val="808080"/>
        </w:rPr>
        <w:t>(Schlechten)</w:t>
      </w:r>
      <w:r>
        <w:rPr/>
        <w:t xml:space="preserve"> warfen sie weg.{{field-off:bible}} </w:t>
        <w:br/>
        <w:t>[[@BibleTOBIBLE:Mt 13:49]]</w:t>
      </w:r>
      <w:r>
        <w:rPr>
          <w:b/>
        </w:rPr>
        <w:t>49</w:t>
      </w:r>
      <w:r>
        <w:rPr/>
        <w:t xml:space="preserve"> {{field-on:bible}}So wird es sein am Ende der Zeit</w:t>
      </w:r>
      <w:r>
        <w:rPr>
          <w:rStyle w:val="Funotenanker"/>
        </w:rPr>
        <w:footnoteReference w:customMarkFollows="1" w:id="3424"/>
        <w:t>ab</w:t>
      </w:r>
      <w:r>
        <w:rPr/>
        <w:t xml:space="preserve">: Die Engel werden ausgehen und die Schlechten aus der Mitte der Gerechten nehmen{{field-off:bible}} </w:t>
        <w:br/>
        <w:t>[[@BibleTOBIBLE:Mt 13:50]]</w:t>
      </w:r>
      <w:r>
        <w:rPr>
          <w:b/>
        </w:rPr>
        <w:t>50</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13:51]]</w:t>
      </w:r>
      <w:r>
        <w:rPr>
          <w:b/>
        </w:rPr>
        <w:t>51</w:t>
      </w:r>
      <w:r>
        <w:rPr/>
        <w:t xml:space="preserve"> {{field-on:bible}} </w:t>
      </w:r>
      <w:r>
        <w:rPr>
          <w:b/>
          <w:color w:val="808080"/>
        </w:rPr>
        <w:t>[</w:t>
      </w:r>
      <w:r>
        <w:rPr/>
        <w:t>Jesus fragte sie:</w:t>
      </w:r>
      <w:r>
        <w:rPr>
          <w:b/>
          <w:color w:val="808080"/>
        </w:rPr>
        <w:t>]</w:t>
      </w:r>
      <w:r>
        <w:rPr/>
        <w:t xml:space="preserve"> Habt ihr verstanden dies alles? Sie sagten ihm: Ja!{{field-off:bible}} </w:t>
        <w:br/>
        <w:t>[[@BibleTOBIBLE:Mt 13:52]]</w:t>
      </w:r>
      <w:r>
        <w:rPr>
          <w:b/>
        </w:rPr>
        <w:t>52</w:t>
      </w:r>
      <w:r>
        <w:rPr/>
        <w:t xml:space="preserve"> {{field-on:bible}}Dieser aber sagte ihnen: Deshalb </w:t>
      </w:r>
      <w:r>
        <w:rPr>
          <w:color w:val="808080"/>
        </w:rPr>
        <w:t>(also)</w:t>
      </w:r>
      <w:r>
        <w:rPr/>
        <w:t xml:space="preserve"> ist jeder Schriftgelehrte, der dem Königreich der Himmeln nachfolgt</w:t>
      </w:r>
      <w:r>
        <w:rPr>
          <w:rStyle w:val="Funotenanker"/>
        </w:rPr>
        <w:footnoteReference w:customMarkFollows="1" w:id="3425"/>
        <w:t>ac</w:t>
      </w:r>
      <w:r>
        <w:rPr/>
        <w:t xml:space="preserve"> </w:t>
      </w:r>
      <w:r>
        <w:rPr>
          <w:color w:val="808080"/>
        </w:rPr>
        <w:t>(sein Jünger geworden ist)</w:t>
      </w:r>
      <w:r>
        <w:rPr/>
        <w:t xml:space="preserve"> gleich einem Hausherrn, der aus seinem Schatz</w:t>
      </w:r>
      <w:r>
        <w:rPr>
          <w:color w:val="808080"/>
        </w:rPr>
        <w:t>(-kammer)</w:t>
      </w:r>
      <w:r>
        <w:rPr/>
        <w:t xml:space="preserve"> hervorbringt Neues und Altes.{{field-off:bible}} </w:t>
        <w:br/>
        <w:t>[[@BibleTOBIBLE:Mt 13:53]]</w:t>
      </w:r>
      <w:r>
        <w:rPr>
          <w:b/>
        </w:rPr>
        <w:t>53</w:t>
      </w:r>
      <w:r>
        <w:rPr/>
        <w:t xml:space="preserve"> {{field-on:bible}}Und es geschah als </w:t>
      </w:r>
      <w:r>
        <w:rPr>
          <w:color w:val="808080"/>
        </w:rPr>
        <w:t>(nachdem)</w:t>
      </w:r>
      <w:r>
        <w:rPr/>
        <w:t xml:space="preserve"> Jesus diese Gleichnisse beendet hatte, das er von dort wegging.{{field-off:bible}} </w:t>
        <w:br/>
        <w:t>[[@BibleTOBIBLE:Mt 13:54]]</w:t>
      </w:r>
      <w:r>
        <w:rPr>
          <w:b/>
        </w:rPr>
        <w:t>54</w:t>
      </w:r>
      <w:r>
        <w:rPr/>
        <w:t xml:space="preserve"> {{field-on:bible}}Und als er in seine Heimat </w:t>
      </w:r>
      <w:r>
        <w:rPr>
          <w:color w:val="808080"/>
        </w:rPr>
        <w:t>(sein Vaterland)</w:t>
      </w:r>
      <w:r>
        <w:rPr/>
        <w:t xml:space="preserve"> ging</w:t>
      </w:r>
      <w:r>
        <w:rPr>
          <w:rStyle w:val="Funotenanker"/>
        </w:rPr>
        <w:footnoteReference w:customMarkFollows="1" w:id="3426"/>
        <w:t>ad</w:t>
      </w:r>
      <w:r>
        <w:rPr/>
        <w:t xml:space="preserve"> lehrte er sie in ihren Synagogen, derart, dass sie außer sich gerieten und sagten: Woher hat dieser diese Weisheit und die Wunderkräfte?{{field-off:bible}} </w:t>
        <w:br/>
        <w:t>[[@BibleTOBIBLE:Mt 13:55]]</w:t>
      </w:r>
      <w:r>
        <w:rPr>
          <w:b/>
        </w:rPr>
        <w:t>55</w:t>
      </w:r>
      <w:r>
        <w:rPr/>
        <w:t xml:space="preserve"> {{field-on:bible}}Ist dieser nicht eines Zimmermanns Sohn? Wird nicht seine Mutter Maria genannt </w:t>
      </w:r>
      <w:r>
        <w:rPr>
          <w:color w:val="808080"/>
        </w:rPr>
        <w:t>(heißt nicht...)</w:t>
      </w:r>
      <w:r>
        <w:rPr/>
        <w:t xml:space="preserve"> und seine Brüder Jakobus, </w:t>
      </w:r>
      <w:r>
        <w:rPr>
          <w:strike/>
          <w:color w:val="808080"/>
        </w:rPr>
        <w:t>{und}</w:t>
      </w:r>
      <w:r>
        <w:rPr/>
        <w:t xml:space="preserve"> Josef und Simon und Judas?{{field-off:bible}} </w:t>
        <w:br/>
        <w:t>[[@BibleTOBIBLE:Mt 13:56]]</w:t>
      </w:r>
      <w:r>
        <w:rPr>
          <w:b/>
        </w:rPr>
        <w:t>56</w:t>
      </w:r>
      <w:r>
        <w:rPr/>
        <w:t xml:space="preserve"> {{field-on:bible}}Und wohnen nicht seine Schwestern alle unter uns? Woher nun hat dieser dies alles?{{field-off:bible}} </w:t>
        <w:br/>
        <w:t>[[@BibleTOBIBLE:Mt 13:57]]</w:t>
      </w:r>
      <w:r>
        <w:rPr>
          <w:b/>
        </w:rPr>
        <w:t>57</w:t>
      </w:r>
      <w:r>
        <w:rPr/>
        <w:t xml:space="preserve"> {{field-on:bible}}Und sie kamen durch in zu Fall. Aber Jesus sagte ihnen: Der Prophet ist nicht verachtet, außer in der Heimat und in seinem Haus.{{field-off:bible}} </w:t>
        <w:br/>
        <w:t>[[@BibleTOBIBLE:Mt 13:58]]</w:t>
      </w:r>
      <w:r>
        <w:rPr>
          <w:b/>
        </w:rPr>
        <w:t>58</w:t>
      </w:r>
      <w:r>
        <w:rPr/>
        <w:t xml:space="preserve"> {{field-on:bible}}Und er machte dort keine zahlreichen </w:t>
      </w:r>
      <w:r>
        <w:rPr>
          <w:color w:val="808080"/>
        </w:rPr>
        <w:t>(vielen)</w:t>
      </w:r>
      <w:r>
        <w:rPr/>
        <w:t xml:space="preserve"> Wunder</w:t>
      </w:r>
      <w:r>
        <w:rPr>
          <w:color w:val="808080"/>
        </w:rPr>
        <w:t>(taten)</w:t>
      </w:r>
      <w:r>
        <w:rPr/>
        <w:t xml:space="preserve"> aufgrund ihres Unglaubens.{{field-off:bible}}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3427"/>
        <w:t>Status</w:t>
      </w:r>
      <w:r>
        <w:rPr/>
        <w:t xml:space="preserve"> In jener Zeit hörte Herodes der Tetrarch die Kunde </w:t>
      </w:r>
      <w:r>
        <w:rPr>
          <w:color w:val="808080"/>
        </w:rPr>
        <w:t>(den Ruf, das Gerücht)</w:t>
      </w:r>
      <w:r>
        <w:rPr/>
        <w:t xml:space="preserve"> von Jesus,{{field-off:bible}} </w:t>
        <w:br/>
        <w:t>[[@BibleTOBIBLE:Mt 14:2]]</w:t>
      </w:r>
      <w:r>
        <w:rPr>
          <w:b/>
        </w:rPr>
        <w:t>2</w:t>
      </w:r>
      <w:r>
        <w:rPr/>
        <w:t xml:space="preserve"> {{field-on:bible}}und sagte seinen Dienern: Dieser ist Johannes der Täufer; er stand auf von den Toten</w:t>
      </w:r>
      <w:r>
        <w:rPr>
          <w:rStyle w:val="Funotenanker"/>
        </w:rPr>
        <w:footnoteReference w:customMarkFollows="1" w:id="3428"/>
        <w:t>a</w:t>
      </w:r>
      <w:r>
        <w:rPr/>
        <w:t xml:space="preserve"> und darum </w:t>
      </w:r>
      <w:r>
        <w:rPr>
          <w:color w:val="808080"/>
        </w:rPr>
        <w:t>(deshalb)</w:t>
      </w:r>
      <w:r>
        <w:rPr/>
        <w:t xml:space="preserve"> sind in </w:t>
      </w:r>
      <w:r>
        <w:rPr>
          <w:color w:val="808080"/>
        </w:rPr>
        <w:t>(durch)</w:t>
      </w:r>
      <w:r>
        <w:rPr/>
        <w:t xml:space="preserve"> ihm solche Wunderkräfte wirksam.{{field-off:bible}} </w:t>
        <w:br/>
        <w:t>[[@BibleTOBIBLE:Mt 14:3]]</w:t>
      </w:r>
      <w:r>
        <w:rPr>
          <w:b/>
        </w:rPr>
        <w:t>3</w:t>
      </w:r>
      <w:r>
        <w:rPr/>
        <w:t xml:space="preserve"> {{field-on:bible}}Denn Herodes hatte Johannes festnehmen </w:t>
      </w:r>
      <w:r>
        <w:rPr>
          <w:color w:val="808080"/>
        </w:rPr>
        <w:t>(gefangennehmen)</w:t>
      </w:r>
      <w:r>
        <w:rPr/>
        <w:t xml:space="preserve"> und fesseln </w:t>
      </w:r>
      <w:r>
        <w:rPr>
          <w:color w:val="808080"/>
        </w:rPr>
        <w:t>(in Fesseln legen)</w:t>
      </w:r>
      <w:r>
        <w:rPr/>
        <w:t xml:space="preserve"> und ins Gefängnis werfen </w:t>
      </w:r>
      <w:r>
        <w:rPr>
          <w:color w:val="808080"/>
        </w:rPr>
        <w:t>(legen)</w:t>
      </w:r>
      <w:r>
        <w:rPr/>
        <w:t xml:space="preserve"> lassen wegen Herodias, die Frau Philippus', seines Bruders;{{field-off:bible}} </w:t>
        <w:br/>
        <w:t>[[@BibleTOBIBLE:Mt 14:4]]</w:t>
      </w:r>
      <w:r>
        <w:rPr>
          <w:b/>
        </w:rPr>
        <w:t>4</w:t>
      </w:r>
      <w:r>
        <w:rPr/>
        <w:t xml:space="preserve"> {{field-on:bible}}denn es hatte ihm Johannes gesagt: Es ist dir nicht erlaubt </w:t>
      </w:r>
      <w:r>
        <w:rPr>
          <w:color w:val="808080"/>
        </w:rPr>
        <w:t>(steht dir nicht frei)</w:t>
      </w:r>
      <w:r>
        <w:rPr/>
        <w:t xml:space="preserve"> sie zu haben </w:t>
      </w:r>
      <w:r>
        <w:rPr>
          <w:b/>
          <w:color w:val="808080"/>
        </w:rPr>
        <w:t>[</w:t>
      </w:r>
      <w:r>
        <w:rPr/>
        <w:t>zur Frau</w:t>
      </w:r>
      <w:r>
        <w:rPr>
          <w:b/>
          <w:color w:val="808080"/>
        </w:rPr>
        <w:t>]</w:t>
      </w:r>
      <w:r>
        <w:rPr/>
        <w:t xml:space="preserve">.{{field-off:bible}} </w:t>
        <w:br/>
        <w:t>[[@BibleTOBIBLE:Mt 14:5]]</w:t>
      </w:r>
      <w:r>
        <w:rPr>
          <w:b/>
        </w:rPr>
        <w:t>5</w:t>
      </w:r>
      <w:r>
        <w:rPr/>
        <w:t xml:space="preserve"> {{field-on:bible}}Und er wünschte </w:t>
      </w:r>
      <w:r>
        <w:rPr>
          <w:color w:val="808080"/>
        </w:rPr>
        <w:t>(wollte)</w:t>
      </w:r>
      <w:r>
        <w:rPr/>
        <w:t xml:space="preserve"> ihn gerne töten </w:t>
      </w:r>
      <w:r>
        <w:rPr>
          <w:b/>
          <w:color w:val="808080"/>
        </w:rPr>
        <w:t>[</w:t>
      </w:r>
      <w:r>
        <w:rPr/>
        <w:t>doch</w:t>
      </w:r>
      <w:r>
        <w:rPr>
          <w:b/>
          <w:color w:val="808080"/>
        </w:rPr>
        <w:t>]</w:t>
      </w:r>
      <w:r>
        <w:rPr/>
        <w:t xml:space="preserve"> er fürchtete die </w:t>
      </w:r>
      <w:r>
        <w:rPr>
          <w:color w:val="808080"/>
        </w:rPr>
        <w:t>(Volks-)</w:t>
      </w:r>
      <w:r>
        <w:rPr/>
        <w:t xml:space="preserve">Menge, da </w:t>
      </w:r>
      <w:r>
        <w:rPr>
          <w:color w:val="808080"/>
        </w:rPr>
        <w:t>(denn, weil)</w:t>
      </w:r>
      <w:r>
        <w:rPr/>
        <w:t xml:space="preserve"> sie ihn für </w:t>
      </w:r>
      <w:r>
        <w:rPr>
          <w:color w:val="808080"/>
        </w:rPr>
        <w:t>(als)</w:t>
      </w:r>
      <w:r>
        <w:rPr/>
        <w:t xml:space="preserve"> einen Propheten hielten.{{field-off:bible}} </w:t>
        <w:br/>
        <w:t>[[@BibleTOBIBLE:Mt 14:6]]</w:t>
      </w:r>
      <w:r>
        <w:rPr>
          <w:b/>
        </w:rPr>
        <w:t>6</w:t>
      </w:r>
      <w:r>
        <w:rPr/>
        <w:t xml:space="preserve"> {{field-on:bible}}Als aber der Geburtstag des Herodes gefeiert </w:t>
      </w:r>
      <w:r>
        <w:rPr>
          <w:color w:val="808080"/>
        </w:rPr>
        <w:t>(begangen)</w:t>
      </w:r>
      <w:r>
        <w:rPr/>
        <w:t xml:space="preserve"> wurde</w:t>
      </w:r>
      <w:r>
        <w:rPr>
          <w:rStyle w:val="Funotenanker"/>
        </w:rPr>
        <w:footnoteReference w:customMarkFollows="1" w:id="3429"/>
        <w:t>b</w:t>
      </w:r>
      <w:r>
        <w:rPr/>
        <w:t xml:space="preserve">, tanzte die Tochter der Herodias in der Mitte </w:t>
      </w:r>
      <w:r>
        <w:rPr>
          <w:color w:val="808080"/>
        </w:rPr>
        <w:t>(vor den Gästen)</w:t>
      </w:r>
      <w:r>
        <w:rPr/>
        <w:t xml:space="preserve"> und gefiel dem Herodes,{{field-off:bible}} </w:t>
        <w:br/>
        <w:t>[[@BibleTOBIBLE:Mt 14:7]]</w:t>
      </w:r>
      <w:r>
        <w:rPr>
          <w:b/>
        </w:rPr>
        <w:t>7</w:t>
      </w:r>
      <w:r>
        <w:rPr/>
        <w:t xml:space="preserve"> {{field-on:bible}}deshalb </w:t>
      </w:r>
      <w:r>
        <w:rPr>
          <w:color w:val="808080"/>
        </w:rPr>
        <w:t>(daher)</w:t>
      </w:r>
      <w:r>
        <w:rPr/>
        <w:t xml:space="preserve"> sagte er mit einem Eid </w:t>
      </w:r>
      <w:r>
        <w:rPr>
          <w:color w:val="808080"/>
        </w:rPr>
        <w:t>(Schwur)</w:t>
      </w:r>
      <w:r>
        <w:rPr/>
        <w:t xml:space="preserve"> zu </w:t>
      </w:r>
      <w:r>
        <w:rPr>
          <w:color w:val="808080"/>
        </w:rPr>
        <w:t>(versprach er ihr)</w:t>
      </w:r>
      <w:r>
        <w:rPr/>
        <w:t xml:space="preserve"> alles zu geben, was </w:t>
      </w:r>
      <w:r>
        <w:rPr>
          <w:color w:val="808080"/>
        </w:rPr>
        <w:t>(auch immer)</w:t>
      </w:r>
      <w:r>
        <w:rPr/>
        <w:t xml:space="preserve"> sie sich wünschte,{{field-off:bible}} </w:t>
        <w:br/>
        <w:t>[[@BibleTOBIBLE:Mt 14:8]]</w:t>
      </w:r>
      <w:r>
        <w:rPr>
          <w:b/>
        </w:rPr>
        <w:t>8</w:t>
      </w:r>
      <w:r>
        <w:rPr/>
        <w:t xml:space="preserve"> {{field-on:bible}}und sie </w:t>
      </w:r>
      <w:r>
        <w:rPr>
          <w:color w:val="808080"/>
        </w:rPr>
        <w:t>(diese)</w:t>
      </w:r>
      <w:r>
        <w:rPr/>
        <w:t xml:space="preserve"> wurde von ihrer Mutter bedrängt </w:t>
      </w:r>
      <w:r>
        <w:rPr>
          <w:color w:val="808080"/>
        </w:rPr>
        <w:t>(angestiftet)</w:t>
      </w:r>
      <w:r>
        <w:rPr/>
        <w:t xml:space="preserve"> </w:t>
      </w:r>
      <w:r>
        <w:rPr>
          <w:rStyle w:val="Funotenanker"/>
        </w:rPr>
        <w:footnoteReference w:customMarkFollows="1" w:id="3430"/>
        <w:t>c</w:t>
      </w:r>
      <w:r>
        <w:rPr/>
        <w:t xml:space="preserve">: Gib mir, sagte </w:t>
      </w:r>
      <w:r>
        <w:rPr>
          <w:color w:val="808080"/>
        </w:rPr>
        <w:t>(meinte)</w:t>
      </w:r>
      <w:r>
        <w:rPr/>
        <w:t xml:space="preserve"> sie, hier</w:t>
      </w:r>
      <w:r>
        <w:rPr>
          <w:color w:val="808080"/>
        </w:rPr>
        <w:t>(her)</w:t>
      </w:r>
      <w:r>
        <w:rPr/>
        <w:t xml:space="preserve"> auf einer Platte den </w:t>
      </w:r>
      <w:r>
        <w:rPr>
          <w:color w:val="808080"/>
        </w:rPr>
        <w:t>(Schüssel, Teller)</w:t>
      </w:r>
      <w:r>
        <w:rPr/>
        <w:t xml:space="preserve"> den Kopf des Johannes des Täufers.{{field-off:bible}} </w:t>
        <w:br/>
        <w:t>[[@BibleTOBIBLE:Mt 14:9]]</w:t>
      </w:r>
      <w:r>
        <w:rPr>
          <w:b/>
        </w:rPr>
        <w:t>9</w:t>
      </w:r>
      <w:r>
        <w:rPr/>
        <w:t xml:space="preserve"> {{field-on:bible}}Und es wurde traurig </w:t>
      </w:r>
      <w:r>
        <w:rPr>
          <w:color w:val="808080"/>
        </w:rPr>
        <w:t>(betrübt)</w:t>
      </w:r>
      <w:r>
        <w:rPr/>
        <w:t xml:space="preserve"> der König</w:t>
      </w:r>
      <w:r>
        <w:rPr>
          <w:rStyle w:val="Funotenanker"/>
        </w:rPr>
        <w:footnoteReference w:customMarkFollows="1" w:id="3431"/>
        <w:t>d</w:t>
      </w:r>
      <w:r>
        <w:rPr/>
        <w:t xml:space="preserve"> aber wegen des Schwurs und der anwesenden Gäste</w:t>
      </w:r>
      <w:r>
        <w:rPr>
          <w:rStyle w:val="Funotenanker"/>
        </w:rPr>
        <w:footnoteReference w:customMarkFollows="1" w:id="3432"/>
        <w:t>e</w:t>
      </w:r>
      <w:r>
        <w:rPr/>
        <w:t xml:space="preserve"> befahl er </w:t>
      </w:r>
      <w:r>
        <w:rPr>
          <w:b/>
          <w:color w:val="808080"/>
        </w:rPr>
        <w:t>[</w:t>
      </w:r>
      <w:r>
        <w:rPr/>
        <w:t>ihr den Kopf</w:t>
      </w:r>
      <w:r>
        <w:rPr>
          <w:b/>
          <w:color w:val="808080"/>
        </w:rPr>
        <w:t>]</w:t>
      </w:r>
      <w:r>
        <w:rPr/>
        <w:t xml:space="preserve"> zu geben </w:t>
      </w:r>
      <w:r>
        <w:rPr>
          <w:color w:val="808080"/>
        </w:rPr>
        <w:t>(ihr den Wunsch zu erfüllen)</w:t>
      </w:r>
      <w:r>
        <w:rPr/>
        <w:t xml:space="preserve">,{{field-off:bible}} </w:t>
        <w:br/>
        <w:t>[[@BibleTOBIBLE:Mt 14:10]]</w:t>
      </w:r>
      <w:r>
        <w:rPr>
          <w:b/>
        </w:rPr>
        <w:t>10</w:t>
      </w:r>
      <w:r>
        <w:rPr/>
        <w:t xml:space="preserve"> {{field-on:bible}}und sandte hin </w:t>
      </w:r>
      <w:r>
        <w:rPr>
          <w:color w:val="808080"/>
        </w:rPr>
        <w:t>(beauftragte)</w:t>
      </w:r>
      <w:r>
        <w:rPr/>
        <w:t xml:space="preserve"> </w:t>
      </w:r>
      <w:r>
        <w:rPr>
          <w:rStyle w:val="Funotenanker"/>
        </w:rPr>
        <w:footnoteReference w:customMarkFollows="1" w:id="3433"/>
        <w:t>f</w:t>
      </w:r>
      <w:r>
        <w:rPr/>
        <w:t xml:space="preserve"> und lies enthaupten Johannes durch die Wache </w:t>
      </w:r>
      <w:r>
        <w:rPr>
          <w:color w:val="808080"/>
        </w:rPr>
        <w:t>(Wachtposten)</w:t>
      </w:r>
      <w:r>
        <w:rPr/>
        <w:t xml:space="preserve"> {{field-off:bible}} </w:t>
        <w:br/>
        <w:t>[[@BibleTOBIBLE:Mt 14:11]]</w:t>
      </w:r>
      <w:r>
        <w:rPr>
          <w:b/>
        </w:rPr>
        <w:t>11</w:t>
      </w:r>
      <w:r>
        <w:rPr/>
        <w:t xml:space="preserve"> {{field-on:bible}}und es wurde gebracht </w:t>
      </w:r>
      <w:r>
        <w:rPr>
          <w:color w:val="808080"/>
        </w:rPr>
        <w:t>(getragen)</w:t>
      </w:r>
      <w:r>
        <w:rPr/>
        <w:t xml:space="preserve"> sein Kopf auf einer Platte den </w:t>
      </w:r>
      <w:r>
        <w:rPr>
          <w:color w:val="808080"/>
        </w:rPr>
        <w:t>(Schüssel, Teller)</w:t>
      </w:r>
      <w:r>
        <w:rPr/>
        <w:t xml:space="preserve"> und es dem Mädchen gegeben und sie brachte </w:t>
      </w:r>
      <w:r>
        <w:rPr>
          <w:b/>
          <w:color w:val="808080"/>
        </w:rPr>
        <w:t>[</w:t>
      </w:r>
      <w:r>
        <w:rPr/>
        <w:t>es</w:t>
      </w:r>
      <w:r>
        <w:rPr>
          <w:b/>
          <w:color w:val="808080"/>
        </w:rPr>
        <w:t>]</w:t>
      </w:r>
      <w:r>
        <w:rPr/>
        <w:t xml:space="preserve"> ihrer Mutter.{{field-off:bible}} </w:t>
        <w:br/>
        <w:t>[[@BibleTOBIBLE:Mt 14:12]]</w:t>
      </w:r>
      <w:r>
        <w:rPr>
          <w:b/>
        </w:rPr>
        <w:t>12</w:t>
      </w:r>
      <w:r>
        <w:rPr/>
        <w:t xml:space="preserve"> {{field-on:bible}}Und als seine Jünger kamen</w:t>
      </w:r>
      <w:r>
        <w:rPr>
          <w:rStyle w:val="Funotenanker"/>
        </w:rPr>
        <w:footnoteReference w:customMarkFollows="1" w:id="3434"/>
        <w:t>g</w:t>
      </w:r>
      <w:r>
        <w:rPr/>
        <w:t>, holten sie den Leichnam und begruben ihn und gingen</w:t>
      </w:r>
      <w:r>
        <w:rPr>
          <w:rStyle w:val="Funotenanker"/>
        </w:rPr>
        <w:footnoteReference w:customMarkFollows="1" w:id="3435"/>
        <w:t>h</w:t>
      </w:r>
      <w:r>
        <w:rPr/>
        <w:t xml:space="preserve"> </w:t>
      </w:r>
      <w:r>
        <w:rPr>
          <w:b/>
          <w:color w:val="808080"/>
        </w:rPr>
        <w:t>[</w:t>
      </w:r>
      <w:r>
        <w:rPr/>
        <w:t>und</w:t>
      </w:r>
      <w:r>
        <w:rPr>
          <w:b/>
          <w:color w:val="808080"/>
        </w:rPr>
        <w:t>]</w:t>
      </w:r>
      <w:r>
        <w:rPr/>
        <w:t xml:space="preserve"> verkündeten es Jesus.{{field-off:bible}} </w:t>
        <w:br/>
        <w:t>[[@BibleTOBIBLE:Mt 14:13]]</w:t>
      </w:r>
      <w:r>
        <w:rPr>
          <w:b/>
        </w:rPr>
        <w:t>13</w:t>
      </w:r>
      <w:r>
        <w:rPr/>
        <w:t xml:space="preserve"> {{field-on:bible}}Als aber Jesus </w:t>
      </w:r>
      <w:r>
        <w:rPr>
          <w:b/>
          <w:color w:val="808080"/>
        </w:rPr>
        <w:t>[</w:t>
      </w:r>
      <w:r>
        <w:rPr/>
        <w:t>dies, es</w:t>
      </w:r>
      <w:r>
        <w:rPr>
          <w:b/>
          <w:color w:val="808080"/>
        </w:rPr>
        <w:t>]</w:t>
      </w:r>
      <w:r>
        <w:rPr/>
        <w:t xml:space="preserve"> hörte, zog er von dort ab </w:t>
      </w:r>
      <w:r>
        <w:rPr>
          <w:color w:val="808080"/>
        </w:rPr>
        <w:t>(sich von dort zurück, ging weg)</w:t>
      </w:r>
      <w:r>
        <w:rPr/>
        <w:t xml:space="preserve">, in einem Schiff an einen verlassenen </w:t>
      </w:r>
      <w:r>
        <w:rPr>
          <w:color w:val="808080"/>
        </w:rPr>
        <w:t>(leeren, wüsten)</w:t>
      </w:r>
      <w:r>
        <w:rPr/>
        <w:t xml:space="preserve"> Ort </w:t>
      </w:r>
      <w:r>
        <w:rPr>
          <w:color w:val="808080"/>
        </w:rPr>
        <w:t>(Platz)</w:t>
      </w:r>
      <w:r>
        <w:rPr/>
        <w:t xml:space="preserve"> für sich allein; und als die </w:t>
      </w:r>
      <w:r>
        <w:rPr>
          <w:color w:val="808080"/>
        </w:rPr>
        <w:t>(Volks-)</w:t>
      </w:r>
      <w:r>
        <w:rPr/>
        <w:t xml:space="preserve">Menge es hörten, folgten sie ihm, zu Fuß </w:t>
      </w:r>
      <w:r>
        <w:rPr>
          <w:color w:val="808080"/>
        </w:rPr>
        <w:t>(Land)</w:t>
      </w:r>
      <w:r>
        <w:rPr/>
        <w:t xml:space="preserve">, aus den umliegenden Städten </w:t>
      </w:r>
      <w:r>
        <w:rPr>
          <w:color w:val="808080"/>
        </w:rPr>
        <w:t>(Ortschaften)</w:t>
      </w:r>
      <w:r>
        <w:rPr/>
        <w:t xml:space="preserve">.{{field-off:bible}} </w:t>
        <w:br/>
        <w:t>[[@BibleTOBIBLE:Mt 14:14]]</w:t>
      </w:r>
      <w:r>
        <w:rPr>
          <w:b/>
        </w:rPr>
        <w:t>14</w:t>
      </w:r>
      <w:r>
        <w:rPr/>
        <w:t xml:space="preserve"> {{field-on:bible}}Und als er </w:t>
      </w:r>
      <w:r>
        <w:rPr>
          <w:b/>
          <w:color w:val="808080"/>
        </w:rPr>
        <w:t>[</w:t>
      </w:r>
      <w:r>
        <w:rPr/>
        <w:t>aus dem Boot</w:t>
      </w:r>
      <w:r>
        <w:rPr>
          <w:b/>
          <w:color w:val="808080"/>
        </w:rPr>
        <w:t>]</w:t>
      </w:r>
      <w:r>
        <w:rPr/>
        <w:t xml:space="preserve"> ausstieg </w:t>
      </w:r>
      <w:r>
        <w:rPr>
          <w:color w:val="808080"/>
        </w:rPr>
        <w:t>(herauskam)</w:t>
      </w:r>
      <w:r>
        <w:rPr/>
        <w:t xml:space="preserve"> </w:t>
      </w:r>
      <w:r>
        <w:rPr>
          <w:rStyle w:val="Funotenanker"/>
        </w:rPr>
        <w:footnoteReference w:customMarkFollows="1" w:id="3436"/>
        <w:t>i</w:t>
      </w:r>
      <w:r>
        <w:rPr/>
        <w:t xml:space="preserve">, sah er eine große Volksmenge </w:t>
      </w:r>
      <w:r>
        <w:rPr>
          <w:color w:val="808080"/>
        </w:rPr>
        <w:t>(viel Volk)</w:t>
      </w:r>
      <w:r>
        <w:rPr/>
        <w:t xml:space="preserve">, und er erbarmte sich über sie </w:t>
      </w:r>
      <w:r>
        <w:rPr>
          <w:color w:val="808080"/>
        </w:rPr>
        <w:t>(hatte Mitleid mit ihnen)</w:t>
      </w:r>
      <w:r>
        <w:rPr/>
        <w:t xml:space="preserve"> und er heilte die Kranken </w:t>
      </w:r>
      <w:r>
        <w:rPr>
          <w:color w:val="808080"/>
        </w:rPr>
        <w:t>(Kraftlosen)</w:t>
      </w:r>
      <w:r>
        <w:rPr/>
        <w:t xml:space="preserve"> von ihnen.{{field-off:bible}} </w:t>
        <w:br/>
        <w:t>[[@BibleTOBIBLE:Mt 14:15]]</w:t>
      </w:r>
      <w:r>
        <w:rPr>
          <w:b/>
        </w:rPr>
        <w:t>15</w:t>
      </w:r>
      <w:r>
        <w:rPr/>
        <w:t xml:space="preserve"> {{field-on:bible}}Als es aber Abend geworden war</w:t>
      </w:r>
      <w:r>
        <w:rPr>
          <w:rStyle w:val="Funotenanker"/>
        </w:rPr>
        <w:footnoteReference w:customMarkFollows="1" w:id="3437"/>
        <w:t>j</w:t>
      </w:r>
      <w:r>
        <w:rPr/>
        <w:t xml:space="preserve"> </w:t>
      </w:r>
      <w:r>
        <w:rPr>
          <w:color w:val="808080"/>
        </w:rPr>
        <w:t>(spät wurde)</w:t>
      </w:r>
      <w:r>
        <w:rPr/>
        <w:t>, kamen seine Jünger zu ihm, und sagten</w:t>
      </w:r>
      <w:r>
        <w:rPr>
          <w:rStyle w:val="Funotenanker"/>
        </w:rPr>
        <w:footnoteReference w:customMarkFollows="1" w:id="3438"/>
        <w:t>k</w:t>
      </w:r>
      <w:r>
        <w:rPr/>
        <w:t xml:space="preserve"> : „Der Ort </w:t>
      </w:r>
      <w:r>
        <w:rPr>
          <w:color w:val="808080"/>
        </w:rPr>
        <w:t>(Platz)</w:t>
      </w:r>
      <w:r>
        <w:rPr/>
        <w:t xml:space="preserve"> ist öde </w:t>
      </w:r>
      <w:r>
        <w:rPr>
          <w:color w:val="808080"/>
        </w:rPr>
        <w:t>(leer, wüst)</w:t>
      </w:r>
      <w:r>
        <w:rPr/>
        <w:t xml:space="preserve"> und die Stunde ist schon verstrichen </w:t>
      </w:r>
      <w:r>
        <w:rPr>
          <w:color w:val="808080"/>
        </w:rPr>
        <w:t>(die Zeit ist schon vorübergegangen, vorbei)</w:t>
      </w:r>
      <w:r>
        <w:rPr/>
        <w:t xml:space="preserve">; Lass </w:t>
      </w:r>
      <w:r>
        <w:rPr>
          <w:color w:val="808080"/>
        </w:rPr>
        <w:t>(Verabschiede)</w:t>
      </w:r>
      <w:r>
        <w:rPr/>
        <w:t xml:space="preserve"> die </w:t>
      </w:r>
      <w:r>
        <w:rPr>
          <w:color w:val="808080"/>
        </w:rPr>
        <w:t>(Volks-)</w:t>
      </w:r>
      <w:r>
        <w:rPr/>
        <w:t xml:space="preserve">Menge gehen, damit sie in die Dörfer gehen können und für sich Nahrungsmittel </w:t>
      </w:r>
      <w:r>
        <w:rPr>
          <w:color w:val="808080"/>
        </w:rPr>
        <w:t>(zu Essen, Speise)</w:t>
      </w:r>
      <w:r>
        <w:rPr/>
        <w:t xml:space="preserve"> kaufen.“{{field-off:bible}} </w:t>
        <w:br/>
        <w:t>[[@BibleTOBIBLE:Mt 14:16]]</w:t>
      </w:r>
      <w:r>
        <w:rPr>
          <w:b/>
        </w:rPr>
        <w:t>16</w:t>
      </w:r>
      <w:r>
        <w:rPr/>
        <w:t xml:space="preserve"> {{field-on:bible}}Der [Jesus] aber sagte ihnen: „Sie haben kein Bedürfnis </w:t>
      </w:r>
      <w:r>
        <w:rPr>
          <w:color w:val="808080"/>
        </w:rPr>
        <w:t>(nicht nötig)</w:t>
      </w:r>
      <w:r>
        <w:rPr/>
        <w:t xml:space="preserve"> zu gehen, gebt ihr ihnen zu essen.“{{field-off:bible}} </w:t>
        <w:br/>
        <w:t>[[@BibleTOBIBLE:Mt 14:17]]</w:t>
      </w:r>
      <w:r>
        <w:rPr>
          <w:b/>
        </w:rPr>
        <w:t>17</w:t>
      </w:r>
      <w:r>
        <w:rPr/>
        <w:t xml:space="preserve"> {{field-on:bible}}Die </w:t>
      </w:r>
      <w:r>
        <w:rPr>
          <w:color w:val="808080"/>
        </w:rPr>
        <w:t>(diese)</w:t>
      </w:r>
      <w:r>
        <w:rPr/>
        <w:t xml:space="preserve"> aber sagten ihm: „Wir haben nichts hier außer fünf Broten und zwei Fischen.“{{field-off:bible}} </w:t>
        <w:br/>
        <w:t>[[@BibleTOBIBLE:Mt 14:18]]</w:t>
      </w:r>
      <w:r>
        <w:rPr>
          <w:b/>
        </w:rPr>
        <w:t>18</w:t>
      </w:r>
      <w:r>
        <w:rPr/>
        <w:t xml:space="preserve"> {{field-on:bible}}Der </w:t>
      </w:r>
      <w:r>
        <w:rPr>
          <w:color w:val="808080"/>
        </w:rPr>
        <w:t>(Dieser)</w:t>
      </w:r>
      <w:r>
        <w:rPr/>
        <w:t xml:space="preserve"> aber sagte: „Bringt mir diese </w:t>
      </w:r>
      <w:r>
        <w:rPr>
          <w:color w:val="808080"/>
        </w:rPr>
        <w:t>(sie)</w:t>
      </w:r>
      <w:r>
        <w:rPr/>
        <w:t xml:space="preserve"> her.“{{field-off:bible}} </w:t>
        <w:br/>
        <w:t>[[@BibleTOBIBLE:Mt 14:19]]</w:t>
      </w:r>
      <w:r>
        <w:rPr>
          <w:b/>
        </w:rPr>
        <w:t>19</w:t>
      </w:r>
      <w:r>
        <w:rPr/>
        <w:t xml:space="preserve"> {{field-on:bible}}Und als er befahl</w:t>
      </w:r>
      <w:r>
        <w:rPr>
          <w:rStyle w:val="Funotenanker"/>
        </w:rPr>
        <w:footnoteReference w:customMarkFollows="1" w:id="3439"/>
        <w:t>l</w:t>
      </w:r>
      <w:r>
        <w:rPr/>
        <w:t xml:space="preserve">, dass sich das Volk auf das Gras </w:t>
      </w:r>
      <w:r>
        <w:rPr>
          <w:color w:val="808080"/>
        </w:rPr>
        <w:t>(Heu)</w:t>
      </w:r>
      <w:r>
        <w:rPr/>
        <w:t xml:space="preserve"> niederlässt </w:t>
      </w:r>
      <w:r>
        <w:rPr>
          <w:color w:val="808080"/>
        </w:rPr>
        <w:t>(niederlegt, niedersetzt)</w:t>
      </w:r>
      <w:r>
        <w:rPr/>
        <w:t>, nahm</w:t>
      </w:r>
      <w:r>
        <w:rPr>
          <w:rStyle w:val="Funotenanker"/>
        </w:rPr>
        <w:footnoteReference w:customMarkFollows="1" w:id="3440"/>
        <w:t>m</w:t>
      </w:r>
      <w:r>
        <w:rPr/>
        <w:t xml:space="preserve"> er die fünf Brote und die zwei Fische, blickte</w:t>
      </w:r>
      <w:r>
        <w:rPr>
          <w:rStyle w:val="Funotenanker"/>
        </w:rPr>
        <w:footnoteReference w:customMarkFollows="1" w:id="3441"/>
        <w:t>n</w:t>
      </w:r>
      <w:r>
        <w:rPr/>
        <w:t xml:space="preserve"> in den Himmel </w:t>
      </w:r>
      <w:r>
        <w:rPr>
          <w:b/>
          <w:color w:val="808080"/>
        </w:rPr>
        <w:t>[</w:t>
      </w:r>
      <w:r>
        <w:rPr/>
        <w:t>und</w:t>
      </w:r>
      <w:r>
        <w:rPr>
          <w:b/>
          <w:color w:val="808080"/>
        </w:rPr>
        <w:t>]</w:t>
      </w:r>
      <w:r>
        <w:rPr/>
        <w:t xml:space="preserve"> sagte Lob und Dank </w:t>
      </w:r>
      <w:r>
        <w:rPr>
          <w:color w:val="808080"/>
        </w:rPr>
        <w:t>(sprach Lobpreis)</w:t>
      </w:r>
      <w:r>
        <w:rPr/>
        <w:t xml:space="preserve"> und brach die Brote </w:t>
      </w:r>
      <w:r>
        <w:rPr>
          <w:color w:val="808080"/>
        </w:rPr>
        <w:t>(in Stücke)</w:t>
      </w:r>
      <w:r>
        <w:rPr/>
        <w:t>, gab sie den Jüngern, die Jünger aber der Volksmenge</w:t>
      </w:r>
      <w:r>
        <w:rPr>
          <w:rStyle w:val="Funotenanker"/>
        </w:rPr>
        <w:footnoteReference w:customMarkFollows="1" w:id="3442"/>
        <w:t>o</w:t>
      </w:r>
      <w:r>
        <w:rPr/>
        <w:t xml:space="preserve">.{{field-off:bible}} </w:t>
        <w:br/>
        <w:t>[[@BibleTOBIBLE:Mt 14:20]]</w:t>
      </w:r>
      <w:r>
        <w:rPr>
          <w:b/>
        </w:rPr>
        <w:t>20</w:t>
      </w:r>
      <w:r>
        <w:rPr/>
        <w:t xml:space="preserve"> {{field-on:bible}}Und alle aßen und alle wurden gesättigt </w:t>
      </w:r>
      <w:r>
        <w:rPr>
          <w:color w:val="808080"/>
        </w:rPr>
        <w:t>(satt)</w:t>
      </w:r>
      <w:r>
        <w:rPr/>
        <w:t xml:space="preserve">, und sie sammelten das übrig gebliebene der Brocken </w:t>
      </w:r>
      <w:r>
        <w:rPr>
          <w:color w:val="808080"/>
        </w:rPr>
        <w:t>(das was an Stücken übrig war)</w:t>
      </w:r>
      <w:r>
        <w:rPr/>
        <w:t xml:space="preserve"> </w:t>
      </w:r>
      <w:r>
        <w:rPr>
          <w:color w:val="808080"/>
        </w:rPr>
        <w:t>(:, -)</w:t>
      </w:r>
      <w:r>
        <w:rPr/>
        <w:t xml:space="preserve"> zwölf Körbe voll </w:t>
      </w:r>
      <w:r>
        <w:rPr>
          <w:color w:val="808080"/>
        </w:rPr>
        <w:t>(ausgefüllt)</w:t>
      </w:r>
      <w:r>
        <w:rPr/>
        <w:t xml:space="preserve">.{{field-off:bible}} </w:t>
        <w:br/>
        <w:t>[[@BibleTOBIBLE:Mt 14:21]]</w:t>
      </w:r>
      <w:r>
        <w:rPr>
          <w:b/>
        </w:rPr>
        <w:t>21</w:t>
      </w:r>
      <w:r>
        <w:rPr/>
        <w:t xml:space="preserve"> {{field-on:bible}}Die aber </w:t>
      </w:r>
      <w:r>
        <w:rPr>
          <w:color w:val="808080"/>
        </w:rPr>
        <w:t>(und)</w:t>
      </w:r>
      <w:r>
        <w:rPr/>
        <w:t xml:space="preserve"> aber, die gegessen hatten, waren an Männern wie </w:t>
      </w:r>
      <w:r>
        <w:rPr>
          <w:color w:val="808080"/>
        </w:rPr>
        <w:t>(ungefähr)</w:t>
      </w:r>
      <w:r>
        <w:rPr/>
        <w:t xml:space="preserve"> 5000, ohne </w:t>
      </w:r>
      <w:r>
        <w:rPr>
          <w:color w:val="808080"/>
        </w:rPr>
        <w:t>(nicht mitgerechnet)</w:t>
      </w:r>
      <w:r>
        <w:rPr/>
        <w:t xml:space="preserve"> Frauen und Kinder.{{field-off:bible}} </w:t>
        <w:br/>
        <w:t>[[@BibleTOBIBLE:Mt 14:22]]</w:t>
      </w:r>
      <w:r>
        <w:rPr>
          <w:b/>
        </w:rPr>
        <w:t>22</w:t>
      </w:r>
      <w:r>
        <w:rPr/>
        <w:t xml:space="preserve"> {{field-on:bible}}Und alsbald </w:t>
      </w:r>
      <w:r>
        <w:rPr>
          <w:color w:val="808080"/>
        </w:rPr>
        <w:t>(sofort, sogleich)</w:t>
      </w:r>
      <w:r>
        <w:rPr/>
        <w:t xml:space="preserve"> nötigten </w:t>
      </w:r>
      <w:r>
        <w:rPr>
          <w:color w:val="808080"/>
        </w:rPr>
        <w:t>(zwangen, forderten nachdrücklich auf)</w:t>
      </w:r>
      <w:r>
        <w:rPr/>
        <w:t xml:space="preserve"> er die Jünger, dass sie in das Boot einsteigem und an das jenseitige </w:t>
      </w:r>
      <w:r>
        <w:rPr>
          <w:b/>
          <w:color w:val="808080"/>
        </w:rPr>
        <w:t>[</w:t>
      </w:r>
      <w:r>
        <w:rPr/>
        <w:t>Ufer</w:t>
      </w:r>
      <w:r>
        <w:rPr>
          <w:b/>
          <w:color w:val="808080"/>
        </w:rPr>
        <w:t>]</w:t>
      </w:r>
      <w:r>
        <w:rPr/>
        <w:t xml:space="preserve"> </w:t>
      </w:r>
      <w:r>
        <w:rPr>
          <w:color w:val="808080"/>
        </w:rPr>
        <w:t>(die andere Seite des Sees)</w:t>
      </w:r>
      <w:r>
        <w:rPr/>
        <w:t xml:space="preserve"> vorausgehem </w:t>
      </w:r>
      <w:r>
        <w:rPr>
          <w:color w:val="808080"/>
        </w:rPr>
        <w:t>(vorausfahrem)</w:t>
      </w:r>
      <w:r>
        <w:rPr/>
        <w:t xml:space="preserve"> solange </w:t>
      </w:r>
      <w:r>
        <w:rPr>
          <w:color w:val="808080"/>
        </w:rPr>
        <w:t>(während)</w:t>
      </w:r>
      <w:r>
        <w:rPr/>
        <w:t xml:space="preserve"> er die Menge verabschiedete.{{field-off:bible}} </w:t>
        <w:br/>
        <w:t>[[@BibleTOBIBLE:Mt 14:23]]</w:t>
      </w:r>
      <w:r>
        <w:rPr>
          <w:b/>
        </w:rPr>
        <w:t>23</w:t>
      </w:r>
      <w:r>
        <w:rPr/>
        <w:t xml:space="preserve"> {{field-on:bible}}Und als er die Menge verabschiedet hatte stieg er auf den Berg </w:t>
      </w:r>
      <w:r>
        <w:rPr>
          <w:color w:val="808080"/>
        </w:rPr>
        <w:t>(einen Berg, in das Gebirge, Bergland)</w:t>
      </w:r>
      <w:r>
        <w:rPr/>
        <w:t xml:space="preserve"> für sich allein um zu beten. Als es aber Abend geworden war, war er noch allein.{{field-off:bible}} </w:t>
        <w:br/>
        <w:t>[[@BibleTOBIBLE:Mt 14:24]]</w:t>
      </w:r>
      <w:r>
        <w:rPr>
          <w:b/>
        </w:rPr>
        <w:t>24</w:t>
      </w:r>
      <w:r>
        <w:rPr/>
        <w:t xml:space="preserve"> {{field-on:bible}}Das Schiff aber war viele Stadien von der Erde </w:t>
      </w:r>
      <w:r>
        <w:rPr>
          <w:color w:val="808080"/>
        </w:rPr>
        <w:t>(dem Ufer)</w:t>
      </w:r>
      <w:r>
        <w:rPr/>
        <w:t xml:space="preserve"> entfernt, als es von den Wellen hart bedrängt </w:t>
      </w:r>
      <w:r>
        <w:rPr>
          <w:color w:val="808080"/>
        </w:rPr>
        <w:t>(gequält)</w:t>
      </w:r>
      <w:r>
        <w:rPr/>
        <w:t xml:space="preserve"> </w:t>
      </w:r>
      <w:r>
        <w:rPr>
          <w:rStyle w:val="Funotenanker"/>
        </w:rPr>
        <w:footnoteReference w:customMarkFollows="1" w:id="3443"/>
        <w:t>p</w:t>
      </w:r>
      <w:r>
        <w:rPr/>
        <w:t xml:space="preserve"> wurde, denn der Wind war entgegengesetzt </w:t>
      </w:r>
      <w:r>
        <w:rPr>
          <w:color w:val="808080"/>
        </w:rPr>
        <w:t>(gegen(über-)stehend)</w:t>
      </w:r>
      <w:r>
        <w:rPr/>
        <w:t xml:space="preserve">.{{field-off:bible}} </w:t>
        <w:br/>
        <w:t>[[@BibleTOBIBLE:Mt 14:25]]</w:t>
      </w:r>
      <w:r>
        <w:rPr>
          <w:b/>
        </w:rPr>
        <w:t>25</w:t>
      </w:r>
      <w:r>
        <w:rPr/>
        <w:t xml:space="preserve"> {{field-on:bible}}Aber in der vierten Nachtwache kam er zu ihnen, er ging </w:t>
      </w:r>
      <w:r>
        <w:rPr>
          <w:color w:val="808080"/>
        </w:rPr>
        <w:t>(dabei)</w:t>
      </w:r>
      <w:r>
        <w:rPr/>
        <w:t xml:space="preserve"> </w:t>
      </w:r>
      <w:r>
        <w:rPr>
          <w:rStyle w:val="Funotenanker"/>
        </w:rPr>
        <w:footnoteReference w:customMarkFollows="1" w:id="3444"/>
        <w:t>q</w:t>
      </w:r>
      <w:r>
        <w:rPr/>
        <w:t xml:space="preserve"> auf dem See.{{field-off:bible}} </w:t>
        <w:br/>
        <w:t>[[@BibleTOBIBLE:Mt 14:26]]</w:t>
      </w:r>
      <w:r>
        <w:rPr>
          <w:b/>
        </w:rPr>
        <w:t>26</w:t>
      </w:r>
      <w:r>
        <w:rPr/>
        <w:t xml:space="preserve"> {{field-on:bible}}Als aber die Jünger ihn auf dem See gehend</w:t>
      </w:r>
      <w:r>
        <w:rPr>
          <w:rStyle w:val="Funotenanker"/>
        </w:rPr>
        <w:footnoteReference w:customMarkFollows="1" w:id="3445"/>
        <w:t>r</w:t>
      </w:r>
      <w:r>
        <w:rPr/>
        <w:t xml:space="preserve"> sahen, waren</w:t>
      </w:r>
      <w:r>
        <w:rPr>
          <w:rStyle w:val="Funotenanker"/>
        </w:rPr>
        <w:footnoteReference w:customMarkFollows="1" w:id="3446"/>
        <w:t>s</w:t>
      </w:r>
      <w:r>
        <w:rPr/>
        <w:t xml:space="preserve"> sie in Aufregung </w:t>
      </w:r>
      <w:r>
        <w:rPr>
          <w:color w:val="808080"/>
        </w:rPr>
        <w:t>(Unruhe, Verwirrung)</w:t>
      </w:r>
      <w:r>
        <w:rPr/>
        <w:t xml:space="preserve"> </w:t>
      </w:r>
      <w:r>
        <w:rPr>
          <w:color w:val="808080"/>
        </w:rPr>
        <w:t>(hatten Sie Angst, gerieten sie in Schrecken)</w:t>
      </w:r>
      <w:r>
        <w:rPr/>
        <w:t>, sagend</w:t>
      </w:r>
      <w:r>
        <w:rPr>
          <w:rStyle w:val="Funotenanker"/>
        </w:rPr>
        <w:footnoteReference w:customMarkFollows="1" w:id="3447"/>
        <w:t>t</w:t>
      </w:r>
      <w:r>
        <w:rPr/>
        <w:t xml:space="preserve"> </w:t>
      </w:r>
      <w:r>
        <w:rPr>
          <w:color w:val="808080"/>
        </w:rPr>
        <w:t>(meinend, denkend)</w:t>
      </w:r>
      <w:r>
        <w:rPr/>
        <w:t xml:space="preserve">, dass es eine Erscheinung </w:t>
      </w:r>
      <w:r>
        <w:rPr>
          <w:color w:val="808080"/>
        </w:rPr>
        <w:t>(Gespenst)</w:t>
      </w:r>
      <w:r>
        <w:rPr/>
        <w:t xml:space="preserve"> sei, und vor Furcht </w:t>
      </w:r>
      <w:r>
        <w:rPr>
          <w:color w:val="808080"/>
        </w:rPr>
        <w:t>(Angst)</w:t>
      </w:r>
      <w:r>
        <w:rPr/>
        <w:t xml:space="preserve"> schrien </w:t>
      </w:r>
      <w:r>
        <w:rPr>
          <w:color w:val="808080"/>
        </w:rPr>
        <w:t>(riefen)</w:t>
      </w:r>
      <w:r>
        <w:rPr/>
        <w:t xml:space="preserve"> sie.{{field-off:bible}} </w:t>
        <w:br/>
        <w:t>[[@BibleTOBIBLE:Mt 14:27]]</w:t>
      </w:r>
      <w:r>
        <w:rPr>
          <w:b/>
        </w:rPr>
        <w:t>27</w:t>
      </w:r>
      <w:r>
        <w:rPr/>
        <w:t xml:space="preserve"> {{field-on:bible}}Da aber sagte [Jesus] ihnen </w:t>
      </w:r>
      <w:r>
        <w:rPr>
          <w:strike/>
          <w:color w:val="808080"/>
        </w:rPr>
        <w:t>{sagend}</w:t>
      </w:r>
      <w:r>
        <w:rPr/>
        <w:t xml:space="preserve">: Seid guten Mutes </w:t>
      </w:r>
      <w:r>
        <w:rPr>
          <w:color w:val="808080"/>
        </w:rPr>
        <w:t>(voller Zuversicht; habt keine Angst)</w:t>
      </w:r>
      <w:r>
        <w:rPr/>
        <w:t xml:space="preserve">, ich bin es, fürchtet euch nicht </w:t>
      </w:r>
      <w:r>
        <w:rPr>
          <w:b/>
          <w:color w:val="808080"/>
        </w:rPr>
        <w:t>[</w:t>
      </w:r>
      <w:r>
        <w:rPr/>
        <w:t>länger</w:t>
      </w:r>
      <w:r>
        <w:rPr>
          <w:b/>
          <w:color w:val="808080"/>
        </w:rPr>
        <w:t>]</w:t>
      </w:r>
      <w:r>
        <w:rPr/>
        <w:t xml:space="preserve">.{{field-off:bible}} </w:t>
        <w:br/>
        <w:t>[[@BibleTOBIBLE:Mt 14:28]]</w:t>
      </w:r>
      <w:r>
        <w:rPr>
          <w:b/>
        </w:rPr>
        <w:t>28</w:t>
      </w:r>
      <w:r>
        <w:rPr/>
        <w:t xml:space="preserve"> {{field-on:bible}}Da antwortete ihm aber Petrus: Herr, wenn du es bist, befehle </w:t>
      </w:r>
      <w:r>
        <w:rPr>
          <w:color w:val="808080"/>
        </w:rPr>
        <w:t>(ordne an)</w:t>
      </w:r>
      <w:r>
        <w:rPr/>
        <w:t xml:space="preserve"> mir zu dir zu gehen auf dem Wasser.{{field-off:bible}} </w:t>
        <w:br/>
        <w:t>[[@BibleTOBIBLE:Mt 14:29]]</w:t>
      </w:r>
      <w:r>
        <w:rPr>
          <w:b/>
        </w:rPr>
        <w:t>29</w:t>
      </w:r>
      <w:r>
        <w:rPr/>
        <w:t xml:space="preserve"> {{field-on:bible}}Er aber sagte: Komm! Und als er ausstieg</w:t>
      </w:r>
      <w:r>
        <w:rPr>
          <w:rStyle w:val="Funotenanker"/>
        </w:rPr>
        <w:footnoteReference w:customMarkFollows="1" w:id="3448"/>
        <w:t>u</w:t>
      </w:r>
      <w:r>
        <w:rPr/>
        <w:t xml:space="preserve"> aus dem Schiff, ging Petrus auf dem Wasser und ging </w:t>
      </w:r>
      <w:r>
        <w:rPr>
          <w:color w:val="808080"/>
        </w:rPr>
        <w:t>(kam)</w:t>
      </w:r>
      <w:r>
        <w:rPr/>
        <w:t xml:space="preserve"> zu Jesus.{{field-off:bible}} </w:t>
        <w:br/>
        <w:t>[[@BibleTOBIBLE:Mt 14:30]]</w:t>
      </w:r>
      <w:r>
        <w:rPr>
          <w:b/>
        </w:rPr>
        <w:t>30</w:t>
      </w:r>
      <w:r>
        <w:rPr/>
        <w:t xml:space="preserve"> {{field-on:bible}}Als er aber den </w:t>
      </w:r>
      <w:r>
        <w:rPr>
          <w:b/>
          <w:color w:val="808080"/>
        </w:rPr>
        <w:t>[</w:t>
      </w:r>
      <w:r>
        <w:rPr/>
        <w:t>starken</w:t>
      </w:r>
      <w:r>
        <w:rPr>
          <w:b/>
          <w:color w:val="808080"/>
        </w:rPr>
        <w:t>]</w:t>
      </w:r>
      <w:r>
        <w:rPr/>
        <w:t xml:space="preserve"> Wind sah, fürchtete er sich und fing</w:t>
      </w:r>
      <w:r>
        <w:rPr>
          <w:rStyle w:val="Funotenanker"/>
        </w:rPr>
        <w:footnoteReference w:customMarkFollows="1" w:id="3449"/>
        <w:t>v</w:t>
      </w:r>
      <w:r>
        <w:rPr/>
        <w:t xml:space="preserve"> an zu </w:t>
      </w:r>
      <w:r>
        <w:rPr>
          <w:color w:val="808080"/>
        </w:rPr>
        <w:t>(ver-)</w:t>
      </w:r>
      <w:r>
        <w:rPr/>
        <w:t>sinken, sagend</w:t>
      </w:r>
      <w:r>
        <w:rPr>
          <w:rStyle w:val="Funotenanker"/>
        </w:rPr>
        <w:footnoteReference w:customMarkFollows="1" w:id="3450"/>
        <w:t>w</w:t>
      </w:r>
      <w:r>
        <w:rPr/>
        <w:t xml:space="preserve">: Herr, hilf mir </w:t>
      </w:r>
      <w:r>
        <w:rPr>
          <w:color w:val="808080"/>
        </w:rPr>
        <w:t>(rette mich)</w:t>
      </w:r>
      <w:r>
        <w:rPr/>
        <w:t xml:space="preserve">!{{field-off:bible}} </w:t>
        <w:br/>
        <w:t>[[@BibleTOBIBLE:Mt 14:31]]</w:t>
      </w:r>
      <w:r>
        <w:rPr>
          <w:b/>
        </w:rPr>
        <w:t>31</w:t>
      </w:r>
      <w:r>
        <w:rPr/>
        <w:t xml:space="preserve"> {{field-on:bible}}Da steckte Jesus aber seine Hand aus und e hielt ihn fest </w:t>
      </w:r>
      <w:r>
        <w:rPr>
          <w:color w:val="808080"/>
        </w:rPr>
        <w:t>(ergriff ihn)</w:t>
      </w:r>
      <w:r>
        <w:rPr/>
        <w:t xml:space="preserve"> und sagte ihm: Kleingläubiger </w:t>
      </w:r>
      <w:r>
        <w:rPr>
          <w:color w:val="808080"/>
        </w:rPr>
        <w:t>(von schwachem Vertrauen)</w:t>
      </w:r>
      <w:r>
        <w:rPr/>
        <w:t xml:space="preserve">, warum zweifelst du?{{field-off:bible}} </w:t>
        <w:br/>
        <w:t>[[@BibleTOBIBLE:Mt 14:32]]</w:t>
      </w:r>
      <w:r>
        <w:rPr>
          <w:b/>
        </w:rPr>
        <w:t>32</w:t>
      </w:r>
      <w:r>
        <w:rPr/>
        <w:t xml:space="preserve"> {{field-on:bible}}Und als die in das Boot einstiegen</w:t>
      </w:r>
      <w:r>
        <w:rPr>
          <w:rStyle w:val="Funotenanker"/>
        </w:rPr>
        <w:footnoteReference w:customMarkFollows="1" w:id="3451"/>
        <w:t>x</w:t>
      </w:r>
      <w:r>
        <w:rPr/>
        <w:t xml:space="preserve"> legte </w:t>
      </w:r>
      <w:r>
        <w:rPr>
          <w:color w:val="808080"/>
        </w:rPr>
        <w:t>(wurde müde, lies nach)</w:t>
      </w:r>
      <w:r>
        <w:rPr/>
        <w:t xml:space="preserve"> sich der Sturm.{{field-off:bible}} </w:t>
        <w:br/>
        <w:t>[[@BibleTOBIBLE:Mt 14:33]]</w:t>
      </w:r>
      <w:r>
        <w:rPr>
          <w:b/>
        </w:rPr>
        <w:t>33</w:t>
      </w:r>
      <w:r>
        <w:rPr/>
        <w:t xml:space="preserve"> {{field-on:bible}}Die aber im Boot waren, warfen sich vor ihm nieder und sagten</w:t>
      </w:r>
      <w:r>
        <w:rPr>
          <w:rStyle w:val="Funotenanker"/>
        </w:rPr>
        <w:footnoteReference w:customMarkFollows="1" w:id="3452"/>
        <w:t>y</w:t>
      </w:r>
      <w:r>
        <w:rPr/>
        <w:t xml:space="preserve">: Wahrlich </w:t>
      </w:r>
      <w:r>
        <w:rPr>
          <w:color w:val="808080"/>
        </w:rPr>
        <w:t>(wirklich, wahrhaftig, tatsächlich)</w:t>
      </w:r>
      <w:r>
        <w:rPr/>
        <w:t xml:space="preserve">, du bist Gottes Sohn.{{field-off:bible}} </w:t>
        <w:br/>
        <w:t>[[@BibleTOBIBLE:Mt 14:34]]</w:t>
      </w:r>
      <w:r>
        <w:rPr>
          <w:b/>
        </w:rPr>
        <w:t>34</w:t>
      </w:r>
      <w:r>
        <w:rPr/>
        <w:t xml:space="preserve"> {{field-on:bible}}Und als </w:t>
      </w:r>
      <w:r>
        <w:rPr>
          <w:color w:val="808080"/>
        </w:rPr>
        <w:t>(nachdem)</w:t>
      </w:r>
      <w:r>
        <w:rPr/>
        <w:t xml:space="preserve"> sie herübergefahren waren</w:t>
      </w:r>
      <w:r>
        <w:rPr>
          <w:rStyle w:val="Funotenanker"/>
        </w:rPr>
        <w:footnoteReference w:customMarkFollows="1" w:id="3453"/>
        <w:t>z</w:t>
      </w:r>
      <w:r>
        <w:rPr/>
        <w:t xml:space="preserve"> kamen sie an Land nach Genesaret.{{field-off:bible}} </w:t>
        <w:br/>
        <w:t>[[@BibleTOBIBLE:Mt 14:35]]</w:t>
      </w:r>
      <w:r>
        <w:rPr>
          <w:b/>
        </w:rPr>
        <w:t>35</w:t>
      </w:r>
      <w:r>
        <w:rPr/>
        <w:t xml:space="preserve"> {{field-on:bible}}Und als die Bewohner des Ortes sie erkannten, benachrichtigten </w:t>
      </w:r>
      <w:r>
        <w:rPr>
          <w:color w:val="808080"/>
        </w:rPr>
        <w:t>(schickten nach)</w:t>
      </w:r>
      <w:r>
        <w:rPr/>
        <w:t xml:space="preserve"> sie jene ganze Umgebung </w:t>
      </w:r>
      <w:r>
        <w:rPr>
          <w:color w:val="808080"/>
        </w:rPr>
        <w:t>(Nachbarschaft)</w:t>
      </w:r>
      <w:r>
        <w:rPr/>
        <w:t xml:space="preserve"> und man brachte ihm alle, die Krankheiten hatten</w:t>
      </w:r>
      <w:r>
        <w:rPr>
          <w:rStyle w:val="Funotenanker"/>
        </w:rPr>
        <w:footnoteReference w:customMarkFollows="1" w:id="3454"/>
        <w:t>aa</w:t>
      </w:r>
      <w:r>
        <w:rPr/>
        <w:t xml:space="preserve">.{{field-off:bible}} </w:t>
        <w:br/>
        <w:t>[[@BibleTOBIBLE:Mt 14:36]]</w:t>
      </w:r>
      <w:r>
        <w:rPr>
          <w:b/>
        </w:rPr>
        <w:t>36</w:t>
      </w:r>
      <w:r>
        <w:rPr/>
        <w:t xml:space="preserve"> {{field-on:bible}}und baten ihn, dass er sie nur berühren </w:t>
      </w:r>
      <w:r>
        <w:rPr>
          <w:color w:val="808080"/>
        </w:rPr>
        <w:t>(anfassen)</w:t>
      </w:r>
      <w:r>
        <w:rPr/>
        <w:t xml:space="preserve"> dürften den Saum seines Gewandes; und so viele ihn berührten wurden gerettet </w:t>
      </w:r>
      <w:r>
        <w:rPr>
          <w:color w:val="808080"/>
        </w:rPr>
        <w:t>(am Leben erhalten, geheilt)</w:t>
      </w:r>
      <w:r>
        <w:rPr/>
        <w:t xml:space="preserve">.{{field-off:bible}}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3455"/>
        <w:t>Status</w:t>
      </w:r>
      <w:r>
        <w:rPr/>
        <w:t xml:space="preserve"> Dann </w:t>
      </w:r>
      <w:r>
        <w:rPr>
          <w:color w:val="808080"/>
        </w:rPr>
        <w:t>(da, darauf)</w:t>
      </w:r>
      <w:r>
        <w:rPr/>
        <w:t xml:space="preserve"> kamen zu Jesus aus Jerusalem Pharisäer und Schriftgelehrte und sagten</w:t>
      </w:r>
      <w:r>
        <w:rPr>
          <w:rStyle w:val="Funotenanker"/>
        </w:rPr>
        <w:footnoteReference w:customMarkFollows="1" w:id="3456"/>
        <w:t>a</w:t>
      </w:r>
      <w:r>
        <w:rPr/>
        <w:t xml:space="preserve">:{{field-off:bible}} </w:t>
        <w:br/>
        <w:t>[[@BibleTOBIBLE:Mt 15:2]]</w:t>
      </w:r>
      <w:r>
        <w:rPr>
          <w:b/>
        </w:rPr>
        <w:t>2</w:t>
      </w:r>
      <w:r>
        <w:rPr/>
        <w:t xml:space="preserve"> {{field-on:bible}}Warum missachten </w:t>
      </w:r>
      <w:r>
        <w:rPr>
          <w:color w:val="808080"/>
        </w:rPr>
        <w:t>(übertreten)</w:t>
      </w:r>
      <w:r>
        <w:rPr/>
        <w:t xml:space="preserve"> deine Jünger die Überlieferung der Alten </w:t>
      </w:r>
      <w:r>
        <w:rPr>
          <w:color w:val="808080"/>
        </w:rPr>
        <w:t>(Vorfahren)</w:t>
      </w:r>
      <w:r>
        <w:rPr/>
        <w:t xml:space="preserve">? Denn sie waschen sich nicht </w:t>
      </w:r>
      <w:r>
        <w:rPr>
          <w:b/>
          <w:color w:val="808080"/>
        </w:rPr>
        <w:t>[</w:t>
      </w:r>
      <w:r>
        <w:rPr/>
        <w:t>ihre</w:t>
      </w:r>
      <w:r>
        <w:rPr>
          <w:b/>
          <w:color w:val="808080"/>
        </w:rPr>
        <w:t>]</w:t>
      </w:r>
      <w:r>
        <w:rPr/>
        <w:t xml:space="preserve"> Hände, wenn sie Brot essen </w:t>
      </w:r>
      <w:r>
        <w:rPr>
          <w:color w:val="808080"/>
        </w:rPr>
        <w:t>(eine Mahlzeit einnehmen, vor dem Essen)</w:t>
      </w:r>
      <w:r>
        <w:rPr/>
        <w:t xml:space="preserve">.{{field-off:bible}} </w:t>
        <w:br/>
        <w:t>[[@BibleTOBIBLE:Mt 15:3]]</w:t>
      </w:r>
      <w:r>
        <w:rPr>
          <w:b/>
        </w:rPr>
        <w:t>3</w:t>
      </w:r>
      <w:r>
        <w:rPr/>
        <w:t xml:space="preserve"> {{field-on:bible}}Dieser aber antwortete ihnen: Warum missachtet </w:t>
      </w:r>
      <w:r>
        <w:rPr>
          <w:color w:val="808080"/>
        </w:rPr>
        <w:t>(übertretet)</w:t>
      </w:r>
      <w:r>
        <w:rPr/>
        <w:t xml:space="preserve"> ihr das Gebot Gottes eurer Überlieferung zuliebe </w:t>
      </w:r>
      <w:r>
        <w:rPr>
          <w:color w:val="808080"/>
        </w:rPr>
        <w:t>(wegen)</w:t>
      </w:r>
      <w:r>
        <w:rPr/>
        <w:t xml:space="preserve">?{{field-off:bible}} </w:t>
        <w:br/>
        <w:t>[[@BibleTOBIBLE:Mt 15:4]]</w:t>
      </w:r>
      <w:r>
        <w:rPr>
          <w:b/>
        </w:rPr>
        <w:t>4</w:t>
      </w:r>
      <w:r>
        <w:rPr/>
        <w:t xml:space="preserve"> {{field-on:bible}}Denn Gott sagte: Ehre </w:t>
      </w:r>
      <w:r>
        <w:rPr>
          <w:color w:val="808080"/>
        </w:rPr>
        <w:t>(schätze)</w:t>
      </w:r>
      <w:r>
        <w:rPr/>
        <w:t xml:space="preserve"> den Vater und die Mutter, und: Wer schmäht </w:t>
      </w:r>
      <w:r>
        <w:rPr>
          <w:color w:val="808080"/>
        </w:rPr>
        <w:t>(verflucht)</w:t>
      </w:r>
      <w:r>
        <w:rPr/>
        <w:t xml:space="preserve"> </w:t>
      </w:r>
      <w:r>
        <w:rPr>
          <w:rStyle w:val="Funotenanker"/>
        </w:rPr>
        <w:footnoteReference w:customMarkFollows="1" w:id="3457"/>
        <w:t>b</w:t>
      </w:r>
      <w:r>
        <w:rPr/>
        <w:t xml:space="preserve"> Vater oder Mutter muss </w:t>
      </w:r>
      <w:r>
        <w:rPr>
          <w:color w:val="808080"/>
        </w:rPr>
        <w:t>(auf jeden Fall)</w:t>
      </w:r>
      <w:r>
        <w:rPr/>
        <w:t xml:space="preserve"> sterben.{{field-off:bible}} </w:t>
        <w:br/>
        <w:t>[[@BibleTOBIBLE:Mt 15:5]]</w:t>
      </w:r>
      <w:r>
        <w:rPr>
          <w:b/>
        </w:rPr>
        <w:t>5</w:t>
      </w:r>
      <w:r>
        <w:rPr/>
        <w:t xml:space="preserve"> {{field-on:bible}}Ihr aber sagt: Wer auch immer sagt dem Vater oder der Mutter: Eine Opfergabe </w:t>
      </w:r>
      <w:r>
        <w:rPr>
          <w:color w:val="808080"/>
        </w:rPr>
        <w:t>(eine Gott geweihte Gabe)</w:t>
      </w:r>
      <w:r>
        <w:rPr/>
        <w:t xml:space="preserve"> sei alles, was du von mir als Nutzen </w:t>
      </w:r>
      <w:r>
        <w:rPr>
          <w:color w:val="808080"/>
        </w:rPr>
        <w:t>(Unterstützung)</w:t>
      </w:r>
      <w:r>
        <w:rPr/>
        <w:t xml:space="preserve"> hast,{{field-off:bible}} </w:t>
        <w:br/>
        <w:t>[[@BibleTOBIBLE:Mt 15:6]]</w:t>
      </w:r>
      <w:r>
        <w:rPr>
          <w:b/>
        </w:rPr>
        <w:t>6</w:t>
      </w:r>
      <w:r>
        <w:rPr/>
        <w:t xml:space="preserve"> {{field-on:bible}}der wird </w:t>
      </w:r>
      <w:r>
        <w:rPr>
          <w:color w:val="808080"/>
        </w:rPr>
        <w:t>(muss)</w:t>
      </w:r>
      <w:r>
        <w:rPr/>
        <w:t xml:space="preserve"> nicht ehren seinen Vater; und ihr setzt außer Kraft </w:t>
      </w:r>
      <w:r>
        <w:rPr>
          <w:color w:val="808080"/>
        </w:rPr>
        <w:t>(erklärt für Ungültig)</w:t>
      </w:r>
      <w:r>
        <w:rPr/>
        <w:t xml:space="preserve"> das Wort Gottes durch eure Überlieferung.{{field-off:bible}} </w:t>
        <w:br/>
        <w:t>[[@BibleTOBIBLE:Mt 15:7]]</w:t>
      </w:r>
      <w:r>
        <w:rPr>
          <w:b/>
        </w:rPr>
        <w:t>7</w:t>
      </w:r>
      <w:r>
        <w:rPr/>
        <w:t xml:space="preserve"> {{field-on:bible}}Heuchler </w:t>
      </w:r>
      <w:r>
        <w:rPr>
          <w:color w:val="808080"/>
        </w:rPr>
        <w:t>(Scheinheilige)</w:t>
      </w:r>
      <w:r>
        <w:rPr/>
        <w:t xml:space="preserve">, richtig </w:t>
      </w:r>
      <w:r>
        <w:rPr>
          <w:color w:val="808080"/>
        </w:rPr>
        <w:t>(zutreffend)</w:t>
      </w:r>
      <w:r>
        <w:rPr/>
        <w:t xml:space="preserve"> hat prophezeit </w:t>
      </w:r>
      <w:r>
        <w:rPr>
          <w:color w:val="808080"/>
        </w:rPr>
        <w:t>(prophetisch geredet)</w:t>
      </w:r>
      <w:r>
        <w:rPr/>
        <w:t xml:space="preserve"> Jesaja über euch, der da spricht</w:t>
      </w:r>
      <w:r>
        <w:rPr>
          <w:rStyle w:val="Funotenanker"/>
        </w:rPr>
        <w:footnoteReference w:customMarkFollows="1" w:id="3458"/>
        <w:t>c</w:t>
      </w:r>
      <w:r>
        <w:rPr/>
        <w:t xml:space="preserve">:{{field-off:bible}} </w:t>
        <w:br/>
        <w:t>[[@BibleTOBIBLE:Mt 15:8]]</w:t>
      </w:r>
      <w:r>
        <w:rPr>
          <w:b/>
        </w:rPr>
        <w:t>8</w:t>
      </w:r>
      <w:r>
        <w:rPr/>
        <w:t xml:space="preserve"> {{field-on:bible}}Dieses Volk durch Lippen mich ehrt, aber ihr Herz ist weit entfernt von mir.</w:t>
      </w:r>
      <w:r>
        <w:rPr>
          <w:rStyle w:val="Funotenanker"/>
        </w:rPr>
        <w:footnoteReference w:customMarkFollows="1" w:id="3459"/>
        <w:t>d</w:t>
      </w:r>
      <w:r>
        <w:rPr/>
        <w:t xml:space="preserve"> {{field-off:bible}} </w:t>
        <w:br/>
        <w:t>[[@BibleTOBIBLE:Mt 15:9]]</w:t>
      </w:r>
      <w:r>
        <w:rPr>
          <w:b/>
        </w:rPr>
        <w:t>9</w:t>
      </w:r>
      <w:r>
        <w:rPr/>
        <w:t xml:space="preserve"> {{field-on:bible}}Vergeblich </w:t>
      </w:r>
      <w:r>
        <w:rPr>
          <w:color w:val="808080"/>
        </w:rPr>
        <w:t>(umsonst)</w:t>
      </w:r>
      <w:r>
        <w:rPr/>
        <w:t xml:space="preserve"> verehren sie mich weil sie vortragen</w:t>
      </w:r>
      <w:r>
        <w:rPr>
          <w:rStyle w:val="Funotenanker"/>
        </w:rPr>
        <w:footnoteReference w:customMarkFollows="1" w:id="3460"/>
        <w:t>e</w:t>
      </w:r>
      <w:r>
        <w:rPr/>
        <w:t xml:space="preserve"> als Lehren Gebote der Menschen.{{field-off:bible}} </w:t>
        <w:br/>
        <w:t>[[@BibleTOBIBLE:Mt 15:10]]</w:t>
      </w:r>
      <w:r>
        <w:rPr>
          <w:b/>
        </w:rPr>
        <w:t>10</w:t>
      </w:r>
      <w:r>
        <w:rPr/>
        <w:t xml:space="preserve"> {{field-on:bible}}Und er rufte zu sich </w:t>
      </w:r>
      <w:r>
        <w:rPr>
          <w:color w:val="808080"/>
        </w:rPr>
        <w:t>(herbei)</w:t>
      </w:r>
      <w:r>
        <w:rPr/>
        <w:t xml:space="preserve"> </w:t>
      </w:r>
      <w:r>
        <w:rPr>
          <w:rStyle w:val="Funotenanker"/>
        </w:rPr>
        <w:footnoteReference w:customMarkFollows="1" w:id="3461"/>
        <w:t>f</w:t>
      </w:r>
      <w:r>
        <w:rPr/>
        <w:t xml:space="preserve"> die Volksmenge und sagte ihnen: Hört zu und versteht </w:t>
      </w:r>
      <w:r>
        <w:rPr>
          <w:color w:val="808080"/>
        </w:rPr>
        <w:t>(begreift, seht ein)</w:t>
      </w:r>
      <w:r>
        <w:rPr/>
        <w:t xml:space="preserve">:{{field-off:bible}} </w:t>
        <w:br/>
        <w:t>[[@BibleTOBIBLE:Mt 15:11]]</w:t>
      </w:r>
      <w:r>
        <w:rPr>
          <w:b/>
        </w:rPr>
        <w:t>11</w:t>
      </w:r>
      <w:r>
        <w:rPr/>
        <w:t xml:space="preserve"> {{field-on:bible}}Nicht was hineingeht</w:t>
      </w:r>
      <w:r>
        <w:rPr>
          <w:rStyle w:val="Funotenanker"/>
        </w:rPr>
        <w:footnoteReference w:customMarkFollows="1" w:id="3462"/>
        <w:t>g</w:t>
      </w:r>
      <w:r>
        <w:rPr/>
        <w:t xml:space="preserve"> in den Mund macht den Menschen unrein </w:t>
      </w:r>
      <w:r>
        <w:rPr>
          <w:color w:val="808080"/>
        </w:rPr>
        <w:t>(verunreinigt ihn)</w:t>
      </w:r>
      <w:r>
        <w:rPr/>
        <w:t xml:space="preserve">, sondern was hinausgeht </w:t>
      </w:r>
      <w:r>
        <w:rPr>
          <w:color w:val="808080"/>
        </w:rPr>
        <w:t>(hinauskommt)</w:t>
      </w:r>
      <w:r>
        <w:rPr/>
        <w:t xml:space="preserve"> </w:t>
      </w:r>
      <w:r>
        <w:rPr>
          <w:rStyle w:val="Funotenanker"/>
        </w:rPr>
        <w:footnoteReference w:customMarkFollows="1" w:id="3463"/>
        <w:t>h</w:t>
      </w:r>
      <w:r>
        <w:rPr/>
        <w:t xml:space="preserve">aus dem Mund das macht den Menschen unrein.{{field-off:bible}} </w:t>
        <w:br/>
        <w:t>[[@BibleTOBIBLE:Mt 15:12]]</w:t>
      </w:r>
      <w:r>
        <w:rPr>
          <w:b/>
        </w:rPr>
        <w:t>12</w:t>
      </w:r>
      <w:r>
        <w:rPr/>
        <w:t xml:space="preserve"> {{field-on:bible}}Dann </w:t>
      </w:r>
      <w:r>
        <w:rPr>
          <w:color w:val="808080"/>
        </w:rPr>
        <w:t>(da, darauf)</w:t>
      </w:r>
      <w:r>
        <w:rPr/>
        <w:t xml:space="preserve"> kamen</w:t>
      </w:r>
      <w:r>
        <w:rPr>
          <w:rStyle w:val="Funotenanker"/>
        </w:rPr>
        <w:footnoteReference w:customMarkFollows="1" w:id="3464"/>
        <w:t>i</w:t>
      </w:r>
      <w:r>
        <w:rPr/>
        <w:t xml:space="preserve"> die Jünger und sagten ihm: Weißt du, dass die Pharisäer, als sie dein Wort hörten</w:t>
      </w:r>
      <w:r>
        <w:rPr>
          <w:rStyle w:val="Funotenanker"/>
        </w:rPr>
        <w:footnoteReference w:customMarkFollows="1" w:id="3465"/>
        <w:t>j</w:t>
      </w:r>
      <w:r>
        <w:rPr/>
        <w:t xml:space="preserve">, sich ärgerten </w:t>
      </w:r>
      <w:r>
        <w:rPr>
          <w:color w:val="808080"/>
        </w:rPr>
        <w:t>(Anstoß nahmen, sich entrüsteten/empörten)</w:t>
      </w:r>
      <w:r>
        <w:rPr/>
        <w:t xml:space="preserve">?{{field-off:bible}} </w:t>
        <w:br/>
        <w:t>[[@BibleTOBIBLE:Mt 15:13]]</w:t>
      </w:r>
      <w:r>
        <w:rPr>
          <w:b/>
        </w:rPr>
        <w:t>13</w:t>
      </w:r>
      <w:r>
        <w:rPr/>
        <w:t xml:space="preserve"> {{field-on:bible}}Der aber antwortete ihnen </w:t>
      </w:r>
      <w:r>
        <w:rPr>
          <w:strike/>
          <w:color w:val="808080"/>
        </w:rPr>
        <w:t>{sagend}</w:t>
      </w:r>
      <w:r>
        <w:rPr/>
        <w:t xml:space="preserve">: Alle Pflanzen die nicht mein himmlische </w:t>
      </w:r>
      <w:r>
        <w:rPr>
          <w:color w:val="808080"/>
        </w:rPr>
        <w:t>(im Himmel befindlicher)</w:t>
      </w:r>
      <w:r>
        <w:rPr/>
        <w:t xml:space="preserve"> Vater angepflanzt hat wird er entwurzeln </w:t>
      </w:r>
      <w:r>
        <w:rPr>
          <w:color w:val="808080"/>
        </w:rPr>
        <w:t>(ausreißen)</w:t>
      </w:r>
      <w:r>
        <w:rPr/>
        <w:t xml:space="preserve">.{{field-off:bible}} </w:t>
        <w:br/>
        <w:t>[[@BibleTOBIBLE:Mt 15:14]]</w:t>
      </w:r>
      <w:r>
        <w:rPr>
          <w:b/>
        </w:rPr>
        <w:t>14</w:t>
      </w:r>
      <w:r>
        <w:rPr/>
        <w:t xml:space="preserve"> {{field-on:bible}}Lasst sie gewähren; Blinde sind Führer </w:t>
      </w:r>
      <w:r>
        <w:rPr>
          <w:b/>
          <w:color w:val="808080"/>
        </w:rPr>
        <w:t>[</w:t>
      </w:r>
      <w:r>
        <w:rPr/>
        <w:t>der Blinden</w:t>
      </w:r>
      <w:r>
        <w:rPr>
          <w:b/>
          <w:color w:val="808080"/>
        </w:rPr>
        <w:t>]</w:t>
      </w:r>
      <w:r>
        <w:rPr/>
        <w:t xml:space="preserve">, wenn aber Blinde Blinde führen </w:t>
      </w:r>
      <w:r>
        <w:rPr>
          <w:color w:val="808080"/>
        </w:rPr>
        <w:t>(leiten)</w:t>
      </w:r>
      <w:r>
        <w:rPr/>
        <w:t xml:space="preserve">, werden beide in die Grube fallen.{{field-off:bible}} </w:t>
        <w:br/>
        <w:t>[[@BibleTOBIBLE:Mt 15:15]]</w:t>
      </w:r>
      <w:r>
        <w:rPr>
          <w:b/>
        </w:rPr>
        <w:t>15</w:t>
      </w:r>
      <w:r>
        <w:rPr/>
        <w:t xml:space="preserve"> {{field-on:bible}}Es antwortete aber Petrus ihn </w:t>
      </w:r>
      <w:r>
        <w:rPr>
          <w:strike/>
          <w:color w:val="808080"/>
        </w:rPr>
        <w:t>{sagend}</w:t>
      </w:r>
      <w:r>
        <w:rPr/>
        <w:t xml:space="preserve"> Erkläre </w:t>
      </w:r>
      <w:r>
        <w:rPr>
          <w:color w:val="808080"/>
        </w:rPr>
        <w:t>(deute)</w:t>
      </w:r>
      <w:r>
        <w:rPr/>
        <w:t xml:space="preserve"> und dieses Gleichnis.{{field-off:bible}} </w:t>
        <w:br/>
        <w:t>[[@BibleTOBIBLE:Mt 15:16]]</w:t>
      </w:r>
      <w:r>
        <w:rPr>
          <w:b/>
        </w:rPr>
        <w:t>16</w:t>
      </w:r>
      <w:r>
        <w:rPr/>
        <w:t xml:space="preserve"> {{field-on:bible}}Der aber sagte: Auch ihr seid noch unverständig</w:t>
      </w:r>
      <w:r>
        <w:rPr>
          <w:rStyle w:val="Funotenanker"/>
        </w:rPr>
        <w:footnoteReference w:customMarkFollows="1" w:id="3466"/>
        <w:t>k</w:t>
      </w:r>
      <w:r>
        <w:rPr/>
        <w:t xml:space="preserve">?{{field-off:bible}} </w:t>
        <w:br/>
        <w:t>[[@BibleTOBIBLE:Mt 15:17]]</w:t>
      </w:r>
      <w:r>
        <w:rPr>
          <w:b/>
        </w:rPr>
        <w:t>17</w:t>
      </w:r>
      <w:r>
        <w:rPr/>
        <w:t xml:space="preserve"> {{field-on:bible}}begreift </w:t>
      </w:r>
      <w:r>
        <w:rPr>
          <w:color w:val="808080"/>
        </w:rPr>
        <w:t>(versteht, bemerkt)</w:t>
      </w:r>
      <w:r>
        <w:rPr/>
        <w:t xml:space="preserve"> ihr nicht, dass alles, was in den Mund hineingeht </w:t>
      </w:r>
      <w:r>
        <w:rPr>
          <w:color w:val="808080"/>
        </w:rPr>
        <w:t>(-kommt)</w:t>
      </w:r>
      <w:r>
        <w:rPr/>
        <w:t xml:space="preserve"> in den Bauch hineingeht </w:t>
      </w:r>
      <w:r>
        <w:rPr>
          <w:color w:val="808080"/>
        </w:rPr>
        <w:t>(hineingelangt, fortgeht)</w:t>
      </w:r>
      <w:r>
        <w:rPr/>
        <w:t xml:space="preserve"> und in die Toilette </w:t>
      </w:r>
      <w:r>
        <w:rPr>
          <w:color w:val="808080"/>
        </w:rPr>
        <w:t>(Klo)</w:t>
      </w:r>
      <w:r>
        <w:rPr/>
        <w:t xml:space="preserve"> fallengelassen wird?{{field-off:bible}} </w:t>
        <w:br/>
        <w:t>[[@BibleTOBIBLE:Mt 15:18]]</w:t>
      </w:r>
      <w:r>
        <w:rPr>
          <w:b/>
        </w:rPr>
        <w:t>18</w:t>
      </w:r>
      <w:r>
        <w:rPr/>
        <w:t xml:space="preserve"> {{field-on:bible}}Was aber hinausgeht </w:t>
      </w:r>
      <w:r>
        <w:rPr>
          <w:color w:val="808080"/>
        </w:rPr>
        <w:t>(hinauskommt)</w:t>
      </w:r>
      <w:r>
        <w:rPr/>
        <w:t xml:space="preserve"> aus dem Bauch kommt aus dem Herzen, und jene </w:t>
      </w:r>
      <w:r>
        <w:rPr>
          <w:color w:val="808080"/>
        </w:rPr>
        <w:t>(diese Dinge)</w:t>
      </w:r>
      <w:r>
        <w:rPr/>
        <w:t xml:space="preserve"> machen den Menschen unrein.{{field-off:bible}} </w:t>
        <w:br/>
        <w:t>[[@BibleTOBIBLE:Mt 15:19]]</w:t>
      </w:r>
      <w:r>
        <w:rPr>
          <w:b/>
        </w:rPr>
        <w:t>19</w:t>
      </w:r>
      <w:r>
        <w:rPr/>
        <w:t xml:space="preserve"> {{field-on:bible}}Denn aus dem Herzen kommen schlechte Gedanken </w:t>
      </w:r>
      <w:r>
        <w:rPr>
          <w:color w:val="808080"/>
        </w:rPr>
        <w:t>(Überlegungen)</w:t>
      </w:r>
      <w:r>
        <w:rPr/>
        <w:t xml:space="preserve">, Mord </w:t>
      </w:r>
      <w:r>
        <w:rPr>
          <w:color w:val="808080"/>
        </w:rPr>
        <w:t>(Bluttaten, Mordtaten)</w:t>
      </w:r>
      <w:r>
        <w:rPr/>
        <w:t xml:space="preserve">, Ehebrüche, Diebstähle, falsche Zeugnisse </w:t>
      </w:r>
      <w:r>
        <w:rPr>
          <w:color w:val="808080"/>
        </w:rPr>
        <w:t>(Zeugenaussagen)</w:t>
      </w:r>
      <w:r>
        <w:rPr/>
        <w:t xml:space="preserve">, Verleumdungen </w:t>
      </w:r>
      <w:r>
        <w:rPr>
          <w:color w:val="808080"/>
        </w:rPr>
        <w:t>(Schmähungen, Lästerungen)</w:t>
      </w:r>
      <w:r>
        <w:rPr/>
        <w:t xml:space="preserve">.{{field-off:bible}} </w:t>
        <w:br/>
        <w:t>[[@BibleTOBIBLE:Mt 15:20]]</w:t>
      </w:r>
      <w:r>
        <w:rPr>
          <w:b/>
        </w:rPr>
        <w:t>20</w:t>
      </w:r>
      <w:r>
        <w:rPr/>
        <w:t xml:space="preserve"> {{field-on:bible}}Das ist, was den Menschen unrein macht, aber mit ungewaschenen Händen essen macht den Menschen nicht unrein.{{field-off:bible}} </w:t>
        <w:br/>
        <w:t>[[@BibleTOBIBLE:Mt 15:21]]</w:t>
      </w:r>
      <w:r>
        <w:rPr>
          <w:b/>
        </w:rPr>
        <w:t>21</w:t>
      </w:r>
      <w:r>
        <w:rPr/>
        <w:t xml:space="preserve"> {{field-on:bible}}Und als Jesus von dort ging</w:t>
      </w:r>
      <w:r>
        <w:rPr>
          <w:rStyle w:val="Funotenanker"/>
        </w:rPr>
        <w:footnoteReference w:customMarkFollows="1" w:id="3467"/>
        <w:t>l</w:t>
      </w:r>
      <w:r>
        <w:rPr/>
        <w:t xml:space="preserve">, entfernte er sich </w:t>
      </w:r>
      <w:r>
        <w:rPr>
          <w:color w:val="808080"/>
        </w:rPr>
        <w:t>(ging er weg)</w:t>
      </w:r>
      <w:r>
        <w:rPr/>
        <w:t xml:space="preserve"> nach dem Gebiet von Tyros und Sidon.{{field-off:bible}} </w:t>
        <w:br/>
        <w:t>[[@BibleTOBIBLE:Mt 15:22]]</w:t>
      </w:r>
      <w:r>
        <w:rPr>
          <w:b/>
        </w:rPr>
        <w:t>22</w:t>
      </w:r>
      <w:r>
        <w:rPr/>
        <w:t xml:space="preserve"> {{field-on:bible}}Und siehe, eine kanaanäische Frau aus jenem Gebiet kam</w:t>
      </w:r>
      <w:r>
        <w:rPr>
          <w:rStyle w:val="Funotenanker"/>
        </w:rPr>
        <w:footnoteReference w:customMarkFollows="1" w:id="3468"/>
        <w:t>m</w:t>
      </w:r>
      <w:r>
        <w:rPr/>
        <w:t xml:space="preserve"> und rief laut </w:t>
      </w:r>
      <w:r>
        <w:rPr>
          <w:color w:val="808080"/>
        </w:rPr>
        <w:t>(schrie, brüllte)</w:t>
      </w:r>
      <w:r>
        <w:rPr/>
        <w:t xml:space="preserve">: Erbarme dich über mich </w:t>
      </w:r>
      <w:r>
        <w:rPr>
          <w:color w:val="808080"/>
        </w:rPr>
        <w:t>(hab Erbarmen mit mir)</w:t>
      </w:r>
      <w:r>
        <w:rPr/>
        <w:t xml:space="preserve">, Herr, Sohn Davids; Meine Tochter ist schlimm </w:t>
      </w:r>
      <w:r>
        <w:rPr>
          <w:color w:val="808080"/>
        </w:rPr>
        <w:t>(übel)</w:t>
      </w:r>
      <w:r>
        <w:rPr/>
        <w:t xml:space="preserve"> von Dämonen besessen </w:t>
      </w:r>
      <w:r>
        <w:rPr>
          <w:color w:val="808080"/>
        </w:rPr>
        <w:t>(geplagt)</w:t>
      </w:r>
      <w:r>
        <w:rPr/>
        <w:t xml:space="preserve">.{{field-off:bible}} </w:t>
        <w:br/>
        <w:t>[[@BibleTOBIBLE:Mt 15:23]]</w:t>
      </w:r>
      <w:r>
        <w:rPr>
          <w:b/>
        </w:rPr>
        <w:t>23</w:t>
      </w:r>
      <w:r>
        <w:rPr/>
        <w:t xml:space="preserve"> {{field-on:bible}}Aber er antwortete nicht ihrem Wort. Und es kamen seine Jünger und baten ihn </w:t>
      </w:r>
      <w:r>
        <w:rPr>
          <w:strike/>
          <w:color w:val="808080"/>
        </w:rPr>
        <w:t>{sagend}</w:t>
      </w:r>
      <w:r>
        <w:rPr/>
        <w:t xml:space="preserve">: Verabschiede sie </w:t>
      </w:r>
      <w:r>
        <w:rPr>
          <w:color w:val="808080"/>
        </w:rPr>
        <w:t>(lass sie gehen, schick sie weg)</w:t>
      </w:r>
      <w:r>
        <w:rPr/>
        <w:t xml:space="preserve">, denn sie schreit hinter uns her.{{field-off:bible}} </w:t>
        <w:br/>
        <w:t>[[@BibleTOBIBLE:Mt 15:24]]</w:t>
      </w:r>
      <w:r>
        <w:rPr>
          <w:b/>
        </w:rPr>
        <w:t>24</w:t>
      </w:r>
      <w:r>
        <w:rPr/>
        <w:t xml:space="preserve"> {{field-on:bible}}Der aber antwortete </w:t>
      </w:r>
      <w:r>
        <w:rPr>
          <w:strike/>
          <w:color w:val="808080"/>
        </w:rPr>
        <w:t>{sagend}</w:t>
      </w:r>
      <w:r>
        <w:rPr/>
        <w:t xml:space="preserve">: Ich bin nicht geschickt worden außer zu den verlorenen Schafen des Hauses Israels.{{field-off:bible}} </w:t>
        <w:br/>
        <w:t>[[@BibleTOBIBLE:Mt 15:25]]</w:t>
      </w:r>
      <w:r>
        <w:rPr>
          <w:b/>
        </w:rPr>
        <w:t>25</w:t>
      </w:r>
      <w:r>
        <w:rPr/>
        <w:t xml:space="preserve"> {{field-on:bible}}Und </w:t>
      </w:r>
      <w:r>
        <w:rPr>
          <w:color w:val="808080"/>
        </w:rPr>
        <w:t>(doch)</w:t>
      </w:r>
      <w:r>
        <w:rPr/>
        <w:t xml:space="preserve"> diese kam</w:t>
      </w:r>
      <w:r>
        <w:rPr>
          <w:rStyle w:val="Funotenanker"/>
        </w:rPr>
        <w:footnoteReference w:customMarkFollows="1" w:id="3469"/>
        <w:t>n</w:t>
      </w:r>
      <w:r>
        <w:rPr/>
        <w:t xml:space="preserve"> und warf sich vor ihm nieder und sagte: Herr, hilf mir!{{field-off:bible}} </w:t>
        <w:br/>
        <w:t>[[@BibleTOBIBLE:Mt 15:26]]</w:t>
      </w:r>
      <w:r>
        <w:rPr>
          <w:b/>
        </w:rPr>
        <w:t>26</w:t>
      </w:r>
      <w:r>
        <w:rPr/>
        <w:t xml:space="preserve"> {{field-on:bible}}Der aber antwortete </w:t>
      </w:r>
      <w:r>
        <w:rPr>
          <w:strike/>
          <w:color w:val="808080"/>
        </w:rPr>
        <w:t>{sagend}</w:t>
      </w:r>
      <w:r>
        <w:rPr/>
        <w:t xml:space="preserve">: Es ist nicht recht, das Brot der Kinder zu nehmen und es vor die Hunde zu werfen.{{field-off:bible}} </w:t>
        <w:br/>
        <w:t>[[@BibleTOBIBLE:Mt 15:27]]</w:t>
      </w:r>
      <w:r>
        <w:rPr>
          <w:b/>
        </w:rPr>
        <w:t>27</w:t>
      </w:r>
      <w:r>
        <w:rPr/>
        <w:t xml:space="preserve"> {{field-on:bible}}Sie aber sagte: Ja </w:t>
      </w:r>
      <w:r>
        <w:rPr>
          <w:color w:val="808080"/>
        </w:rPr>
        <w:t>(gewiss, freilich)</w:t>
      </w:r>
      <w:r>
        <w:rPr/>
        <w:t xml:space="preserve">, Herr, und doch fressen die Hunde aus </w:t>
      </w:r>
      <w:r>
        <w:rPr>
          <w:color w:val="808080"/>
        </w:rPr>
        <w:t>(von)</w:t>
      </w:r>
      <w:r>
        <w:rPr/>
        <w:t xml:space="preserve"> den Brocken </w:t>
      </w:r>
      <w:r>
        <w:rPr>
          <w:color w:val="808080"/>
        </w:rPr>
        <w:t>(Brotkrumen)</w:t>
      </w:r>
      <w:r>
        <w:rPr/>
        <w:t xml:space="preserve"> die fallen</w:t>
      </w:r>
      <w:r>
        <w:rPr>
          <w:rStyle w:val="Funotenanker"/>
        </w:rPr>
        <w:footnoteReference w:customMarkFollows="1" w:id="3470"/>
        <w:t>o</w:t>
      </w:r>
      <w:r>
        <w:rPr/>
        <w:t xml:space="preserve"> von dem Tisch ihres Herrn.{{field-off:bible}} </w:t>
        <w:br/>
        <w:t>[[@BibleTOBIBLE:Mt 15:28]]</w:t>
      </w:r>
      <w:r>
        <w:rPr>
          <w:b/>
        </w:rPr>
        <w:t>28</w:t>
      </w:r>
      <w:r>
        <w:rPr/>
        <w:t xml:space="preserve"> {{field-on:bible}}Da </w:t>
      </w:r>
      <w:r>
        <w:rPr>
          <w:color w:val="808080"/>
        </w:rPr>
        <w:t>(dann)</w:t>
      </w:r>
      <w:r>
        <w:rPr/>
        <w:t xml:space="preserve"> antwortete</w:t>
      </w:r>
      <w:r>
        <w:rPr>
          <w:rStyle w:val="Funotenanker"/>
        </w:rPr>
        <w:footnoteReference w:customMarkFollows="1" w:id="3471"/>
        <w:t>p</w:t>
      </w:r>
      <w:r>
        <w:rPr/>
        <w:t xml:space="preserve"> Jesus und sprach </w:t>
      </w:r>
      <w:r>
        <w:rPr>
          <w:color w:val="808080"/>
        </w:rPr>
        <w:t>(sagte)</w:t>
      </w:r>
      <w:r>
        <w:rPr/>
        <w:t xml:space="preserve"> zu ihr: </w:t>
      </w:r>
      <w:r>
        <w:rPr>
          <w:strike/>
          <w:color w:val="808080"/>
        </w:rPr>
        <w:t>{Oh}</w:t>
      </w:r>
      <w:r>
        <w:rPr/>
        <w:t xml:space="preserve"> Frau, groß ist dein Glaube: dir geschehe nach deinem Willen </w:t>
      </w:r>
      <w:r>
        <w:rPr>
          <w:color w:val="808080"/>
        </w:rPr>
        <w:t>(wie du willst)</w:t>
      </w:r>
      <w:r>
        <w:rPr/>
        <w:t xml:space="preserve"> </w:t>
      </w:r>
      <w:r>
        <w:rPr>
          <w:rStyle w:val="Funotenanker"/>
        </w:rPr>
        <w:footnoteReference w:customMarkFollows="1" w:id="3472"/>
        <w:t>q</w:t>
      </w:r>
      <w:r>
        <w:rPr/>
        <w:t xml:space="preserve">. Und ihre Tochter war geheilt </w:t>
      </w:r>
      <w:r>
        <w:rPr>
          <w:color w:val="808080"/>
        </w:rPr>
        <w:t>(gesund)</w:t>
      </w:r>
      <w:r>
        <w:rPr/>
        <w:t xml:space="preserve"> von jener Stunde an.{{field-off:bible}} </w:t>
        <w:br/>
        <w:t>[[@BibleTOBIBLE:Mt 15:29]]</w:t>
      </w:r>
      <w:r>
        <w:rPr>
          <w:b/>
        </w:rPr>
        <w:t>29</w:t>
      </w:r>
      <w:r>
        <w:rPr/>
        <w:t xml:space="preserve"> {{field-on:bible}}Und als Jesus von dort wegging, kam er an den See Gennesaret und stieg</w:t>
      </w:r>
      <w:r>
        <w:rPr>
          <w:rStyle w:val="Funotenanker"/>
        </w:rPr>
        <w:footnoteReference w:customMarkFollows="1" w:id="3473"/>
        <w:t>r</w:t>
      </w:r>
      <w:r>
        <w:rPr/>
        <w:t xml:space="preserve"> </w:t>
      </w:r>
      <w:r>
        <w:rPr>
          <w:color w:val="808080"/>
        </w:rPr>
        <w:t>(bestieg)</w:t>
      </w:r>
      <w:r>
        <w:rPr/>
        <w:t xml:space="preserve"> auf den </w:t>
      </w:r>
      <w:r>
        <w:rPr>
          <w:color w:val="808080"/>
        </w:rPr>
        <w:t>(einen)</w:t>
      </w:r>
      <w:r>
        <w:rPr/>
        <w:t xml:space="preserve"> Berg und setzte sich dort </w:t>
      </w:r>
      <w:r>
        <w:rPr>
          <w:color w:val="808080"/>
        </w:rPr>
        <w:t>(da)</w:t>
      </w:r>
      <w:r>
        <w:rPr/>
        <w:t xml:space="preserve"> zum lehren.{{field-off:bible}} </w:t>
        <w:br/>
        <w:t>[[@BibleTOBIBLE:Mt 15:30]]</w:t>
      </w:r>
      <w:r>
        <w:rPr>
          <w:b/>
        </w:rPr>
        <w:t>30</w:t>
      </w:r>
      <w:r>
        <w:rPr/>
        <w:t xml:space="preserve"> {{field-on:bible}}Und es kam eine große Volksmenge zu ihm, die bei sich hatten Lahme </w:t>
      </w:r>
      <w:r>
        <w:rPr>
          <w:color w:val="808080"/>
        </w:rPr>
        <w:t>(Gelähmte)</w:t>
      </w:r>
      <w:r>
        <w:rPr/>
        <w:t xml:space="preserve">, verkrüppelte </w:t>
      </w:r>
      <w:r>
        <w:rPr>
          <w:color w:val="808080"/>
        </w:rPr>
        <w:t>(Verstümmelte)</w:t>
      </w:r>
      <w:r>
        <w:rPr/>
        <w:t xml:space="preserve">, Stumme und viele andere </w:t>
      </w:r>
      <w:r>
        <w:rPr>
          <w:b/>
          <w:color w:val="808080"/>
        </w:rPr>
        <w:t>[</w:t>
      </w:r>
      <w:r>
        <w:rPr/>
        <w:t>Kranke</w:t>
      </w:r>
      <w:r>
        <w:rPr>
          <w:b/>
          <w:color w:val="808080"/>
        </w:rPr>
        <w:t>]</w:t>
      </w:r>
      <w:r>
        <w:rPr/>
        <w:t xml:space="preserve"> und sie warfen sich vor seine Füße und er heilte sie.{{field-off:bible}} </w:t>
        <w:br/>
        <w:t>[[@BibleTOBIBLE:Mt 15:31]]</w:t>
      </w:r>
      <w:r>
        <w:rPr>
          <w:b/>
        </w:rPr>
        <w:t>31</w:t>
      </w:r>
      <w:r>
        <w:rPr/>
        <w:t xml:space="preserve"> {{field-on:bible}}Damit </w:t>
      </w:r>
      <w:r>
        <w:rPr>
          <w:color w:val="808080"/>
        </w:rPr>
        <w:t>(so daß)</w:t>
      </w:r>
      <w:r>
        <w:rPr/>
        <w:t xml:space="preserve"> die Menge sich wunderte als sie sahen</w:t>
      </w:r>
      <w:r>
        <w:rPr>
          <w:rStyle w:val="Funotenanker"/>
        </w:rPr>
        <w:footnoteReference w:customMarkFollows="1" w:id="3474"/>
        <w:t>s</w:t>
      </w:r>
      <w:r>
        <w:rPr/>
        <w:t xml:space="preserve"> die Stummen sprechen, die Verkrüppelten gesund </w:t>
      </w:r>
      <w:r>
        <w:rPr>
          <w:color w:val="808080"/>
        </w:rPr>
        <w:t>(geheilt)</w:t>
      </w:r>
      <w:r>
        <w:rPr/>
        <w:t xml:space="preserve"> und Lahme umhergehen und Blinde sehend; und sie preisen </w:t>
      </w:r>
      <w:r>
        <w:rPr>
          <w:color w:val="808080"/>
        </w:rPr>
        <w:t>(rühmten, ehrten)</w:t>
      </w:r>
      <w:r>
        <w:rPr/>
        <w:t xml:space="preserve"> den Gott Israels.{{field-off:bible}} </w:t>
        <w:br/>
        <w:t>[[@BibleTOBIBLE:Mt 15:32]]</w:t>
      </w:r>
      <w:r>
        <w:rPr>
          <w:b/>
        </w:rPr>
        <w:t>32</w:t>
      </w:r>
      <w:r>
        <w:rPr/>
        <w:t xml:space="preserve"> {{field-on:bible}}Aber Jesus rief seine Jünger zu sich</w:t>
      </w:r>
      <w:r>
        <w:rPr>
          <w:rStyle w:val="Funotenanker"/>
        </w:rPr>
        <w:footnoteReference w:customMarkFollows="1" w:id="3475"/>
        <w:t>t</w:t>
      </w:r>
      <w:r>
        <w:rPr/>
        <w:t xml:space="preserve"> und sagte: Ich habe Mitleid mit dieser Menge, denn sie sind schon drei Tage bei mir und sie haben nicht zu essen und ich will </w:t>
      </w:r>
      <w:r>
        <w:rPr>
          <w:color w:val="808080"/>
        </w:rPr>
        <w:t>(möchte)</w:t>
      </w:r>
      <w:r>
        <w:rPr/>
        <w:t xml:space="preserve"> nicht sie wegschicken, damit sie nicht auf dem Weg </w:t>
      </w:r>
      <w:r>
        <w:rPr>
          <w:color w:val="808080"/>
        </w:rPr>
        <w:t>(unterwegs)</w:t>
      </w:r>
      <w:r>
        <w:rPr/>
        <w:t xml:space="preserve"> schwach würden </w:t>
      </w:r>
      <w:r>
        <w:rPr>
          <w:color w:val="808080"/>
        </w:rPr>
        <w:t>(ermatteten, zusammenrechen)</w:t>
      </w:r>
      <w:r>
        <w:rPr/>
        <w:t xml:space="preserve">.{{field-off:bible}} </w:t>
        <w:br/>
        <w:t>[[@BibleTOBIBLE:Mt 15:33]]</w:t>
      </w:r>
      <w:r>
        <w:rPr>
          <w:b/>
        </w:rPr>
        <w:t>33</w:t>
      </w:r>
      <w:r>
        <w:rPr/>
        <w:t xml:space="preserve"> {{field-on:bible}}Und es sagten ihm die Jünger: Woher werden wir in der Wüste </w:t>
      </w:r>
      <w:r>
        <w:rPr>
          <w:color w:val="808080"/>
        </w:rPr>
        <w:t>(Einöde)</w:t>
      </w:r>
      <w:r>
        <w:rPr/>
        <w:t xml:space="preserve"> so viele Brote bekommen, so daß wir die Menge satt machen?{{field-off:bible}} </w:t>
        <w:br/>
        <w:t>[[@BibleTOBIBLE:Mt 15:34]]</w:t>
      </w:r>
      <w:r>
        <w:rPr>
          <w:b/>
        </w:rPr>
        <w:t>34</w:t>
      </w:r>
      <w:r>
        <w:rPr/>
        <w:t xml:space="preserve"> {{field-on:bible}}Und Jesus sagte ihnen: Wie viele Brote habt ihr? Die aber sagten: Sieben und wenige kleine Fische.{{field-off:bible}} </w:t>
        <w:br/>
        <w:t>[[@BibleTOBIBLE:Mt 15:35]]</w:t>
      </w:r>
      <w:r>
        <w:rPr>
          <w:b/>
        </w:rPr>
        <w:t>35</w:t>
      </w:r>
      <w:r>
        <w:rPr/>
        <w:t xml:space="preserve"> {{field-on:bible}}Und er befahl </w:t>
      </w:r>
      <w:r>
        <w:rPr>
          <w:color w:val="808080"/>
        </w:rPr>
        <w:t>(aufforderte, anweisen)</w:t>
      </w:r>
      <w:r>
        <w:rPr/>
        <w:t xml:space="preserve"> der Volksmenge, sich niederzulegen </w:t>
      </w:r>
      <w:r>
        <w:rPr>
          <w:color w:val="808080"/>
        </w:rPr>
        <w:t>(lagern, Platz zu nehmen)</w:t>
      </w:r>
      <w:r>
        <w:rPr/>
        <w:t xml:space="preserve"> auf der Erde.{{field-off:bible}} </w:t>
        <w:br/>
        <w:t>[[@BibleTOBIBLE:Mt 15:36]]</w:t>
      </w:r>
      <w:r>
        <w:rPr>
          <w:b/>
        </w:rPr>
        <w:t>36</w:t>
      </w:r>
      <w:r>
        <w:rPr/>
        <w:t xml:space="preserve"> {{field-on:bible}}Und er nahm die sieben Brote und die Fische und sagte Dank </w:t>
      </w:r>
      <w:r>
        <w:rPr>
          <w:color w:val="808080"/>
        </w:rPr>
        <w:t>(ein Dankgebet, dankte Gott)</w:t>
      </w:r>
      <w:r>
        <w:rPr/>
        <w:t xml:space="preserve"> </w:t>
      </w:r>
      <w:r>
        <w:rPr>
          <w:rStyle w:val="Funotenanker"/>
        </w:rPr>
        <w:footnoteReference w:customMarkFollows="1" w:id="3476"/>
        <w:t>u</w:t>
      </w:r>
      <w:r>
        <w:rPr/>
        <w:t xml:space="preserve"> und brach </w:t>
      </w:r>
      <w:r>
        <w:rPr>
          <w:b/>
          <w:color w:val="808080"/>
        </w:rPr>
        <w:t>[</w:t>
      </w:r>
      <w:r>
        <w:rPr/>
        <w:t>in Stücke</w:t>
      </w:r>
      <w:r>
        <w:rPr>
          <w:b/>
          <w:color w:val="808080"/>
        </w:rPr>
        <w:t>]</w:t>
      </w:r>
      <w:r>
        <w:rPr/>
        <w:t xml:space="preserve"> und gab sie den Jüngern, die Jünger aber der Menge.{{field-off:bible}} </w:t>
        <w:br/>
        <w:t>[[@BibleTOBIBLE:Mt 15:37]]</w:t>
      </w:r>
      <w:r>
        <w:rPr>
          <w:b/>
        </w:rPr>
        <w:t>37</w:t>
      </w:r>
      <w:r>
        <w:rPr/>
        <w:t xml:space="preserve"> {{field-on:bible}}und es aßen alle und wurden satt. Und was übrig war</w:t>
      </w:r>
      <w:r>
        <w:rPr>
          <w:rStyle w:val="Funotenanker"/>
        </w:rPr>
        <w:footnoteReference w:customMarkFollows="1" w:id="3477"/>
        <w:t>v</w:t>
      </w:r>
      <w:r>
        <w:rPr/>
        <w:t xml:space="preserve"> an Stücken sammelten sie sieben volle Körbe.{{field-off:bible}} </w:t>
        <w:br/>
        <w:t>[[@BibleTOBIBLE:Mt 15:38]]</w:t>
      </w:r>
      <w:r>
        <w:rPr>
          <w:b/>
        </w:rPr>
        <w:t>38</w:t>
      </w:r>
      <w:r>
        <w:rPr/>
        <w:t xml:space="preserve"> {{field-on:bible}}Die aber aßen waren viertausend Männer ohne </w:t>
      </w:r>
      <w:r>
        <w:rPr>
          <w:color w:val="808080"/>
        </w:rPr>
        <w:t>(nicht eingerechnet)</w:t>
      </w:r>
      <w:r>
        <w:rPr/>
        <w:t xml:space="preserve"> Frauen und Kinder.{{field-off:bible}} </w:t>
        <w:br/>
        <w:t>[[@BibleTOBIBLE:Mt 15:39]]</w:t>
      </w:r>
      <w:r>
        <w:rPr>
          <w:b/>
        </w:rPr>
        <w:t>39</w:t>
      </w:r>
      <w:r>
        <w:rPr/>
        <w:t xml:space="preserve"> {{field-on:bible}}Und als er die Menge entlassen hatte</w:t>
      </w:r>
      <w:r>
        <w:rPr>
          <w:rStyle w:val="Funotenanker"/>
        </w:rPr>
        <w:footnoteReference w:customMarkFollows="1" w:id="3478"/>
        <w:t>w</w:t>
      </w:r>
      <w:r>
        <w:rPr/>
        <w:t xml:space="preserve"> stieg er in das Boot und kam in das Gebiet von Magadan.{{field-off:bible}} </w:t>
      </w:r>
    </w:p>
    <w:p>
      <w:pPr>
        <w:pStyle w:val="Berschrift3"/>
        <w:rPr/>
      </w:pPr>
      <w:r>
        <w:rPr/>
        <w:t>[[@BibleTOBIBLE:Mt 16]]Kapitel 16</w:t>
      </w:r>
    </w:p>
    <w:p>
      <w:pPr>
        <w:pStyle w:val="Textkrper"/>
        <w:rPr/>
      </w:pPr>
      <w:r>
        <w:rPr/>
        <w:t xml:space="preserve">Bei Mt 16,1-4 handelt es sich um ein sog. „Apophtegma“; eine einzeln überlieferte Äußerung Jesu incl. einer Angabe der Situation, in der sie geäußert wurde. Die Pharisäer und Sadduzäer fordern ein „Zeichen“ von Jesus. Berichte über solche „Zeichen“ - „Staunen und Schrecken erregende, exorbitante Wunderzeichen, vor allem kosmischer Art“ (Fuller 1969, S. 23) - finden sich um die Zeit Jesu zuhauf; oft wurden sie überliefert, um damit den (angeblichen) Wunderwirker als einen Mann von „Gottes Gnaden“ zu legitimieren. Eine solche Selbst-legitimation will aber Jesus nicht leisten: Die einzige Legitimation, die er „braucht“ und geben wird, wird das „Zeichen des Jona“ sein: Dass er gleich diesem Propheten (s. Jona 2) drei Tage und drei Nächte in das Totenreich hinabsteigen wird, um dann nach drei Tagen wieder aufzuerstehen. Vv. 5-12 sind die Wiedergabe eines Gesprächs, bei dem es zu einem Missverständnis zwischen Jesus und den Jüngern kommt: Unglücklicherweise fällt Jesu metaphorische Rede vom „Sauerteig der Pharisäer und Sadduzäer“ gerade auf einen Zeitpunkt, zu dem die Jünger zufällig gerade an faktisches Brot denken. Wie Jesu Metapher tatsächlich zu verstehen ist, schlüsselt Matthäus in V. 12 selbst auf: „Hütet euch vor dem Sauerteig“ meint: „Hütet euch vor ihrer Lehre“. Was in diesen Versen tatsächlich kommentiert wird, ist die Tatsache schlechthin, dass die Jünger überhaupt die Notwendigkeit sehen, sich um wirkliches Brot sorgen zu müssen: Solche Sorgen um das leibliche Wohl sind für die Zeit, da Jesus unter den seinen weilt, obsolet, worauf eigentlich sehr deutlich schon die beiden wunderbaren Brotvermehrungen hingewiesen haben sollten. Dass im Zentrum dieses Abschnitts gar nicht Jesu Rede vom Sauerteig, sondern die Bedeutsamkeit der beiden wunderbaren Brotvermehrung steht, wird auch schon über die Struktur des Abschnitts klar: : V. 6: Hütet euch vor dem Sauerteig der Pharisäer und Sadduzäer! :: Vv. 7f: Brotsorgen ::: Vv. 9f.: Die wunderbaren Brotvermehrungen :: V. 11a: Brotsorgen : V. 11b: Hütet euch vor dem Sauerteig der Pharisäer und Sadduzäer! Das Gespräch in Vv. 13-20 beginnt mit einem Austausch über die Identität Jesu. Zur Zeit Jesu war im Judentum die Hoffnung verbreitet, dass dereinst eine neue Zeit des Heils beginnen würde: das „Eschaton“ (s. dazu näher z.B. Eschatologie (AT) (WiBiLex)). Dass Jesus irgendeine eschatologische Bedeutung zukommt, scheint auch unter den „Leuten“ eine gängige Meinung gewesen zu sein, die ihn unter anderem für den auferstandenen Elija halten (zum Glaube, vor dem Ende der Zeit würde zunächst Elija wieder auferstehen, s. z.B. Mk 8,12). Doch selbst diese Meinung ist durchaus ungenügend; Jesus, der Menschensohn, ist der Gesalbte (s. FN o), der Sohn des lebendigen Gottes. Er ist nicht nur ein Vorbote der Endzeit, sondern mit seiner Geburt ist die Herrschaft Gottes auf Erden in unmittelbare Nähe gerückt. Dies äußert denn auch Petrus in V. 16 und wird dafür in V. 17 von Jesus glücklich gepriesen: Mit dieser Aussage hat Petrus sich als Inhaber göttlichen Wissens geoffenbart, und daher fährt Jesus in V. 18 dann mit dem vieldiskutierten Ausspruch fort: „Du bist Fels, und auf dieses Gefels werde ich meine Gemeinde (er)bauen.“ Der Vers wird bes. deshalb so häufig diskutiert, weil sich v.a. ab dem 16./17. Jh. die Lehre des Papstprimats auf ihn berufen sollte (s. dazu z.B. Papstprimat (Wikipedia); vgl. z.B. auch Luz 1991, S. 51f.). Er ist wahrscheinlich in etwa so zu verstehen: „Fels“ ist im AT eine häufige Metapher für sicheren Stand (s. z.B. Fels (WiBiLex)). Das ist sicher auch hier die Bedeutung: Weil die Gemeinde auf diesem „Fels“ gebaut ist, werden die „Tore des Hades“ nicht die Oberhand über sie haben können werden: Auf diesem Fels steht sie sicher genug, um vor den Toren des Hades geschützt zu sein. Gemeint ist damit wahrscheinlich, dass der Tod selbst keine Gewalt über einen Angehörigen der „Gemeinde“ haben kann, wie er ja auch über Jesus selbst keine Gewalt hat, wie am „Zeichen des Jona“ (V. 4; auch direkt darauf V. 21) direkt ersichtlich ist (s. z.B. auch Apg 2,24; Röm 6,9; vgl. etwa Lewis 1995, S. 366f.): Christen werden nach dem Tod wieder auferstehen, wie auch Christus dies getan hat. Der Stand auf dem „Felsen“ Petrus ist deshalb so sicher, weil dieser sich soeben als Inhaber besagter göttlicher Offenbarung erwiesen hat, und als dieser Inhaber bekommt er in V. 19 auch die „Schlüssel des Himmelreichs“ und die „Binde- und Lösegewalt“ zugesprochen. „Binden“ und „Lösen“ ist hier wahrscheinlich die Übertragung des heb. Begriffspaars ´asar und hitir, „Verbieten“ und „Erlauben“; man bezeichnet damit die Autorität von Gesetzeslehrern bei der Gesetzesauslegung (vgl. z.B. B/S I, S. 739-741; Luz 1990, S. 465). Das heißt: Petrus als der Inhaber göttlicher Offenbarung wird aufgrund dieser Inhabe hier als autoritativer Ausleger göttlicher Wahrheiten bestimmt, und aus dem selben Grund schließt mit dem selben Ausdruck die lange Gemeindebelehrung in Mt 18 (s. Mt 18,18), wo allen Jüngern die Gewalt, zu „binden“ und zu „lösen“ zugesprochen wird, nachdem auch diese nach dieser Belehrung Inhaber göttlicher Wahrheiten geworden sind. Von einem „petrinischen Primat“ kann hier also allenfalls insofern die Rede sein, als Petrus diese Gewalt chronologisch vor den restlichen Jüngern zugesprochen bekommen hat. Mehr noch: Schon im folgenden Diskurs über die Bereitschaft zur Selbsthingabe, Vv. 21-28, erweist sich Petrus nicht mehr als Träger göttlicher Offenbarung, sondern als „Satan“: Auf Jesu Belehrung über Gottes künftigen Heilsplan reagiert er, indem er Jesus anfährt, entschieden Widerspruch gegen diese Pläne Gottes einlegt und versucht, ihn von seinen Plänen zu überzeugen. Gerade mit seinem frommen Wunsch „Gott sei dir gnädig!“ verlässt er wieder den Platz, den er sich soeben mit seinem Christus-Bekenntnis „erobert“ hat: Widerstand gegen den Willen Gottes, so gut er auch gemeint ist, ist niemals wahre Nachfolge. Und noch entschiedener als Petrus weist ihn denn auch Jesus auf seinen Platz zurück: „Hinter mich!“, zurück in die Nachfolge. Was solche wahre Nachfolge ist, erläutert er dann in Vv. 24f: Wahre Nachfolge bedeutet, „sein Kreuz auf sich zu nehmen“, denn „nur, wer sein Leben um Jesu Willen verliert, wird es gewinnen“: Wahre Christusjüngerschaft heißt, bis dahin von seinem eigenen Willen abzustehen und nur den Willen Gottes gelten zu lassen, dass man genauso für Gott in den Tod gehen würde, wie Gott für seine Nachfolger in den Tod gegangen ist. Der Lohn dafür wird das sein, was im vorigen Abschnitt allen Angehörigen der „Gemeinde“ verheißen worden war: Der Tod wird keine Macht über sie haben, denn wer sein Leben um Jesu willen verliert, bei dem wird dieser bei seiner Wiederkunft am Ende der Zeiten sicherstellen, dass ihm dies vergolten wird: Er wird sein Leben (wieder) gewinnen. </w:t>
        <w:br/>
        <w:br/>
        <w:t>[[@BibleTOBIBLE:Mt 16:1]]</w:t>
      </w:r>
      <w:r>
        <w:rPr>
          <w:b/>
        </w:rPr>
        <w:t>1</w:t>
      </w:r>
      <w:r>
        <w:rPr/>
        <w:t xml:space="preserve"> {{field-on:bible}} </w:t>
      </w:r>
      <w:r>
        <w:rPr>
          <w:rStyle w:val="Funotenanker"/>
        </w:rPr>
        <w:footnoteReference w:customMarkFollows="1" w:id="3479"/>
        <w:t>Status</w:t>
      </w:r>
      <w:r>
        <w:rPr/>
        <w:t xml:space="preserve"> </w:t>
      </w:r>
      <w:r>
        <w:rPr>
          <w:strike/>
          <w:color w:val="808080"/>
        </w:rPr>
        <w:t>{Und}</w:t>
      </w:r>
      <w:r>
        <w:rPr/>
        <w:t xml:space="preserve"> </w:t>
      </w:r>
      <w:r>
        <w:rPr>
          <w:rStyle w:val="Funotenanker"/>
        </w:rPr>
        <w:footnoteReference w:customMarkFollows="1" w:id="3480"/>
        <w:t>a</w:t>
      </w:r>
      <w:r>
        <w:rPr/>
        <w:t xml:space="preserve"> Die Pharisäer und Sadduzäer</w:t>
      </w:r>
      <w:r>
        <w:rPr>
          <w:rStyle w:val="Funotenanker"/>
        </w:rPr>
        <w:footnoteReference w:customMarkFollows="1" w:id="3481"/>
        <w:t>b</w:t>
      </w:r>
      <w:r>
        <w:rPr/>
        <w:t xml:space="preserve"> kamen, </w:t>
      </w:r>
      <w:r>
        <w:rPr>
          <w:b/>
          <w:color w:val="808080"/>
        </w:rPr>
        <w:t>[</w:t>
      </w:r>
      <w:r>
        <w:rPr/>
        <w:t>und</w:t>
      </w:r>
      <w:r>
        <w:rPr>
          <w:b/>
          <w:color w:val="808080"/>
        </w:rPr>
        <w:t>]</w:t>
      </w:r>
      <w:r>
        <w:rPr/>
        <w:t xml:space="preserve"> um ihn zu prüfen </w:t>
      </w:r>
      <w:r>
        <w:rPr>
          <w:color w:val="808080"/>
        </w:rPr>
        <w:t>(auf die Probe zu stellen, herauszufordern)</w:t>
      </w:r>
      <w:r>
        <w:rPr/>
        <w:t xml:space="preserve">, baten sie ihn, ihnen ein Zeichen aus dem Himmel zu zeigen </w:t>
      </w:r>
      <w:r>
        <w:rPr>
          <w:color w:val="808080"/>
        </w:rPr>
        <w:t>(vorzuzeigen, vorzuführen, sehen zu lassen)</w:t>
      </w:r>
      <w:r>
        <w:rPr/>
        <w:t xml:space="preserve">.{{field-off:bible}} </w:t>
        <w:br/>
        <w:t>[[@BibleTOBIBLE:Mt 16:2]]</w:t>
      </w:r>
      <w:r>
        <w:rPr>
          <w:b/>
        </w:rPr>
        <w:t>2</w:t>
      </w:r>
      <w:r>
        <w:rPr/>
        <w:t xml:space="preserve"> {{field-on:bible}}Er aber antworte ihnen: „Wenn es Abend geworden ist, sagt ihr: »Heiteres </w:t>
      </w:r>
      <w:r>
        <w:rPr>
          <w:color w:val="808080"/>
        </w:rPr>
        <w:t>(schönes)</w:t>
      </w:r>
      <w:r>
        <w:rPr/>
        <w:t xml:space="preserve"> Wetter </w:t>
      </w:r>
      <w:r>
        <w:rPr>
          <w:b/>
          <w:color w:val="808080"/>
        </w:rPr>
        <w:t>[</w:t>
      </w:r>
      <w:r>
        <w:rPr/>
        <w:t>wird es geben</w:t>
      </w:r>
      <w:r>
        <w:rPr>
          <w:b/>
          <w:color w:val="808080"/>
        </w:rPr>
        <w:t>]</w:t>
      </w:r>
      <w:r>
        <w:rPr/>
        <w:t xml:space="preserve">, denn feuerrot ist der Himmel.«{{field-off:bible}} </w:t>
        <w:br/>
        <w:t>[[@BibleTOBIBLE:Mt 16:3]]</w:t>
      </w:r>
      <w:r>
        <w:rPr>
          <w:b/>
        </w:rPr>
        <w:t>3</w:t>
      </w:r>
      <w:r>
        <w:rPr/>
        <w:t xml:space="preserve"> {{field-on:bible}}Und früh </w:t>
      </w:r>
      <w:r>
        <w:rPr>
          <w:b/>
          <w:color w:val="808080"/>
        </w:rPr>
        <w:t>[</w:t>
      </w:r>
      <w:r>
        <w:rPr/>
        <w:t>morgens</w:t>
      </w:r>
      <w:r>
        <w:rPr>
          <w:b/>
          <w:color w:val="808080"/>
        </w:rPr>
        <w:t>]</w:t>
      </w:r>
      <w:r>
        <w:rPr/>
        <w:t xml:space="preserve">: »Heute </w:t>
      </w:r>
      <w:r>
        <w:rPr>
          <w:b/>
          <w:color w:val="808080"/>
        </w:rPr>
        <w:t>[</w:t>
      </w:r>
      <w:r>
        <w:rPr/>
        <w:t>wird es</w:t>
      </w:r>
      <w:r>
        <w:rPr>
          <w:b/>
          <w:color w:val="808080"/>
        </w:rPr>
        <w:t>]</w:t>
      </w:r>
      <w:r>
        <w:rPr/>
        <w:t xml:space="preserve"> schlechtes Wetter </w:t>
      </w:r>
      <w:r>
        <w:rPr>
          <w:b/>
          <w:color w:val="808080"/>
        </w:rPr>
        <w:t>[</w:t>
      </w:r>
      <w:r>
        <w:rPr/>
        <w:t>geben</w:t>
      </w:r>
      <w:r>
        <w:rPr>
          <w:b/>
          <w:color w:val="808080"/>
        </w:rPr>
        <w:t>]</w:t>
      </w:r>
      <w:r>
        <w:rPr/>
        <w:t xml:space="preserve">, denn feuerrot </w:t>
      </w:r>
      <w:r>
        <w:rPr>
          <w:b/>
          <w:color w:val="808080"/>
        </w:rPr>
        <w:t>[</w:t>
      </w:r>
      <w:r>
        <w:rPr/>
        <w:t>und</w:t>
      </w:r>
      <w:r>
        <w:rPr>
          <w:b/>
          <w:color w:val="808080"/>
        </w:rPr>
        <w:t>]</w:t>
      </w:r>
      <w:r>
        <w:rPr/>
        <w:t xml:space="preserve"> bedrohlich </w:t>
      </w:r>
      <w:r>
        <w:rPr>
          <w:color w:val="808080"/>
        </w:rPr>
        <w:t>(finster)</w:t>
      </w:r>
      <w:r>
        <w:rPr/>
        <w:t xml:space="preserve"> ist der Himmel.« Das Aussehen des Himmels versteht ihr </w:t>
      </w:r>
      <w:r>
        <w:rPr>
          <w:color w:val="808080"/>
        </w:rPr>
        <w:t>(richtig, sorgfältig)</w:t>
      </w:r>
      <w:r>
        <w:rPr/>
        <w:t xml:space="preserve"> zu beurteilen, aber die Zeichen der Zeit</w:t>
      </w:r>
      <w:r>
        <w:rPr>
          <w:rStyle w:val="Funotenanker"/>
        </w:rPr>
        <w:footnoteReference w:customMarkFollows="1" w:id="3482"/>
        <w:t>c</w:t>
      </w:r>
      <w:r>
        <w:rPr/>
        <w:t xml:space="preserve"> vermögt ihr nicht </w:t>
      </w:r>
      <w:r>
        <w:rPr>
          <w:color w:val="808080"/>
        </w:rPr>
        <w:t>(könnt ihr nicht)</w:t>
      </w:r>
      <w:r>
        <w:rPr/>
        <w:t xml:space="preserve"> </w:t>
      </w:r>
      <w:r>
        <w:rPr>
          <w:b/>
          <w:color w:val="808080"/>
        </w:rPr>
        <w:t>[</w:t>
      </w:r>
      <w:r>
        <w:rPr/>
        <w:t>zu beurteilen</w:t>
      </w:r>
      <w:r>
        <w:rPr>
          <w:b/>
          <w:color w:val="808080"/>
        </w:rPr>
        <w:t>]</w:t>
      </w:r>
      <w:r>
        <w:rPr/>
        <w:t>.</w:t>
      </w:r>
      <w:r>
        <w:rPr>
          <w:rStyle w:val="Funotenanker"/>
        </w:rPr>
        <w:footnoteReference w:customMarkFollows="1" w:id="3483"/>
        <w:t>d</w:t>
      </w:r>
      <w:r>
        <w:rPr/>
        <w:t xml:space="preserve"> {{field-off:bible}} </w:t>
        <w:br/>
        <w:t>[[@BibleTOBIBLE:Mt 16:4]]</w:t>
      </w:r>
      <w:r>
        <w:rPr>
          <w:b/>
        </w:rPr>
        <w:t>4</w:t>
      </w:r>
      <w:r>
        <w:rPr/>
        <w:t xml:space="preserve"> {{field-on:bible}}Ein böses und ehebrecherisches </w:t>
      </w:r>
      <w:r>
        <w:rPr>
          <w:color w:val="808080"/>
        </w:rPr>
        <w:t>(bundesbrüchiges)</w:t>
      </w:r>
      <w:r>
        <w:rPr/>
        <w:t xml:space="preserve"> </w:t>
      </w:r>
      <w:r>
        <w:rPr>
          <w:rStyle w:val="Funotenanker"/>
        </w:rPr>
        <w:footnoteReference w:customMarkFollows="1" w:id="3484"/>
        <w:t>e</w:t>
      </w:r>
      <w:r>
        <w:rPr/>
        <w:t xml:space="preserve"> Geschlecht </w:t>
      </w:r>
      <w:r>
        <w:rPr>
          <w:color w:val="808080"/>
        </w:rPr>
        <w:t>(Generation, Pack)</w:t>
      </w:r>
      <w:r>
        <w:rPr/>
        <w:t xml:space="preserve"> </w:t>
      </w:r>
      <w:r>
        <w:rPr>
          <w:rStyle w:val="Funotenanker"/>
        </w:rPr>
        <w:footnoteReference w:customMarkFollows="1" w:id="3485"/>
        <w:t>f</w:t>
      </w:r>
      <w:r>
        <w:rPr/>
        <w:t xml:space="preserve"> sucht </w:t>
      </w:r>
      <w:r>
        <w:rPr>
          <w:color w:val="808080"/>
        </w:rPr>
        <w:t>(verlangt, fordert)</w:t>
      </w:r>
      <w:r>
        <w:rPr/>
        <w:t xml:space="preserve"> ein Zeichen, aber ein Zeichen wird ihr nicht gegeben werden, außer dem Zeichen Jonas.“ Und er ließ sie zurück </w:t>
      </w:r>
      <w:r>
        <w:rPr>
          <w:color w:val="808080"/>
        </w:rPr>
        <w:t>(stehen)</w:t>
      </w:r>
      <w:r>
        <w:rPr/>
        <w:t xml:space="preserve"> und ging.{{field-off:bible}} </w:t>
        <w:br/>
        <w:t>[[@BibleTOBIBLE:Mt 16:5]]</w:t>
      </w:r>
      <w:r>
        <w:rPr>
          <w:b/>
        </w:rPr>
        <w:t>5</w:t>
      </w:r>
      <w:r>
        <w:rPr/>
        <w:t xml:space="preserve"> {{field-on:bible}} </w:t>
      </w:r>
      <w:r>
        <w:rPr>
          <w:strike/>
          <w:color w:val="808080"/>
        </w:rPr>
        <w:t>{Und}</w:t>
      </w:r>
      <w:r>
        <w:rPr/>
        <w:t xml:space="preserve"> als die Jünger an das jenseitige </w:t>
      </w:r>
      <w:r>
        <w:rPr>
          <w:b/>
          <w:color w:val="808080"/>
        </w:rPr>
        <w:t>[</w:t>
      </w:r>
      <w:r>
        <w:rPr/>
        <w:t>Ufer</w:t>
      </w:r>
      <w:r>
        <w:rPr>
          <w:b/>
          <w:color w:val="808080"/>
        </w:rPr>
        <w:t>]</w:t>
      </w:r>
      <w:r>
        <w:rPr/>
        <w:t xml:space="preserve"> </w:t>
      </w:r>
      <w:r>
        <w:rPr>
          <w:rStyle w:val="Funotenanker"/>
        </w:rPr>
        <w:footnoteReference w:customMarkFollows="1" w:id="3486"/>
        <w:t>g</w:t>
      </w:r>
      <w:r>
        <w:rPr/>
        <w:t xml:space="preserve"> kamen,</w:t>
      </w:r>
      <w:r>
        <w:rPr>
          <w:rStyle w:val="Funotenanker"/>
        </w:rPr>
        <w:footnoteReference w:customMarkFollows="1" w:id="3487"/>
        <w:t>h</w:t>
      </w:r>
      <w:r>
        <w:rPr/>
        <w:t xml:space="preserve"> hatten sie vergessen, Brote mitzunehmen.{{field-off:bible}} </w:t>
        <w:br/>
        <w:t>[[@BibleTOBIBLE:Mt 16:6]]</w:t>
      </w:r>
      <w:r>
        <w:rPr>
          <w:b/>
        </w:rPr>
        <w:t>6</w:t>
      </w:r>
      <w:r>
        <w:rPr/>
        <w:t xml:space="preserve"> {{field-on:bible}} </w:t>
      </w:r>
      <w:r>
        <w:rPr>
          <w:strike/>
          <w:color w:val="808080"/>
        </w:rPr>
        <w:t>{Aber}</w:t>
      </w:r>
      <w:r>
        <w:rPr/>
        <w:t xml:space="preserve"> Jesus sagte ihnen: „Seht zu </w:t>
      </w:r>
      <w:r>
        <w:rPr>
          <w:color w:val="808080"/>
        </w:rPr>
        <w:t>(gebt acht)</w:t>
      </w:r>
      <w:r>
        <w:rPr/>
        <w:t xml:space="preserve"> und hütet euch </w:t>
      </w:r>
      <w:r>
        <w:rPr>
          <w:color w:val="808080"/>
        </w:rPr>
        <w:t>(achtet auf)</w:t>
      </w:r>
      <w:r>
        <w:rPr/>
        <w:t xml:space="preserve"> vor dem Sauerteig der Pharisäer und Sadduzäer!“{{field-off:bible}} </w:t>
        <w:br/>
        <w:t>[[@BibleTOBIBLE:Mt 16:7]]</w:t>
      </w:r>
      <w:r>
        <w:rPr>
          <w:b/>
        </w:rPr>
        <w:t>7</w:t>
      </w:r>
      <w:r>
        <w:rPr/>
        <w:t xml:space="preserve"> {{field-on:bible}}Sie aber diskutierten </w:t>
      </w:r>
      <w:r>
        <w:rPr>
          <w:b/>
          <w:color w:val="808080"/>
        </w:rPr>
        <w:t>[</w:t>
      </w:r>
      <w:r>
        <w:rPr/>
        <w:t>gerade</w:t>
      </w:r>
      <w:r>
        <w:rPr>
          <w:b/>
          <w:color w:val="808080"/>
        </w:rPr>
        <w:t>]</w:t>
      </w:r>
      <w:r>
        <w:rPr/>
        <w:t xml:space="preserve"> </w:t>
      </w:r>
      <w:r>
        <w:rPr>
          <w:rStyle w:val="Funotenanker"/>
        </w:rPr>
        <w:footnoteReference w:customMarkFollows="1" w:id="3488"/>
        <w:t>i</w:t>
      </w:r>
      <w:r>
        <w:rPr/>
        <w:t xml:space="preserve"> miteinander </w:t>
      </w:r>
      <w:r>
        <w:rPr>
          <w:strike/>
          <w:color w:val="808080"/>
        </w:rPr>
        <w:t>{sagend}</w:t>
      </w:r>
      <w:r>
        <w:rPr/>
        <w:t>: „Wir haben keine Brote mitgenommen!“</w:t>
      </w:r>
      <w:r>
        <w:rPr>
          <w:rStyle w:val="Funotenanker"/>
        </w:rPr>
        <w:footnoteReference w:customMarkFollows="1" w:id="3489"/>
        <w:t>j</w:t>
      </w:r>
      <w:r>
        <w:rPr/>
        <w:t xml:space="preserve"> {{field-off:bible}} </w:t>
        <w:br/>
        <w:t>[[@BibleTOBIBLE:Mt 16:8]]</w:t>
      </w:r>
      <w:r>
        <w:rPr>
          <w:b/>
        </w:rPr>
        <w:t>8</w:t>
      </w:r>
      <w:r>
        <w:rPr/>
        <w:t xml:space="preserve"> {{field-on:bible}}Als aber Jesus das merkte, sagte er zu ihnen: „Was diskutiert ihr miteinander, Kleingläubige </w:t>
      </w:r>
      <w:r>
        <w:rPr>
          <w:color w:val="808080"/>
        </w:rPr>
        <w:t>(von schwachem Vertrauen)</w:t>
      </w:r>
      <w:r>
        <w:rPr/>
        <w:t xml:space="preserve">, dass </w:t>
      </w:r>
      <w:r>
        <w:rPr>
          <w:color w:val="808080"/>
        </w:rPr>
        <w:t>(weil)</w:t>
      </w:r>
      <w:r>
        <w:rPr/>
        <w:t xml:space="preserve"> </w:t>
      </w:r>
      <w:r>
        <w:rPr>
          <w:rStyle w:val="Funotenanker"/>
        </w:rPr>
        <w:footnoteReference w:customMarkFollows="1" w:id="3490"/>
        <w:t>k</w:t>
      </w:r>
      <w:r>
        <w:rPr/>
        <w:t xml:space="preserve"> ihr kein Brot habt?{{field-off:bible}} </w:t>
        <w:br/>
        <w:t>[[@BibleTOBIBLE:Mt 16:9]]</w:t>
      </w:r>
      <w:r>
        <w:rPr>
          <w:b/>
        </w:rPr>
        <w:t>9</w:t>
      </w:r>
      <w:r>
        <w:rPr/>
        <w:t xml:space="preserve"> {{field-on:bible}}Begreift </w:t>
      </w:r>
      <w:r>
        <w:rPr>
          <w:color w:val="808080"/>
        </w:rPr>
        <w:t>(versteht, erkennt)</w:t>
      </w:r>
      <w:r>
        <w:rPr/>
        <w:t xml:space="preserve"> ihr noch nicht, und erinnert ihr euch nicht </w:t>
      </w:r>
      <w:r>
        <w:rPr>
          <w:b/>
          <w:color w:val="808080"/>
        </w:rPr>
        <w:t>[</w:t>
      </w:r>
      <w:r>
        <w:rPr/>
        <w:t>mehr</w:t>
      </w:r>
      <w:r>
        <w:rPr>
          <w:b/>
          <w:color w:val="808080"/>
        </w:rPr>
        <w:t>]</w:t>
      </w:r>
      <w:r>
        <w:rPr/>
        <w:t xml:space="preserve"> </w:t>
      </w:r>
      <w:r>
        <w:rPr>
          <w:rStyle w:val="Funotenanker"/>
        </w:rPr>
        <w:footnoteReference w:customMarkFollows="1" w:id="3491"/>
        <w:t>l</w:t>
      </w:r>
      <w:r>
        <w:rPr/>
        <w:t xml:space="preserve"> an die fünf Brote der Fünftausend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16:10]]</w:t>
      </w:r>
      <w:r>
        <w:rPr>
          <w:b/>
        </w:rPr>
        <w:t>10</w:t>
      </w:r>
      <w:r>
        <w:rPr/>
        <w:t xml:space="preserve"> {{field-on:bible}}Und nicht an die sieben Brote der Viertausend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16:11]]</w:t>
      </w:r>
      <w:r>
        <w:rPr>
          <w:b/>
        </w:rPr>
        <w:t>11</w:t>
      </w:r>
      <w:r>
        <w:rPr/>
        <w:t xml:space="preserve"> {{field-on:bible}}Warum </w:t>
      </w:r>
      <w:r>
        <w:rPr>
          <w:color w:val="808080"/>
        </w:rPr>
        <w:t>(wie)</w:t>
      </w:r>
      <w:r>
        <w:rPr/>
        <w:t xml:space="preserve"> begreift </w:t>
      </w:r>
      <w:r>
        <w:rPr>
          <w:color w:val="808080"/>
        </w:rPr>
        <w:t>(versteht, erkennt)</w:t>
      </w:r>
      <w:r>
        <w:rPr/>
        <w:t xml:space="preserve"> ihr nicht, dass ich </w:t>
      </w:r>
      <w:r>
        <w:rPr>
          <w:b/>
          <w:color w:val="808080"/>
        </w:rPr>
        <w:t>[</w:t>
      </w:r>
      <w:r>
        <w:rPr/>
        <w:t>gerade</w:t>
      </w:r>
      <w:r>
        <w:rPr>
          <w:b/>
          <w:color w:val="808080"/>
        </w:rPr>
        <w:t>]</w:t>
      </w:r>
      <w:r>
        <w:rPr/>
        <w:t xml:space="preserve"> nicht über Brote zu euch sprach? Nehmt euch </w:t>
      </w:r>
      <w:r>
        <w:rPr>
          <w:strike/>
          <w:color w:val="808080"/>
        </w:rPr>
        <w:t>{aber}</w:t>
      </w:r>
      <w:r>
        <w:rPr/>
        <w:t xml:space="preserve"> in Acht vor dem Sauerteig der Pharisäer und Sadduzäer.“{{field-off:bible}} </w:t>
        <w:br/>
        <w:t>[[@BibleTOBIBLE:Mt 16:12]]</w:t>
      </w:r>
      <w:r>
        <w:rPr>
          <w:b/>
        </w:rPr>
        <w:t>12</w:t>
      </w:r>
      <w:r>
        <w:rPr/>
        <w:t xml:space="preserve"> {{field-on:bible}}Da verstanden sie, dass er nicht meinte </w:t>
      </w:r>
      <w:r>
        <w:rPr>
          <w:color w:val="808080"/>
        </w:rPr>
        <w:t>(sagte)</w:t>
      </w:r>
      <w:r>
        <w:rPr/>
        <w:t xml:space="preserve">, sich vor dem Sauerteig </w:t>
      </w:r>
      <w:r>
        <w:rPr>
          <w:strike/>
          <w:color w:val="808080"/>
        </w:rPr>
        <w:t>{des Brotes}</w:t>
      </w:r>
      <w:r>
        <w:rPr/>
        <w:t xml:space="preserve"> </w:t>
      </w:r>
      <w:r>
        <w:rPr>
          <w:rStyle w:val="Funotenanker"/>
        </w:rPr>
        <w:footnoteReference w:customMarkFollows="1" w:id="3492"/>
        <w:t>m</w:t>
      </w:r>
      <w:r>
        <w:rPr/>
        <w:t xml:space="preserve"> in Acht zu nehmen, sondern vor der Lehre der Pharisäer und Sadduzäer.{{field-off:bible}} </w:t>
        <w:br/>
        <w:t>[[@BibleTOBIBLE:Mt 16:13]]</w:t>
      </w:r>
      <w:r>
        <w:rPr>
          <w:b/>
        </w:rPr>
        <w:t>13</w:t>
      </w:r>
      <w:r>
        <w:rPr/>
        <w:t xml:space="preserve"> {{field-on:bible}}Als </w:t>
      </w:r>
      <w:r>
        <w:rPr>
          <w:strike/>
          <w:color w:val="808080"/>
        </w:rPr>
        <w:t>{aber}</w:t>
      </w:r>
      <w:r>
        <w:rPr/>
        <w:t xml:space="preserve"> Jesus in das Gebiet von Cäsaräa Philippi gekommen war, fragte er seine Jünger </w:t>
      </w:r>
      <w:r>
        <w:rPr>
          <w:strike/>
          <w:color w:val="808080"/>
        </w:rPr>
        <w:t>{und sprach}</w:t>
      </w:r>
      <w:r>
        <w:rPr/>
        <w:t>: „Wer, sagen die Leute, dass ich - der Menschensohn!</w:t>
      </w:r>
      <w:r>
        <w:rPr>
          <w:rStyle w:val="Funotenanker"/>
        </w:rPr>
        <w:footnoteReference w:customMarkFollows="1" w:id="3493"/>
        <w:t>n</w:t>
      </w:r>
      <w:r>
        <w:rPr/>
        <w:t xml:space="preserve"> - </w:t>
      </w:r>
      <w:r>
        <w:rPr>
          <w:color w:val="808080"/>
        </w:rPr>
        <w:t>(dass der Menschensohn)</w:t>
      </w:r>
      <w:r>
        <w:rPr/>
        <w:t xml:space="preserve"> </w:t>
      </w:r>
      <w:r>
        <w:rPr>
          <w:rStyle w:val="Funotenanker"/>
        </w:rPr>
        <w:footnoteReference w:customMarkFollows="1" w:id="3494"/>
        <w:t>o</w:t>
      </w:r>
      <w:r>
        <w:rPr/>
        <w:t xml:space="preserve"> sei?“{{field-off:bible}} </w:t>
        <w:br/>
        <w:t>[[@BibleTOBIBLE:Mt 16:14]]</w:t>
      </w:r>
      <w:r>
        <w:rPr>
          <w:b/>
        </w:rPr>
        <w:t>14</w:t>
      </w:r>
      <w:r>
        <w:rPr/>
        <w:t xml:space="preserve"> {{field-on:bible}}Sie aber sagten: „Die einen </w:t>
      </w:r>
      <w:r>
        <w:rPr>
          <w:b/>
          <w:color w:val="808080"/>
        </w:rPr>
        <w:t>[</w:t>
      </w:r>
      <w:r>
        <w:rPr/>
        <w:t>sagen</w:t>
      </w:r>
      <w:r>
        <w:rPr>
          <w:b/>
          <w:color w:val="808080"/>
        </w:rPr>
        <w:t>]</w:t>
      </w:r>
      <w:r>
        <w:rPr/>
        <w:t xml:space="preserve">: »Johannes der Täufer«, andere </w:t>
      </w:r>
      <w:r>
        <w:rPr>
          <w:strike/>
          <w:color w:val="808080"/>
        </w:rPr>
        <w:t>{aber}</w:t>
      </w:r>
      <w:r>
        <w:rPr/>
        <w:t xml:space="preserve"> »Elija«, andere </w:t>
      </w:r>
      <w:r>
        <w:rPr>
          <w:strike/>
          <w:color w:val="808080"/>
        </w:rPr>
        <w:t>{aber}</w:t>
      </w:r>
      <w:r>
        <w:rPr/>
        <w:t xml:space="preserve"> »Jeremia oder einer der Propheten«.“{{field-off:bible}} </w:t>
        <w:br/>
        <w:t>[[@BibleTOBIBLE:Mt 16:15]]</w:t>
      </w:r>
      <w:r>
        <w:rPr>
          <w:b/>
        </w:rPr>
        <w:t>15</w:t>
      </w:r>
      <w:r>
        <w:rPr/>
        <w:t xml:space="preserve"> {{field-on:bible}}Er sagte zu ihnen: „Ihr aber, wer sagt ihr, dass ich sei?“{{field-off:bible}} </w:t>
        <w:br/>
        <w:t>[[@BibleTOBIBLE:Mt 16:16]]</w:t>
      </w:r>
      <w:r>
        <w:rPr>
          <w:b/>
        </w:rPr>
        <w:t>16</w:t>
      </w:r>
      <w:r>
        <w:rPr/>
        <w:t xml:space="preserve"> {{field-on:bible}}Es antwortete </w:t>
      </w:r>
      <w:r>
        <w:rPr>
          <w:strike/>
          <w:color w:val="808080"/>
        </w:rPr>
        <w:t>{aber}</w:t>
      </w:r>
      <w:r>
        <w:rPr/>
        <w:t xml:space="preserve"> Simon Petrus </w:t>
      </w:r>
      <w:r>
        <w:rPr>
          <w:strike/>
          <w:color w:val="808080"/>
        </w:rPr>
        <w:t>{und sprach}</w:t>
      </w:r>
      <w:r>
        <w:rPr/>
        <w:t>: „Du bist der Gesalbte</w:t>
      </w:r>
      <w:r>
        <w:rPr>
          <w:rStyle w:val="Funotenanker"/>
        </w:rPr>
        <w:footnoteReference w:customMarkFollows="1" w:id="3495"/>
        <w:t>p</w:t>
      </w:r>
      <w:r>
        <w:rPr/>
        <w:t xml:space="preserve">, der Sohn des lebendigen </w:t>
      </w:r>
      <w:r>
        <w:rPr>
          <w:b/>
          <w:color w:val="808080"/>
        </w:rPr>
        <w:t>[</w:t>
      </w:r>
      <w:r>
        <w:rPr/>
        <w:t>Gottes</w:t>
      </w:r>
      <w:r>
        <w:rPr>
          <w:b/>
          <w:color w:val="808080"/>
        </w:rPr>
        <w:t>]</w:t>
      </w:r>
      <w:r>
        <w:rPr/>
        <w:t xml:space="preserve">.“{{field-off:bible}} </w:t>
        <w:br/>
        <w:t>[[@BibleTOBIBLE:Mt 16:17]]</w:t>
      </w:r>
      <w:r>
        <w:rPr>
          <w:b/>
        </w:rPr>
        <w:t>17</w:t>
      </w:r>
      <w:r>
        <w:rPr/>
        <w:t xml:space="preserve"> {{field-on:bible}}Jesus </w:t>
      </w:r>
      <w:r>
        <w:rPr>
          <w:strike/>
          <w:color w:val="808080"/>
        </w:rPr>
        <w:t>{aber}</w:t>
      </w:r>
      <w:r>
        <w:rPr/>
        <w:t xml:space="preserve"> sagte zu ihm: „</w:t>
      </w:r>
      <w:r>
        <w:rPr>
          <w:b/>
          <w:color w:val="808080"/>
        </w:rPr>
        <w:t>[</w:t>
      </w:r>
      <w:r>
        <w:rPr/>
        <w:t>Wie</w:t>
      </w:r>
      <w:r>
        <w:rPr>
          <w:b/>
          <w:color w:val="808080"/>
        </w:rPr>
        <w:t>]</w:t>
      </w:r>
      <w:r>
        <w:rPr/>
        <w:t xml:space="preserve"> glücklich </w:t>
      </w:r>
      <w:r>
        <w:rPr>
          <w:color w:val="808080"/>
        </w:rPr>
        <w:t>(selig, glückselig)</w:t>
      </w:r>
      <w:r>
        <w:rPr/>
        <w:t xml:space="preserve"> </w:t>
      </w:r>
      <w:r>
        <w:rPr>
          <w:rStyle w:val="Funotenanker"/>
        </w:rPr>
        <w:footnoteReference w:customMarkFollows="1" w:id="3496"/>
        <w:t>q</w:t>
      </w:r>
      <w:r>
        <w:rPr/>
        <w:t xml:space="preserve"> bist du, Simon bar Jona</w:t>
      </w:r>
      <w:r>
        <w:rPr>
          <w:rStyle w:val="Funotenanker"/>
        </w:rPr>
        <w:footnoteReference w:customMarkFollows="1" w:id="3497"/>
        <w:t>r</w:t>
      </w:r>
      <w:r>
        <w:rPr/>
        <w:t>, denn nicht Fleisch und Blut</w:t>
      </w:r>
      <w:r>
        <w:rPr>
          <w:rStyle w:val="Funotenanker"/>
        </w:rPr>
        <w:footnoteReference w:customMarkFollows="1" w:id="3498"/>
        <w:t>s</w:t>
      </w:r>
      <w:r>
        <w:rPr/>
        <w:t xml:space="preserve"> haben dir </w:t>
      </w:r>
      <w:r>
        <w:rPr>
          <w:b/>
          <w:color w:val="808080"/>
        </w:rPr>
        <w:t>[</w:t>
      </w:r>
      <w:r>
        <w:rPr/>
        <w:t>das</w:t>
      </w:r>
      <w:r>
        <w:rPr>
          <w:b/>
          <w:color w:val="808080"/>
        </w:rPr>
        <w:t>]</w:t>
      </w:r>
      <w:r>
        <w:rPr/>
        <w:t xml:space="preserve"> offenbart </w:t>
      </w:r>
      <w:r>
        <w:rPr>
          <w:color w:val="808080"/>
        </w:rPr>
        <w:t>(enthüllt)</w:t>
      </w:r>
      <w:r>
        <w:rPr/>
        <w:t>, sondern mein Vater im Himmel.</w:t>
      </w:r>
      <w:r>
        <w:rPr>
          <w:rStyle w:val="Funotenanker"/>
        </w:rPr>
        <w:footnoteReference w:customMarkFollows="1" w:id="3499"/>
        <w:t>t</w:t>
      </w:r>
      <w:r>
        <w:rPr/>
        <w:t xml:space="preserve"> {{field-off:bible}} </w:t>
        <w:br/>
        <w:t>[[@BibleTOBIBLE:Mt 16:18]]</w:t>
      </w:r>
      <w:r>
        <w:rPr>
          <w:b/>
        </w:rPr>
        <w:t>18</w:t>
      </w:r>
      <w:r>
        <w:rPr/>
        <w:t xml:space="preserve"> {{field-on:bible}}Aber ich sage dir: Du bist Petrus </w:t>
      </w:r>
      <w:r>
        <w:rPr>
          <w:color w:val="808080"/>
        </w:rPr>
        <w:t>(Fels)</w:t>
      </w:r>
      <w:r>
        <w:rPr/>
        <w:t>, und auf dieses Gefels</w:t>
      </w:r>
      <w:r>
        <w:rPr>
          <w:rStyle w:val="Funotenanker"/>
        </w:rPr>
        <w:footnoteReference w:customMarkFollows="1" w:id="3500"/>
        <w:t>u</w:t>
      </w:r>
      <w:r>
        <w:rPr/>
        <w:t xml:space="preserve"> werde ich meine Kirche </w:t>
      </w:r>
      <w:r>
        <w:rPr>
          <w:color w:val="808080"/>
        </w:rPr>
        <w:t>(er)</w:t>
      </w:r>
      <w:r>
        <w:rPr/>
        <w:t>bauen, und die Pforten des Hades</w:t>
      </w:r>
      <w:r>
        <w:rPr>
          <w:rStyle w:val="Funotenanker"/>
        </w:rPr>
        <w:footnoteReference w:customMarkFollows="1" w:id="3501"/>
        <w:t>v</w:t>
      </w:r>
      <w:r>
        <w:rPr/>
        <w:t xml:space="preserve"> werden nicht die Oberhand haben </w:t>
      </w:r>
      <w:r>
        <w:rPr>
          <w:color w:val="808080"/>
        </w:rPr>
        <w:t>(erlangen)</w:t>
      </w:r>
      <w:r>
        <w:rPr/>
        <w:t xml:space="preserve"> über sie </w:t>
      </w:r>
      <w:r>
        <w:rPr>
          <w:color w:val="808080"/>
        </w:rPr>
        <w:t>(es)</w:t>
      </w:r>
      <w:r>
        <w:rPr/>
        <w:t>.</w:t>
      </w:r>
      <w:r>
        <w:rPr>
          <w:rStyle w:val="Funotenanker"/>
        </w:rPr>
        <w:footnoteReference w:customMarkFollows="1" w:id="3502"/>
        <w:t>w</w:t>
      </w:r>
      <w:r>
        <w:rPr/>
        <w:t xml:space="preserve"> {{field-off:bible}} </w:t>
        <w:br/>
        <w:t>[[@BibleTOBIBLE:Mt 16:19]]</w:t>
      </w:r>
      <w:r>
        <w:rPr>
          <w:b/>
        </w:rPr>
        <w:t>19</w:t>
      </w:r>
      <w:r>
        <w:rPr/>
        <w:t xml:space="preserve"> {{field-on:bible}}Ich werde dir die Schlüssel des Reiches des Himmels </w:t>
      </w:r>
      <w:r>
        <w:rPr>
          <w:color w:val="808080"/>
        </w:rPr>
        <w:t>(der Himmel)</w:t>
      </w:r>
      <w:r>
        <w:rPr/>
        <w:t xml:space="preserve"> geben,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binden wirst auf der Erde, wird gebunden sein im Himmel </w:t>
      </w:r>
      <w:r>
        <w:rPr>
          <w:color w:val="808080"/>
        </w:rPr>
        <w:t>(in den Himmeln)</w:t>
      </w:r>
      <w:r>
        <w:rPr/>
        <w:t xml:space="preserve">,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lösen wirst auf der Erde, wird gelöst sein im Himmel </w:t>
      </w:r>
      <w:r>
        <w:rPr>
          <w:color w:val="808080"/>
        </w:rPr>
        <w:t>(in den Himmeln)</w:t>
      </w:r>
      <w:r>
        <w:rPr/>
        <w:t>.“</w:t>
      </w:r>
      <w:r>
        <w:rPr>
          <w:rStyle w:val="Funotenanker"/>
        </w:rPr>
        <w:footnoteReference w:customMarkFollows="1" w:id="3503"/>
        <w:t>x</w:t>
      </w:r>
      <w:r>
        <w:rPr/>
        <w:t xml:space="preserve"> {{field-off:bible}} </w:t>
        <w:br/>
        <w:t>[[@BibleTOBIBLE:Mt 16:20]]</w:t>
      </w:r>
      <w:r>
        <w:rPr>
          <w:b/>
        </w:rPr>
        <w:t>20</w:t>
      </w:r>
      <w:r>
        <w:rPr/>
        <w:t xml:space="preserve"> {{field-on:bible}}Dann befahl er </w:t>
      </w:r>
      <w:r>
        <w:rPr>
          <w:color w:val="808080"/>
        </w:rPr>
        <w:t>(ordnete er an, schärfte er ein)</w:t>
      </w:r>
      <w:r>
        <w:rPr/>
        <w:t xml:space="preserve"> den Jüngern, dass sie niemandem sagen sollten, dass er der Gesalbte sei.{{field-off:bible}} </w:t>
        <w:br/>
        <w:t>[[@BibleTOBIBLE:Mt 16:21]]</w:t>
      </w:r>
      <w:r>
        <w:rPr>
          <w:b/>
        </w:rPr>
        <w:t>21</w:t>
      </w:r>
      <w:r>
        <w:rPr/>
        <w:t xml:space="preserve"> {{field-on:bible}}Von da an begann Jesus, den Jüngern zu zeigen </w:t>
      </w:r>
      <w:r>
        <w:rPr>
          <w:color w:val="808080"/>
        </w:rPr>
        <w:t>(darzutun, klarzumachen, hinzuweisen)</w:t>
      </w:r>
      <w:r>
        <w:rPr/>
        <w:t>, dass er nach Jerusalem gehen und vieles von den Ältesten und Führern und Schriftgelehrten erleiden und getötet werden und am dritten Tage auferstehen müsse.</w:t>
      </w:r>
      <w:r>
        <w:rPr>
          <w:rStyle w:val="Funotenanker"/>
        </w:rPr>
        <w:footnoteReference w:customMarkFollows="1" w:id="3504"/>
        <w:t>y</w:t>
      </w:r>
      <w:r>
        <w:rPr/>
        <w:t xml:space="preserve"> {{field-off:bible}} </w:t>
        <w:br/>
        <w:t>[[@BibleTOBIBLE:Mt 16:22]]</w:t>
      </w:r>
      <w:r>
        <w:rPr>
          <w:b/>
        </w:rPr>
        <w:t>22</w:t>
      </w:r>
      <w:r>
        <w:rPr/>
        <w:t xml:space="preserve"> {{field-on:bible}}Und es nahm ihn beiseite </w:t>
      </w:r>
      <w:r>
        <w:rPr>
          <w:color w:val="808080"/>
        </w:rPr>
        <w:t>(zu sich)</w:t>
      </w:r>
      <w:r>
        <w:rPr/>
        <w:t xml:space="preserve"> Petrus und begann ihn anzufahren </w:t>
      </w:r>
      <w:r>
        <w:rPr>
          <w:color w:val="808080"/>
        </w:rPr>
        <w:t>(zu tadeln, zurechtzuweisen)</w:t>
      </w:r>
      <w:r>
        <w:rPr/>
        <w:t xml:space="preserve"> </w:t>
      </w:r>
      <w:r>
        <w:rPr>
          <w:strike/>
          <w:color w:val="808080"/>
        </w:rPr>
        <w:t>{sagend}</w:t>
      </w:r>
      <w:r>
        <w:rPr/>
        <w:t xml:space="preserve">: „Gott sei dir gnädig </w:t>
      </w:r>
      <w:r>
        <w:rPr>
          <w:color w:val="808080"/>
        </w:rPr>
        <w:t>(wohlgesonnen, gütig gesinnt)</w:t>
      </w:r>
      <w:r>
        <w:rPr/>
        <w:t xml:space="preserve">, Herr! Dies darf </w:t>
      </w:r>
      <w:r>
        <w:rPr>
          <w:color w:val="808080"/>
        </w:rPr>
        <w:t>(soll)</w:t>
      </w:r>
      <w:r>
        <w:rPr/>
        <w:t xml:space="preserve"> dir nicht geschehen </w:t>
      </w:r>
      <w:r>
        <w:rPr>
          <w:color w:val="808080"/>
        </w:rPr>
        <w:t>(zustoßen)</w:t>
      </w:r>
      <w:r>
        <w:rPr/>
        <w:t xml:space="preserve">!“{{field-off:bible}} </w:t>
        <w:br/>
        <w:t>[[@BibleTOBIBLE:Mt 16:23]]</w:t>
      </w:r>
      <w:r>
        <w:rPr>
          <w:b/>
        </w:rPr>
        <w:t>23</w:t>
      </w:r>
      <w:r>
        <w:rPr/>
        <w:t xml:space="preserve"> {{field-on:bible}}Der aber wandte sich um</w:t>
      </w:r>
      <w:r>
        <w:rPr>
          <w:rStyle w:val="Funotenanker"/>
        </w:rPr>
        <w:footnoteReference w:customMarkFollows="1" w:id="3505"/>
        <w:t>z</w:t>
      </w:r>
      <w:r>
        <w:rPr/>
        <w:t xml:space="preserve"> und sagte zu Petrus: „Geh hinter mich </w:t>
      </w:r>
      <w:r>
        <w:rPr>
          <w:color w:val="808080"/>
        </w:rPr>
        <w:t>(geh weg von mir, lass mich in Ruhe)</w:t>
      </w:r>
      <w:r>
        <w:rPr/>
        <w:t>,</w:t>
      </w:r>
      <w:r>
        <w:rPr>
          <w:rStyle w:val="Funotenanker"/>
        </w:rPr>
        <w:footnoteReference w:customMarkFollows="1" w:id="3506"/>
        <w:t>aa</w:t>
      </w:r>
      <w:r>
        <w:rPr/>
        <w:t xml:space="preserve"> Satan! Eine Versuchung </w:t>
      </w:r>
      <w:r>
        <w:rPr>
          <w:color w:val="808080"/>
        </w:rPr>
        <w:t>(Verführung, Falle)</w:t>
      </w:r>
      <w:r>
        <w:rPr/>
        <w:t xml:space="preserve"> bist du mir, denn du denkst </w:t>
      </w:r>
      <w:r>
        <w:rPr>
          <w:color w:val="808080"/>
        </w:rPr>
        <w:t>(meinst)</w:t>
      </w:r>
      <w:r>
        <w:rPr/>
        <w:t xml:space="preserve"> nicht die Sache Gottes, sondern die Sache der Menschen.“{{field-off:bible}} </w:t>
        <w:br/>
        <w:t>[[@BibleTOBIBLE:Mt 16:24]]</w:t>
      </w:r>
      <w:r>
        <w:rPr>
          <w:b/>
        </w:rPr>
        <w:t>24</w:t>
      </w:r>
      <w:r>
        <w:rPr/>
        <w:t xml:space="preserve"> {{field-on:bible}}Dann sagte Jesus seinen Jüngern: „Wenn jemand hinter mir gehen </w:t>
      </w:r>
      <w:r>
        <w:rPr>
          <w:color w:val="808080"/>
        </w:rPr>
        <w:t>(mir nachfolgen)</w:t>
      </w:r>
      <w:r>
        <w:rPr/>
        <w:t xml:space="preserve"> möchte, verleugne er sich selbst, nehme sein Kreuz auf </w:t>
      </w:r>
      <w:r>
        <w:rPr>
          <w:color w:val="808080"/>
        </w:rPr>
        <w:t>(mit)</w:t>
      </w:r>
      <w:r>
        <w:rPr/>
        <w:t xml:space="preserve"> und folge mir nach.{{field-off:bible}} </w:t>
        <w:br/>
        <w:t>[[@BibleTOBIBLE:Mt 16:25]]</w:t>
      </w:r>
      <w:r>
        <w:rPr>
          <w:b/>
        </w:rPr>
        <w:t>25</w:t>
      </w:r>
      <w:r>
        <w:rPr/>
        <w:t xml:space="preserve"> {{field-on:bible}}Denn wer auch immer </w:t>
      </w:r>
      <w:r>
        <w:rPr>
          <w:color w:val="808080"/>
        </w:rPr>
        <w:t>(jeder, der)</w:t>
      </w:r>
      <w:r>
        <w:rPr/>
        <w:t xml:space="preserve"> sein Leben retten möchte, wird es verlieren. Aber wer auch immer </w:t>
      </w:r>
      <w:r>
        <w:rPr>
          <w:color w:val="808080"/>
        </w:rPr>
        <w:t>(jeder, der)</w:t>
      </w:r>
      <w:r>
        <w:rPr/>
        <w:t xml:space="preserve"> sein Leben verliert um meinetwillen </w:t>
      </w:r>
      <w:r>
        <w:rPr>
          <w:color w:val="808080"/>
        </w:rPr>
        <w:t>(wegen mir)</w:t>
      </w:r>
      <w:r>
        <w:rPr/>
        <w:t xml:space="preserve">, wird es erlangen </w:t>
      </w:r>
      <w:r>
        <w:rPr>
          <w:color w:val="808080"/>
        </w:rPr>
        <w:t>(gewinnen, finden)</w:t>
      </w:r>
      <w:r>
        <w:rPr/>
        <w:t xml:space="preserve">.{{field-off:bible}} </w:t>
        <w:br/>
        <w:t>[[@BibleTOBIBLE:Mt 16:26]]</w:t>
      </w:r>
      <w:r>
        <w:rPr>
          <w:b/>
        </w:rPr>
        <w:t>26</w:t>
      </w:r>
      <w:r>
        <w:rPr/>
        <w:t xml:space="preserve"> {{field-on:bible}}Denn was würde es einem Menschen helfen </w:t>
      </w:r>
      <w:r>
        <w:rPr>
          <w:color w:val="808080"/>
        </w:rPr>
        <w:t>(nützen, fördern)</w:t>
      </w:r>
      <w:r>
        <w:rPr/>
        <w:t xml:space="preserve">, wenn er die ganze Welt gewönne, ihm aber sein Leben </w:t>
      </w:r>
      <w:r>
        <w:rPr>
          <w:color w:val="808080"/>
        </w:rPr>
        <w:t>(Seele)</w:t>
      </w:r>
      <w:r>
        <w:rPr/>
        <w:t xml:space="preserve"> abhanden komme </w:t>
      </w:r>
      <w:r>
        <w:rPr>
          <w:color w:val="808080"/>
        </w:rPr>
        <w:t>(er sein Leben einbüßte, sein Leben Schaden erlitte)</w:t>
      </w:r>
      <w:r>
        <w:rPr/>
        <w:t xml:space="preserve">? Oder was kann ein Mensch geben als Tauschmittel </w:t>
      </w:r>
      <w:r>
        <w:rPr>
          <w:color w:val="808080"/>
        </w:rPr>
        <w:t>(Gegenwert)</w:t>
      </w:r>
      <w:r>
        <w:rPr/>
        <w:t xml:space="preserve"> für sein Leben </w:t>
      </w:r>
      <w:r>
        <w:rPr>
          <w:color w:val="808080"/>
        </w:rPr>
        <w:t>(seine Seele)</w:t>
      </w:r>
      <w:r>
        <w:rPr/>
        <w:t>?</w:t>
      </w:r>
      <w:r>
        <w:rPr>
          <w:rStyle w:val="Funotenanker"/>
        </w:rPr>
        <w:footnoteReference w:customMarkFollows="1" w:id="3507"/>
        <w:t>ab</w:t>
      </w:r>
      <w:r>
        <w:rPr/>
        <w:t xml:space="preserve"> {{field-off:bible}} </w:t>
        <w:br/>
        <w:t>[[@BibleTOBIBLE:Mt 16:27]]</w:t>
      </w:r>
      <w:r>
        <w:rPr>
          <w:b/>
        </w:rPr>
        <w:t>27</w:t>
      </w:r>
      <w:r>
        <w:rPr/>
        <w:t xml:space="preserve"> {{field-on:bible}}Denn der Sohn des Menschen wird mit seinen Engeln in der Herrlichkeit</w:t>
      </w:r>
      <w:r>
        <w:rPr>
          <w:rStyle w:val="Funotenanker"/>
        </w:rPr>
        <w:footnoteReference w:customMarkFollows="1" w:id="3508"/>
        <w:t>ac</w:t>
      </w:r>
      <w:r>
        <w:rPr/>
        <w:t xml:space="preserve"> seines Vaters kommen, und dann wird er vergelten einem jeden nach seinem Tun.{{field-off:bible}} </w:t>
        <w:br/>
        <w:t>[[@BibleTOBIBLE:Mt 16:28]]</w:t>
      </w:r>
      <w:r>
        <w:rPr>
          <w:b/>
        </w:rPr>
        <w:t>28</w:t>
      </w:r>
      <w:r>
        <w:rPr/>
        <w:t xml:space="preserve"> {{field-on:bible}}Amen, ich sage euch:</w:t>
      </w:r>
      <w:r>
        <w:rPr>
          <w:rStyle w:val="Funotenanker"/>
        </w:rPr>
        <w:footnoteReference w:customMarkFollows="1" w:id="3509"/>
        <w:t>ad</w:t>
      </w:r>
      <w:r>
        <w:rPr/>
        <w:t xml:space="preserve"> Einige von denen, die hier stehen, werden den Tod nicht schmecken </w:t>
      </w:r>
      <w:r>
        <w:rPr>
          <w:color w:val="808080"/>
        </w:rPr>
        <w:t>(kennen lernen, erfahren)</w:t>
      </w:r>
      <w:r>
        <w:rPr/>
        <w:t xml:space="preserve"> </w:t>
      </w:r>
      <w:r>
        <w:rPr>
          <w:rStyle w:val="Funotenanker"/>
        </w:rPr>
        <w:footnoteReference w:customMarkFollows="1" w:id="3510"/>
        <w:t>ae</w:t>
      </w:r>
      <w:r>
        <w:rPr/>
        <w:t xml:space="preserve"> bis sie gesehen haben den Sohn des Menschen kommend in seine Herrschaft </w:t>
      </w:r>
      <w:r>
        <w:rPr>
          <w:color w:val="808080"/>
        </w:rPr>
        <w:t>(Reich)</w:t>
      </w:r>
      <w:r>
        <w:rPr/>
        <w:t xml:space="preserve">.“{{field-off:bible}} </w:t>
      </w:r>
    </w:p>
    <w:p>
      <w:pPr>
        <w:pStyle w:val="Berschrift3"/>
        <w:rPr/>
      </w:pPr>
      <w:r>
        <w:rPr/>
        <w:t>[[@BibleTOBIBLE:Mt 17]]Kapitel 17</w:t>
      </w:r>
    </w:p>
    <w:p>
      <w:pPr>
        <w:pStyle w:val="Textkrper"/>
        <w:rPr/>
      </w:pPr>
      <w:r>
        <w:rPr/>
        <w:br/>
        <w:t>[[@BibleTOBIBLE:Mt 17:1]]</w:t>
      </w:r>
      <w:r>
        <w:rPr>
          <w:b/>
        </w:rPr>
        <w:t>1</w:t>
      </w:r>
      <w:r>
        <w:rPr/>
        <w:t xml:space="preserve"> {{field-on:bible}} </w:t>
      </w:r>
      <w:r>
        <w:rPr>
          <w:rStyle w:val="Funotenanker"/>
        </w:rPr>
        <w:footnoteReference w:customMarkFollows="1" w:id="3511"/>
        <w:t>Status</w:t>
      </w:r>
      <w:r>
        <w:rPr/>
        <w:t xml:space="preserve"> Und nach sechs tagen nahm Jesus Petrus und Johannes und Jakobus, seinen Bruder, und führte sie auf einen hohen Berg für sich allein </w:t>
      </w:r>
      <w:r>
        <w:rPr>
          <w:color w:val="808080"/>
        </w:rPr>
        <w:t>(einsam, abseits)</w:t>
      </w:r>
      <w:r>
        <w:rPr/>
        <w:t xml:space="preserve">.{{field-off:bible}} </w:t>
        <w:br/>
        <w:t>[[@BibleTOBIBLE:Mt 17:2]]</w:t>
      </w:r>
      <w:r>
        <w:rPr>
          <w:b/>
        </w:rPr>
        <w:t>2</w:t>
      </w:r>
      <w:r>
        <w:rPr/>
        <w:t xml:space="preserve"> {{field-on:bible}}Und er wurde vor ihren Augen verwandelt </w:t>
      </w:r>
      <w:r>
        <w:rPr>
          <w:color w:val="808080"/>
        </w:rPr>
        <w:t>(umgestaltet)</w:t>
      </w:r>
      <w:r>
        <w:rPr/>
        <w:t xml:space="preserve"> und es leuchtete sein Gesicht </w:t>
      </w:r>
      <w:r>
        <w:rPr>
          <w:color w:val="808080"/>
        </w:rPr>
        <w:t>(Antlitz, Erscheinung)</w:t>
      </w:r>
      <w:r>
        <w:rPr/>
        <w:t xml:space="preserve"> wie die Sonne, sein Gewand </w:t>
      </w:r>
      <w:r>
        <w:rPr>
          <w:color w:val="808080"/>
        </w:rPr>
        <w:t>(Kleid)</w:t>
      </w:r>
      <w:r>
        <w:rPr/>
        <w:t xml:space="preserve"> aber wurde weiß wie das Licht </w:t>
      </w:r>
      <w:r>
        <w:rPr>
          <w:color w:val="808080"/>
        </w:rPr>
        <w:t>(blendend/strahlend hell/weiß)</w:t>
      </w:r>
      <w:r>
        <w:rPr/>
        <w:t xml:space="preserve">.{{field-off:bible}} </w:t>
        <w:br/>
        <w:t>[[@BibleTOBIBLE:Mt 17:3]]</w:t>
      </w:r>
      <w:r>
        <w:rPr>
          <w:b/>
        </w:rPr>
        <w:t>3</w:t>
      </w:r>
      <w:r>
        <w:rPr/>
        <w:t xml:space="preserve"> {{field-on:bible}}Und siehe </w:t>
      </w:r>
      <w:r>
        <w:rPr>
          <w:color w:val="808080"/>
        </w:rPr>
        <w:t>(plötzlich)</w:t>
      </w:r>
      <w:r>
        <w:rPr/>
        <w:t xml:space="preserve"> erblickten </w:t>
      </w:r>
      <w:r>
        <w:rPr>
          <w:color w:val="808080"/>
        </w:rPr>
        <w:t>(sahen, bemerkten)</w:t>
      </w:r>
      <w:r>
        <w:rPr/>
        <w:t xml:space="preserve"> sie Moses und Elias, wie sie sich mit ihm besprachen </w:t>
      </w:r>
      <w:r>
        <w:rPr>
          <w:color w:val="808080"/>
        </w:rPr>
        <w:t>(unterredeten)</w:t>
      </w:r>
      <w:r>
        <w:rPr/>
        <w:t xml:space="preserve"> </w:t>
      </w:r>
      <w:r>
        <w:rPr>
          <w:rStyle w:val="Funotenanker"/>
        </w:rPr>
        <w:footnoteReference w:customMarkFollows="1" w:id="3512"/>
        <w:t>a</w:t>
      </w:r>
      <w:r>
        <w:rPr/>
        <w:t xml:space="preserve">.{{field-off:bible}} </w:t>
        <w:br/>
        <w:t>[[@BibleTOBIBLE:Mt 17:4]]</w:t>
      </w:r>
      <w:r>
        <w:rPr>
          <w:b/>
        </w:rPr>
        <w:t>4</w:t>
      </w:r>
      <w:r>
        <w:rPr/>
        <w:t xml:space="preserve"> {{field-on:bible}}Als aber Petrus das Wort ergriff</w:t>
      </w:r>
      <w:r>
        <w:rPr>
          <w:rStyle w:val="Funotenanker"/>
        </w:rPr>
        <w:footnoteReference w:customMarkFollows="1" w:id="3513"/>
        <w:t>b</w:t>
      </w:r>
      <w:r>
        <w:rPr/>
        <w:t xml:space="preserve"> sagte er zu Jesus: Herr, es ist gut, dass wir hier sind; wenn du willst lass und hier bauen drei Zelte </w:t>
      </w:r>
      <w:r>
        <w:rPr>
          <w:color w:val="808080"/>
        </w:rPr>
        <w:t>(Hütten)</w:t>
      </w:r>
      <w:r>
        <w:rPr/>
        <w:t xml:space="preserve">, für dich eine und für Moses eine und für Elias eine.{{field-off:bible}} </w:t>
        <w:br/>
        <w:t>[[@BibleTOBIBLE:Mt 17:5]]</w:t>
      </w:r>
      <w:r>
        <w:rPr>
          <w:b/>
        </w:rPr>
        <w:t>5</w:t>
      </w:r>
      <w:r>
        <w:rPr/>
        <w:t xml:space="preserve"> {{field-on:bible}}Während </w:t>
      </w:r>
      <w:r>
        <w:rPr>
          <w:color w:val="808080"/>
        </w:rPr>
        <w:t>(als)</w:t>
      </w:r>
      <w:r>
        <w:rPr/>
        <w:t xml:space="preserve"> er noch redete, siehe </w:t>
      </w:r>
      <w:r>
        <w:rPr>
          <w:color w:val="808080"/>
        </w:rPr>
        <w:t>(plötzlich)</w:t>
      </w:r>
      <w:r>
        <w:rPr/>
        <w:t xml:space="preserve">, eine hell leuchtende </w:t>
      </w:r>
      <w:r>
        <w:rPr>
          <w:color w:val="808080"/>
        </w:rPr>
        <w:t>(voller Licht)</w:t>
      </w:r>
      <w:r>
        <w:rPr/>
        <w:t xml:space="preserve"> Wolke überschattete </w:t>
      </w:r>
      <w:r>
        <w:rPr>
          <w:color w:val="808080"/>
        </w:rPr>
        <w:t>(warf ihren Schatten auf, bedeckte, verhüllte)</w:t>
      </w:r>
      <w:r>
        <w:rPr/>
        <w:t xml:space="preserve"> sie und siehe </w:t>
      </w:r>
      <w:r>
        <w:rPr>
          <w:color w:val="808080"/>
        </w:rPr>
        <w:t>(plötzlich)</w:t>
      </w:r>
      <w:r>
        <w:rPr/>
        <w:t xml:space="preserve">, eine Stimme aus der Wolke sprach: Dies ist mein geliebter </w:t>
      </w:r>
      <w:r>
        <w:rPr>
          <w:color w:val="808080"/>
        </w:rPr>
        <w:t>(einziger, erwählte)</w:t>
      </w:r>
      <w:r>
        <w:rPr/>
        <w:t xml:space="preserve"> Sohn</w:t>
      </w:r>
      <w:r>
        <w:rPr>
          <w:rStyle w:val="Funotenanker"/>
        </w:rPr>
        <w:footnoteReference w:customMarkFollows="1" w:id="3514"/>
        <w:t>c</w:t>
      </w:r>
      <w:r>
        <w:rPr/>
        <w:t xml:space="preserve"> an ihm habe ich Wohlgefallen </w:t>
      </w:r>
      <w:r>
        <w:rPr>
          <w:color w:val="808080"/>
        </w:rPr>
        <w:t>(Freude)</w:t>
      </w:r>
      <w:r>
        <w:rPr/>
        <w:t xml:space="preserve">. Hört auf ihn! </w:t>
      </w:r>
      <w:r>
        <w:rPr>
          <w:color w:val="808080"/>
        </w:rPr>
        <w:t>(Gehorcht ihm, schenkt ihm Gehör)</w:t>
      </w:r>
      <w:r>
        <w:rPr/>
        <w:t xml:space="preserve"> {{field-off:bible}} </w:t>
        <w:br/>
        <w:t>[[@BibleTOBIBLE:Mt 17:6]]</w:t>
      </w:r>
      <w:r>
        <w:rPr>
          <w:b/>
        </w:rPr>
        <w:t>6</w:t>
      </w:r>
      <w:r>
        <w:rPr/>
        <w:t xml:space="preserve"> {{field-on:bible}}Und als sie dies hörten</w:t>
      </w:r>
      <w:r>
        <w:rPr>
          <w:rStyle w:val="Funotenanker"/>
        </w:rPr>
        <w:footnoteReference w:customMarkFollows="1" w:id="3515"/>
        <w:t>d</w:t>
      </w:r>
      <w:r>
        <w:rPr/>
        <w:t xml:space="preserve"> fielen die Jünger nieder </w:t>
      </w:r>
      <w:r>
        <w:rPr>
          <w:color w:val="808080"/>
        </w:rPr>
        <w:t>(warfen sich zu Boden)</w:t>
      </w:r>
      <w:r>
        <w:rPr/>
        <w:t xml:space="preserve"> auf ihr Antlitz </w:t>
      </w:r>
      <w:r>
        <w:rPr>
          <w:color w:val="808080"/>
        </w:rPr>
        <w:t>(Gesicht)</w:t>
      </w:r>
      <w:r>
        <w:rPr/>
        <w:t xml:space="preserve"> und fürchteten sich sehr </w:t>
      </w:r>
      <w:r>
        <w:rPr>
          <w:color w:val="808080"/>
        </w:rPr>
        <w:t>(heftig, gewaltig)</w:t>
      </w:r>
      <w:r>
        <w:rPr/>
        <w:t xml:space="preserve">.{{field-off:bible}} </w:t>
        <w:br/>
        <w:t>[[@BibleTOBIBLE:Mt 17:7]]</w:t>
      </w:r>
      <w:r>
        <w:rPr>
          <w:b/>
        </w:rPr>
        <w:t>7</w:t>
      </w:r>
      <w:r>
        <w:rPr/>
        <w:t xml:space="preserve"> {{field-on:bible}}Und Jesus ging </w:t>
      </w:r>
      <w:r>
        <w:rPr>
          <w:color w:val="808080"/>
        </w:rPr>
        <w:t>(kam, trat)</w:t>
      </w:r>
      <w:r>
        <w:rPr/>
        <w:t xml:space="preserve"> zu ihnen und berührte sie </w:t>
      </w:r>
      <w:r>
        <w:rPr>
          <w:color w:val="808080"/>
        </w:rPr>
        <w:t>(fasste sie an)</w:t>
      </w:r>
      <w:r>
        <w:rPr/>
        <w:t xml:space="preserve"> </w:t>
      </w:r>
      <w:r>
        <w:rPr>
          <w:rStyle w:val="Funotenanker"/>
        </w:rPr>
        <w:footnoteReference w:customMarkFollows="1" w:id="3516"/>
        <w:t>e</w:t>
      </w:r>
      <w:r>
        <w:rPr/>
        <w:t xml:space="preserve"> und sagte: Steht auf und fürchtet euch </w:t>
      </w:r>
      <w:r>
        <w:rPr>
          <w:color w:val="808080"/>
        </w:rPr>
        <w:t>(nicht länger)</w:t>
      </w:r>
      <w:r>
        <w:rPr/>
        <w:t xml:space="preserve">.{{field-off:bible}} </w:t>
        <w:br/>
        <w:t>[[@BibleTOBIBLE:Mt 17:8]]</w:t>
      </w:r>
      <w:r>
        <w:rPr>
          <w:b/>
        </w:rPr>
        <w:t>8</w:t>
      </w:r>
      <w:r>
        <w:rPr/>
        <w:t xml:space="preserve"> {{field-on:bible}}Sie erhoben</w:t>
      </w:r>
      <w:r>
        <w:rPr>
          <w:rStyle w:val="Funotenanker"/>
        </w:rPr>
        <w:footnoteReference w:customMarkFollows="1" w:id="3517"/>
        <w:t>f</w:t>
      </w:r>
      <w:r>
        <w:rPr/>
        <w:t xml:space="preserve"> aber ihre Augen </w:t>
      </w:r>
      <w:r>
        <w:rPr>
          <w:color w:val="808080"/>
        </w:rPr>
        <w:t>(sie blickten auf)</w:t>
      </w:r>
      <w:r>
        <w:rPr/>
        <w:t xml:space="preserve"> und sahen niemanden außer Jesus allein.{{field-off:bible}} </w:t>
        <w:br/>
        <w:t>[[@BibleTOBIBLE:Mt 17:9]]</w:t>
      </w:r>
      <w:r>
        <w:rPr>
          <w:b/>
        </w:rPr>
        <w:t>9</w:t>
      </w:r>
      <w:r>
        <w:rPr/>
        <w:t xml:space="preserve"> {{field-on:bible}}Und als sie herabstiegen </w:t>
      </w:r>
      <w:r>
        <w:rPr>
          <w:color w:val="808080"/>
        </w:rPr>
        <w:t>(herabkamen)</w:t>
      </w:r>
      <w:r>
        <w:rPr/>
        <w:t xml:space="preserve"> </w:t>
      </w:r>
      <w:r>
        <w:rPr>
          <w:rStyle w:val="Funotenanker"/>
        </w:rPr>
        <w:footnoteReference w:customMarkFollows="1" w:id="3518"/>
        <w:t>g</w:t>
      </w:r>
      <w:r>
        <w:rPr/>
        <w:t xml:space="preserve"> von dem Berg befahl </w:t>
      </w:r>
      <w:r>
        <w:rPr>
          <w:color w:val="808080"/>
        </w:rPr>
        <w:t>(gebietet)</w:t>
      </w:r>
      <w:r>
        <w:rPr/>
        <w:t xml:space="preserve"> Jesus ihnen </w:t>
      </w:r>
      <w:r>
        <w:rPr>
          <w:strike/>
          <w:color w:val="808080"/>
        </w:rPr>
        <w:t>{sagend}</w:t>
      </w:r>
      <w:r>
        <w:rPr/>
        <w:t xml:space="preserve">: Sagt </w:t>
      </w:r>
      <w:r>
        <w:rPr>
          <w:color w:val="808080"/>
        </w:rPr>
        <w:t>(erzählt)</w:t>
      </w:r>
      <w:r>
        <w:rPr/>
        <w:t xml:space="preserve"> niemanden das Geschaute </w:t>
      </w:r>
      <w:r>
        <w:rPr>
          <w:color w:val="808080"/>
        </w:rPr>
        <w:t>(Gesehene, das, was ihr gesehen habt)</w:t>
      </w:r>
      <w:r>
        <w:rPr/>
        <w:t xml:space="preserve"> bis der Sohn des Menschen vom Tode aufersteht </w:t>
      </w:r>
      <w:r>
        <w:rPr>
          <w:color w:val="808080"/>
        </w:rPr>
        <w:t>(auferweckt wird)</w:t>
      </w:r>
      <w:r>
        <w:rPr/>
        <w:t xml:space="preserve">.{{field-off:bible}} </w:t>
        <w:br/>
        <w:t>[[@BibleTOBIBLE:Mt 17:10]]</w:t>
      </w:r>
      <w:r>
        <w:rPr>
          <w:b/>
        </w:rPr>
        <w:t>10</w:t>
      </w:r>
      <w:r>
        <w:rPr/>
        <w:t xml:space="preserve"> {{field-on:bible}}Und es fragten ihn die Jünger </w:t>
      </w:r>
      <w:r>
        <w:rPr>
          <w:strike/>
          <w:color w:val="808080"/>
        </w:rPr>
        <w:t>{sagend}</w:t>
      </w:r>
      <w:r>
        <w:rPr/>
        <w:t xml:space="preserve">: Warum nun </w:t>
      </w:r>
      <w:r>
        <w:rPr>
          <w:color w:val="808080"/>
        </w:rPr>
        <w:t>(denn)</w:t>
      </w:r>
      <w:r>
        <w:rPr/>
        <w:t xml:space="preserve"> sagen die Schriftgelehrten, dass Elias zuerst kommen muss </w:t>
      </w:r>
      <w:r>
        <w:rPr>
          <w:color w:val="808080"/>
        </w:rPr>
        <w:t>(es ist nötig, dass...)</w:t>
      </w:r>
      <w:r>
        <w:rPr/>
        <w:t xml:space="preserve">?{{field-off:bible}} </w:t>
        <w:br/>
        <w:t>[[@BibleTOBIBLE:Mt 17:11]]</w:t>
      </w:r>
      <w:r>
        <w:rPr>
          <w:b/>
        </w:rPr>
        <w:t>11</w:t>
      </w:r>
      <w:r>
        <w:rPr/>
        <w:t xml:space="preserve"> {{field-on:bible}}Der aber </w:t>
      </w:r>
      <w:r>
        <w:rPr>
          <w:color w:val="808080"/>
        </w:rPr>
        <w:t>(und dieser)</w:t>
      </w:r>
      <w:r>
        <w:rPr/>
        <w:t xml:space="preserve"> antwortete ihnen </w:t>
      </w:r>
      <w:r>
        <w:rPr>
          <w:strike/>
          <w:color w:val="808080"/>
        </w:rPr>
        <w:t>{sagend}</w:t>
      </w:r>
      <w:r>
        <w:rPr/>
        <w:t xml:space="preserve">: Elias wird zwar kommen und wird alles wiederherstellen </w:t>
      </w:r>
      <w:r>
        <w:rPr>
          <w:color w:val="808080"/>
        </w:rPr>
        <w:t>(in die richtige Ordnung/ Zustand versetze)</w:t>
      </w:r>
      <w:r>
        <w:rPr/>
        <w:t xml:space="preserve">;{{field-off:bible}} </w:t>
        <w:br/>
        <w:t>[[@BibleTOBIBLE:Mt 17:12]]</w:t>
      </w:r>
      <w:r>
        <w:rPr>
          <w:b/>
        </w:rPr>
        <w:t>12</w:t>
      </w:r>
      <w:r>
        <w:rPr/>
        <w:t xml:space="preserve"> {{field-on:bible}}ich aber sage euch, dass Elias schon </w:t>
      </w:r>
      <w:r>
        <w:rPr>
          <w:color w:val="808080"/>
        </w:rPr>
        <w:t>(bereits)</w:t>
      </w:r>
      <w:r>
        <w:rPr/>
        <w:t xml:space="preserve"> gekommen ist und sie haben ihn nicht erkannt sondern machten mit ihm was sie wollten; Dies muss auch der Sohn des Menschen von ihnen erleiden </w:t>
      </w:r>
      <w:r>
        <w:rPr>
          <w:color w:val="808080"/>
        </w:rPr>
        <w:t>(erleben, erfahren)</w:t>
      </w:r>
      <w:r>
        <w:rPr/>
        <w:t xml:space="preserve">.{{field-off:bible}} </w:t>
        <w:br/>
        <w:t>[[@BibleTOBIBLE:Mt 17:13]]</w:t>
      </w:r>
      <w:r>
        <w:rPr>
          <w:b/>
        </w:rPr>
        <w:t>13</w:t>
      </w:r>
      <w:r>
        <w:rPr/>
        <w:t xml:space="preserve"> {{field-on:bible}}Da </w:t>
      </w:r>
      <w:r>
        <w:rPr>
          <w:color w:val="808080"/>
        </w:rPr>
        <w:t>(dann)</w:t>
      </w:r>
      <w:r>
        <w:rPr/>
        <w:t xml:space="preserve"> verstanden </w:t>
      </w:r>
      <w:r>
        <w:rPr>
          <w:color w:val="808080"/>
        </w:rPr>
        <w:t>(sahen sie ein, begriffen sie)</w:t>
      </w:r>
      <w:r>
        <w:rPr/>
        <w:t xml:space="preserve"> die Jünger, dass er von Johannes dem Täufer sprach.{{field-off:bible}} </w:t>
        <w:br/>
        <w:t>[[@BibleTOBIBLE:Mt 17:14]]</w:t>
      </w:r>
      <w:r>
        <w:rPr>
          <w:b/>
        </w:rPr>
        <w:t>14</w:t>
      </w:r>
      <w:r>
        <w:rPr/>
        <w:t xml:space="preserve"> {{field-on:bible}}Und als sie zu der </w:t>
      </w:r>
      <w:r>
        <w:rPr>
          <w:color w:val="808080"/>
        </w:rPr>
        <w:t>(Volks-)</w:t>
      </w:r>
      <w:r>
        <w:rPr/>
        <w:t xml:space="preserve">Menge kamen </w:t>
      </w:r>
      <w:r>
        <w:rPr>
          <w:color w:val="808080"/>
        </w:rPr>
        <w:t>(gingen)</w:t>
      </w:r>
      <w:r>
        <w:rPr/>
        <w:t xml:space="preserve"> </w:t>
      </w:r>
      <w:r>
        <w:rPr>
          <w:rStyle w:val="Funotenanker"/>
        </w:rPr>
        <w:footnoteReference w:customMarkFollows="1" w:id="3519"/>
        <w:t>h</w:t>
      </w:r>
      <w:r>
        <w:rPr/>
        <w:t>, kam zu ihnen ein Mensch und warf sich auf die Knote</w:t>
      </w:r>
      <w:r>
        <w:rPr>
          <w:rStyle w:val="Funotenanker"/>
        </w:rPr>
        <w:footnoteReference w:customMarkFollows="1" w:id="3520"/>
        <w:t>i</w:t>
      </w:r>
      <w:r>
        <w:rPr/>
        <w:t xml:space="preserve"> vor ihnen </w:t>
      </w:r>
      <w:r>
        <w:rPr>
          <w:color w:val="808080"/>
        </w:rPr>
        <w:t>(kniete nieder vor ihnen)</w:t>
      </w:r>
      <w:r>
        <w:rPr/>
        <w:t xml:space="preserve"> {{field-off:bible}} </w:t>
        <w:br/>
        <w:t>[[@BibleTOBIBLE:Mt 17:15]]</w:t>
      </w:r>
      <w:r>
        <w:rPr>
          <w:b/>
        </w:rPr>
        <w:t>15</w:t>
      </w:r>
      <w:r>
        <w:rPr/>
        <w:t xml:space="preserve"> {{field-on:bible}}und sagte: Herr, hab Erbarmen mit meinem Sohn </w:t>
      </w:r>
      <w:r>
        <w:rPr>
          <w:color w:val="808080"/>
        </w:rPr>
        <w:t>(erbarme dich über meinen Sohn)</w:t>
      </w:r>
      <w:r>
        <w:rPr/>
        <w:t xml:space="preserve">, denn er ist mondsüchtig und leidet schlimm </w:t>
      </w:r>
      <w:r>
        <w:rPr>
          <w:color w:val="808080"/>
        </w:rPr>
        <w:t>(übel, furchtbar)</w:t>
      </w:r>
      <w:r>
        <w:rPr/>
        <w:t xml:space="preserve">; Denn häufig fällt er in das Feuer und oft in das Wasser.{{field-off:bible}} </w:t>
        <w:br/>
        <w:t>[[@BibleTOBIBLE:Mt 17:16]]</w:t>
      </w:r>
      <w:r>
        <w:rPr>
          <w:b/>
        </w:rPr>
        <w:t>16</w:t>
      </w:r>
      <w:r>
        <w:rPr/>
        <w:t xml:space="preserve"> {{field-on:bible}}Und ich brachte ihn her zu </w:t>
      </w:r>
      <w:r>
        <w:rPr>
          <w:color w:val="808080"/>
        </w:rPr>
        <w:t>(hin, dar)</w:t>
      </w:r>
      <w:r>
        <w:rPr/>
        <w:t xml:space="preserve"> deinen Jüngern und sie konnten ihn nicht heilen.{{field-off:bible}} </w:t>
        <w:br/>
        <w:t>[[@BibleTOBIBLE:Mt 17:17]]</w:t>
      </w:r>
      <w:r>
        <w:rPr>
          <w:b/>
        </w:rPr>
        <w:t>17</w:t>
      </w:r>
      <w:r>
        <w:rPr/>
        <w:t xml:space="preserve"> {{field-on:bible}}Es antwortete ihm aber Jesus </w:t>
      </w:r>
      <w:r>
        <w:rPr>
          <w:strike/>
          <w:color w:val="808080"/>
        </w:rPr>
        <w:t>{sagend}</w:t>
      </w:r>
      <w:r>
        <w:rPr/>
        <w:t xml:space="preserve">: Oh du ungläubige </w:t>
      </w:r>
      <w:r>
        <w:rPr>
          <w:color w:val="808080"/>
        </w:rPr>
        <w:t>(verdrehte)</w:t>
      </w:r>
      <w:r>
        <w:rPr/>
        <w:t xml:space="preserve"> und verdrehte </w:t>
      </w:r>
      <w:r>
        <w:rPr>
          <w:color w:val="808080"/>
        </w:rPr>
        <w:t>(verdorbene, verkehrtes)</w:t>
      </w:r>
      <w:r>
        <w:rPr/>
        <w:t xml:space="preserve"> Generation </w:t>
      </w:r>
      <w:r>
        <w:rPr>
          <w:color w:val="808080"/>
        </w:rPr>
        <w:t>(Geschlecht)</w:t>
      </w:r>
      <w:r>
        <w:rPr/>
        <w:t>, bis wann werde</w:t>
      </w:r>
      <w:r>
        <w:rPr>
          <w:rStyle w:val="Funotenanker"/>
        </w:rPr>
        <w:footnoteReference w:customMarkFollows="1" w:id="3521"/>
        <w:t>j</w:t>
      </w:r>
      <w:r>
        <w:rPr/>
        <w:t xml:space="preserve"> ich mit </w:t>
      </w:r>
      <w:r>
        <w:rPr>
          <w:color w:val="808080"/>
        </w:rPr>
        <w:t>(bei)</w:t>
      </w:r>
      <w:r>
        <w:rPr/>
        <w:t xml:space="preserve"> euch sein? Wie lange soll ich euch </w:t>
      </w:r>
      <w:r>
        <w:rPr>
          <w:color w:val="808080"/>
        </w:rPr>
        <w:t>(noch)</w:t>
      </w:r>
      <w:r>
        <w:rPr/>
        <w:t xml:space="preserve"> ertragen? Bringt mir ihn her.{{field-off:bible}} </w:t>
        <w:br/>
        <w:t>[[@BibleTOBIBLE:Mt 17:18]]</w:t>
      </w:r>
      <w:r>
        <w:rPr>
          <w:b/>
        </w:rPr>
        <w:t>18</w:t>
      </w:r>
      <w:r>
        <w:rPr/>
        <w:t xml:space="preserve"> {{field-on:bible}}Und Jesus tadelte ihn </w:t>
      </w:r>
      <w:r>
        <w:rPr>
          <w:color w:val="808080"/>
        </w:rPr>
        <w:t>(wies ihn zurecht, machte ihm Vorwürfe)</w:t>
      </w:r>
      <w:r>
        <w:rPr/>
        <w:t xml:space="preserve"> und es ging aus ihm der Dämon </w:t>
      </w:r>
      <w:r>
        <w:rPr>
          <w:color w:val="808080"/>
        </w:rPr>
        <w:t>(er fuhr aus)</w:t>
      </w:r>
      <w:r>
        <w:rPr/>
        <w:t xml:space="preserve"> und es war geheilt das Kind von dieser Stunde an.{{field-off:bible}} </w:t>
        <w:br/>
        <w:t>[[@BibleTOBIBLE:Mt 17:19]]</w:t>
      </w:r>
      <w:r>
        <w:rPr>
          <w:b/>
        </w:rPr>
        <w:t>19</w:t>
      </w:r>
      <w:r>
        <w:rPr/>
        <w:t xml:space="preserve"> {{field-on:bible}}Da </w:t>
      </w:r>
      <w:r>
        <w:rPr>
          <w:color w:val="808080"/>
        </w:rPr>
        <w:t>(darauf)</w:t>
      </w:r>
      <w:r>
        <w:rPr/>
        <w:t xml:space="preserve"> kamen</w:t>
      </w:r>
      <w:r>
        <w:rPr>
          <w:rStyle w:val="Funotenanker"/>
        </w:rPr>
        <w:footnoteReference w:customMarkFollows="1" w:id="3522"/>
        <w:t>k</w:t>
      </w:r>
      <w:r>
        <w:rPr/>
        <w:t xml:space="preserve"> die Jünger zu Jesus und als sie mit ihm alleine waren sagten sie: Warum konnte wir ihn nicht austreiben?{{field-off:bible}} </w:t>
        <w:br/>
        <w:t>[[@BibleTOBIBLE:Mt 17:20]]</w:t>
      </w:r>
      <w:r>
        <w:rPr>
          <w:b/>
        </w:rPr>
        <w:t>20</w:t>
      </w:r>
      <w:r>
        <w:rPr/>
        <w:t xml:space="preserve"> {{field-on:bible}}Dieser aber sagte ihnen: Wegen eures Kleinglaubens. Amen </w:t>
      </w:r>
      <w:r>
        <w:rPr>
          <w:color w:val="808080"/>
        </w:rPr>
        <w:t>(wahrlich)</w:t>
      </w:r>
      <w:r>
        <w:rPr/>
        <w:t xml:space="preserve"> denn ich sage euch, wenn ihr hättet Glauben wie ein Senfkorn, werdet ihr zu diesem Berg sagen: Geh weg von hier nach da, und er wird weggehen. Und ihr werdet nicht unvermögend </w:t>
      </w:r>
      <w:r>
        <w:rPr>
          <w:color w:val="808080"/>
        </w:rPr>
        <w:t>(unfähig)</w:t>
      </w:r>
      <w:r>
        <w:rPr/>
        <w:t xml:space="preserve"> sein </w:t>
      </w:r>
      <w:r>
        <w:rPr>
          <w:color w:val="808080"/>
        </w:rPr>
        <w:t>(nichts wird euch unmöglich sein)</w:t>
      </w:r>
      <w:r>
        <w:rPr/>
        <w:t xml:space="preserve">.{{field-off:bible}} </w:t>
        <w:br/>
        <w:t>[[@BibleTOBIBLE:Mt 17:21]]</w:t>
      </w:r>
      <w:r>
        <w:rPr>
          <w:b/>
        </w:rPr>
        <w:t>21</w:t>
      </w:r>
      <w:r>
        <w:rPr/>
        <w:t xml:space="preserve"> {{field-on:bible}} </w:t>
      </w:r>
      <w:r>
        <w:rPr>
          <w:b/>
          <w:color w:val="808080"/>
        </w:rPr>
        <w:t>[</w:t>
      </w:r>
      <w:r>
        <w:rPr/>
        <w:t xml:space="preserve">Diese Gattung aber </w:t>
      </w:r>
      <w:r>
        <w:rPr>
          <w:color w:val="808080"/>
        </w:rPr>
        <w:t>(kommt)</w:t>
      </w:r>
      <w:r>
        <w:rPr/>
        <w:t xml:space="preserve"> fährt nicht aus; außer </w:t>
      </w:r>
      <w:r>
        <w:rPr>
          <w:color w:val="808080"/>
        </w:rPr>
        <w:t>(nur)</w:t>
      </w:r>
      <w:r>
        <w:rPr/>
        <w:t xml:space="preserve"> durch Gebet und Fasten.</w:t>
      </w:r>
      <w:r>
        <w:rPr>
          <w:b/>
          <w:color w:val="808080"/>
        </w:rPr>
        <w:t>]</w:t>
      </w:r>
      <w:r>
        <w:rPr/>
        <w:t xml:space="preserve"> {{field-off:bible}} </w:t>
        <w:br/>
        <w:t>[[@BibleTOBIBLE:Mt 17:22]]</w:t>
      </w:r>
      <w:r>
        <w:rPr>
          <w:b/>
        </w:rPr>
        <w:t>22</w:t>
      </w:r>
      <w:r>
        <w:rPr/>
        <w:t xml:space="preserve"> {{field-on:bible}}Als sie aber in Galiläa zusammengekommen waren, sagte ihnen Jesus: Es wir der Sohn des Menschen in die Hände </w:t>
      </w:r>
      <w:r>
        <w:rPr>
          <w:color w:val="808080"/>
        </w:rPr>
        <w:t>(Gewalt)</w:t>
      </w:r>
      <w:r>
        <w:rPr/>
        <w:t xml:space="preserve"> der Menschen gegeben </w:t>
      </w:r>
      <w:r>
        <w:rPr>
          <w:color w:val="808080"/>
        </w:rPr>
        <w:t>(überantwortet)</w:t>
      </w:r>
      <w:r>
        <w:rPr/>
        <w:t xml:space="preserve">,{{field-off:bible}} </w:t>
        <w:br/>
        <w:t>[[@BibleTOBIBLE:Mt 17:23]]</w:t>
      </w:r>
      <w:r>
        <w:rPr>
          <w:b/>
        </w:rPr>
        <w:t>23</w:t>
      </w:r>
      <w:r>
        <w:rPr/>
        <w:t xml:space="preserve"> {{field-on:bible}}und sie werden ihn töten und nach drei Tagen wird er aufweckt werden. Und sie wurden </w:t>
      </w:r>
      <w:r>
        <w:rPr>
          <w:color w:val="808080"/>
        </w:rPr>
        <w:t>(waren)</w:t>
      </w:r>
      <w:r>
        <w:rPr/>
        <w:t xml:space="preserve"> sehr traurig.{{field-off:bible}} </w:t>
        <w:br/>
        <w:t>[[@BibleTOBIBLE:Mt 17:24]]</w:t>
      </w:r>
      <w:r>
        <w:rPr>
          <w:b/>
        </w:rPr>
        <w:t>24</w:t>
      </w:r>
      <w:r>
        <w:rPr/>
        <w:t xml:space="preserve"> {{field-on:bible}}Als sie aber nach Kapernaum kamen, kamen die, die die Tempelsteuer einziehen </w:t>
      </w:r>
      <w:r>
        <w:rPr>
          <w:color w:val="808080"/>
        </w:rPr>
        <w:t>(kassieren)</w:t>
      </w:r>
      <w:r>
        <w:rPr/>
        <w:t xml:space="preserve"> </w:t>
      </w:r>
      <w:r>
        <w:rPr>
          <w:rStyle w:val="Funotenanker"/>
        </w:rPr>
        <w:footnoteReference w:customMarkFollows="1" w:id="3523"/>
        <w:t>l</w:t>
      </w:r>
      <w:r>
        <w:rPr/>
        <w:t xml:space="preserve"> zu Petrus und sagten: Euer Lehrer bezahlt die Tempelsteuer</w:t>
      </w:r>
      <w:r>
        <w:rPr>
          <w:rStyle w:val="Funotenanker"/>
        </w:rPr>
        <w:footnoteReference w:customMarkFollows="1" w:id="3524"/>
        <w:t>m</w:t>
      </w:r>
      <w:r>
        <w:rPr/>
        <w:t xml:space="preserve"> nicht?{{field-off:bible}} </w:t>
        <w:br/>
        <w:t>[[@BibleTOBIBLE:Mt 17:25]]</w:t>
      </w:r>
      <w:r>
        <w:rPr>
          <w:b/>
        </w:rPr>
        <w:t>25</w:t>
      </w:r>
      <w:r>
        <w:rPr/>
        <w:t xml:space="preserve"> {{field-on:bible}}Er sagte: Ja </w:t>
      </w:r>
      <w:r>
        <w:rPr>
          <w:color w:val="808080"/>
        </w:rPr>
        <w:t>(doch)</w:t>
      </w:r>
      <w:r>
        <w:rPr/>
        <w:t>. Und als er in das Haus hineinging</w:t>
      </w:r>
      <w:r>
        <w:rPr>
          <w:rStyle w:val="Funotenanker"/>
        </w:rPr>
        <w:footnoteReference w:customMarkFollows="1" w:id="3525"/>
        <w:t>n</w:t>
      </w:r>
      <w:r>
        <w:rPr/>
        <w:t xml:space="preserve"> kam ihm Jesus zuvor und sagte</w:t>
      </w:r>
      <w:r>
        <w:rPr>
          <w:rStyle w:val="Funotenanker"/>
        </w:rPr>
        <w:footnoteReference w:customMarkFollows="1" w:id="3526"/>
        <w:t>o</w:t>
      </w:r>
      <w:r>
        <w:rPr/>
        <w:t xml:space="preserve">: Was scheint dir </w:t>
      </w:r>
      <w:r>
        <w:rPr>
          <w:b/>
          <w:color w:val="808080"/>
        </w:rPr>
        <w:t>[</w:t>
      </w:r>
      <w:r>
        <w:rPr/>
        <w:t>richtig</w:t>
      </w:r>
      <w:r>
        <w:rPr>
          <w:b/>
          <w:color w:val="808080"/>
        </w:rPr>
        <w:t>]</w:t>
      </w:r>
      <w:r>
        <w:rPr/>
        <w:t xml:space="preserve">, Simon? Die Könige der Erde erheben von wem Zoll </w:t>
      </w:r>
      <w:r>
        <w:rPr>
          <w:color w:val="808080"/>
        </w:rPr>
        <w:t>(Steuern)</w:t>
      </w:r>
      <w:r>
        <w:rPr/>
        <w:t xml:space="preserve"> oder Steuern, von ihren Söhnen oder von den fremden Menschen?{{field-off:bible}} </w:t>
        <w:br/>
        <w:t>[[@BibleTOBIBLE:Mt 17:26]]</w:t>
      </w:r>
      <w:r>
        <w:rPr>
          <w:b/>
        </w:rPr>
        <w:t>26</w:t>
      </w:r>
      <w:r>
        <w:rPr/>
        <w:t xml:space="preserve"> {{field-on:bible}}Er sagte</w:t>
      </w:r>
      <w:r>
        <w:rPr>
          <w:rStyle w:val="Funotenanker"/>
        </w:rPr>
        <w:footnoteReference w:customMarkFollows="1" w:id="3527"/>
        <w:t>p</w:t>
      </w:r>
      <w:r>
        <w:rPr/>
        <w:t xml:space="preserve"> </w:t>
      </w:r>
      <w:r>
        <w:rPr>
          <w:color w:val="808080"/>
        </w:rPr>
        <w:t>(ihm)</w:t>
      </w:r>
      <w:r>
        <w:rPr/>
        <w:t xml:space="preserve"> aber: Von den fremden Menschen, es sagte ihm aber Jesus: Folglich sind frei </w:t>
      </w:r>
      <w:r>
        <w:rPr>
          <w:color w:val="808080"/>
        </w:rPr>
        <w:t>(befreit)</w:t>
      </w:r>
      <w:r>
        <w:rPr/>
        <w:t xml:space="preserve"> die Söhne.{{field-off:bible}} </w:t>
        <w:br/>
        <w:t>[[@BibleTOBIBLE:Mt 17:27]]</w:t>
      </w:r>
      <w:r>
        <w:rPr>
          <w:b/>
        </w:rPr>
        <w:t>27</w:t>
      </w:r>
      <w:r>
        <w:rPr/>
        <w:t xml:space="preserve"> {{field-on:bible}}Damit wir aber keinen Anstoß erregen </w:t>
      </w:r>
      <w:r>
        <w:rPr>
          <w:color w:val="808080"/>
        </w:rPr>
        <w:t>(ärgern, empören)</w:t>
      </w:r>
      <w:r>
        <w:rPr/>
        <w:t xml:space="preserve"> bei hnen, gehe hin zum </w:t>
      </w:r>
      <w:r>
        <w:rPr>
          <w:color w:val="808080"/>
        </w:rPr>
        <w:t>(an den)</w:t>
      </w:r>
      <w:r>
        <w:rPr/>
        <w:t xml:space="preserve"> See, werfe aus den Angelhaken und den ersten herauskommenden </w:t>
      </w:r>
      <w:r>
        <w:rPr>
          <w:color w:val="808080"/>
        </w:rPr>
        <w:t>(heraufgezogenen)</w:t>
      </w:r>
      <w:r>
        <w:rPr/>
        <w:t xml:space="preserve"> Fischen nehme und wenn du öffnest sein Maul wirst du ein Vierdrachmenstück </w:t>
      </w:r>
      <w:r>
        <w:rPr>
          <w:color w:val="808080"/>
        </w:rPr>
        <w:t>(darin)</w:t>
      </w:r>
      <w:r>
        <w:rPr/>
        <w:t xml:space="preserve"> finden; Dies nimm und gib ihnen für mich und für dich.{{field-off:bible}} </w:t>
      </w:r>
    </w:p>
    <w:p>
      <w:pPr>
        <w:pStyle w:val="Berschrift3"/>
        <w:rPr/>
      </w:pPr>
      <w:r>
        <w:rPr/>
        <w:t>[[@BibleTOBIBLE:Mt 18]]Kapitel 18</w:t>
      </w:r>
    </w:p>
    <w:p>
      <w:pPr>
        <w:pStyle w:val="Textkrper"/>
        <w:rPr/>
      </w:pPr>
      <w:r>
        <w:rPr/>
        <w:br/>
        <w:t>[[@BibleTOBIBLE:Mt 18:1]]</w:t>
      </w:r>
      <w:r>
        <w:rPr>
          <w:b/>
        </w:rPr>
        <w:t>1</w:t>
      </w:r>
      <w:r>
        <w:rPr/>
        <w:t xml:space="preserve"> {{field-on:bible}} </w:t>
      </w:r>
      <w:r>
        <w:rPr>
          <w:rStyle w:val="Funotenanker"/>
        </w:rPr>
        <w:footnoteReference w:customMarkFollows="1" w:id="3528"/>
        <w:t>Status</w:t>
      </w:r>
      <w:r>
        <w:rPr/>
        <w:t xml:space="preserve"> In jener Stunde </w:t>
      </w:r>
      <w:r>
        <w:rPr>
          <w:color w:val="808080"/>
        </w:rPr>
        <w:t>(Zeit)</w:t>
      </w:r>
      <w:r>
        <w:rPr/>
        <w:t xml:space="preserve"> kamen die Jünger zu Jesus und sagten</w:t>
      </w:r>
      <w:r>
        <w:rPr>
          <w:rStyle w:val="Funotenanker"/>
        </w:rPr>
        <w:footnoteReference w:customMarkFollows="1" w:id="3529"/>
        <w:t>a</w:t>
      </w:r>
      <w:r>
        <w:rPr/>
        <w:t xml:space="preserve">: Wer ist denn der größte in der Königsherrschaft der Himmeln?{{field-off:bible}} </w:t>
        <w:br/>
        <w:t>[[@BibleTOBIBLE:Mt 18:2]]</w:t>
      </w:r>
      <w:r>
        <w:rPr>
          <w:b/>
        </w:rPr>
        <w:t>2</w:t>
      </w:r>
      <w:r>
        <w:rPr/>
        <w:t xml:space="preserve"> {{field-on:bible}}Und nachdem er ein Kind herbeigerufen hatte</w:t>
      </w:r>
      <w:r>
        <w:rPr>
          <w:rStyle w:val="Funotenanker"/>
        </w:rPr>
        <w:footnoteReference w:customMarkFollows="1" w:id="3530"/>
        <w:t>b</w:t>
      </w:r>
      <w:r>
        <w:rPr/>
        <w:t xml:space="preserve"> stellte er es in ihre Mitte </w:t>
      </w:r>
      <w:r>
        <w:rPr>
          <w:color w:val="808080"/>
        </w:rPr>
        <w:t>(auf)</w:t>
      </w:r>
      <w:r>
        <w:rPr/>
        <w:t xml:space="preserve"> {{field-off:bible}} </w:t>
        <w:br/>
        <w:t>[[@BibleTOBIBLE:Mt 18:3]]</w:t>
      </w:r>
      <w:r>
        <w:rPr>
          <w:b/>
        </w:rPr>
        <w:t>3</w:t>
      </w:r>
      <w:r>
        <w:rPr/>
        <w:t xml:space="preserve"> {{field-on:bible}}und sagte: Amen </w:t>
      </w:r>
      <w:r>
        <w:rPr>
          <w:color w:val="808080"/>
        </w:rPr>
        <w:t>(wahrlich)</w:t>
      </w:r>
      <w:r>
        <w:rPr/>
        <w:t xml:space="preserve"> ich sage euch wenn ihr euch nicht umwendet </w:t>
      </w:r>
      <w:r>
        <w:rPr>
          <w:color w:val="808080"/>
        </w:rPr>
        <w:t>(abwendet, bekehrt)</w:t>
      </w:r>
      <w:r>
        <w:rPr/>
        <w:t xml:space="preserve"> und werdet wie die Kinder werdet ihr nicht hineingehen in die Königsherrschaft der Himmeln.{{field-off:bible}} </w:t>
        <w:br/>
        <w:t>[[@BibleTOBIBLE:Mt 18:4]]</w:t>
      </w:r>
      <w:r>
        <w:rPr>
          <w:b/>
        </w:rPr>
        <w:t>4</w:t>
      </w:r>
      <w:r>
        <w:rPr/>
        <w:t xml:space="preserve"> {{field-on:bible}}Jeder, der sich also niedrig macht </w:t>
      </w:r>
      <w:r>
        <w:rPr>
          <w:color w:val="808080"/>
        </w:rPr>
        <w:t>(demütigt, erniedrigt)</w:t>
      </w:r>
      <w:r>
        <w:rPr/>
        <w:t xml:space="preserve"> wie dieses Kind, der wird der Größte in der Königsherrschaft der Himmeln.{{field-off:bible}} </w:t>
        <w:br/>
        <w:t>[[@BibleTOBIBLE:Mt 18:5]]</w:t>
      </w:r>
      <w:r>
        <w:rPr>
          <w:b/>
        </w:rPr>
        <w:t>5</w:t>
      </w:r>
      <w:r>
        <w:rPr/>
        <w:t xml:space="preserve"> {{field-on:bible}}Und wer </w:t>
      </w:r>
      <w:r>
        <w:rPr>
          <w:color w:val="808080"/>
        </w:rPr>
        <w:t>(jeder, der)</w:t>
      </w:r>
      <w:r>
        <w:rPr/>
        <w:t xml:space="preserve"> aufnimmt ein solches Kind um meines namens willen, nimmt mich auf.{{field-off:bible}} </w:t>
        <w:br/>
        <w:t>[[@BibleTOBIBLE:Mt 18:6]]</w:t>
      </w:r>
      <w:r>
        <w:rPr>
          <w:b/>
        </w:rPr>
        <w:t>6</w:t>
      </w:r>
      <w:r>
        <w:rPr/>
        <w:t xml:space="preserve"> {{field-on:bible}}Wer </w:t>
      </w:r>
      <w:r>
        <w:rPr>
          <w:color w:val="808080"/>
        </w:rPr>
        <w:t>(auch immer)</w:t>
      </w:r>
      <w:r>
        <w:rPr/>
        <w:t xml:space="preserve"> aber Anstoß gibt </w:t>
      </w:r>
      <w:r>
        <w:rPr>
          <w:color w:val="808080"/>
        </w:rPr>
        <w:t>(zur Sünde verführt)</w:t>
      </w:r>
      <w:r>
        <w:rPr/>
        <w:t xml:space="preserve"> das Kleine</w:t>
      </w:r>
      <w:r>
        <w:rPr>
          <w:rStyle w:val="Funotenanker"/>
        </w:rPr>
        <w:footnoteReference w:customMarkFollows="1" w:id="3531"/>
        <w:t>c</w:t>
      </w:r>
      <w:r>
        <w:rPr/>
        <w:t xml:space="preserve"> das glaubt</w:t>
      </w:r>
      <w:r>
        <w:rPr>
          <w:rStyle w:val="Funotenanker"/>
        </w:rPr>
        <w:footnoteReference w:customMarkFollows="1" w:id="3532"/>
        <w:t>d</w:t>
      </w:r>
      <w:r>
        <w:rPr/>
        <w:t xml:space="preserve"> an mich, für den ist es von Vorteil </w:t>
      </w:r>
      <w:r>
        <w:rPr>
          <w:color w:val="808080"/>
        </w:rPr>
        <w:t>(besser)</w:t>
      </w:r>
      <w:r>
        <w:rPr/>
        <w:t xml:space="preserve">, dass ihn ein Eselsmühlstein </w:t>
      </w:r>
      <w:r>
        <w:rPr>
          <w:color w:val="808080"/>
        </w:rPr>
        <w:t>(großer Mühlstein, Mühlstein)</w:t>
      </w:r>
      <w:r>
        <w:rPr/>
        <w:t xml:space="preserve"> um seinen Nacken </w:t>
      </w:r>
      <w:r>
        <w:rPr>
          <w:color w:val="808080"/>
        </w:rPr>
        <w:t>(Hals)</w:t>
      </w:r>
      <w:r>
        <w:rPr/>
        <w:t xml:space="preserve"> </w:t>
      </w:r>
      <w:r>
        <w:rPr>
          <w:color w:val="808080"/>
        </w:rPr>
        <w:t>(an-)</w:t>
      </w:r>
      <w:r>
        <w:rPr/>
        <w:t xml:space="preserve">gehängt wird und er versenkt </w:t>
      </w:r>
      <w:r>
        <w:rPr>
          <w:color w:val="808080"/>
        </w:rPr>
        <w:t>(ertränkt)</w:t>
      </w:r>
      <w:r>
        <w:rPr/>
        <w:t xml:space="preserve"> würde in das tiefe Meer.{{field-off:bible}} </w:t>
        <w:br/>
        <w:t>[[@BibleTOBIBLE:Mt 18:7]]</w:t>
      </w:r>
      <w:r>
        <w:rPr>
          <w:b/>
        </w:rPr>
        <w:t>7</w:t>
      </w:r>
      <w:r>
        <w:rPr/>
        <w:t xml:space="preserve"> {{field-on:bible}}Wehe der Welt wegen der Falle </w:t>
      </w:r>
      <w:r>
        <w:rPr>
          <w:color w:val="808080"/>
        </w:rPr>
        <w:t>(Verführung)</w:t>
      </w:r>
      <w:r>
        <w:rPr/>
        <w:t xml:space="preserve">: Denn es ist eine Notwendigkeit </w:t>
      </w:r>
      <w:r>
        <w:rPr>
          <w:color w:val="808080"/>
        </w:rPr>
        <w:t>(es ist nötig)</w:t>
      </w:r>
      <w:r>
        <w:rPr/>
        <w:t xml:space="preserve">, dass die Verführung kommt, doch </w:t>
      </w:r>
      <w:r>
        <w:rPr>
          <w:color w:val="808080"/>
        </w:rPr>
        <w:t>(aber, jedoch)</w:t>
      </w:r>
      <w:r>
        <w:rPr/>
        <w:t xml:space="preserve"> wehe den Menschen durch die die Verführung kommt.{{field-off:bible}} </w:t>
        <w:br/>
        <w:t>[[@BibleTOBIBLE:Mt 18:8]]</w:t>
      </w:r>
      <w:r>
        <w:rPr>
          <w:b/>
        </w:rPr>
        <w:t>8</w:t>
      </w:r>
      <w:r>
        <w:rPr/>
        <w:t xml:space="preserve"> {{field-on:bible}}Wenn aber deine Hand oder dein Fuß dich zur Sünde verführen will, haue ihn ab und werfe ihn weg von dir: Es ist besser für dich verkrüppelt </w:t>
      </w:r>
      <w:r>
        <w:rPr>
          <w:color w:val="808080"/>
        </w:rPr>
        <w:t>(verstümmelt)</w:t>
      </w:r>
      <w:r>
        <w:rPr/>
        <w:t xml:space="preserve"> oder lahm </w:t>
      </w:r>
      <w:r>
        <w:rPr>
          <w:color w:val="808080"/>
        </w:rPr>
        <w:t>(gelähmt)</w:t>
      </w:r>
      <w:r>
        <w:rPr/>
        <w:t xml:space="preserve"> einzugehen in das Leben als </w:t>
      </w:r>
      <w:r>
        <w:rPr>
          <w:color w:val="808080"/>
        </w:rPr>
        <w:t>(oder)</w:t>
      </w:r>
      <w:r>
        <w:rPr/>
        <w:t xml:space="preserve"> zwei Hände oder zwei Füße habend</w:t>
      </w:r>
      <w:r>
        <w:rPr>
          <w:rStyle w:val="Funotenanker"/>
        </w:rPr>
        <w:footnoteReference w:customMarkFollows="1" w:id="3533"/>
        <w:t>e</w:t>
      </w:r>
      <w:r>
        <w:rPr/>
        <w:t xml:space="preserve"> in das ewige Feuer geworfen zu werden.{{field-off:bible}} </w:t>
        <w:br/>
        <w:t>[[@BibleTOBIBLE:Mt 18:9]]</w:t>
      </w:r>
      <w:r>
        <w:rPr>
          <w:b/>
        </w:rPr>
        <w:t>9</w:t>
      </w:r>
      <w:r>
        <w:rPr/>
        <w:t xml:space="preserve"> {{field-on:bible}}Und wenn dein Auge dich zur Sünde verführt, nehme </w:t>
      </w:r>
      <w:r>
        <w:rPr>
          <w:color w:val="808080"/>
        </w:rPr>
        <w:t>(reiße)</w:t>
      </w:r>
      <w:r>
        <w:rPr/>
        <w:t xml:space="preserve"> es aus und werfe es von dir; Es ist besser für dich einäugig in das Leben einzugehen als zwei Augen habend</w:t>
      </w:r>
      <w:r>
        <w:rPr>
          <w:rStyle w:val="Funotenanker"/>
        </w:rPr>
        <w:footnoteReference w:customMarkFollows="1" w:id="3534"/>
        <w:t>f</w:t>
      </w:r>
      <w:r>
        <w:rPr/>
        <w:t xml:space="preserve"> in das ewige Feuer geworfen zu werden.{{field-off:bible}} </w:t>
        <w:br/>
        <w:t>[[@BibleTOBIBLE:Mt 18:10]]</w:t>
      </w:r>
      <w:r>
        <w:rPr>
          <w:b/>
        </w:rPr>
        <w:t>10</w:t>
      </w:r>
      <w:r>
        <w:rPr/>
        <w:t xml:space="preserve"> {{field-on:bible}}Schaut </w:t>
      </w:r>
      <w:r>
        <w:rPr>
          <w:color w:val="808080"/>
        </w:rPr>
        <w:t>(seht)</w:t>
      </w:r>
      <w:r>
        <w:rPr/>
        <w:t xml:space="preserve"> zu, dass ihr nicht auf eines dieser kleinen herabseht </w:t>
      </w:r>
      <w:r>
        <w:rPr>
          <w:color w:val="808080"/>
        </w:rPr>
        <w:t>(es gering achtet, verächtlich behandelt)</w:t>
      </w:r>
      <w:r>
        <w:rPr/>
        <w:t xml:space="preserve">. Denn ich sage euch, dass ihre Engel in den Himmeln immer </w:t>
      </w:r>
      <w:r>
        <w:rPr>
          <w:color w:val="808080"/>
        </w:rPr>
        <w:t>(beständig, jederzeit)</w:t>
      </w:r>
      <w:r>
        <w:rPr/>
        <w:t xml:space="preserve"> sehen das Angesicht meines Vaters in den Himmeln.{{field-off:bible}} </w:t>
        <w:br/>
        <w:t>[[@BibleTOBIBLE:Mt 18:12]]</w:t>
      </w:r>
      <w:r>
        <w:rPr>
          <w:b/>
        </w:rPr>
        <w:t>12</w:t>
      </w:r>
      <w:r>
        <w:rPr/>
        <w:t xml:space="preserve"> {{field-on:bible}}Was scheint euch </w:t>
      </w:r>
      <w:r>
        <w:rPr>
          <w:color w:val="808080"/>
        </w:rPr>
        <w:t>(richtig)</w:t>
      </w:r>
      <w:r>
        <w:rPr/>
        <w:t xml:space="preserve"> </w:t>
      </w:r>
      <w:r>
        <w:rPr>
          <w:rStyle w:val="Funotenanker"/>
        </w:rPr>
        <w:footnoteReference w:customMarkFollows="1" w:id="3535"/>
        <w:t>g</w:t>
      </w:r>
      <w:r>
        <w:rPr/>
        <w:t xml:space="preserve">? Wenn einem Menschen hundert Schafe gehören und es geht in die irre </w:t>
      </w:r>
      <w:r>
        <w:rPr>
          <w:color w:val="808080"/>
        </w:rPr>
        <w:t>(verirrt sich)</w:t>
      </w:r>
      <w:r>
        <w:rPr/>
        <w:t xml:space="preserve"> eines aus ihnen, wird er nicht zurücklassen die Neunundneunzig auf den Bergen </w:t>
      </w:r>
      <w:r>
        <w:rPr>
          <w:color w:val="808080"/>
        </w:rPr>
        <w:t>(den Bergland)</w:t>
      </w:r>
      <w:r>
        <w:rPr/>
        <w:t xml:space="preserve"> und geht und sucht das verirrte?{{field-off:bible}} </w:t>
        <w:br/>
        <w:t>[[@BibleTOBIBLE:Mt 18:13]]</w:t>
      </w:r>
      <w:r>
        <w:rPr>
          <w:b/>
        </w:rPr>
        <w:t>13</w:t>
      </w:r>
      <w:r>
        <w:rPr/>
        <w:t xml:space="preserve"> {{field-on:bible}}Und wenn es sich ereignet, dass er es findet, Amen </w:t>
      </w:r>
      <w:r>
        <w:rPr>
          <w:color w:val="808080"/>
        </w:rPr>
        <w:t>(wirklich, wahrlich)</w:t>
      </w:r>
      <w:r>
        <w:rPr/>
        <w:t xml:space="preserve"> ich sage euch, dass er sich freut über dieses mehr als über die Neunundneunzig, die sich nicht verirrt haben.{{field-off:bible}} </w:t>
        <w:br/>
        <w:t>[[@BibleTOBIBLE:Mt 18:14]]</w:t>
      </w:r>
      <w:r>
        <w:rPr>
          <w:b/>
        </w:rPr>
        <w:t>14</w:t>
      </w:r>
      <w:r>
        <w:rPr/>
        <w:t xml:space="preserve"> {{field-on:bible}}Ebenso ist es auch der Wille eures Vaters, der in den Himmeln </w:t>
      </w:r>
      <w:r>
        <w:rPr>
          <w:b/>
          <w:color w:val="808080"/>
        </w:rPr>
        <w:t>[</w:t>
      </w:r>
      <w:r>
        <w:rPr/>
        <w:t>ist</w:t>
      </w:r>
      <w:r>
        <w:rPr>
          <w:b/>
          <w:color w:val="808080"/>
        </w:rPr>
        <w:t>]</w:t>
      </w:r>
      <w:r>
        <w:rPr/>
        <w:t xml:space="preserve">, dass nicht einer dieser kleinen verloren geht.{{field-off:bible}} </w:t>
        <w:br/>
        <w:t>[[@BibleTOBIBLE:Mt 18:15]]</w:t>
      </w:r>
      <w:r>
        <w:rPr>
          <w:b/>
        </w:rPr>
        <w:t>15</w:t>
      </w:r>
      <w:r>
        <w:rPr/>
        <w:t xml:space="preserve"> {{field-on:bible}}Wenn aber sündigt </w:t>
      </w:r>
      <w:r>
        <w:rPr>
          <w:b/>
          <w:color w:val="808080"/>
        </w:rPr>
        <w:t>[</w:t>
      </w:r>
      <w:r>
        <w:rPr/>
        <w:t>gegen dich</w:t>
      </w:r>
      <w:r>
        <w:rPr>
          <w:b/>
          <w:color w:val="808080"/>
        </w:rPr>
        <w:t>]</w:t>
      </w:r>
      <w:r>
        <w:rPr/>
        <w:t xml:space="preserve"> dein bruder, geh </w:t>
      </w:r>
      <w:r>
        <w:rPr>
          <w:color w:val="808080"/>
        </w:rPr>
        <w:t>(und)</w:t>
      </w:r>
      <w:r>
        <w:rPr/>
        <w:t xml:space="preserve"> bring es ans Licht </w:t>
      </w:r>
      <w:r>
        <w:rPr>
          <w:color w:val="808080"/>
        </w:rPr>
        <w:t>(an den Tag, tue es dar, tadele ihn, stelle ihn zur Rede)</w:t>
      </w:r>
      <w:r>
        <w:rPr/>
        <w:t xml:space="preserve"> nur zwischen dir und ihm </w:t>
      </w:r>
      <w:r>
        <w:rPr>
          <w:color w:val="808080"/>
        </w:rPr>
        <w:t>(unter vier Augen)</w:t>
      </w:r>
      <w:r>
        <w:rPr/>
        <w:t xml:space="preserve">. Wenn er dich hört </w:t>
      </w:r>
      <w:r>
        <w:rPr>
          <w:color w:val="808080"/>
        </w:rPr>
        <w:t>(dir Gehör schenkt, dich anhört)</w:t>
      </w:r>
      <w:r>
        <w:rPr/>
        <w:t xml:space="preserve"> so hast du deinen Bruder gewonnen.{{field-off:bible}} </w:t>
        <w:br/>
        <w:t>[[@BibleTOBIBLE:Mt 18:16]]</w:t>
      </w:r>
      <w:r>
        <w:rPr>
          <w:b/>
        </w:rPr>
        <w:t>16</w:t>
      </w:r>
      <w:r>
        <w:rPr/>
        <w:t xml:space="preserve"> {{field-on:bible}}Wenn er aber nicht hören wird, nimm zwei oder drei mit dir, dass aufgrund der Aussage zweier Zeugen oder dreier die ganze Beschuldigung </w:t>
      </w:r>
      <w:r>
        <w:rPr>
          <w:color w:val="808080"/>
        </w:rPr>
        <w:t>(Anschuldigung, Sache)</w:t>
      </w:r>
      <w:r>
        <w:rPr/>
        <w:t xml:space="preserve"> feststehe </w:t>
      </w:r>
      <w:r>
        <w:rPr>
          <w:color w:val="808080"/>
        </w:rPr>
        <w:t>(Bestand habe)</w:t>
      </w:r>
      <w:r>
        <w:rPr/>
        <w:t xml:space="preserve">.{{field-off:bible}} </w:t>
        <w:br/>
        <w:t>[[@BibleTOBIBLE:Mt 18:17]]</w:t>
      </w:r>
      <w:r>
        <w:rPr>
          <w:b/>
        </w:rPr>
        <w:t>17</w:t>
      </w:r>
      <w:r>
        <w:rPr/>
        <w:t xml:space="preserve"> {{field-on:bible}}Wenn er nicht hört auf sie, sprich zur Kirche </w:t>
      </w:r>
      <w:r>
        <w:rPr>
          <w:color w:val="808080"/>
        </w:rPr>
        <w:t>(Gemeinde)</w:t>
      </w:r>
      <w:r>
        <w:rPr/>
        <w:t xml:space="preserve">; Wenn er aber auf die Gemeinde nicht hört, dann soll er in deinen Augen wie </w:t>
      </w:r>
      <w:r>
        <w:rPr>
          <w:color w:val="808080"/>
        </w:rPr>
        <w:t>(geradeso wie, gleichwie)</w:t>
      </w:r>
      <w:r>
        <w:rPr/>
        <w:t xml:space="preserve"> ein Heide oder Zolleintreiber </w:t>
      </w:r>
      <w:r>
        <w:rPr>
          <w:color w:val="808080"/>
        </w:rPr>
        <w:t>(Zöllner)</w:t>
      </w:r>
      <w:r>
        <w:rPr/>
        <w:t xml:space="preserve"> sein.{{field-off:bible}} </w:t>
        <w:br/>
        <w:t>[[@BibleTOBIBLE:Mt 18:18]]</w:t>
      </w:r>
      <w:r>
        <w:rPr>
          <w:b/>
        </w:rPr>
        <w:t>18</w:t>
      </w:r>
      <w:r>
        <w:rPr/>
        <w:t xml:space="preserve"> {{field-on:bible}}Amen </w:t>
      </w:r>
      <w:r>
        <w:rPr>
          <w:color w:val="808080"/>
        </w:rPr>
        <w:t>(wahrlich, wirklich)</w:t>
      </w:r>
      <w:r>
        <w:rPr/>
        <w:t xml:space="preserve"> ich sage euch: Wie vieles auch immer </w:t>
      </w:r>
      <w:r>
        <w:rPr>
          <w:color w:val="808080"/>
        </w:rPr>
        <w:t>(alles, was)</w:t>
      </w:r>
      <w:r>
        <w:rPr/>
        <w:t xml:space="preserve"> ihr bindet auf der Erde wird gebunden sein im Himmel und alles was ihr löst auf der Erde wird gelöst sein im Himmel.{{field-off:bible}} </w:t>
        <w:br/>
        <w:t>[[@BibleTOBIBLE:Mt 18:19]]</w:t>
      </w:r>
      <w:r>
        <w:rPr>
          <w:b/>
        </w:rPr>
        <w:t>19</w:t>
      </w:r>
      <w:r>
        <w:rPr/>
        <w:t xml:space="preserve"> {{field-on:bible}}Wiederum </w:t>
      </w:r>
      <w:r>
        <w:rPr>
          <w:b/>
          <w:color w:val="808080"/>
        </w:rPr>
        <w:t>[</w:t>
      </w:r>
      <w:r>
        <w:rPr/>
        <w:t>amen</w:t>
      </w:r>
      <w:r>
        <w:rPr>
          <w:b/>
          <w:color w:val="808080"/>
        </w:rPr>
        <w:t>]</w:t>
      </w:r>
      <w:r>
        <w:rPr/>
        <w:t xml:space="preserve"> ich sage euch, dass wenn zwei aus euch einer Meinung sind </w:t>
      </w:r>
      <w:r>
        <w:rPr>
          <w:color w:val="808080"/>
        </w:rPr>
        <w:t>(eins werden, übereinkommen, übereinstimmen)</w:t>
      </w:r>
      <w:r>
        <w:rPr/>
        <w:t xml:space="preserve"> auf der Erde über jede </w:t>
      </w:r>
      <w:r>
        <w:rPr>
          <w:color w:val="808080"/>
        </w:rPr>
        <w:t>(beliebige, irgendwelche)</w:t>
      </w:r>
      <w:r>
        <w:rPr/>
        <w:t xml:space="preserve"> Sache </w:t>
      </w:r>
      <w:r>
        <w:rPr>
          <w:color w:val="808080"/>
        </w:rPr>
        <w:t>(Angelegenheit)</w:t>
      </w:r>
      <w:r>
        <w:rPr/>
        <w:t xml:space="preserve"> um die sie bitten, wird es ihnen Zuteil werden </w:t>
      </w:r>
      <w:r>
        <w:rPr>
          <w:color w:val="808080"/>
        </w:rPr>
        <w:t>(gegeben werden)</w:t>
      </w:r>
      <w:r>
        <w:rPr/>
        <w:t xml:space="preserve"> durch meinen Vater in den Himmeln.{{field-off:bible}} </w:t>
        <w:br/>
        <w:t>[[@BibleTOBIBLE:Mt 18:20]]</w:t>
      </w:r>
      <w:r>
        <w:rPr>
          <w:b/>
        </w:rPr>
        <w:t>20</w:t>
      </w:r>
      <w:r>
        <w:rPr/>
        <w:t xml:space="preserve"> {{field-on:bible}}Denn wo sind zwei oder drei versammelt in meinem Namen, dort </w:t>
      </w:r>
      <w:r>
        <w:rPr>
          <w:color w:val="808080"/>
        </w:rPr>
        <w:t>(da)</w:t>
      </w:r>
      <w:r>
        <w:rPr/>
        <w:t xml:space="preserve"> bin ich in ihrer Mitte </w:t>
      </w:r>
      <w:r>
        <w:rPr>
          <w:color w:val="808080"/>
        </w:rPr>
        <w:t>(mitten unter ihnen)</w:t>
      </w:r>
      <w:r>
        <w:rPr/>
        <w:t xml:space="preserve">.{{field-off:bible}} </w:t>
        <w:br/>
        <w:t>[[@BibleTOBIBLE:Mt 18:21]]</w:t>
      </w:r>
      <w:r>
        <w:rPr>
          <w:b/>
        </w:rPr>
        <w:t>21</w:t>
      </w:r>
      <w:r>
        <w:rPr/>
        <w:t xml:space="preserve"> {{field-on:bible}}Da </w:t>
      </w:r>
      <w:r>
        <w:rPr>
          <w:color w:val="808080"/>
        </w:rPr>
        <w:t>(dann)</w:t>
      </w:r>
      <w:r>
        <w:rPr/>
        <w:t xml:space="preserve"> ging Petrus hinzu</w:t>
      </w:r>
      <w:r>
        <w:rPr>
          <w:rStyle w:val="Funotenanker"/>
        </w:rPr>
        <w:footnoteReference w:customMarkFollows="1" w:id="3536"/>
        <w:t>h</w:t>
      </w:r>
      <w:r>
        <w:rPr/>
        <w:t xml:space="preserve"> und sagte ihm: Herr, wie oft wird sündigen gegen mich mein Bruder und ich werde ihm vergeben? Bis zu siebenmal?{{field-off:bible}} </w:t>
        <w:br/>
        <w:t>[[@BibleTOBIBLE:Mt 18:22]]</w:t>
      </w:r>
      <w:r>
        <w:rPr>
          <w:b/>
        </w:rPr>
        <w:t>22</w:t>
      </w:r>
      <w:r>
        <w:rPr/>
        <w:t xml:space="preserve"> {{field-on:bible}}Es sagte ihm Jesus: Ich sage dir: ncht siebenmal, sondern siebenundsiebzigmal</w:t>
      </w:r>
      <w:r>
        <w:rPr>
          <w:rStyle w:val="Funotenanker"/>
        </w:rPr>
        <w:footnoteReference w:customMarkFollows="1" w:id="3537"/>
        <w:t>i</w:t>
      </w:r>
      <w:r>
        <w:rPr/>
        <w:t xml:space="preserve"> {{field-off:bible}} </w:t>
        <w:br/>
        <w:t>[[@BibleTOBIBLE:Mt 18:23]]</w:t>
      </w:r>
      <w:r>
        <w:rPr>
          <w:b/>
        </w:rPr>
        <w:t>23</w:t>
      </w:r>
      <w:r>
        <w:rPr/>
        <w:t xml:space="preserve"> {{field-on:bible}}Darum gleicht </w:t>
      </w:r>
      <w:r>
        <w:rPr>
          <w:color w:val="808080"/>
        </w:rPr>
        <w:t>(es verhält sich mit... wie...)</w:t>
      </w:r>
      <w:r>
        <w:rPr/>
        <w:t xml:space="preserve"> die Königsherrschaft der Himmel einem König, der abrechnen wollte mit seinen Dienern</w:t>
      </w:r>
      <w:r>
        <w:rPr>
          <w:rStyle w:val="Funotenanker"/>
        </w:rPr>
        <w:footnoteReference w:customMarkFollows="1" w:id="3538"/>
        <w:t>j</w:t>
      </w:r>
      <w:r>
        <w:rPr/>
        <w:t xml:space="preserve"> {{field-off:bible}} </w:t>
        <w:br/>
        <w:t>[[@BibleTOBIBLE:Mt 18:24]]</w:t>
      </w:r>
      <w:r>
        <w:rPr>
          <w:b/>
        </w:rPr>
        <w:t>24</w:t>
      </w:r>
      <w:r>
        <w:rPr/>
        <w:t xml:space="preserve"> {{field-on:bible}}als er aber begann </w:t>
      </w:r>
      <w:r>
        <w:rPr>
          <w:color w:val="808080"/>
        </w:rPr>
        <w:t>(anfing)</w:t>
      </w:r>
      <w:r>
        <w:rPr/>
        <w:t xml:space="preserve"> </w:t>
      </w:r>
      <w:r>
        <w:rPr>
          <w:rStyle w:val="Funotenanker"/>
        </w:rPr>
        <w:footnoteReference w:customMarkFollows="1" w:id="3539"/>
        <w:t>k</w:t>
      </w:r>
      <w:r>
        <w:rPr/>
        <w:t xml:space="preserve"> abzurechnen wurde ihm gebracht </w:t>
      </w:r>
      <w:r>
        <w:rPr>
          <w:color w:val="808080"/>
        </w:rPr>
        <w:t>(vorgeführt)</w:t>
      </w:r>
      <w:r>
        <w:rPr/>
        <w:t xml:space="preserve"> ein Schuldner zehntausender Talente.{{field-off:bible}} </w:t>
        <w:br/>
        <w:t>[[@BibleTOBIBLE:Mt 18:25]]</w:t>
      </w:r>
      <w:r>
        <w:rPr>
          <w:b/>
        </w:rPr>
        <w:t>25</w:t>
      </w:r>
      <w:r>
        <w:rPr/>
        <w:t xml:space="preserve"> {{field-on:bible}}Aber er hatte</w:t>
      </w:r>
      <w:r>
        <w:rPr>
          <w:rStyle w:val="Funotenanker"/>
        </w:rPr>
        <w:footnoteReference w:customMarkFollows="1" w:id="3540"/>
        <w:t>l</w:t>
      </w:r>
      <w:r>
        <w:rPr/>
        <w:t xml:space="preserve"> nicht die Möglichkeit zu zahlen </w:t>
      </w:r>
      <w:r>
        <w:rPr>
          <w:b/>
          <w:color w:val="808080"/>
        </w:rPr>
        <w:t>[</w:t>
      </w:r>
      <w:r>
        <w:rPr/>
        <w:t>und</w:t>
      </w:r>
      <w:r>
        <w:rPr>
          <w:b/>
          <w:color w:val="808080"/>
        </w:rPr>
        <w:t>]</w:t>
      </w:r>
      <w:r>
        <w:rPr/>
        <w:t xml:space="preserve"> der Herr befahl ihm, dass er verkauft würde und die Frau Frau und die Kinder und alles, was er hatte, und so die Schuld zu begleichen.{{field-off:bible}} </w:t>
        <w:br/>
        <w:t>[[@BibleTOBIBLE:Mt 18:26]]</w:t>
      </w:r>
      <w:r>
        <w:rPr>
          <w:b/>
        </w:rPr>
        <w:t>26</w:t>
      </w:r>
      <w:r>
        <w:rPr/>
        <w:t xml:space="preserve"> {{field-on:bible}}Der Knecht nun fiel nieder</w:t>
      </w:r>
      <w:r>
        <w:rPr>
          <w:rStyle w:val="Funotenanker"/>
        </w:rPr>
        <w:footnoteReference w:customMarkFollows="1" w:id="3541"/>
        <w:t>m</w:t>
      </w:r>
      <w:r>
        <w:rPr/>
        <w:t xml:space="preserve"> und fiel nieder vor ihm </w:t>
      </w:r>
      <w:r>
        <w:rPr>
          <w:strike/>
          <w:color w:val="808080"/>
        </w:rPr>
        <w:t>{sagend}</w:t>
      </w:r>
      <w:r>
        <w:rPr/>
        <w:t xml:space="preserve">: Habe Geduld mit mir und alles werde ich dir wiedergeben </w:t>
      </w:r>
      <w:r>
        <w:rPr>
          <w:color w:val="808080"/>
        </w:rPr>
        <w:t>(bezahlen)</w:t>
      </w:r>
      <w:r>
        <w:rPr/>
        <w:t xml:space="preserve">.{{field-off:bible}} </w:t>
        <w:br/>
        <w:t>[[@BibleTOBIBLE:Mt 18:27]]</w:t>
      </w:r>
      <w:r>
        <w:rPr>
          <w:b/>
        </w:rPr>
        <w:t>27</w:t>
      </w:r>
      <w:r>
        <w:rPr/>
        <w:t xml:space="preserve"> {{field-on:bible}}Da hatter aber der Herr jenes Dieners Mitleid</w:t>
      </w:r>
      <w:r>
        <w:rPr>
          <w:rStyle w:val="Funotenanker"/>
        </w:rPr>
        <w:footnoteReference w:customMarkFollows="1" w:id="3542"/>
        <w:t>n</w:t>
      </w:r>
      <w:r>
        <w:rPr/>
        <w:t xml:space="preserve"> und gab ihn los </w:t>
      </w:r>
      <w:r>
        <w:rPr>
          <w:color w:val="808080"/>
        </w:rPr>
        <w:t>(löste ihn)</w:t>
      </w:r>
      <w:r>
        <w:rPr/>
        <w:t xml:space="preserve"> und erließ seine Darlehensschuld.{{field-off:bible}} </w:t>
        <w:br/>
        <w:t>[[@BibleTOBIBLE:Mt 18:28]]</w:t>
      </w:r>
      <w:r>
        <w:rPr>
          <w:b/>
        </w:rPr>
        <w:t>28</w:t>
      </w:r>
      <w:r>
        <w:rPr/>
        <w:t xml:space="preserve"> {{field-on:bible}}Als aber jener Diener herausging</w:t>
      </w:r>
      <w:r>
        <w:rPr>
          <w:rStyle w:val="Funotenanker"/>
        </w:rPr>
        <w:footnoteReference w:customMarkFollows="1" w:id="3543"/>
        <w:t>o</w:t>
      </w:r>
      <w:r>
        <w:rPr/>
        <w:t xml:space="preserve"> traf er einen seiner Mitdiener, der ihm schuldig war einhundert Denare und er ergriff ihn, würgte ihn und sagte: Zahle mir alles, was du schuldest.{{field-off:bible}} </w:t>
        <w:br/>
        <w:t>[[@BibleTOBIBLE:Mt 18:29]]</w:t>
      </w:r>
      <w:r>
        <w:rPr>
          <w:b/>
        </w:rPr>
        <w:t>29</w:t>
      </w:r>
      <w:r>
        <w:rPr/>
        <w:t xml:space="preserve"> {{field-on:bible}}Der Mitknecht nun fiel nieder</w:t>
      </w:r>
      <w:r>
        <w:rPr>
          <w:rStyle w:val="Funotenanker"/>
        </w:rPr>
        <w:footnoteReference w:customMarkFollows="1" w:id="3544"/>
        <w:t>p</w:t>
      </w:r>
      <w:r>
        <w:rPr/>
        <w:t xml:space="preserve"> und fiel nieder vor ihm </w:t>
      </w:r>
      <w:r>
        <w:rPr>
          <w:strike/>
          <w:color w:val="808080"/>
        </w:rPr>
        <w:t>{sagend}</w:t>
      </w:r>
      <w:r>
        <w:rPr/>
        <w:t xml:space="preserve">: Habe Geduld mit mir und alles werde ich dir wiedergeben </w:t>
      </w:r>
      <w:r>
        <w:rPr>
          <w:color w:val="808080"/>
        </w:rPr>
        <w:t>(bezahlen)</w:t>
      </w:r>
      <w:r>
        <w:rPr/>
        <w:t>.</w:t>
      </w:r>
      <w:r>
        <w:rPr>
          <w:rStyle w:val="Funotenanker"/>
        </w:rPr>
        <w:footnoteReference w:customMarkFollows="1" w:id="3545"/>
        <w:t>q</w:t>
      </w:r>
      <w:r>
        <w:rPr/>
        <w:t xml:space="preserve"> {{field-off:bible}} </w:t>
        <w:br/>
        <w:t>[[@BibleTOBIBLE:Mt 18:30]]</w:t>
      </w:r>
      <w:r>
        <w:rPr>
          <w:b/>
        </w:rPr>
        <w:t>30</w:t>
      </w:r>
      <w:r>
        <w:rPr/>
        <w:t xml:space="preserve"> {{field-on:bible}}Dieser </w:t>
      </w:r>
      <w:r>
        <w:rPr>
          <w:color w:val="808080"/>
        </w:rPr>
        <w:t>(er)</w:t>
      </w:r>
      <w:r>
        <w:rPr/>
        <w:t xml:space="preserve"> aber wollte nicht sondern ging</w:t>
      </w:r>
      <w:r>
        <w:rPr>
          <w:rStyle w:val="Funotenanker"/>
        </w:rPr>
        <w:footnoteReference w:customMarkFollows="1" w:id="3546"/>
        <w:t>r</w:t>
      </w:r>
      <w:r>
        <w:rPr/>
        <w:t xml:space="preserve"> und lies ihn in ein Gefägnis werfen bis er bezahlen würde die Schuld</w:t>
      </w:r>
      <w:r>
        <w:rPr>
          <w:rStyle w:val="Funotenanker"/>
        </w:rPr>
        <w:footnoteReference w:customMarkFollows="1" w:id="3547"/>
        <w:t>s</w:t>
      </w:r>
      <w:r>
        <w:rPr/>
        <w:t xml:space="preserve">.{{field-off:bible}} </w:t>
        <w:br/>
        <w:t>[[@BibleTOBIBLE:Mt 18:31]]</w:t>
      </w:r>
      <w:r>
        <w:rPr>
          <w:b/>
        </w:rPr>
        <w:t>31</w:t>
      </w:r>
      <w:r>
        <w:rPr/>
        <w:t xml:space="preserve"> {{field-on:bible}}Als nun seine Mitdiener sahen</w:t>
      </w:r>
      <w:r>
        <w:rPr>
          <w:rStyle w:val="Funotenanker"/>
        </w:rPr>
        <w:footnoteReference w:customMarkFollows="1" w:id="3548"/>
        <w:t>t</w:t>
      </w:r>
      <w:r>
        <w:rPr/>
        <w:t xml:space="preserve">, was vorgefallen </w:t>
      </w:r>
      <w:r>
        <w:rPr>
          <w:color w:val="808080"/>
        </w:rPr>
        <w:t>(geschehen)</w:t>
      </w:r>
      <w:r>
        <w:rPr/>
        <w:t xml:space="preserve"> war</w:t>
      </w:r>
      <w:r>
        <w:rPr>
          <w:rStyle w:val="Funotenanker"/>
        </w:rPr>
        <w:footnoteReference w:customMarkFollows="1" w:id="3549"/>
        <w:t>u</w:t>
      </w:r>
      <w:r>
        <w:rPr/>
        <w:t xml:space="preserve">. wurden sie traurig und gingen und erklärten </w:t>
      </w:r>
      <w:r>
        <w:rPr>
          <w:color w:val="808080"/>
        </w:rPr>
        <w:t>(schilderte genau, meldeten)</w:t>
      </w:r>
      <w:r>
        <w:rPr/>
        <w:t xml:space="preserve"> dem Herrn alles, was geschehen war.{{field-off:bible}} </w:t>
        <w:br/>
        <w:t>[[@BibleTOBIBLE:Mt 18:32]]</w:t>
      </w:r>
      <w:r>
        <w:rPr>
          <w:b/>
        </w:rPr>
        <w:t>32</w:t>
      </w:r>
      <w:r>
        <w:rPr/>
        <w:t xml:space="preserve"> {{field-on:bible}}Da </w:t>
      </w:r>
      <w:r>
        <w:rPr>
          <w:color w:val="808080"/>
        </w:rPr>
        <w:t>(dann)</w:t>
      </w:r>
      <w:r>
        <w:rPr/>
        <w:t xml:space="preserve"> lies ihn sein Herr vorführen </w:t>
      </w:r>
      <w:r>
        <w:rPr>
          <w:color w:val="808080"/>
        </w:rPr>
        <w:t>(kommen)</w:t>
      </w:r>
      <w:r>
        <w:rPr/>
        <w:t xml:space="preserve"> und er sagte ihm: Du böser Diener, diese ganze Schuld habe ich dir erlassen, weil </w:t>
      </w:r>
      <w:r>
        <w:rPr>
          <w:color w:val="808080"/>
        </w:rPr>
        <w:t>(da ja, denn)</w:t>
      </w:r>
      <w:r>
        <w:rPr/>
        <w:t xml:space="preserve"> du mich gebeten hast;{{field-off:bible}} </w:t>
        <w:br/>
        <w:t>[[@BibleTOBIBLE:Mt 18:33]]</w:t>
      </w:r>
      <w:r>
        <w:rPr>
          <w:b/>
        </w:rPr>
        <w:t>33</w:t>
      </w:r>
      <w:r>
        <w:rPr/>
        <w:t xml:space="preserve"> {{field-on:bible}}hättest du nicht auch mit deinem Mitdiener Erbarmen haben müssen, wie auch ich mit dir Erbarmen hatte?{{field-off:bible}} </w:t>
        <w:br/>
        <w:t>[[@BibleTOBIBLE:Mt 18:34]]</w:t>
      </w:r>
      <w:r>
        <w:rPr>
          <w:b/>
        </w:rPr>
        <w:t>34</w:t>
      </w:r>
      <w:r>
        <w:rPr/>
        <w:t xml:space="preserve"> {{field-on:bible}}Und sein Herr war voller Zorn</w:t>
      </w:r>
      <w:r>
        <w:rPr>
          <w:rStyle w:val="Funotenanker"/>
        </w:rPr>
        <w:footnoteReference w:customMarkFollows="1" w:id="3550"/>
        <w:t>v</w:t>
      </w:r>
      <w:r>
        <w:rPr/>
        <w:t xml:space="preserve"> und übergab ihn dem Folterknecht bis er bezahlen würde die ganze Schuld.{{field-off:bible}} </w:t>
        <w:br/>
        <w:t>[[@BibleTOBIBLE:Mt 18:35]]</w:t>
      </w:r>
      <w:r>
        <w:rPr>
          <w:b/>
        </w:rPr>
        <w:t>35</w:t>
      </w:r>
      <w:r>
        <w:rPr/>
        <w:t xml:space="preserve"> {{field-on:bible}}So wird auch mein himmlischer Vater handeln </w:t>
      </w:r>
      <w:r>
        <w:rPr>
          <w:color w:val="808080"/>
        </w:rPr>
        <w:t>(behandelt, verfahren)</w:t>
      </w:r>
      <w:r>
        <w:rPr/>
        <w:t xml:space="preserve"> mit euch wenn ihr nicht vergebt, ein jeder seinem Bruder von eurem Herzen </w:t>
      </w:r>
      <w:r>
        <w:rPr>
          <w:color w:val="808080"/>
        </w:rPr>
        <w:t>(aufrichtig)</w:t>
      </w:r>
      <w:r>
        <w:rPr/>
        <w:t xml:space="preserve">.{{field-off:bible}} </w:t>
      </w:r>
    </w:p>
    <w:p>
      <w:pPr>
        <w:pStyle w:val="Berschrift3"/>
        <w:rPr/>
      </w:pPr>
      <w:r>
        <w:rPr/>
        <w:t>[[@BibleTOBIBLE:Mt 21]]Kapitel 21</w:t>
      </w:r>
    </w:p>
    <w:p>
      <w:pPr>
        <w:pStyle w:val="Textkrper"/>
        <w:rPr/>
      </w:pPr>
      <w:r>
        <w:rPr/>
        <w:br/>
        <w:t>[[@BibleTOBIBLE:Mt 21:28]]</w:t>
      </w:r>
      <w:r>
        <w:rPr>
          <w:b/>
        </w:rPr>
        <w:t>28</w:t>
      </w:r>
      <w:r>
        <w:rPr/>
        <w:t xml:space="preserve"> {{field-on:bible}}Was meint ihr nun</w:t>
      </w:r>
      <w:r>
        <w:rPr>
          <w:rStyle w:val="Funotenanker"/>
        </w:rPr>
        <w:footnoteReference w:customMarkFollows="1" w:id="3551"/>
        <w:t>a</w:t>
      </w:r>
      <w:r>
        <w:rPr/>
        <w:t xml:space="preserve">? Ein Mensch hatte zwei Kinder </w:t>
      </w:r>
      <w:r>
        <w:rPr>
          <w:color w:val="808080"/>
        </w:rPr>
        <w:t>(Söhne)</w:t>
      </w:r>
      <w:r>
        <w:rPr/>
        <w:t xml:space="preserve"> </w:t>
      </w:r>
      <w:r>
        <w:rPr>
          <w:rStyle w:val="Funotenanker"/>
        </w:rPr>
        <w:footnoteReference w:customMarkFollows="1" w:id="3552"/>
        <w:t>b</w:t>
      </w:r>
      <w:r>
        <w:rPr/>
        <w:t>. Und er trat an den ersten heran</w:t>
      </w:r>
      <w:r>
        <w:rPr>
          <w:rStyle w:val="Funotenanker"/>
        </w:rPr>
        <w:footnoteReference w:customMarkFollows="1" w:id="3553"/>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3554"/>
        <w:t>d</w:t>
      </w:r>
      <w:r>
        <w:rPr/>
        <w:t xml:space="preserve"> </w:t>
      </w:r>
      <w:r>
        <w:rPr>
          <w:strike/>
          <w:color w:val="808080"/>
        </w:rPr>
        <w:t>{und sprach}</w:t>
      </w:r>
      <w:r>
        <w:rPr/>
        <w:t>: Ich will nicht. Später aber bereute er es</w:t>
      </w:r>
      <w:r>
        <w:rPr>
          <w:rStyle w:val="Funotenanker"/>
        </w:rPr>
        <w:footnoteReference w:customMarkFollows="1" w:id="3555"/>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3556"/>
        <w:t>f</w:t>
      </w:r>
      <w:r>
        <w:rPr/>
        <w:t xml:space="preserve"> und sagte dasselbe </w:t>
      </w:r>
      <w:r>
        <w:rPr>
          <w:color w:val="808080"/>
        </w:rPr>
        <w:t>(fragte, bat ebenso)</w:t>
      </w:r>
      <w:r>
        <w:rPr/>
        <w:t>. Der aber antwortete</w:t>
      </w:r>
      <w:r>
        <w:rPr>
          <w:rStyle w:val="Funotenanker"/>
        </w:rPr>
        <w:footnoteReference w:customMarkFollows="1" w:id="3557"/>
        <w:t>g</w:t>
      </w:r>
      <w:r>
        <w:rPr/>
        <w:t xml:space="preserve"> </w:t>
      </w:r>
      <w:r>
        <w:rPr>
          <w:strike/>
          <w:color w:val="808080"/>
        </w:rPr>
        <w:t>{und sprach}</w:t>
      </w:r>
      <w:r>
        <w:rPr/>
        <w:t>: Zur Stelle</w:t>
      </w:r>
      <w:r>
        <w:rPr>
          <w:rStyle w:val="Funotenanker"/>
        </w:rPr>
        <w:footnoteReference w:customMarkFollows="1" w:id="3558"/>
        <w:t>h</w:t>
      </w:r>
      <w:r>
        <w:rPr/>
        <w:t>, Herr!</w:t>
      </w:r>
      <w:r>
        <w:rPr>
          <w:rStyle w:val="Funotenanker"/>
        </w:rPr>
        <w:footnoteReference w:customMarkFollows="1" w:id="3559"/>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3560"/>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3561"/>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3562"/>
        <w:t>l</w:t>
      </w:r>
      <w:r>
        <w:rPr/>
        <w:t xml:space="preserve">, habt es nicht bereut, dass ihr danach </w:t>
      </w:r>
      <w:r>
        <w:rPr>
          <w:color w:val="808080"/>
        </w:rPr>
        <w:t>(später)</w:t>
      </w:r>
      <w:r>
        <w:rPr/>
        <w:t xml:space="preserve"> ihm geglaubt hättet</w:t>
      </w:r>
      <w:r>
        <w:rPr>
          <w:rStyle w:val="Funotenanker"/>
        </w:rPr>
        <w:footnoteReference w:customMarkFollows="1" w:id="3563"/>
        <w:t>m</w:t>
      </w:r>
      <w:r>
        <w:rPr/>
        <w:t xml:space="preserve">.{{field-off:bible}} </w:t>
      </w:r>
    </w:p>
    <w:p>
      <w:pPr>
        <w:pStyle w:val="Berschrift3"/>
        <w:rPr/>
      </w:pPr>
      <w:r>
        <w:rPr/>
        <w:t>[[@BibleTOBIBLE:Mt 22]]Kapitel 22</w:t>
      </w:r>
    </w:p>
    <w:p>
      <w:pPr>
        <w:pStyle w:val="Textkrper"/>
        <w:rPr/>
      </w:pPr>
      <w:r>
        <w:rPr/>
        <w:br/>
        <w:t>[[@BibleTOBIBLE:Mt 22:14]]</w:t>
      </w:r>
      <w:r>
        <w:rPr>
          <w:b/>
        </w:rPr>
        <w:t>14</w:t>
      </w:r>
      <w:r>
        <w:rPr/>
        <w:t xml:space="preserve"> {{field-on:bible}}Denn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3564"/>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3565"/>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3566"/>
        <w:t>c</w:t>
      </w:r>
      <w:r>
        <w:rPr/>
        <w:t xml:space="preserve">Last </w:t>
      </w:r>
      <w:r>
        <w:rPr>
          <w:color w:val="808080"/>
        </w:rPr>
        <w:t>(Bürde)</w:t>
      </w:r>
      <w:r>
        <w:rPr/>
        <w:t xml:space="preserve"> und legen sie auf die Schultern der Menschen, aber sie selbst wollen sie</w:t>
      </w:r>
      <w:r>
        <w:rPr>
          <w:rStyle w:val="Funotenanker"/>
        </w:rPr>
        <w:footnoteReference w:customMarkFollows="1" w:id="3567"/>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3568"/>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3569"/>
        <w:t>f</w:t>
      </w:r>
      <w:r>
        <w:rPr/>
        <w:t xml:space="preserve"> und den ersten Platz </w:t>
      </w:r>
      <w:r>
        <w:rPr>
          <w:color w:val="808080"/>
        </w:rPr>
        <w:t>(ersten Sitz, Ehrenplatz, besten Platz)</w:t>
      </w:r>
      <w:r>
        <w:rPr/>
        <w:t xml:space="preserve"> </w:t>
      </w:r>
      <w:r>
        <w:rPr>
          <w:rStyle w:val="Funotenanker"/>
        </w:rPr>
        <w:footnoteReference w:customMarkFollows="1" w:id="3570"/>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3571"/>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3572"/>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3573"/>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3574"/>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3575"/>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3576"/>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3577"/>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24]]Kapitel 24</w:t>
      </w:r>
    </w:p>
    <w:p>
      <w:pPr>
        <w:pStyle w:val="Textkrper"/>
        <w:rPr/>
      </w:pPr>
      <w:r>
        <w:rPr/>
        <w:br/>
        <w:t>[[@BibleTOBIBLE:Mt 24:42]]</w:t>
      </w:r>
      <w:r>
        <w:rPr>
          <w:b/>
        </w:rPr>
        <w:t>42</w:t>
      </w:r>
      <w:r>
        <w:rPr/>
        <w:t xml:space="preserve"> {{field-on:bible}}Wacht also, denn Ihr wißt nicht, zu welcher Stunde Euer Herr kommt.{{field-off:bible}} </w:t>
        <w:br/>
        <w:t>[[@BibleTOBIBLE:Mt 24:43]]</w:t>
      </w:r>
      <w:r>
        <w:rPr>
          <w:b/>
        </w:rPr>
        <w:t>43</w:t>
      </w:r>
      <w:r>
        <w:rPr/>
        <w:t xml:space="preserve"> {{field-on:bible}}Jenes aber wißt </w:t>
      </w:r>
      <w:r>
        <w:rPr>
          <w:color w:val="808080"/>
        </w:rPr>
        <w:t>(versteht)</w:t>
      </w:r>
      <w:r>
        <w:rPr/>
        <w:t xml:space="preserve">, daß, wenn der Hausherr wüßte, zu welcher Wache </w:t>
      </w:r>
      <w:r>
        <w:rPr>
          <w:color w:val="808080"/>
        </w:rPr>
        <w:t>(Nachtwache)</w:t>
      </w:r>
      <w:r>
        <w:rPr/>
        <w:t xml:space="preserve"> </w:t>
      </w:r>
      <w:r>
        <w:rPr>
          <w:rStyle w:val="Funotenanker"/>
        </w:rPr>
        <w:footnoteReference w:customMarkFollows="1" w:id="3578"/>
        <w:t>a</w:t>
      </w:r>
      <w:r>
        <w:rPr/>
        <w:t xml:space="preserve"> der Dieb kommt, </w:t>
      </w:r>
      <w:r>
        <w:rPr>
          <w:b/>
          <w:color w:val="808080"/>
        </w:rPr>
        <w:t>[</w:t>
      </w:r>
      <w:r>
        <w:rPr/>
        <w:t>dann</w:t>
      </w:r>
      <w:r>
        <w:rPr>
          <w:b/>
          <w:color w:val="808080"/>
        </w:rPr>
        <w:t>]</w:t>
      </w:r>
      <w:r>
        <w:rPr/>
        <w:t xml:space="preserve"> würde er wachen und es nicht zulassen, daß </w:t>
      </w:r>
      <w:r>
        <w:rPr>
          <w:b/>
          <w:color w:val="808080"/>
        </w:rPr>
        <w:t>[</w:t>
      </w:r>
      <w:r>
        <w:rPr/>
        <w:t>in</w:t>
      </w:r>
      <w:r>
        <w:rPr>
          <w:b/>
          <w:color w:val="808080"/>
        </w:rPr>
        <w:t>]</w:t>
      </w:r>
      <w:r>
        <w:rPr/>
        <w:t xml:space="preserve"> sein Haus eingebrochen wird.{{field-off:bible}} </w:t>
        <w:br/>
        <w:t>[[@BibleTOBIBLE:Mt 24:44]]</w:t>
      </w:r>
      <w:r>
        <w:rPr>
          <w:b/>
        </w:rPr>
        <w:t>44</w:t>
      </w:r>
      <w:r>
        <w:rPr/>
        <w:t xml:space="preserve"> {{field-on:bible}}Deshalb seid </w:t>
      </w:r>
      <w:r>
        <w:rPr>
          <w:color w:val="808080"/>
        </w:rPr>
        <w:t>(werdet)</w:t>
      </w:r>
      <w:r>
        <w:rPr/>
        <w:t xml:space="preserve"> auch Ihr bereit, denn der Menschensohn </w:t>
      </w:r>
      <w:r>
        <w:rPr>
          <w:color w:val="808080"/>
        </w:rPr>
        <w:t>(der Sohn des Menschen)</w:t>
      </w:r>
      <w:r>
        <w:rPr/>
        <w:t xml:space="preserve"> kommt zu einer Stunde, in der Ihr es nicht glaubt </w:t>
      </w:r>
      <w:r>
        <w:rPr>
          <w:color w:val="808080"/>
        </w:rPr>
        <w:t>(meint, erwartet)</w:t>
      </w:r>
      <w:r>
        <w:rPr/>
        <w:t xml:space="preserve">.{{field-off:bible}} </w:t>
        <w:br/>
        <w:t>[[@BibleTOBIBLE:Mt 24:45]]</w:t>
      </w:r>
      <w:r>
        <w:rPr>
          <w:b/>
        </w:rPr>
        <w:t>45</w:t>
      </w:r>
      <w:r>
        <w:rPr/>
        <w:t xml:space="preserve"> {{field-on:bible}}Wer ist also der treue und verständige Knecht, den der Herr über sein Gesinde einsetzte, damit er ihnen zur rechten Zeit die Nahrung gebe?{{field-off:bible}} </w:t>
        <w:br/>
        <w:t>[[@BibleTOBIBLE:Mt 24:46]]</w:t>
      </w:r>
      <w:r>
        <w:rPr>
          <w:b/>
        </w:rPr>
        <w:t>46</w:t>
      </w:r>
      <w:r>
        <w:rPr/>
        <w:t xml:space="preserve"> {{field-on:bible}}Selig </w:t>
      </w:r>
      <w:r>
        <w:rPr>
          <w:color w:val="808080"/>
        </w:rPr>
        <w:t>(Glücklich)</w:t>
      </w:r>
      <w:r>
        <w:rPr/>
        <w:t xml:space="preserve"> jener Knecht, den sein Herr, wenn er kommt, antrifft </w:t>
      </w:r>
      <w:r>
        <w:rPr>
          <w:color w:val="808080"/>
        </w:rPr>
        <w:t>(findet)</w:t>
      </w:r>
      <w:r>
        <w:rPr/>
        <w:t xml:space="preserve">, während er so handelt.{{field-off:bible}} </w:t>
        <w:br/>
        <w:t>[[@BibleTOBIBLE:Mt 24:47]]</w:t>
      </w:r>
      <w:r>
        <w:rPr>
          <w:b/>
        </w:rPr>
        <w:t>47</w:t>
      </w:r>
      <w:r>
        <w:rPr/>
        <w:t xml:space="preserve"> {{field-on:bible}}Amen </w:t>
      </w:r>
      <w:r>
        <w:rPr>
          <w:color w:val="808080"/>
        </w:rPr>
        <w:t>(Wahrlich)</w:t>
      </w:r>
      <w:r>
        <w:rPr/>
        <w:t xml:space="preserve">, ich sage Euch, daß er ihn über alle seine Besitztümer einsetzen wird.{{field-off:bible}} </w:t>
        <w:br/>
        <w:t>[[@BibleTOBIBLE:Mt 24:48]]</w:t>
      </w:r>
      <w:r>
        <w:rPr>
          <w:b/>
        </w:rPr>
        <w:t>48</w:t>
      </w:r>
      <w:r>
        <w:rPr/>
        <w:t xml:space="preserve"> {{field-on:bible}}Wenn aber jener schlechte Knecht in seinem Herzen sagt: Mein Herr verzögert </w:t>
      </w:r>
      <w:r>
        <w:rPr>
          <w:color w:val="808080"/>
        </w:rPr>
        <w:t>(verspätet)</w:t>
      </w:r>
      <w:r>
        <w:rPr/>
        <w:t xml:space="preserve"> sich </w:t>
      </w:r>
      <w:r>
        <w:rPr>
          <w:color w:val="808080"/>
        </w:rPr>
        <w:t>(läßt auf sich warten)</w:t>
      </w:r>
      <w:r>
        <w:rPr/>
        <w:t xml:space="preserve">,{{field-off:bible}} </w:t>
        <w:br/>
        <w:t>[[@BibleTOBIBLE:Mt 24:49]]</w:t>
      </w:r>
      <w:r>
        <w:rPr>
          <w:b/>
        </w:rPr>
        <w:t>49</w:t>
      </w:r>
      <w:r>
        <w:rPr/>
        <w:t xml:space="preserve"> {{field-on:bible}}und beginnt seine Mitknecht zu schlagen, und mit den Betrunkenen </w:t>
      </w:r>
      <w:r>
        <w:rPr>
          <w:color w:val="808080"/>
        </w:rPr>
        <w:t>(Trinkern; denen, die sich betrinken)</w:t>
      </w:r>
      <w:r>
        <w:rPr/>
        <w:t xml:space="preserve"> ißt und trinkt,{{field-off:bible}} </w:t>
        <w:br/>
        <w:t>[[@BibleTOBIBLE:Mt 24:50]]</w:t>
      </w:r>
      <w:r>
        <w:rPr>
          <w:b/>
        </w:rPr>
        <w:t>50</w:t>
      </w:r>
      <w:r>
        <w:rPr/>
        <w:t xml:space="preserve"> {{field-on:bible}} </w:t>
      </w:r>
      <w:r>
        <w:rPr>
          <w:b/>
          <w:color w:val="808080"/>
        </w:rPr>
        <w:t>[</w:t>
      </w:r>
      <w:r>
        <w:rPr/>
        <w:t>dann</w:t>
      </w:r>
      <w:r>
        <w:rPr>
          <w:b/>
          <w:color w:val="808080"/>
        </w:rPr>
        <w:t>]</w:t>
      </w:r>
      <w:r>
        <w:rPr/>
        <w:t xml:space="preserve"> wird der Herr jenes Knechtes an einem Tag kommen, an dem er es nicht erwartet, und zu einer Stunde, zu der er es nicht weiß </w:t>
      </w:r>
      <w:r>
        <w:rPr>
          <w:color w:val="808080"/>
        </w:rPr>
        <w:t>(die er nicht kennt)</w:t>
      </w:r>
      <w:r>
        <w:rPr/>
        <w:t xml:space="preserve">,{{field-off:bible}} </w:t>
        <w:br/>
        <w:t>[[@BibleTOBIBLE:Mt 24:51]]</w:t>
      </w:r>
      <w:r>
        <w:rPr>
          <w:b/>
        </w:rPr>
        <w:t>51</w:t>
      </w:r>
      <w:r>
        <w:rPr/>
        <w:t xml:space="preserve"> {{field-on:bible}}und er wird ihn zweiteilen </w:t>
      </w:r>
      <w:r>
        <w:rPr>
          <w:color w:val="808080"/>
        </w:rPr>
        <w:t>(zerschlagen, auspeitschen)</w:t>
      </w:r>
      <w:r>
        <w:rPr/>
        <w:t xml:space="preserve"> und ihm seinen Teil </w:t>
      </w:r>
      <w:r>
        <w:rPr>
          <w:color w:val="808080"/>
        </w:rPr>
        <w:t>(Platz)</w:t>
      </w:r>
      <w:r>
        <w:rPr/>
        <w:t xml:space="preserve"> mit </w:t>
      </w:r>
      <w:r>
        <w:rPr>
          <w:color w:val="808080"/>
        </w:rPr>
        <w:t>(bei)</w:t>
      </w:r>
      <w:r>
        <w:rPr/>
        <w:t xml:space="preserve"> den Heuchlern zuweisen. Dort wird </w:t>
      </w:r>
      <w:r>
        <w:rPr>
          <w:strike/>
          <w:color w:val="808080"/>
        </w:rPr>
        <w:t>{das}</w:t>
      </w:r>
      <w:r>
        <w:rPr/>
        <w:t xml:space="preserve"> Weinen und Zähneknirschen sein.{{field-off:bible}} </w:t>
      </w:r>
    </w:p>
    <w:p>
      <w:pPr>
        <w:pStyle w:val="Berschrift3"/>
        <w:rPr/>
      </w:pPr>
      <w:r>
        <w:rPr/>
        <w:t>[[@BibleTOBIBLE:Mt 25]]Kapitel 25</w:t>
      </w:r>
    </w:p>
    <w:p>
      <w:pPr>
        <w:pStyle w:val="Textkrper"/>
        <w:rPr/>
      </w:pPr>
      <w:r>
        <w:rPr/>
        <w:br/>
        <w:t>[[@BibleTOBIBLE:Mt 25:1]]</w:t>
      </w:r>
      <w:r>
        <w:rPr>
          <w:b/>
        </w:rPr>
        <w:t>1</w:t>
      </w:r>
      <w:r>
        <w:rPr/>
        <w:t xml:space="preserve"> {{field-on:bible}}Dann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3579"/>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3580"/>
        <w:t>Status</w:t>
      </w:r>
      <w:r>
        <w:rPr/>
        <w:t xml:space="preserve"> Spät</w:t>
      </w:r>
      <w:r>
        <w:rPr>
          <w:rStyle w:val="Funotenanker"/>
        </w:rPr>
        <w:footnoteReference w:customMarkFollows="1" w:id="3581"/>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3582"/>
        <w:t>b</w:t>
      </w:r>
      <w:r>
        <w:rPr/>
        <w:t xml:space="preserve"> nämlich, der </w:t>
      </w:r>
      <w:r>
        <w:rPr>
          <w:color w:val="808080"/>
        </w:rPr>
        <w:t>(nachdem er)</w:t>
      </w:r>
      <w:r>
        <w:rPr/>
        <w:t xml:space="preserve"> </w:t>
      </w:r>
      <w:r>
        <w:rPr>
          <w:rStyle w:val="Funotenanker"/>
        </w:rPr>
        <w:footnoteReference w:customMarkFollows="1" w:id="3583"/>
        <w:t>c</w:t>
      </w:r>
      <w:r>
        <w:rPr/>
        <w:t xml:space="preserve"> aus dem Himmel hinabstieg und hinzutrat, rollte den Stein</w:t>
      </w:r>
      <w:r>
        <w:rPr>
          <w:rStyle w:val="Funotenanker"/>
        </w:rPr>
        <w:footnoteReference w:customMarkFollows="1" w:id="3584"/>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3585"/>
        <w:t>e</w:t>
      </w:r>
      <w:r>
        <w:rPr/>
        <w:t xml:space="preserve"> zu den Frauen: „Fürchtet ''ihr''</w:t>
      </w:r>
      <w:r>
        <w:rPr>
          <w:rStyle w:val="Funotenanker"/>
        </w:rPr>
        <w:footnoteReference w:customMarkFollows="1" w:id="3586"/>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3587"/>
        <w:t>g</w:t>
      </w:r>
      <w:r>
        <w:rPr/>
        <w:t xml:space="preserve"> lag!{{field-off:bible}} </w:t>
        <w:br/>
        <w:t>[[@BibleTOBIBLE:Mt 28:7]]</w:t>
      </w:r>
      <w:r>
        <w:rPr>
          <w:b/>
        </w:rPr>
        <w:t>7</w:t>
      </w:r>
      <w:r>
        <w:rPr/>
        <w:t xml:space="preserve"> {{field-on:bible}}Und schnell, geht los</w:t>
      </w:r>
      <w:r>
        <w:rPr>
          <w:rStyle w:val="Funotenanker"/>
        </w:rPr>
        <w:footnoteReference w:customMarkFollows="1" w:id="3588"/>
        <w:t>h</w:t>
      </w:r>
      <w:r>
        <w:rPr/>
        <w:t xml:space="preserve"> und sagt seinen Jüngern </w:t>
      </w:r>
      <w:r>
        <w:rPr>
          <w:color w:val="808080"/>
        </w:rPr>
        <w:t>(Jüngern und Jüngerinnen)</w:t>
      </w:r>
      <w:r>
        <w:rPr/>
        <w:t xml:space="preserve"> </w:t>
      </w:r>
      <w:r>
        <w:rPr>
          <w:rStyle w:val="Funotenanker"/>
        </w:rPr>
        <w:footnoteReference w:customMarkFollows="1" w:id="3589"/>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3590"/>
        <w:t>j</w:t>
      </w:r>
      <w:r>
        <w:rPr/>
        <w:t xml:space="preserve"> sie schnell fort</w:t>
      </w:r>
      <w:r>
        <w:rPr>
          <w:rStyle w:val="Funotenanker"/>
        </w:rPr>
        <w:footnoteReference w:customMarkFollows="1" w:id="3591"/>
        <w:t>k</w:t>
      </w:r>
      <w:r>
        <w:rPr/>
        <w:t xml:space="preserve"> vom Grab mit Furcht</w:t>
      </w:r>
      <w:r>
        <w:rPr>
          <w:rStyle w:val="Funotenanker"/>
        </w:rPr>
        <w:footnoteReference w:customMarkFollows="1" w:id="3592"/>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3593"/>
        <w:t>m</w:t>
      </w:r>
      <w:r>
        <w:rPr/>
        <w:t xml:space="preserve"> siehe, Jesus ging ihnen entgegen </w:t>
      </w:r>
      <w:r>
        <w:rPr>
          <w:color w:val="808080"/>
        </w:rPr>
        <w:t>(begegnete ihnen)</w:t>
      </w:r>
      <w:r>
        <w:rPr/>
        <w:t xml:space="preserve"> und</w:t>
      </w:r>
      <w:r>
        <w:rPr>
          <w:rStyle w:val="Funotenanker"/>
        </w:rPr>
        <w:footnoteReference w:customMarkFollows="1" w:id="3594"/>
        <w:t>n</w:t>
      </w:r>
      <w:r>
        <w:rPr/>
        <w:t xml:space="preserve"> sagte: „Freut euch! </w:t>
      </w:r>
      <w:r>
        <w:rPr>
          <w:color w:val="808080"/>
        </w:rPr>
        <w:t>(Seid gegrüßt!)</w:t>
      </w:r>
      <w:r>
        <w:rPr/>
        <w:t xml:space="preserve"> </w:t>
      </w:r>
      <w:r>
        <w:rPr>
          <w:rStyle w:val="Funotenanker"/>
        </w:rPr>
        <w:footnoteReference w:customMarkFollows="1" w:id="3595"/>
        <w:t>o</w:t>
      </w:r>
      <w:r>
        <w:rPr/>
        <w:t>“ Und als</w:t>
      </w:r>
      <w:r>
        <w:rPr>
          <w:rStyle w:val="Funotenanker"/>
        </w:rPr>
        <w:footnoteReference w:customMarkFollows="1" w:id="3596"/>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3597"/>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3598"/>
        <w:t>r</w:t>
      </w:r>
      <w:r>
        <w:rPr/>
        <w:t>, siehe, da kamen</w:t>
      </w:r>
      <w:r>
        <w:rPr>
          <w:rStyle w:val="Funotenanker"/>
        </w:rPr>
        <w:footnoteReference w:customMarkFollows="1" w:id="3599"/>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3600"/>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3601"/>
        <w:t>u</w:t>
      </w:r>
      <w:r>
        <w:rPr/>
        <w:t xml:space="preserve"> </w:t>
      </w:r>
      <w:r>
        <w:rPr>
          <w:b/>
          <w:color w:val="808080"/>
        </w:rPr>
        <w:t>[</w:t>
      </w:r>
      <w:r>
        <w:rPr/>
        <w:t>zu ihnen</w:t>
      </w:r>
      <w:r>
        <w:rPr>
          <w:b/>
          <w:color w:val="808080"/>
        </w:rPr>
        <w:t>]</w:t>
      </w:r>
      <w:r>
        <w:rPr/>
        <w:t>: „Sagt:</w:t>
      </w:r>
      <w:r>
        <w:rPr>
          <w:rStyle w:val="Funotenanker"/>
        </w:rPr>
        <w:footnoteReference w:customMarkFollows="1" w:id="3602"/>
        <w:t>v</w:t>
      </w:r>
      <w:r>
        <w:rPr/>
        <w:t xml:space="preserve"> »Seine Jünger sind nachts gekommen</w:t>
      </w:r>
      <w:r>
        <w:rPr>
          <w:rStyle w:val="Funotenanker"/>
        </w:rPr>
        <w:footnoteReference w:customMarkFollows="1" w:id="3603"/>
        <w:t>w</w:t>
      </w:r>
      <w:r>
        <w:rPr/>
        <w:t xml:space="preserve"> und haben ihn genommen, während</w:t>
      </w:r>
      <w:r>
        <w:rPr>
          <w:rStyle w:val="Funotenanker"/>
        </w:rPr>
        <w:footnoteReference w:customMarkFollows="1" w:id="3604"/>
        <w:t>x</w:t>
      </w:r>
      <w:r>
        <w:rPr/>
        <w:t xml:space="preserve"> wir schliefen.</w:t>
      </w:r>
      <w:r>
        <w:rPr>
          <w:rStyle w:val="Funotenanker"/>
        </w:rPr>
        <w:footnoteReference w:customMarkFollows="1" w:id="3605"/>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3606"/>
        <w:t>z</w:t>
      </w:r>
      <w:r>
        <w:rPr/>
        <w:t xml:space="preserve"> und sicher stellen, dass ihr ohne Sorge sein könnt</w:t>
      </w:r>
      <w:r>
        <w:rPr>
          <w:rStyle w:val="Funotenanker"/>
        </w:rPr>
        <w:footnoteReference w:customMarkFollows="1" w:id="3607"/>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3608"/>
        <w:t>ab</w:t>
      </w:r>
      <w:r>
        <w:rPr/>
        <w:t xml:space="preserve"> die Silbermünzen und taten so, wie sie gelehrt worden waren. Und dieses Wort verbreitete sich</w:t>
      </w:r>
      <w:r>
        <w:rPr>
          <w:rStyle w:val="Funotenanker"/>
        </w:rPr>
        <w:footnoteReference w:customMarkFollows="1" w:id="3609"/>
        <w:t>ac</w:t>
      </w:r>
      <w:r>
        <w:rPr/>
        <w:t xml:space="preserve"> unter </w:t>
      </w:r>
      <w:r>
        <w:rPr>
          <w:b/>
          <w:color w:val="808080"/>
        </w:rPr>
        <w:t>[</w:t>
      </w:r>
      <w:r>
        <w:rPr/>
        <w:t>vielen</w:t>
      </w:r>
      <w:r>
        <w:rPr>
          <w:b/>
          <w:color w:val="808080"/>
        </w:rPr>
        <w:t>]</w:t>
      </w:r>
      <w:r>
        <w:rPr/>
        <w:t xml:space="preserve"> </w:t>
      </w:r>
      <w:r>
        <w:rPr>
          <w:rStyle w:val="Funotenanker"/>
        </w:rPr>
        <w:footnoteReference w:customMarkFollows="1" w:id="3610"/>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3611"/>
        <w:t>ae</w:t>
      </w:r>
      <w:r>
        <w:rPr/>
        <w:t xml:space="preserve"> sie ihn sahen, warfen sie sich vor ihm verehrend </w:t>
      </w:r>
      <w:r>
        <w:rPr>
          <w:color w:val="808080"/>
        </w:rPr>
        <w:t>(huldigend, anbetend)</w:t>
      </w:r>
      <w:r>
        <w:rPr/>
        <w:t xml:space="preserve"> nieder</w:t>
      </w:r>
      <w:r>
        <w:rPr>
          <w:rStyle w:val="Funotenanker"/>
        </w:rPr>
        <w:footnoteReference w:customMarkFollows="1" w:id="3612"/>
        <w:t>af</w:t>
      </w:r>
      <w:r>
        <w:rPr/>
        <w:t xml:space="preserve">; doch zweifelten sie </w:t>
      </w:r>
      <w:r>
        <w:rPr>
          <w:color w:val="808080"/>
        </w:rPr>
        <w:t>(einige von ihnen)</w:t>
      </w:r>
      <w:r>
        <w:rPr/>
        <w:t xml:space="preserve"> </w:t>
      </w:r>
      <w:r>
        <w:rPr>
          <w:rStyle w:val="Funotenanker"/>
        </w:rPr>
        <w:footnoteReference w:customMarkFollows="1" w:id="3613"/>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3614"/>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3615"/>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3616"/>
        <w:t>aj</w:t>
      </w:r>
      <w:r>
        <w:rPr/>
        <w:t xml:space="preserve"> Erde.{{field-off:bible}} </w:t>
        <w:br/>
        <w:t>[[@BibleTOBIBLE:Mt 28:19]]</w:t>
      </w:r>
      <w:r>
        <w:rPr>
          <w:b/>
        </w:rPr>
        <w:t>19</w:t>
      </w:r>
      <w:r>
        <w:rPr/>
        <w:t xml:space="preserve"> {{field-on:bible}}Geht also</w:t>
      </w:r>
      <w:r>
        <w:rPr>
          <w:rStyle w:val="Funotenanker"/>
        </w:rPr>
        <w:footnoteReference w:customMarkFollows="1" w:id="3617"/>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t xml:space="preserve">1-15 Das Markusevangelium versucht zu Beginn eine Traditionslinie herzustellen. Johannes der Täufer wird als der so genannte "Rufer in der Wüste" aus dem Buch des Propheten Jesaja dargestellt und so zu einer Art Vorläufer der irdischen Person Jesus von Nazareth. Der Beginn des Buches stellt dar, dass Johannes vor allem Buße, d.h. Umkehr, predigte, die Predigt Jesu aber darüber hinaus geht: Er verkündet die "frohe Botschaft" (gr. Evangelium) Gottes. Dass das Markusevangelium Jesus als Überbietung von Johannes dem Täufer einführen will, wird darüber hinaus deutlich in der Verwendung des Sohn-Gottes-Titel. 16-20 In diesem Abschnitt tritt Jesus als beherrschende, beinahe gebieterische Figur auf. Hierbei wird die Kraft herausgestellt, die ein Ruf Jesu an die Menschen hat, sowie die Bedingungslosigkeit einer Nachfolge als Jünger Jesu. 21-28 Die Szene markiert den machtvollen Beginn des öffentlichem Auftretens Jesu mit seiner neuen Lehre. Sie steht in Opposition zu den Schrfitgelehrten, die hinter seiner Kraft zurückbleiben. Mit der Nennung der konkreten Synagoge von Kafernaum will Markus die Geschichte in einen historischen Zusammenhang stellen. 29-34 Diese Verse haben vor allem die Funktion, Jesus als Wundertäter darzustellen, der die Macht besitzt, Krankheiten zu heilen und Dämonen zu vertreiben. 35-39 Drei Anliegen lassen sich in diesem Abschnitt erkennen: Jesu Verkündigung und seine machtvolledien Taten gehören zusammen. Der Ortswechsel macht deutlich, dass dies für das ganze Gebiet Galiläas gilt. Die Jünger Jesu verstehen Jesu Handeln nicht vollständig. 40-45 Die Tatsache, dass der Kranke zu Jesus kommt, verdeutlicht innerhalb des Markusevangeliums, dass die Bekanntheit Jesu bereits einen ersten Höhepunkt erfahren hat. Diese Bekanntheit wird außerdem weiter steigen, wenn der Kranke, wie beschrieben, die Wundertaten Jesu weiter erzählt. </w:t>
        <w:br/>
        <w:br/>
        <w:t>[[@BibleTOBIBLE:Mk 1:1]]</w:t>
      </w:r>
      <w:r>
        <w:rPr>
          <w:b/>
        </w:rPr>
        <w:t>1</w:t>
      </w:r>
      <w:r>
        <w:rPr/>
        <w:t xml:space="preserve"> {{field-on:bible}} </w:t>
      </w:r>
      <w:r>
        <w:rPr>
          <w:rStyle w:val="Funotenanker"/>
        </w:rPr>
        <w:footnoteReference w:customMarkFollows="1" w:id="3618"/>
        <w:t>Status</w:t>
      </w:r>
      <w:r>
        <w:rPr/>
        <w:t xml:space="preserve"> </w:t>
      </w:r>
      <w:r>
        <w:rPr>
          <w:b/>
          <w:color w:val="808080"/>
        </w:rPr>
        <w:t>[</w:t>
      </w:r>
      <w:r>
        <w:rPr/>
        <w:t>Der</w:t>
      </w:r>
      <w:r>
        <w:rPr>
          <w:b/>
          <w:color w:val="808080"/>
        </w:rPr>
        <w:t>]</w:t>
      </w:r>
      <w:r>
        <w:rPr/>
        <w:t xml:space="preserve"> Anfang der frohen Botschaft </w:t>
      </w:r>
      <w:r>
        <w:rPr>
          <w:rStyle w:val="Funotenanker"/>
        </w:rPr>
        <w:footnoteReference w:customMarkFollows="1" w:id="3619"/>
        <w:t>a</w:t>
      </w:r>
      <w:r>
        <w:rPr/>
        <w:t xml:space="preserve"> von Jesus Christus, </w:t>
      </w:r>
      <w:r>
        <w:rPr>
          <w:b/>
          <w:color w:val="808080"/>
        </w:rPr>
        <w:t>[</w:t>
      </w:r>
      <w:r>
        <w:rPr/>
        <w:t>dem</w:t>
      </w:r>
      <w:r>
        <w:rPr>
          <w:b/>
          <w:color w:val="808080"/>
        </w:rPr>
        <w:t>]</w:t>
      </w:r>
      <w:r>
        <w:rPr/>
        <w:t xml:space="preserve"> Sohn Gottes, </w:t>
      </w:r>
      <w:r>
        <w:rPr>
          <w:rStyle w:val="Funotenanker"/>
        </w:rPr>
        <w:footnoteReference w:customMarkFollows="1" w:id="3620"/>
        <w:t>b</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heißt </w:t>
      </w:r>
      <w:r>
        <w:rPr>
          <w:color w:val="808080"/>
        </w:rPr>
        <w:t>(geschrieben steht)</w:t>
      </w:r>
      <w:r>
        <w:rPr/>
        <w:t xml:space="preserve">: </w:t>
      </w:r>
      <w:r>
        <w:rPr>
          <w:rStyle w:val="Funotenanker"/>
        </w:rPr>
        <w:footnoteReference w:customMarkFollows="1" w:id="3621"/>
        <w:t>c</w:t>
      </w:r>
      <w:r>
        <w:rPr/>
        <w:t xml:space="preserve"> „Siehe, ich sende meinen Boten vor dir her </w:t>
      </w:r>
      <w:r>
        <w:rPr>
          <w:rStyle w:val="Funotenanker"/>
        </w:rPr>
        <w:footnoteReference w:customMarkFollows="1" w:id="3622"/>
        <w:t>d</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3623"/>
        <w:t>e</w:t>
      </w:r>
      <w:r>
        <w:rPr/>
        <w:t xml:space="preserve"> »Bereitet den Weg des Herrn vor, macht seine Pfade gerade«“, </w:t>
      </w:r>
      <w:r>
        <w:rPr>
          <w:rStyle w:val="Funotenanker"/>
        </w:rPr>
        <w:footnoteReference w:customMarkFollows="1" w:id="3624"/>
        <w:t>f</w:t>
      </w:r>
      <w:r>
        <w:rPr/>
        <w:t xml:space="preserve"> </w:t>
      </w:r>
      <w:r>
        <w:rPr>
          <w:position w:val="8"/>
          <w:sz w:val="19"/>
        </w:rPr>
        <w:t>[[ ℘ &gt;&gt; BibleTOBIBLE:Is 40:3]][[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3625"/>
        <w:t>g</w:t>
      </w:r>
      <w:r>
        <w:rPr/>
        <w:t xml:space="preserve"> </w:t>
      </w:r>
      <w:r>
        <w:rPr>
          <w:color w:val="808080"/>
        </w:rPr>
        <w:t>(trat Johannes auf, der in der Wüste taufte)</w:t>
      </w:r>
      <w:r>
        <w:rPr/>
        <w:t xml:space="preserve"> </w:t>
      </w:r>
      <w:r>
        <w:rPr>
          <w:rStyle w:val="Funotenanker"/>
        </w:rPr>
        <w:footnoteReference w:customMarkFollows="1" w:id="3626"/>
        <w:t>h</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3627"/>
        <w:t>i</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3628"/>
        <w:t>j</w:t>
      </w:r>
      <w:r>
        <w:rPr/>
        <w:t xml:space="preserve"> </w:t>
      </w:r>
      <w:r>
        <w:rPr>
          <w:color w:val="808080"/>
        </w:rPr>
        <w:t>(Gegend, Land)</w:t>
      </w:r>
      <w:r>
        <w:rPr/>
        <w:t xml:space="preserve"> und alle Jerusalemer begaben sich </w:t>
      </w:r>
      <w:r>
        <w:rPr>
          <w:rStyle w:val="Funotenanker"/>
        </w:rPr>
        <w:footnoteReference w:customMarkFollows="1" w:id="3629"/>
        <w:t>k</w:t>
      </w:r>
      <w:r>
        <w:rPr/>
        <w:t xml:space="preserve"> </w:t>
      </w:r>
      <w:r>
        <w:rPr>
          <w:color w:val="808080"/>
        </w:rPr>
        <w:t>(gingen)</w:t>
      </w:r>
      <w:r>
        <w:rPr/>
        <w:t xml:space="preserve"> hinaus zu ihm und ließen sich von ihm im Fluss Jordan taufen </w:t>
      </w:r>
      <w:r>
        <w:rPr>
          <w:rStyle w:val="Funotenanker"/>
        </w:rPr>
        <w:footnoteReference w:customMarkFollows="1" w:id="3630"/>
        <w:t>l</w:t>
      </w:r>
      <w:r>
        <w:rPr/>
        <w:t xml:space="preserve">, wobei </w:t>
      </w:r>
      <w:r>
        <w:rPr>
          <w:color w:val="808080"/>
        </w:rPr>
        <w:t>(und)</w:t>
      </w:r>
      <w:r>
        <w:rPr/>
        <w:t xml:space="preserve"> sie ihre Sünden bekannten. </w:t>
      </w:r>
      <w:r>
        <w:rPr>
          <w:rStyle w:val="Funotenanker"/>
        </w:rPr>
        <w:footnoteReference w:customMarkFollows="1" w:id="3631"/>
        <w:t>m</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3632"/>
        <w:t>n</w:t>
      </w:r>
      <w:r>
        <w:rPr/>
        <w:t xml:space="preserve"> und Heuschrecken und wilden Honig zu essen </w:t>
      </w:r>
      <w:r>
        <w:rPr>
          <w:rStyle w:val="Funotenanker"/>
        </w:rPr>
        <w:footnoteReference w:customMarkFollows="1" w:id="3633"/>
        <w:t>o</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3634"/>
        <w:t>p</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3635"/>
        <w:t>q</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3636"/>
        <w:t>r</w:t>
      </w:r>
      <w:r>
        <w:rPr/>
        <w:t xml:space="preserve"> ihm </w:t>
      </w:r>
      <w:r>
        <w:rPr>
          <w:rStyle w:val="Funotenanker"/>
        </w:rPr>
        <w:footnoteReference w:customMarkFollows="1" w:id="3637"/>
        <w:t>s</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3638"/>
        <w:t>t</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3639"/>
        <w:t>u</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3640"/>
        <w:t>v</w:t>
      </w:r>
      <w:r>
        <w:rPr/>
        <w:t xml:space="preserve">, sah er, wie </w:t>
      </w:r>
      <w:r>
        <w:rPr>
          <w:color w:val="808080"/>
        </w:rPr>
        <w:t>(dass)</w:t>
      </w:r>
      <w:r>
        <w:rPr/>
        <w:t xml:space="preserve"> der Himmel </w:t>
      </w:r>
      <w:r>
        <w:rPr>
          <w:rStyle w:val="Funotenanker"/>
        </w:rPr>
        <w:footnoteReference w:customMarkFollows="1" w:id="3641"/>
        <w:t>w</w:t>
      </w:r>
      <w:r>
        <w:rPr/>
        <w:t xml:space="preserve"> geteilt </w:t>
      </w:r>
      <w:r>
        <w:rPr>
          <w:color w:val="808080"/>
        </w:rPr>
        <w:t>(geöffnet)</w:t>
      </w:r>
      <w:r>
        <w:rPr/>
        <w:t xml:space="preserve"> wurde </w:t>
      </w:r>
      <w:r>
        <w:rPr>
          <w:rStyle w:val="Funotenanker"/>
        </w:rPr>
        <w:footnoteReference w:customMarkFollows="1" w:id="3642"/>
        <w:t>x</w:t>
      </w:r>
      <w:r>
        <w:rPr/>
        <w:t xml:space="preserve"> und der Geist wie eine Taube in ihn </w:t>
      </w:r>
      <w:r>
        <w:rPr>
          <w:color w:val="808080"/>
        </w:rPr>
        <w:t>(zu ihm; auf ihn)</w:t>
      </w:r>
      <w:r>
        <w:rPr/>
        <w:t xml:space="preserve"> </w:t>
      </w:r>
      <w:r>
        <w:rPr>
          <w:rStyle w:val="Funotenanker"/>
        </w:rPr>
        <w:footnoteReference w:customMarkFollows="1" w:id="3643"/>
        <w:t>y</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3644"/>
        <w:t>z</w:t>
      </w:r>
      <w:r>
        <w:rPr/>
        <w:t xml:space="preserve"> aus dem Himmel </w:t>
      </w:r>
      <w:r>
        <w:rPr>
          <w:rStyle w:val="Funotenanker"/>
        </w:rPr>
        <w:footnoteReference w:customMarkFollows="1" w:id="3645"/>
        <w:t>aa</w:t>
      </w:r>
      <w:r>
        <w:rPr/>
        <w:t xml:space="preserve">: „Du bist mein geliebter Sohn, an dir habe ich Freude </w:t>
      </w:r>
      <w:r>
        <w:rPr>
          <w:color w:val="808080"/>
        </w:rPr>
        <w:t>(Gefallen gefunden)</w:t>
      </w:r>
      <w:r>
        <w:rPr/>
        <w:t xml:space="preserve"> </w:t>
      </w:r>
      <w:r>
        <w:rPr>
          <w:rStyle w:val="Funotenanker"/>
        </w:rPr>
        <w:footnoteReference w:customMarkFollows="1" w:id="3646"/>
        <w:t>ab</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3647"/>
        <w:t>ac</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3648"/>
        <w:t>ad</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3649"/>
        <w:t>ae</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3650"/>
        <w:t>af</w:t>
      </w:r>
      <w:r>
        <w:rPr/>
        <w:t xml:space="preserve"> das Evangelium Gottes </w:t>
      </w:r>
      <w:r>
        <w:rPr>
          <w:rStyle w:val="Funotenanker"/>
        </w:rPr>
        <w:footnoteReference w:customMarkFollows="1" w:id="3651"/>
        <w:t>ag</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3652"/>
        <w:t>ah</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3653"/>
        <w:t>ai</w:t>
      </w:r>
      <w:r>
        <w:rPr/>
        <w:t xml:space="preserve"> und Gottes Königsherrschaft </w:t>
      </w:r>
      <w:r>
        <w:rPr>
          <w:color w:val="808080"/>
        </w:rPr>
        <w:t>(Königreich)</w:t>
      </w:r>
      <w:r>
        <w:rPr/>
        <w:t xml:space="preserve"> </w:t>
      </w:r>
      <w:r>
        <w:rPr>
          <w:rStyle w:val="Funotenanker"/>
        </w:rPr>
        <w:footnoteReference w:customMarkFollows="1" w:id="3654"/>
        <w:t>aj</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3655"/>
        <w:t>ak</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3656"/>
        <w:t>al</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3657"/>
        <w:t>am</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3658"/>
        <w:t>an</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3659"/>
        <w:t>ao</w:t>
      </w:r>
      <w:r>
        <w:rPr/>
        <w:t xml:space="preserve">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 xml:space="preserve">, </w:t>
      </w:r>
      <w:r>
        <w:rPr>
          <w:rStyle w:val="Funotenanker"/>
        </w:rPr>
        <w:footnoteReference w:customMarkFollows="1" w:id="3660"/>
        <w:t>ap</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3661"/>
        <w:t>aq</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3662"/>
        <w:t>ar</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3663"/>
        <w:t>as</w:t>
      </w:r>
      <w:r>
        <w:rPr/>
        <w:t xml:space="preserve"> </w:t>
      </w:r>
      <w:r>
        <w:rPr>
          <w:color w:val="808080"/>
        </w:rPr>
        <w:t>begann)</w:t>
      </w:r>
      <w:r>
        <w:rPr/>
        <w:t xml:space="preserve"> </w:t>
      </w:r>
      <w:r>
        <w:rPr>
          <w:rStyle w:val="Funotenanker"/>
        </w:rPr>
        <w:footnoteReference w:customMarkFollows="1" w:id="3664"/>
        <w:t>at</w:t>
      </w:r>
      <w:r>
        <w:rPr/>
        <w:t xml:space="preserve"> zu lehren </w:t>
      </w:r>
      <w:r>
        <w:rPr>
          <w:rStyle w:val="Funotenanker"/>
        </w:rPr>
        <w:footnoteReference w:customMarkFollows="1" w:id="3665"/>
        <w:t>au</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3666"/>
        <w:t>av</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3667"/>
        <w:t>aw</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3668"/>
        <w:t>ax</w:t>
      </w:r>
      <w:r>
        <w:rPr/>
        <w:t xml:space="preserve"> Jesus von Nazaret </w:t>
      </w:r>
      <w:r>
        <w:rPr>
          <w:rStyle w:val="Funotenanker"/>
        </w:rPr>
        <w:footnoteReference w:customMarkFollows="1" w:id="3669"/>
        <w:t>ay</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3670"/>
        <w:t>az</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3671"/>
        <w:t>ba</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3672"/>
        <w:t>bb</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3673"/>
        <w:t>bc</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3674"/>
        <w:t>bd</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3675"/>
        <w:t>be</w:t>
      </w:r>
      <w:r>
        <w:rPr/>
        <w:t xml:space="preserve"> verließen sie </w:t>
      </w:r>
      <w:r>
        <w:rPr>
          <w:strike/>
          <w:color w:val="808080"/>
        </w:rPr>
        <w:t>{aus}</w:t>
      </w:r>
      <w:r>
        <w:rPr/>
        <w:t xml:space="preserve"> die Synagoge und </w:t>
      </w:r>
      <w:r>
        <w:rPr>
          <w:rStyle w:val="Funotenanker"/>
        </w:rPr>
        <w:footnoteReference w:customMarkFollows="1" w:id="3676"/>
        <w:t>bf</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3677"/>
        <w:t>bg</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3678"/>
        <w:t>bh</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3679"/>
        <w:t>bi</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3680"/>
        <w:t>bj</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3681"/>
        <w:t>bk</w:t>
      </w:r>
      <w:r>
        <w:rPr/>
        <w:t xml:space="preserve"> die Sonne untergegangen war </w:t>
      </w:r>
      <w:r>
        <w:rPr>
          <w:color w:val="808080"/>
        </w:rPr>
        <w:t>(unterging)</w:t>
      </w:r>
      <w:r>
        <w:rPr/>
        <w:t xml:space="preserve">, brachte </w:t>
      </w:r>
      <w:r>
        <w:rPr>
          <w:rStyle w:val="Funotenanker"/>
        </w:rPr>
        <w:footnoteReference w:customMarkFollows="1" w:id="3682"/>
        <w:t>bl</w:t>
      </w:r>
      <w:r>
        <w:rPr/>
        <w:t xml:space="preserve"> man alle Kranken </w:t>
      </w:r>
      <w:r>
        <w:rPr>
          <w:color w:val="808080"/>
        </w:rPr>
        <w:t>(denen es schlecht ging)</w:t>
      </w:r>
      <w:r>
        <w:rPr/>
        <w:t xml:space="preserve"> </w:t>
      </w:r>
      <w:r>
        <w:rPr>
          <w:rStyle w:val="Funotenanker"/>
        </w:rPr>
        <w:footnoteReference w:customMarkFollows="1" w:id="3683"/>
        <w:t>bm</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3684"/>
        <w:t>bn</w:t>
      </w:r>
      <w:r>
        <w:rPr/>
        <w:t xml:space="preserve"> stand er auf, </w:t>
      </w:r>
      <w:r>
        <w:rPr>
          <w:rStyle w:val="Funotenanker"/>
        </w:rPr>
        <w:footnoteReference w:customMarkFollows="1" w:id="3685"/>
        <w:t>bo</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3686"/>
        <w:t>bp</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3687"/>
        <w:t>bq</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3688"/>
        <w:t>br</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3689"/>
        <w:t>bs</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3690"/>
        <w:t>bt</w:t>
      </w:r>
      <w:r>
        <w:rPr/>
        <w:t xml:space="preserve"> und trieb die Dämonen aus. </w:t>
      </w:r>
      <w:r>
        <w:rPr>
          <w:rStyle w:val="Funotenanker"/>
        </w:rPr>
        <w:footnoteReference w:customMarkFollows="1" w:id="3691"/>
        <w:t>bu</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3692"/>
        <w:t>bv</w:t>
      </w:r>
      <w:r>
        <w:rPr/>
        <w:t xml:space="preserve"> , wobei er ihm zurief </w:t>
      </w:r>
      <w:r>
        <w:rPr>
          <w:color w:val="808080"/>
        </w:rPr>
        <w:t>(sagte)</w:t>
      </w:r>
      <w:r>
        <w:rPr/>
        <w:t xml:space="preserve"> </w:t>
      </w:r>
      <w:r>
        <w:rPr>
          <w:rStyle w:val="Funotenanker"/>
        </w:rPr>
        <w:footnoteReference w:customMarkFollows="1" w:id="3693"/>
        <w:t>bw</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[Jesus] hatte Mitleid </w:t>
      </w:r>
      <w:r>
        <w:rPr>
          <w:color w:val="808080"/>
        </w:rPr>
        <w:t>(wurde zornig)</w:t>
      </w:r>
      <w:r>
        <w:rPr/>
        <w:t xml:space="preserve">, </w:t>
      </w:r>
      <w:r>
        <w:rPr>
          <w:rStyle w:val="Funotenanker"/>
        </w:rPr>
        <w:footnoteReference w:customMarkFollows="1" w:id="3694"/>
        <w:t>bx</w:t>
      </w:r>
      <w:r>
        <w:rPr/>
        <w:t xml:space="preserve"> darum </w:t>
      </w:r>
      <w:r>
        <w:rPr>
          <w:rStyle w:val="Funotenanker"/>
        </w:rPr>
        <w:footnoteReference w:customMarkFollows="1" w:id="3695"/>
        <w:t>by</w:t>
      </w:r>
      <w:r>
        <w:rPr/>
        <w:t xml:space="preserve"> streckte er seine Hand aus </w:t>
      </w:r>
      <w:r>
        <w:rPr>
          <w:rStyle w:val="Funotenanker"/>
        </w:rPr>
        <w:footnoteReference w:customMarkFollows="1" w:id="3696"/>
        <w:t>bz</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3697"/>
        <w:t>ca</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3698"/>
        <w:t>cb</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3699"/>
        <w:t>cc</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3700"/>
        <w:t>cd</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3701"/>
        <w:t>ce</w:t>
      </w:r>
      <w:r>
        <w:rPr/>
        <w:t xml:space="preserve"> und die Geschichte </w:t>
      </w:r>
      <w:r>
        <w:rPr>
          <w:color w:val="808080"/>
        </w:rPr>
        <w:t>(Nachricht, das Wort)</w:t>
      </w:r>
      <w:r>
        <w:rPr/>
        <w:t xml:space="preserve"> zu verbreiten,</w:t>
      </w:r>
      <w:r>
        <w:rPr>
          <w:position w:val="8"/>
          <w:sz w:val="19"/>
        </w:rPr>
        <w:t>[[ ℘ &gt;&gt; BibleTOBIBLE:Mk 5:20]]</w:t>
      </w:r>
      <w:r>
        <w:rPr/>
        <w:t xml:space="preserve"> so dass [Jesus]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3702"/>
        <w:t>cf</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3703"/>
        <w:t>cg</w:t>
      </w:r>
      <w:r>
        <w:rPr/>
        <w:t xml:space="preserve"> von überall 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t xml:space="preserve">1-12 Verpackt in eine anschauliche Szene stellt Markus dar, dass Jesus die Vollmacht hat, Sünden zu vergeben. 13-17 Der Abschnitt schließt inhaltlich an den vorhergehenden Text an und macht deutlich, dass Jesus nicht nur Sünden vergibt, sondern Sünder auch in seine Gemeinschaft aufnimmt. Dadurch wächst sowohl die Zahl seiner Anhänger als auch der Widerstand seiner Gegner. 18-22 Die bildreichen Worte Jesu haben im Zusammenhang des Evangeliums die Funktion, die neue Lehre Jesu, wie sie bereits mehrfach durch verschiedene Szenen vorher beschrieben wurde, nochmals zu verdeutlichen. </w:t>
        <w:br/>
        <w:br/>
        <w:t>[[@BibleTOBIBLE:Mk 2:1]]</w:t>
      </w:r>
      <w:r>
        <w:rPr>
          <w:b/>
        </w:rPr>
        <w:t>1</w:t>
      </w:r>
      <w:r>
        <w:rPr/>
        <w:t xml:space="preserve"> {{field-on:bible}} </w:t>
      </w:r>
      <w:r>
        <w:rPr>
          <w:rStyle w:val="Funotenanker"/>
        </w:rPr>
        <w:footnoteReference w:customMarkFollows="1" w:id="3704"/>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3705"/>
        <w:t>a</w:t>
      </w:r>
      <w:r>
        <w:rPr/>
        <w:t xml:space="preserve"> , wurde bekannt </w:t>
      </w:r>
      <w:r>
        <w:rPr>
          <w:rStyle w:val="Funotenanker"/>
        </w:rPr>
        <w:footnoteReference w:customMarkFollows="1" w:id="3706"/>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3707"/>
        <w:t>c</w:t>
      </w:r>
      <w:r>
        <w:rPr/>
        <w:t xml:space="preserve"> war </w:t>
      </w:r>
      <w:r>
        <w:rPr>
          <w:rStyle w:val="Funotenanker"/>
        </w:rPr>
        <w:footnoteReference w:customMarkFollows="1" w:id="3708"/>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3709"/>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3710"/>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3711"/>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3712"/>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3713"/>
        <w:t>i</w:t>
      </w:r>
      <w:r>
        <w:rPr/>
        <w:t xml:space="preserve"> ihn zu [Jesus]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3714"/>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3715"/>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3716"/>
        <w:t>l</w:t>
      </w:r>
      <w:r>
        <w:rPr/>
        <w:t xml:space="preserve"> sagte </w:t>
      </w:r>
      <w:r>
        <w:rPr>
          <w:rStyle w:val="Funotenanker"/>
        </w:rPr>
        <w:footnoteReference w:customMarkFollows="1" w:id="3717"/>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3718"/>
        <w:t>n</w:t>
      </w:r>
      <w:r>
        <w:rPr/>
        <w:t xml:space="preserve"> in Gedanken </w:t>
      </w:r>
      <w:r>
        <w:rPr>
          <w:rStyle w:val="Funotenanker"/>
        </w:rPr>
        <w:footnoteReference w:customMarkFollows="1" w:id="3719"/>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3720"/>
        <w:t>p</w:t>
      </w:r>
      <w:r>
        <w:rPr/>
        <w:t xml:space="preserve"> in seinem Geist </w:t>
      </w:r>
      <w:r>
        <w:rPr>
          <w:rStyle w:val="Funotenanker"/>
        </w:rPr>
        <w:footnoteReference w:customMarkFollows="1" w:id="3721"/>
        <w:t>q</w:t>
      </w:r>
      <w:r>
        <w:rPr/>
        <w:t xml:space="preserve"> sofort, dass sie so </w:t>
      </w:r>
      <w:r>
        <w:rPr>
          <w:strike/>
          <w:color w:val="808080"/>
        </w:rPr>
        <w:t>{bei sich}</w:t>
      </w:r>
      <w:r>
        <w:rPr/>
        <w:t xml:space="preserve"> dachten, darum sagte </w:t>
      </w:r>
      <w:r>
        <w:rPr>
          <w:rStyle w:val="Funotenanker"/>
        </w:rPr>
        <w:footnoteReference w:customMarkFollows="1" w:id="3722"/>
        <w:t>r</w:t>
      </w:r>
      <w:r>
        <w:rPr/>
        <w:t xml:space="preserve"> er zu ihnen: „Warum habt ihr solche Gedanken? </w:t>
      </w:r>
      <w:r>
        <w:rPr>
          <w:rStyle w:val="Funotenanker"/>
        </w:rPr>
        <w:footnoteReference w:customMarkFollows="1" w:id="3723"/>
        <w:t>s</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3724"/>
        <w:t>t</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 sagte er zu dem Gelähmten:{{field-off:bible}} </w:t>
        <w:br/>
        <w:t>[[@BibleTOBIBLE:Mk 2:11]]</w:t>
      </w:r>
      <w:r>
        <w:rPr>
          <w:b/>
        </w:rPr>
        <w:t>11</w:t>
      </w:r>
      <w:r>
        <w:rPr/>
        <w:t xml:space="preserve"> {{field-on:bible}}„— sage ich dir: Steh auf, nimm deine Matte und geh nach Hause </w:t>
      </w:r>
      <w:r>
        <w:rPr>
          <w:rStyle w:val="Funotenanker"/>
        </w:rPr>
        <w:footnoteReference w:customMarkFollows="1" w:id="3725"/>
        <w:t>u</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3726"/>
        <w:t>v</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3727"/>
        <w:t>w</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[Jesus] wieder hinaus </w:t>
      </w:r>
      <w:r>
        <w:rPr>
          <w:rStyle w:val="Funotenanker"/>
        </w:rPr>
        <w:footnoteReference w:customMarkFollows="1" w:id="3728"/>
        <w:t>x</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3729"/>
        <w:t>y</w:t>
      </w:r>
      <w:r>
        <w:rPr/>
        <w:t xml:space="preserve"> . Und die gesamte Menschenmenge kam zu ihm, und er lehrte </w:t>
      </w:r>
      <w:r>
        <w:rPr>
          <w:rStyle w:val="Funotenanker"/>
        </w:rPr>
        <w:footnoteReference w:customMarkFollows="1" w:id="3730"/>
        <w:t>z</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3731"/>
        <w:t>aa</w:t>
      </w:r>
      <w:r>
        <w:rPr/>
        <w:t xml:space="preserve"> sah er Levi,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3732"/>
        <w:t>ab</w:t>
      </w:r>
      <w:r>
        <w:rPr/>
        <w:t xml:space="preserve"> sitzen </w:t>
      </w:r>
      <w:r>
        <w:rPr>
          <w:rStyle w:val="Funotenanker"/>
        </w:rPr>
        <w:footnoteReference w:customMarkFollows="1" w:id="3733"/>
        <w:t>ac</w:t>
      </w:r>
      <w:r>
        <w:rPr/>
        <w:t xml:space="preserve"> und sagte zu ihm: „Folge mir nach!“ </w:t>
      </w:r>
      <w:r>
        <w:rPr>
          <w:rStyle w:val="Funotenanker"/>
        </w:rPr>
        <w:footnoteReference w:customMarkFollows="1" w:id="3734"/>
        <w:t>ad</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3735"/>
        <w:t>ae</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3736"/>
        <w:t>af</w:t>
      </w:r>
      <w:r>
        <w:rPr/>
        <w:t xml:space="preserve"> in seinem Haus </w:t>
      </w:r>
      <w:r>
        <w:rPr>
          <w:rStyle w:val="Funotenanker"/>
        </w:rPr>
        <w:footnoteReference w:customMarkFollows="1" w:id="3737"/>
        <w:t>ag</w:t>
      </w:r>
      <w:r>
        <w:rPr/>
        <w:t xml:space="preserve"> bei Tisch war </w:t>
      </w:r>
      <w:r>
        <w:rPr>
          <w:color w:val="808080"/>
        </w:rPr>
        <w:t>(zu Gast war)</w:t>
      </w:r>
      <w:r>
        <w:rPr/>
        <w:t xml:space="preserve"> </w:t>
      </w:r>
      <w:r>
        <w:rPr>
          <w:rStyle w:val="Funotenanker"/>
        </w:rPr>
        <w:footnoteReference w:customMarkFollows="1" w:id="3738"/>
        <w:t>ah</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3739"/>
        <w:t>ai</w:t>
      </w:r>
      <w:r>
        <w:rPr/>
        <w:t xml:space="preserve"> . Es waren nämlich viele, die </w:t>
      </w:r>
      <w:r>
        <w:rPr>
          <w:rStyle w:val="Funotenanker"/>
        </w:rPr>
        <w:footnoteReference w:customMarkFollows="1" w:id="3740"/>
        <w:t>aj</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3741"/>
        <w:t>ak</w:t>
      </w:r>
      <w:r>
        <w:rPr/>
        <w:t xml:space="preserve"> sahen, </w:t>
      </w:r>
      <w:r>
        <w:rPr>
          <w:rStyle w:val="Funotenanker"/>
        </w:rPr>
        <w:footnoteReference w:customMarkFollows="1" w:id="3742"/>
        <w:t>al</w:t>
      </w:r>
      <w:r>
        <w:rPr/>
        <w:t xml:space="preserve"> dass er mit den Sündern und Zolleinnehmern </w:t>
      </w:r>
      <w:r>
        <w:rPr>
          <w:color w:val="808080"/>
        </w:rPr>
        <w:t>(Zöllnern)</w:t>
      </w:r>
      <w:r>
        <w:rPr/>
        <w:t xml:space="preserve"> aß </w:t>
      </w:r>
      <w:r>
        <w:rPr>
          <w:rStyle w:val="Funotenanker"/>
        </w:rPr>
        <w:footnoteReference w:customMarkFollows="1" w:id="3743"/>
        <w:t>am</w:t>
      </w:r>
      <w:r>
        <w:rPr/>
        <w:t xml:space="preserve"> , sagten sie zu seinen Jüngern: „Warum </w:t>
      </w:r>
      <w:r>
        <w:rPr>
          <w:rStyle w:val="Funotenanker"/>
        </w:rPr>
        <w:footnoteReference w:customMarkFollows="1" w:id="3744"/>
        <w:t>an</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3745"/>
        <w:t>ao</w:t>
      </w:r>
      <w:r>
        <w:rPr/>
        <w:t xml:space="preserve"> sagte er zu ihnen </w:t>
      </w:r>
      <w:r>
        <w:rPr>
          <w:strike/>
          <w:color w:val="808080"/>
        </w:rPr>
        <w:t>{dass}</w:t>
      </w:r>
      <w:r>
        <w:rPr/>
        <w:t xml:space="preserve"> </w:t>
      </w:r>
      <w:r>
        <w:rPr>
          <w:rStyle w:val="Funotenanker"/>
        </w:rPr>
        <w:footnoteReference w:customMarkFollows="1" w:id="3746"/>
        <w:t>ap</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3747"/>
        <w:t>aq</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3748"/>
        <w:t>ar</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3749"/>
        <w:t>as</w:t>
      </w:r>
      <w:r>
        <w:rPr/>
        <w:t xml:space="preserve"> ihn: „Weshalb fasten die Jünger von Johannes und die Jünger der Pharisäer </w:t>
      </w:r>
      <w:r>
        <w:rPr>
          <w:rStyle w:val="Funotenanker"/>
        </w:rPr>
        <w:footnoteReference w:customMarkFollows="1" w:id="3750"/>
        <w:t>at</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3751"/>
        <w:t>au</w:t>
      </w:r>
      <w:r>
        <w:rPr/>
        <w:t xml:space="preserve"> denn fasten, während der Bräutigam bei ihnen ist? Solange sie den Bräutigam bei sich haben, können sie unmöglich </w:t>
      </w:r>
      <w:r>
        <w:rPr>
          <w:color w:val="808080"/>
        </w:rPr>
        <w:t>(nicht)</w:t>
      </w:r>
      <w:r>
        <w:rPr/>
        <w:t xml:space="preserve"> fasten!{{field-off:bible}}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3752"/>
        <w:t>av</w:t>
      </w:r>
      <w:r>
        <w:rPr/>
        <w:t xml:space="preserve"> , und dann, an diesem Tag </w:t>
      </w:r>
      <w:r>
        <w:rPr>
          <w:rStyle w:val="Funotenanker"/>
        </w:rPr>
        <w:footnoteReference w:customMarkFollows="1" w:id="3753"/>
        <w:t>aw</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3754"/>
        <w:t>ax</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3755"/>
        <w:t>ay</w:t>
      </w:r>
      <w:r>
        <w:rPr/>
        <w:t xml:space="preserve"> Jungen </w:t>
      </w:r>
      <w:r>
        <w:rPr>
          <w:color w:val="808080"/>
        </w:rPr>
        <w:t>(neuen)</w:t>
      </w:r>
      <w:r>
        <w:rPr/>
        <w:t xml:space="preserve"> Wein </w:t>
      </w:r>
      <w:r>
        <w:rPr>
          <w:b/>
          <w:color w:val="808080"/>
        </w:rPr>
        <w:t>[</w:t>
      </w:r>
      <w:r>
        <w:rPr/>
        <w:t>füllt man</w:t>
      </w:r>
      <w:r>
        <w:rPr>
          <w:b/>
          <w:color w:val="808080"/>
        </w:rPr>
        <w:t>]</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3756"/>
        <w:t>az</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abzureißen. </w:t>
      </w:r>
      <w:r>
        <w:rPr>
          <w:rStyle w:val="Funotenanker"/>
        </w:rPr>
        <w:footnoteReference w:customMarkFollows="1" w:id="3757"/>
        <w:t>ba</w:t>
      </w:r>
      <w:r>
        <w:rPr/>
        <w:t xml:space="preserve">.{{field-off:bible}}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3758"/>
        <w:t>bb</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3759"/>
        <w:t>bc</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3760"/>
        <w:t>bd</w:t>
      </w:r>
      <w:r>
        <w:rPr/>
        <w:t xml:space="preserve"> in das Haus Gottes ging und die geweihten Brote </w:t>
      </w:r>
      <w:r>
        <w:rPr>
          <w:color w:val="808080"/>
        </w:rPr>
        <w:t>(Schaubrote, ausgestellten Brote)</w:t>
      </w:r>
      <w:r>
        <w:rPr/>
        <w:t xml:space="preserve"> </w:t>
      </w:r>
      <w:r>
        <w:rPr>
          <w:rStyle w:val="Funotenanker"/>
        </w:rPr>
        <w:footnoteReference w:customMarkFollows="1" w:id="3761"/>
        <w:t>be</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3762"/>
        <w:t>bf</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3763"/>
        <w:t>bg</w:t>
      </w:r>
      <w:r>
        <w:rPr/>
        <w:t xml:space="preserve">.“{{field-off:bible}} </w:t>
      </w:r>
    </w:p>
    <w:p>
      <w:pPr>
        <w:pStyle w:val="Berschrift3"/>
        <w:rPr/>
      </w:pPr>
      <w:r>
        <w:rPr/>
        <w:t>[[@BibleTOBIBLE:Mk 3]]Kapitel 3</w:t>
      </w:r>
    </w:p>
    <w:p>
      <w:pPr>
        <w:pStyle w:val="Textkrper"/>
        <w:rPr/>
      </w:pPr>
      <w:r>
        <w:rPr/>
        <w:t xml:space="preserve">1-6 Markus zeigt hier erneut Jesu Vollmacht im Hinblick auf die Bedeutung von Geboten auf, exemplarisch an der Frage des Sabbatgebots. Zugleich erlangt der bereits in Mk 2 thematisierte Konflikt zwischen Jesus und den Schriftgelehrten mit ihrem Plan Jesus umzubringen einen Höhepunkt. 7-12 Mit der Aufzählung der verschiedenen Regionen beschreibt Markus den umfassenden Charakter des Wunderwirkens Jesu. Das Bild von Jesus umringt von Kranken und Dämonen unterstreicht dabei das Elend der Menschen und seine Rolle als Sohn Gottes. 13-19 Markus macht an dieser Stelle deutlich, dass Jesus seine Nachfolger dazu aufruft, sein Werk fortzuführen. Gleichzeitig wird deutlich, dass es einige gibt, die sich von den Massen im vorhergehenden und nachfolgenden Abschnitt abheben. 20-35 Durch diese Szene macht Markus deutlich, dass die Gemeinschaft, die mit Jesus entsteht, einen eigenen und neuen Charakter hat, der sich von der Gemeinschaft der Familie unterscheidet. Deutlich wird dadurch auch, dass es selbst unter den eigenen Landsleuten und der eigene Familie Menschen gibt, die das nicht verstehen oder nachvollziehen können. </w:t>
        <w:br/>
        <w:br/>
        <w:t>[[@BibleTOBIBLE:Mk 3:1]]</w:t>
      </w:r>
      <w:r>
        <w:rPr>
          <w:b/>
        </w:rPr>
        <w:t>1</w:t>
      </w:r>
      <w:r>
        <w:rPr/>
        <w:t xml:space="preserve"> {{field-on:bible}} </w:t>
      </w:r>
      <w:r>
        <w:rPr>
          <w:rStyle w:val="Funotenanker"/>
        </w:rPr>
        <w:footnoteReference w:customMarkFollows="1" w:id="3764"/>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3765"/>
        <w:t>a</w:t>
      </w:r>
      <w:r>
        <w:rPr/>
        <w:t xml:space="preserve"> Hand hatte. </w:t>
      </w:r>
      <w:r>
        <w:rPr>
          <w:rStyle w:val="Funotenanker"/>
        </w:rPr>
        <w:footnoteReference w:customMarkFollows="1" w:id="3766"/>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3767"/>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3768"/>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3769"/>
        <w:t>e</w:t>
      </w:r>
      <w:r>
        <w:rPr/>
        <w:t xml:space="preserve"> zu dem Mann mit der verkümmerten </w:t>
      </w:r>
      <w:r>
        <w:rPr>
          <w:color w:val="808080"/>
        </w:rPr>
        <w:t>(gelähmten, verdorrten)</w:t>
      </w:r>
      <w:r>
        <w:rPr/>
        <w:t xml:space="preserve"> Hand </w:t>
      </w:r>
      <w:r>
        <w:rPr>
          <w:rStyle w:val="Funotenanker"/>
        </w:rPr>
        <w:footnoteReference w:customMarkFollows="1" w:id="3770"/>
        <w:t>f</w:t>
      </w:r>
      <w:r>
        <w:rPr/>
        <w:t xml:space="preserve">: „Komm </w:t>
      </w:r>
      <w:r>
        <w:rPr>
          <w:color w:val="808080"/>
        </w:rPr>
        <w:t>(Steh auf)</w:t>
      </w:r>
      <w:r>
        <w:rPr/>
        <w:t xml:space="preserve"> </w:t>
      </w:r>
      <w:r>
        <w:rPr>
          <w:rStyle w:val="Funotenanker"/>
        </w:rPr>
        <w:footnoteReference w:customMarkFollows="1" w:id="3771"/>
        <w:t>g</w:t>
      </w:r>
      <w:r>
        <w:rPr/>
        <w:t xml:space="preserve"> in die Mitte!“{{field-off:bible}} </w:t>
        <w:br/>
        <w:t>[[@BibleTOBIBLE:Mk 3:4]]</w:t>
      </w:r>
      <w:r>
        <w:rPr>
          <w:b/>
        </w:rPr>
        <w:t>4</w:t>
      </w:r>
      <w:r>
        <w:rPr/>
        <w:t xml:space="preserve"> {{field-on:bible}}Und er fragte </w:t>
      </w:r>
      <w:r>
        <w:rPr>
          <w:color w:val="808080"/>
        </w:rPr>
        <w:t>(sagte)</w:t>
      </w:r>
      <w:r>
        <w:rPr/>
        <w:t xml:space="preserve"> </w:t>
      </w:r>
      <w:r>
        <w:rPr>
          <w:rStyle w:val="Funotenanker"/>
        </w:rPr>
        <w:footnoteReference w:customMarkFollows="1" w:id="3772"/>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3773"/>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3774"/>
        <w:t>j</w:t>
      </w:r>
      <w:r>
        <w:rPr/>
        <w:t xml:space="preserve"> alle der Reihe nach </w:t>
      </w:r>
      <w:r>
        <w:rPr>
          <w:color w:val="808080"/>
        </w:rPr>
        <w:t>(ringsum)</w:t>
      </w:r>
      <w:r>
        <w:rPr/>
        <w:t xml:space="preserve"> an. </w:t>
      </w:r>
      <w:r>
        <w:rPr>
          <w:rStyle w:val="Funotenanker"/>
        </w:rPr>
        <w:footnoteReference w:customMarkFollows="1" w:id="3775"/>
        <w:t>k</w:t>
      </w:r>
      <w:r>
        <w:rPr/>
        <w:t xml:space="preserve"> Tief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3776"/>
        <w:t>l</w:t>
      </w:r>
      <w:r>
        <w:rPr/>
        <w:t xml:space="preserve"> ihrer Herzen </w:t>
      </w:r>
      <w:r>
        <w:rPr>
          <w:rStyle w:val="Funotenanker"/>
        </w:rPr>
        <w:footnoteReference w:customMarkFollows="1" w:id="3777"/>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3778"/>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3779"/>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3780"/>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3781"/>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3782"/>
        <w:t>r</w:t>
      </w:r>
      <w:r>
        <w:rPr/>
        <w:t xml:space="preserve"> eine große Menge zu ihm, die </w:t>
      </w:r>
      <w:r>
        <w:rPr>
          <w:color w:val="808080"/>
        </w:rPr>
        <w:t>(weil/als sie)</w:t>
      </w:r>
      <w:r>
        <w:rPr/>
        <w:t xml:space="preserve"> hörten, </w:t>
      </w:r>
      <w:r>
        <w:rPr>
          <w:rStyle w:val="Funotenanker"/>
        </w:rPr>
        <w:footnoteReference w:customMarkFollows="1" w:id="3783"/>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3784"/>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3785"/>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3786"/>
        <w:t>v</w:t>
      </w:r>
      <w:r>
        <w:rPr/>
        <w:t xml:space="preserve"> </w:t>
      </w:r>
      <w:r>
        <w:rPr>
          <w:strike/>
          <w:color w:val="808080"/>
        </w:rPr>
        <w:t>{dass}</w:t>
      </w:r>
      <w:r>
        <w:rPr/>
        <w:t xml:space="preserve"> </w:t>
      </w:r>
      <w:r>
        <w:rPr>
          <w:rStyle w:val="Funotenanker"/>
        </w:rPr>
        <w:footnoteReference w:customMarkFollows="1" w:id="3787"/>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bekannt machten. </w:t>
      </w:r>
      <w:r>
        <w:rPr>
          <w:rStyle w:val="Funotenanker"/>
        </w:rPr>
        <w:footnoteReference w:customMarkFollows="1" w:id="3788"/>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3789"/>
        <w:t>y</w:t>
      </w:r>
      <w:r>
        <w:rPr/>
        <w:t xml:space="preserve"> diejenigen zu sich, die er selbst sich ausgesucht hatte </w:t>
      </w:r>
      <w:r>
        <w:rPr>
          <w:rStyle w:val="Funotenanker"/>
        </w:rPr>
        <w:footnoteReference w:customMarkFollows="1" w:id="3790"/>
        <w:t>z</w:t>
      </w:r>
      <w:r>
        <w:rPr/>
        <w:t xml:space="preserve">; und sie kamen zu ihm </w:t>
      </w:r>
      <w:r>
        <w:rPr>
          <w:rStyle w:val="Funotenanker"/>
        </w:rPr>
        <w:footnoteReference w:customMarkFollows="1" w:id="3791"/>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3792"/>
        <w:t>ab</w:t>
      </w:r>
      <w:r>
        <w:rPr/>
        <w:t xml:space="preserve"> zwölf, die er bei sich haben und die er aussenden </w:t>
      </w:r>
      <w:r>
        <w:rPr>
          <w:b/>
          <w:color w:val="808080"/>
        </w:rPr>
        <w:t>[</w:t>
      </w:r>
      <w:r>
        <w:rPr/>
        <w:t>wollte</w:t>
      </w:r>
      <w:r>
        <w:rPr>
          <w:b/>
          <w:color w:val="808080"/>
        </w:rPr>
        <w:t>]</w:t>
      </w:r>
      <w:r>
        <w:rPr/>
        <w:t xml:space="preserve">, </w:t>
      </w:r>
      <w:r>
        <w:rPr>
          <w:rStyle w:val="Funotenanker"/>
        </w:rPr>
        <w:footnoteReference w:customMarkFollows="1" w:id="3793"/>
        <w:t>ac</w:t>
      </w:r>
      <w:r>
        <w:rPr/>
        <w:t xml:space="preserve"> </w:t>
      </w:r>
      <w:r>
        <w:rPr>
          <w:b/>
          <w:color w:val="808080"/>
        </w:rPr>
        <w:t>[</w:t>
      </w:r>
      <w:r>
        <w:rPr/>
        <w:t>um</w:t>
      </w:r>
      <w:r>
        <w:rPr>
          <w:b/>
          <w:color w:val="808080"/>
        </w:rPr>
        <w:t>]</w:t>
      </w:r>
      <w:r>
        <w:rPr/>
        <w:t xml:space="preserve"> zu predigen </w:t>
      </w:r>
      <w:r>
        <w:rPr>
          <w:color w:val="808080"/>
        </w:rPr>
        <w:t>(verkündigen)</w:t>
      </w:r>
      <w:r>
        <w:rPr/>
        <w:t xml:space="preserve"> {{field-off:bible}} </w:t>
        <w:br/>
        <w:t>[[@BibleTOBIBLE:Mk 3:15]]</w:t>
      </w:r>
      <w:r>
        <w:rPr>
          <w:b/>
        </w:rPr>
        <w:t>15</w:t>
      </w:r>
      <w:r>
        <w:rPr/>
        <w:t xml:space="preserve"> {{field-on:bible}}und Macht </w:t>
      </w:r>
      <w:r>
        <w:rPr>
          <w:color w:val="808080"/>
        </w:rPr>
        <w:t>(Vollmacht, Autorität, Ermächtigung)</w:t>
      </w:r>
      <w:r>
        <w:rPr/>
        <w:t xml:space="preserve"> zum Austreiben </w:t>
      </w:r>
      <w:r>
        <w:rPr>
          <w:b/>
          <w:color w:val="808080"/>
        </w:rPr>
        <w:t>[</w:t>
      </w:r>
      <w:r>
        <w:rPr/>
        <w:t>von</w:t>
      </w:r>
      <w:r>
        <w:rPr>
          <w:b/>
          <w:color w:val="808080"/>
        </w:rPr>
        <w:t>]</w:t>
      </w:r>
      <w:r>
        <w:rPr/>
        <w:t xml:space="preserve"> Dämonen zu haben.{{field-off:bible}} </w:t>
        <w:br/>
        <w:t>[[@BibleTOBIBLE:Mk 3:16]]</w:t>
      </w:r>
      <w:r>
        <w:rPr>
          <w:b/>
        </w:rPr>
        <w:t>16</w:t>
      </w:r>
      <w:r>
        <w:rPr/>
        <w:t xml:space="preserve"> {{field-on:bible}}Und er bestimmte </w:t>
      </w:r>
      <w:r>
        <w:rPr>
          <w:color w:val="808080"/>
        </w:rPr>
        <w:t>(berief, setzte ein)</w:t>
      </w:r>
      <w:r>
        <w:rPr/>
        <w:t xml:space="preserve"> die Zwölf,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3794"/>
        <w:t>ad</w:t>
      </w:r>
      <w:r>
        <w:rPr/>
        <w:t xml:space="preserve"> , das heißt </w:t>
      </w:r>
      <w:r>
        <w:rPr>
          <w:rStyle w:val="Funotenanker"/>
        </w:rPr>
        <w:footnoteReference w:customMarkFollows="1" w:id="3795"/>
        <w:t>ae</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3796"/>
        <w:t>af</w:t>
      </w:r>
      <w:r>
        <w:rPr/>
        <w:t xml:space="preserve"> {{field-off:bible}} </w:t>
        <w:br/>
        <w:t>[[@BibleTOBIBLE:Mk 3:19]]</w:t>
      </w:r>
      <w:r>
        <w:rPr>
          <w:b/>
        </w:rPr>
        <w:t>19</w:t>
      </w:r>
      <w:r>
        <w:rPr/>
        <w:t xml:space="preserve"> {{field-on:bible}}und Judas Iskariot </w:t>
      </w:r>
      <w:r>
        <w:rPr>
          <w:rStyle w:val="Funotenanker"/>
        </w:rPr>
        <w:footnoteReference w:customMarkFollows="1" w:id="3797"/>
        <w:t>ag</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3798"/>
        <w:t>ah</w:t>
      </w:r>
      <w:r>
        <w:rPr/>
        <w:t xml:space="preserve">.{{field-off:bible}} </w:t>
        <w:br/>
        <w:t>[[@BibleTOBIBLE:Mk 3:20]]</w:t>
      </w:r>
      <w:r>
        <w:rPr>
          <w:b/>
        </w:rPr>
        <w:t>20</w:t>
      </w:r>
      <w:r>
        <w:rPr/>
        <w:t xml:space="preserve"> {{field-on:bible}}Später </w:t>
      </w:r>
      <w:r>
        <w:rPr>
          <w:color w:val="808080"/>
        </w:rPr>
        <w:t>(Und)</w:t>
      </w:r>
      <w:r>
        <w:rPr/>
        <w:t xml:space="preserve"> ging [Jesus] nach Hause </w:t>
      </w:r>
      <w:r>
        <w:rPr>
          <w:color w:val="808080"/>
        </w:rPr>
        <w:t>(in ein Haus)</w:t>
      </w:r>
      <w:r>
        <w:rPr/>
        <w:t xml:space="preserve">. </w:t>
      </w:r>
      <w:r>
        <w:rPr>
          <w:rStyle w:val="Funotenanker"/>
        </w:rPr>
        <w:footnoteReference w:customMarkFollows="1" w:id="3799"/>
        <w:t>ai</w:t>
      </w:r>
      <w:r>
        <w:rPr/>
        <w:t xml:space="preserve"> Und wieder versammelte </w:t>
      </w:r>
      <w:r>
        <w:rPr>
          <w:rStyle w:val="Funotenanker"/>
        </w:rPr>
        <w:footnoteReference w:customMarkFollows="1" w:id="3800"/>
        <w:t>aj</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3801"/>
        <w:t>ak</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3802"/>
        <w:t>al</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3803"/>
        <w:t>am</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3804"/>
        <w:t>an</w:t>
      </w:r>
      <w:r>
        <w:rPr/>
        <w:t xml:space="preserve"> verbreiteten </w:t>
      </w:r>
      <w:r>
        <w:rPr>
          <w:color w:val="808080"/>
        </w:rPr>
        <w:t>(meinten, sagten)</w:t>
      </w:r>
      <w:r>
        <w:rPr/>
        <w:t xml:space="preserve"> </w:t>
      </w:r>
      <w:r>
        <w:rPr>
          <w:rStyle w:val="Funotenanker"/>
        </w:rPr>
        <w:footnoteReference w:customMarkFollows="1" w:id="3805"/>
        <w:t>ao</w:t>
      </w:r>
      <w:r>
        <w:rPr/>
        <w:t xml:space="preserve"> </w:t>
      </w:r>
      <w:r>
        <w:rPr>
          <w:strike/>
          <w:color w:val="808080"/>
        </w:rPr>
        <w:t>{dass}</w:t>
      </w:r>
      <w:r>
        <w:rPr/>
        <w:t xml:space="preserve">: „Er ist von Beelzebul besessen!“ </w:t>
      </w:r>
      <w:r>
        <w:rPr>
          <w:rStyle w:val="Funotenanker"/>
        </w:rPr>
        <w:footnoteReference w:customMarkFollows="1" w:id="3806"/>
        <w:t>ap</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3807"/>
        <w:t>aq</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3808"/>
        <w:t>ar</w:t>
      </w:r>
      <w:r>
        <w:rPr/>
        <w:t xml:space="preserve"> zu ihnen: „Wie kann Satan </w:t>
      </w:r>
      <w:r>
        <w:rPr>
          <w:rStyle w:val="Funotenanker"/>
        </w:rPr>
        <w:footnoteReference w:customMarkFollows="1" w:id="3809"/>
        <w:t>as</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3810"/>
        <w:t>at</w:t>
      </w:r>
      <w:r>
        <w:rPr/>
        <w:t xml:space="preserve"> ein Königreich </w:t>
      </w:r>
      <w:r>
        <w:rPr>
          <w:color w:val="808080"/>
        </w:rPr>
        <w:t>(Reich, Staat)</w:t>
      </w:r>
      <w:r>
        <w:rPr/>
        <w:t xml:space="preserve"> sich mit sich selbst verfeindet </w:t>
      </w:r>
      <w:r>
        <w:rPr>
          <w:rStyle w:val="Funotenanker"/>
        </w:rPr>
        <w:footnoteReference w:customMarkFollows="1" w:id="3811"/>
        <w:t>au</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3812"/>
        <w:t>av</w:t>
      </w:r>
      <w:r>
        <w:rPr/>
        <w:t xml:space="preserve">.{{field-off:bible}} </w:t>
        <w:br/>
        <w:t>[[@BibleTOBIBLE:Mk 3:27]]</w:t>
      </w:r>
      <w:r>
        <w:rPr>
          <w:b/>
        </w:rPr>
        <w:t>27</w:t>
      </w:r>
      <w:r>
        <w:rPr/>
        <w:t xml:space="preserve"> {{field-on:bible}}Doch niemand kann </w:t>
      </w:r>
      <w:r>
        <w:rPr>
          <w:rStyle w:val="Funotenanker"/>
        </w:rPr>
        <w:footnoteReference w:customMarkFollows="1" w:id="3813"/>
        <w:t>aw</w:t>
      </w:r>
      <w:r>
        <w:rPr/>
        <w:t xml:space="preserve"> in das Haus des Starken eindringen </w:t>
      </w:r>
      <w:r>
        <w:rPr>
          <w:color w:val="808080"/>
        </w:rPr>
        <w:t>(einbrechen, hineingehen)</w:t>
      </w:r>
      <w:r>
        <w:rPr/>
        <w:t xml:space="preserve"> und </w:t>
      </w:r>
      <w:r>
        <w:rPr>
          <w:rStyle w:val="Funotenanker"/>
        </w:rPr>
        <w:footnoteReference w:customMarkFollows="1" w:id="3814"/>
        <w:t>ax</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3815"/>
        <w:t>ay</w:t>
      </w:r>
      <w:r>
        <w:rPr/>
        <w:t xml:space="preserve"> dann erst kann er sein Haus ausplündern </w:t>
      </w:r>
      <w:r>
        <w:rPr>
          <w:rStyle w:val="Funotenanker"/>
        </w:rPr>
        <w:footnoteReference w:customMarkFollows="1" w:id="3816"/>
        <w:t>az</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3817"/>
        <w:t>ba</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3818"/>
        <w:t>bb</w:t>
      </w:r>
      <w:r>
        <w:rPr/>
        <w:t xml:space="preserve"> kann </w:t>
      </w:r>
      <w:r>
        <w:rPr>
          <w:color w:val="808080"/>
        </w:rPr>
        <w:t>(wird)</w:t>
      </w:r>
      <w:r>
        <w:rPr/>
        <w:t xml:space="preserve"> alles vergeben werden </w:t>
      </w:r>
      <w:r>
        <w:rPr>
          <w:rStyle w:val="Funotenanker"/>
        </w:rPr>
        <w:footnoteReference w:customMarkFollows="1" w:id="3819"/>
        <w:t>bc</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3820"/>
        <w:t>bd</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3821"/>
        <w:t>be</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3822"/>
        <w:t>bf</w:t>
      </w:r>
      <w:r>
        <w:rPr/>
        <w:t xml:space="preserve"> seine Mutter und seine Geschwister </w:t>
      </w:r>
      <w:r>
        <w:rPr>
          <w:color w:val="808080"/>
        </w:rPr>
        <w:t>(Brüder)</w:t>
      </w:r>
      <w:r>
        <w:rPr/>
        <w:t xml:space="preserve"> </w:t>
      </w:r>
      <w:r>
        <w:rPr>
          <w:rStyle w:val="Funotenanker"/>
        </w:rPr>
        <w:footnoteReference w:customMarkFollows="1" w:id="3823"/>
        <w:t>bg</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3824"/>
        <w:t>bh</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3825"/>
        <w:t>bi</w:t>
      </w:r>
      <w:r>
        <w:rPr/>
        <w:t xml:space="preserve"> um </w:t>
      </w:r>
      <w:r>
        <w:rPr>
          <w:color w:val="808080"/>
        </w:rPr>
        <w:t>(wobei sie)</w:t>
      </w:r>
      <w:r>
        <w:rPr/>
        <w:t xml:space="preserve"> ihn zu rufen. </w:t>
      </w:r>
      <w:r>
        <w:rPr>
          <w:rStyle w:val="Funotenanker"/>
        </w:rPr>
        <w:footnoteReference w:customMarkFollows="1" w:id="3826"/>
        <w:t>bj</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3827"/>
        <w:t>bk</w:t>
      </w:r>
      <w:r>
        <w:rPr/>
        <w:t xml:space="preserve"> zu ihm: „Da draußen </w:t>
      </w:r>
      <w:r>
        <w:rPr>
          <w:rStyle w:val="Funotenanker"/>
        </w:rPr>
        <w:footnoteReference w:customMarkFollows="1" w:id="3828"/>
        <w:t>bl</w:t>
      </w:r>
      <w:r>
        <w:rPr/>
        <w:t xml:space="preserve"> fragen deine Mutter und deine Geschwister </w:t>
      </w:r>
      <w:r>
        <w:rPr>
          <w:color w:val="808080"/>
        </w:rPr>
        <w:t>(Brüder)</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3829"/>
        <w:t>bm</w:t>
      </w:r>
      <w:r>
        <w:rPr/>
        <w:t xml:space="preserve">: „Wer sind </w:t>
      </w:r>
      <w:r>
        <w:rPr>
          <w:rStyle w:val="Funotenanker"/>
        </w:rPr>
        <w:footnoteReference w:customMarkFollows="1" w:id="3830"/>
        <w:t>bn</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3831"/>
        <w:t>bo</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3832"/>
        <w:t>bp</w:t>
      </w:r>
      <w:r>
        <w:rPr/>
        <w:t xml:space="preserve"> um ihn saßen, </w:t>
      </w:r>
      <w:r>
        <w:rPr>
          <w:rStyle w:val="Funotenanker"/>
        </w:rPr>
        <w:footnoteReference w:customMarkFollows="1" w:id="3833"/>
        <w:t>bq</w:t>
      </w:r>
      <w:r>
        <w:rPr/>
        <w:t xml:space="preserve"> sagte er: „Siehe, </w:t>
      </w:r>
      <w:r>
        <w:rPr>
          <w:color w:val="808080"/>
        </w:rPr>
        <w:t>(Das hier sind, Ihr hier seid)</w:t>
      </w:r>
      <w:r>
        <w:rPr/>
        <w:t xml:space="preserve"> </w:t>
      </w:r>
      <w:r>
        <w:rPr>
          <w:rStyle w:val="Funotenanker"/>
        </w:rPr>
        <w:footnoteReference w:customMarkFollows="1" w:id="3834"/>
        <w:t>br</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1-9 Das Gleichnis beschreibt mit einem komplexen Bild, dass in der Gegenwart die Königsherrschaft Gottes zahlreichen Mißerfolgen und Widerständen begegnet und zugleich drückt es die Zuversicht Jesu auf das kommende Heil aus. 10-12 Durch dieses Jeuswort betont Markus das Herausgehobensein der Nachfolger Jesu, vor allem in Bezug auf das Verstehen der neuen Lehre. 13-20 Der Hörer der Gleichnisdeutung soll dazu angereget werden, seine eigene Rolle als Glaubender zu überprüfen. 21-25 Diese Verse fügen inhatlich die beiden vorhergehenden Abschnitte zusammen: Das Geheimnis wird gelüftet werden und die Hörenden unter das Gericht gestellt. 26-29 Mit diesem Gleichnis macht Markus deutlich, dass die das von Jesus zugesagte Heil nicht erst in Endzeit zu erwarten ist, sondern in der Gegenwart zu erwarten ist. 30-32 Das Gleichnis illustriert erneut die Sicherheit, mit der das Reich Gottes kommt, auch wenn dessen Anfang zunächst unbedeutend wirkt. 33-34 Markus macht in diesen Versen deutlich, dass der Zeitpunkt der eigentlichen Offenbarung noch aussteht, allein die Nachfolger Jesu haben bereits mehr erfahren. Die aufgeschrieben Gleichnisse Jesu stellen lediglich eine vorläufige Erklärung dar. 35-41 Mit der Situation der Jünger im Boot formuliert Markus ein facettenreiches Bild für den Glauben heraus. Einige dieser Themen, die Markus impliziert sind: Glaube muss gelernt werden, Glaube in Notsituationen ist schwer, auf Jesus kann man sich verlassen. </w:t>
        <w:br/>
        <w:br/>
        <w:t>[[@BibleTOBIBLE:Mk 4:1]]</w:t>
      </w:r>
      <w:r>
        <w:rPr>
          <w:b/>
        </w:rPr>
        <w:t>1</w:t>
      </w:r>
      <w:r>
        <w:rPr/>
        <w:t xml:space="preserve"> {{field-on:bible}} </w:t>
      </w:r>
      <w:r>
        <w:rPr>
          <w:rStyle w:val="Funotenanker"/>
        </w:rPr>
        <w:footnoteReference w:customMarkFollows="1" w:id="3835"/>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3836"/>
        <w:t>a</w:t>
      </w:r>
      <w:r>
        <w:rPr/>
        <w:t xml:space="preserve"> zu lehren. Und eine so gewaltige Menschenmenge versammelte sich bei ihm, dass er in ein Boot stieg und </w:t>
      </w:r>
      <w:r>
        <w:rPr>
          <w:rStyle w:val="Funotenanker"/>
        </w:rPr>
        <w:footnoteReference w:customMarkFollows="1" w:id="3837"/>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3838"/>
        <w:t>c</w:t>
      </w:r>
      <w:r>
        <w:rPr/>
        <w:t xml:space="preserve"> , und die ganze Menschenmenge blieb </w:t>
      </w:r>
      <w:r>
        <w:rPr>
          <w:color w:val="808080"/>
        </w:rPr>
        <w:t>(war)</w:t>
      </w:r>
      <w:r>
        <w:rPr/>
        <w:t xml:space="preserve"> </w:t>
      </w:r>
      <w:r>
        <w:rPr>
          <w:rStyle w:val="Funotenanker"/>
        </w:rPr>
        <w:footnoteReference w:customMarkFollows="1" w:id="3839"/>
        <w:t>d</w:t>
      </w:r>
      <w:r>
        <w:rPr/>
        <w:t xml:space="preserve"> am Ufer </w:t>
      </w:r>
      <w:r>
        <w:rPr>
          <w:rStyle w:val="Funotenanker"/>
        </w:rPr>
        <w:footnoteReference w:customMarkFollows="1" w:id="3840"/>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3841"/>
        <w:t>f</w:t>
      </w:r>
      <w:r>
        <w:rPr/>
        <w:t xml:space="preserve"> zu ihnen, während er lehrte </w:t>
      </w:r>
      <w:r>
        <w:rPr>
          <w:color w:val="808080"/>
        </w:rPr>
        <w:t>(bei/in/während seiner Lehre)</w:t>
      </w:r>
      <w:r>
        <w:rPr/>
        <w:t xml:space="preserve"> </w:t>
      </w:r>
      <w:r>
        <w:rPr>
          <w:rStyle w:val="Funotenanker"/>
        </w:rPr>
        <w:footnoteReference w:customMarkFollows="1" w:id="3842"/>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3843"/>
        <w:t>h</w:t>
      </w:r>
      <w:r>
        <w:rPr/>
        <w:t xml:space="preserve"> an den Wegesrand </w:t>
      </w:r>
      <w:r>
        <w:rPr>
          <w:color w:val="808080"/>
        </w:rPr>
        <w:t>(auf den Weg)</w:t>
      </w:r>
      <w:r>
        <w:rPr/>
        <w:t xml:space="preserve"> </w:t>
      </w:r>
      <w:r>
        <w:rPr>
          <w:rStyle w:val="Funotenanker"/>
        </w:rPr>
        <w:footnoteReference w:customMarkFollows="1" w:id="3844"/>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3845"/>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3846"/>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3847"/>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3848"/>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3849"/>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3850"/>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3851"/>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3852"/>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3853"/>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3854"/>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3855"/>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3856"/>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3857"/>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3858"/>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3859"/>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3860"/>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3861"/>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3862"/>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oder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3863"/>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3864"/>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3865"/>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3866"/>
        <w:t>ae</w:t>
      </w:r>
      <w:r>
        <w:rPr/>
        <w:t xml:space="preserve">.{{field-off:bible}} </w:t>
        <w:br/>
        <w:t>[[@BibleTOBIBLE:Mk 4:28]]</w:t>
      </w:r>
      <w:r>
        <w:rPr>
          <w:b/>
        </w:rPr>
        <w:t>28</w:t>
      </w:r>
      <w:r>
        <w:rPr/>
        <w:t xml:space="preserve"> {{field-on:bible}}Von selbst bringt die Erde Frucht, zuerst einen Halm, dann eine Ähre, dann mit voll ausgereiftem Weizen </w:t>
      </w:r>
      <w:r>
        <w:rPr>
          <w:rStyle w:val="Funotenanker"/>
        </w:rPr>
        <w:footnoteReference w:customMarkFollows="1" w:id="3867"/>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3868"/>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3869"/>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870"/>
        <w:t>ai</w:t>
      </w:r>
      <w:r>
        <w:rPr/>
        <w:t xml:space="preserve"> aller Samenkörner ist </w:t>
      </w:r>
      <w:r>
        <w:rPr>
          <w:rStyle w:val="Funotenanker"/>
        </w:rPr>
        <w:footnoteReference w:customMarkFollows="1" w:id="3871"/>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872"/>
        <w:t>ak</w:t>
      </w:r>
      <w:r>
        <w:rPr/>
        <w:t xml:space="preserve"> aller Gartenpflanzen, und es treibt so große Zweige, dass in seinem Schatten </w:t>
      </w:r>
      <w:r>
        <w:rPr>
          <w:rStyle w:val="Funotenanker"/>
        </w:rPr>
        <w:footnoteReference w:customMarkFollows="1" w:id="3873"/>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3874"/>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3875"/>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3876"/>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3877"/>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3878"/>
        <w:t>aq</w:t>
      </w:r>
      <w:r>
        <w:rPr/>
        <w:t xml:space="preserve"> „Fahren wir doch </w:t>
      </w:r>
      <w:r>
        <w:rPr>
          <w:color w:val="808080"/>
        </w:rPr>
        <w:t>(lasst uns)</w:t>
      </w:r>
      <w:r>
        <w:rPr/>
        <w:t xml:space="preserve"> ans andere Ufer.“ </w:t>
      </w:r>
      <w:r>
        <w:rPr>
          <w:rStyle w:val="Funotenanker"/>
        </w:rPr>
        <w:footnoteReference w:customMarkFollows="1" w:id="3879"/>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3880"/>
        <w:t>as</w:t>
      </w:r>
      <w:r>
        <w:rPr/>
        <w:t xml:space="preserve"> nahmen sie ihn im Boot mit </w:t>
      </w:r>
      <w:r>
        <w:rPr>
          <w:color w:val="808080"/>
        </w:rPr>
        <w:t>(zu sich ins Boot)</w:t>
      </w:r>
      <w:r>
        <w:rPr/>
        <w:t xml:space="preserve">, wie er war, </w:t>
      </w:r>
      <w:r>
        <w:rPr>
          <w:rStyle w:val="Funotenanker"/>
        </w:rPr>
        <w:footnoteReference w:customMarkFollows="1" w:id="3881"/>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3882"/>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3883"/>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3884"/>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3885"/>
        <w:t>ax</w:t>
      </w:r>
      <w:r>
        <w:rPr/>
        <w:t xml:space="preserve"> unterwarf </w:t>
      </w:r>
      <w:r>
        <w:rPr>
          <w:color w:val="808080"/>
        </w:rPr>
        <w:t>(fuhr an)</w:t>
      </w:r>
      <w:r>
        <w:rPr/>
        <w:t xml:space="preserve"> </w:t>
      </w:r>
      <w:r>
        <w:rPr>
          <w:rStyle w:val="Funotenanker"/>
        </w:rPr>
        <w:footnoteReference w:customMarkFollows="1" w:id="3886"/>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3887"/>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3888"/>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3889"/>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3890"/>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3891"/>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konnte man ihn noch </w:t>
      </w:r>
      <w:r>
        <w:rPr>
          <w:rStyle w:val="Funotenanker"/>
        </w:rPr>
        <w:footnoteReference w:customMarkFollows="1" w:id="3892"/>
        <w:t>c</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3893"/>
        <w:t>d</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3894"/>
        <w:t>e</w:t>
      </w:r>
      <w:r>
        <w:rPr/>
        <w:t xml:space="preserve"> und die Fußfesseln zerrieben </w:t>
      </w:r>
      <w:r>
        <w:rPr>
          <w:color w:val="808080"/>
        </w:rPr>
        <w:t>(zerschmettert)</w:t>
      </w:r>
      <w:r>
        <w:rPr/>
        <w:t xml:space="preserve">, </w:t>
      </w:r>
      <w:r>
        <w:rPr>
          <w:rStyle w:val="Funotenanker"/>
        </w:rPr>
        <w:footnoteReference w:customMarkFollows="1" w:id="3895"/>
        <w:t>f</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3896"/>
        <w:t>g</w:t>
      </w:r>
      <w:r>
        <w:rPr/>
        <w:t xml:space="preserve"> und sich </w:t>
      </w:r>
      <w:r>
        <w:rPr>
          <w:b/>
          <w:color w:val="808080"/>
        </w:rPr>
        <w:t>[</w:t>
      </w:r>
      <w:r>
        <w:rPr/>
        <w:t>mit</w:t>
      </w:r>
      <w:r>
        <w:rPr>
          <w:b/>
          <w:color w:val="808080"/>
        </w:rPr>
        <w:t>]</w:t>
      </w:r>
      <w:r>
        <w:rPr/>
        <w:t xml:space="preserve"> Steinen schnitt </w:t>
      </w:r>
      <w:r>
        <w:rPr>
          <w:color w:val="808080"/>
        </w:rPr>
        <w:t>(verletzte; auf sich einschlug)</w:t>
      </w:r>
      <w:r>
        <w:rPr/>
        <w:t xml:space="preserve"> </w:t>
      </w:r>
      <w:r>
        <w:rPr>
          <w:rStyle w:val="Funotenanker"/>
        </w:rPr>
        <w:footnoteReference w:customMarkFollows="1" w:id="3897"/>
        <w:t>h</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3898"/>
        <w:t>i</w:t>
      </w:r>
      <w:r>
        <w:rPr/>
        <w:t xml:space="preserve"> kam er angerannt und warf sich vor ihm nieder </w:t>
      </w:r>
      <w:r>
        <w:rPr>
          <w:rStyle w:val="Funotenanker"/>
        </w:rPr>
        <w:footnoteReference w:customMarkFollows="1" w:id="3899"/>
        <w:t>j</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und </w:t>
      </w:r>
      <w:r>
        <w:rPr>
          <w:rStyle w:val="Funotenanker"/>
        </w:rPr>
        <w:footnoteReference w:customMarkFollows="1" w:id="3900"/>
        <w:t>k</w:t>
      </w:r>
      <w:r>
        <w:rPr/>
        <w:t xml:space="preserve"> sagte: „Was willst du von mir </w:t>
      </w:r>
      <w:r>
        <w:rPr>
          <w:rStyle w:val="Funotenanker"/>
        </w:rPr>
        <w:footnoteReference w:customMarkFollows="1" w:id="3901"/>
        <w:t>l</w:t>
      </w:r>
      <w:r>
        <w:rPr/>
        <w:t xml:space="preserve">, Jesus, Sohn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[Jesus] hatte zu ihm gesagt </w:t>
      </w:r>
      <w:r>
        <w:rPr>
          <w:color w:val="808080"/>
        </w:rPr>
        <w:t>(sagte gerade/wiederholt)</w:t>
      </w:r>
      <w:r>
        <w:rPr/>
        <w:t xml:space="preserve"> </w:t>
      </w:r>
      <w:r>
        <w:rPr>
          <w:rStyle w:val="Funotenanker"/>
        </w:rPr>
        <w:footnoteReference w:customMarkFollows="1" w:id="3902"/>
        <w:t>m</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3903"/>
        <w:t>n</w:t>
      </w:r>
      <w:r>
        <w:rPr/>
        <w:t xml:space="preserve">, </w:t>
      </w:r>
      <w:r>
        <w:rPr>
          <w:rStyle w:val="Funotenanker"/>
        </w:rPr>
        <w:footnoteReference w:customMarkFollows="1" w:id="3904"/>
        <w:t>o</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3905"/>
        <w:t>p</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3906"/>
        <w:t>q</w:t>
      </w:r>
      <w:r>
        <w:rPr/>
        <w:t xml:space="preserve"> gerade </w:t>
      </w:r>
      <w:r>
        <w:rPr>
          <w:rStyle w:val="Funotenanker"/>
        </w:rPr>
        <w:footnoteReference w:customMarkFollows="1" w:id="3907"/>
        <w:t>r</w:t>
      </w:r>
      <w:r>
        <w:rPr/>
        <w:t xml:space="preserve"> eine große Schweineherde </w:t>
      </w:r>
      <w:r>
        <w:rPr>
          <w:rStyle w:val="Funotenanker"/>
        </w:rPr>
        <w:footnoteReference w:customMarkFollows="1" w:id="3908"/>
        <w:t>s</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3909"/>
        <w:t>t</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3910"/>
        <w:t>u</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3911"/>
        <w:t>v</w:t>
      </w:r>
      <w:r>
        <w:rPr/>
        <w:t xml:space="preserve">.{{field-off:bible}} </w:t>
        <w:br/>
        <w:t>[[@BibleTOBIBLE:Mk 5:14]]</w:t>
      </w:r>
      <w:r>
        <w:rPr>
          <w:b/>
        </w:rPr>
        <w:t>14</w:t>
      </w:r>
      <w:r>
        <w:rPr/>
        <w:t xml:space="preserve"> {{field-on:bible}}Und ihre Hirten </w:t>
      </w:r>
      <w:r>
        <w:rPr>
          <w:rStyle w:val="Funotenanker"/>
        </w:rPr>
        <w:footnoteReference w:customMarkFollows="1" w:id="3912"/>
        <w:t>w</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3913"/>
        <w:t>x</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3914"/>
        <w:t>y</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dass der Besessene saß, bekleidet und bei Verstand </w:t>
      </w:r>
      <w:r>
        <w:rPr>
          <w:rStyle w:val="Funotenanker"/>
        </w:rPr>
        <w:footnoteReference w:customMarkFollows="1" w:id="3915"/>
        <w:t>z</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3916"/>
        <w:t>aa</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3917"/>
        <w:t>ab</w:t>
      </w:r>
      <w:r>
        <w:rPr/>
        <w:t xml:space="preserve"> bat </w:t>
      </w:r>
      <w:r>
        <w:rPr>
          <w:color w:val="808080"/>
        </w:rPr>
        <w:t>(flehte)</w:t>
      </w:r>
      <w:r>
        <w:rPr/>
        <w:t xml:space="preserve"> ihn der, der besessen gewesen war, </w:t>
      </w:r>
      <w:r>
        <w:rPr>
          <w:rStyle w:val="Funotenanker"/>
        </w:rPr>
        <w:footnoteReference w:customMarkFollows="1" w:id="3918"/>
        <w:t>ac</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3919"/>
        <w:t>ad</w:t>
      </w:r>
      <w:r>
        <w:rPr/>
        <w:t xml:space="preserve"> zu erzählen </w:t>
      </w:r>
      <w:r>
        <w:rPr>
          <w:color w:val="808080"/>
        </w:rPr>
        <w:t>(predigen, verkündigen)</w:t>
      </w:r>
      <w:r>
        <w:rPr/>
        <w:t xml:space="preserve">, was Jesus ihm getan hatte, </w:t>
      </w:r>
      <w:r>
        <w:rPr>
          <w:rStyle w:val="Funotenanker"/>
        </w:rPr>
        <w:footnoteReference w:customMarkFollows="1" w:id="3920"/>
        <w:t>ae</w:t>
      </w:r>
      <w:r>
        <w:rPr/>
        <w:t xml:space="preserve"> und alle staunten </w:t>
      </w:r>
      <w:r>
        <w:rPr>
          <w:color w:val="808080"/>
        </w:rPr>
        <w:t>(wunderten sich)</w:t>
      </w:r>
      <w:r>
        <w:rPr/>
        <w:t xml:space="preserve"> </w:t>
      </w:r>
      <w:r>
        <w:rPr>
          <w:rStyle w:val="Funotenanker"/>
        </w:rPr>
        <w:footnoteReference w:customMarkFollows="1" w:id="3921"/>
        <w:t>af</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wieder </w:t>
      </w:r>
      <w:r>
        <w:rPr>
          <w:color w:val="808080"/>
        </w:rPr>
        <w:t>(zurück)</w:t>
      </w:r>
      <w:r>
        <w:rPr/>
        <w:t xml:space="preserve"> ans andere Ufer gefahren war, </w:t>
      </w:r>
      <w:r>
        <w:rPr>
          <w:rStyle w:val="Funotenanker"/>
        </w:rPr>
        <w:footnoteReference w:customMarkFollows="1" w:id="3922"/>
        <w:t>ag</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3923"/>
        <w:t>ah</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3924"/>
        <w:t>ai</w:t>
      </w:r>
      <w:r>
        <w:rPr/>
        <w:t xml:space="preserve"> namens Jairus </w:t>
      </w:r>
      <w:r>
        <w:rPr>
          <w:rStyle w:val="Funotenanker"/>
        </w:rPr>
        <w:footnoteReference w:customMarkFollows="1" w:id="3925"/>
        <w:t>aj</w:t>
      </w:r>
      <w:r>
        <w:rPr/>
        <w:t xml:space="preserve"> kam, und als er ihn sah, </w:t>
      </w:r>
      <w:r>
        <w:rPr>
          <w:rStyle w:val="Funotenanker"/>
        </w:rPr>
        <w:footnoteReference w:customMarkFollows="1" w:id="3926"/>
        <w:t>ak</w:t>
      </w:r>
      <w:r>
        <w:rPr/>
        <w:t xml:space="preserve"> warf </w:t>
      </w:r>
      <w:r>
        <w:rPr>
          <w:color w:val="808080"/>
        </w:rPr>
        <w:t>(fiel)</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3927"/>
        <w:t>al</w:t>
      </w:r>
      <w:r>
        <w:rPr/>
        <w:t xml:space="preserve"> </w:t>
      </w:r>
      <w:r>
        <w:rPr>
          <w:strike/>
          <w:color w:val="808080"/>
        </w:rPr>
        <w:t>{sagend}</w:t>
      </w:r>
      <w:r>
        <w:rPr/>
        <w:t xml:space="preserve">: „Meine kleine Tochter ist dem Tode nahe </w:t>
      </w:r>
      <w:r>
        <w:rPr>
          <w:color w:val="808080"/>
        </w:rPr>
        <w:t>(liegt im Sterben, ist todkrank)</w:t>
      </w:r>
      <w:r>
        <w:rPr/>
        <w:t xml:space="preserve"> </w:t>
      </w:r>
      <w:r>
        <w:rPr>
          <w:rStyle w:val="Funotenanker"/>
        </w:rPr>
        <w:footnoteReference w:customMarkFollows="1" w:id="3928"/>
        <w:t>am</w:t>
      </w:r>
      <w:r>
        <w:rPr/>
        <w:t xml:space="preserve"> – komm doch und </w:t>
      </w:r>
      <w:r>
        <w:rPr>
          <w:rStyle w:val="Funotenanker"/>
        </w:rPr>
        <w:footnoteReference w:customMarkFollows="1" w:id="3929"/>
        <w:t>an</w:t>
      </w:r>
      <w:r>
        <w:rPr/>
        <w:t xml:space="preserve"> lege ihr deine Hände auf, </w:t>
      </w:r>
      <w:r>
        <w:rPr>
          <w:rStyle w:val="Funotenanker"/>
        </w:rPr>
        <w:footnoteReference w:customMarkFollows="1" w:id="3930"/>
        <w:t>ao</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3931"/>
        <w:t>ap</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3932"/>
        <w:t>aq</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3933"/>
        <w:t>ar</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3934"/>
        <w:t>as</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3935"/>
        <w:t>at</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3936"/>
        <w:t>au</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3937"/>
        <w:t>av</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3938"/>
        <w:t>aw</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3939"/>
        <w:t>ax</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3940"/>
        <w:t>ay</w:t>
      </w:r>
      <w:r>
        <w:rPr/>
        <w:t xml:space="preserve"> drehte sich in der Menschenmenge um und fragte </w:t>
      </w:r>
      <w:r>
        <w:rPr>
          <w:color w:val="808080"/>
        </w:rPr>
        <w:t>(sagte, wiederholte)</w:t>
      </w:r>
      <w:r>
        <w:rPr/>
        <w:t xml:space="preserve"> </w:t>
      </w:r>
      <w:r>
        <w:rPr>
          <w:rStyle w:val="Funotenanker"/>
        </w:rPr>
        <w:footnoteReference w:customMarkFollows="1" w:id="3941"/>
        <w:t>az</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3942"/>
        <w:t>ba</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3943"/>
        <w:t>bb</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3944"/>
        <w:t>bc</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3945"/>
        <w:t>bd</w:t>
      </w:r>
      <w:r>
        <w:rPr/>
        <w:t xml:space="preserve"> kamen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3946"/>
        <w:t>be</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3947"/>
        <w:t>bf</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3948"/>
        <w:t>bg</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er ein lärmendes Durcheinander </w:t>
      </w:r>
      <w:r>
        <w:rPr>
          <w:color w:val="808080"/>
        </w:rPr>
        <w:t>(Aufregung, Tumult)</w:t>
      </w:r>
      <w:r>
        <w:rPr/>
        <w:t xml:space="preserve"> </w:t>
      </w:r>
      <w:r>
        <w:rPr>
          <w:rStyle w:val="Funotenanker"/>
        </w:rPr>
        <w:footnoteReference w:customMarkFollows="1" w:id="3949"/>
        <w:t>bh</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3950"/>
        <w:t>bi</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3951"/>
        <w:t>bj</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[Jesus]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xml:space="preserve">, mit und ging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3952"/>
        <w:t>bk</w:t>
      </w:r>
      <w:r>
        <w:rPr/>
        <w:t xml:space="preserve"> und sagte zu ihr: „Talita kum!“ </w:t>
      </w:r>
      <w:r>
        <w:rPr>
          <w:rStyle w:val="Funotenanker"/>
        </w:rPr>
        <w:footnoteReference w:customMarkFollows="1" w:id="3953"/>
        <w:t>bl</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3954"/>
        <w:t>bm</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3955"/>
        <w:t>bn</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3956"/>
        <w:t>bo</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3957"/>
        <w:t>bp</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3958"/>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3959"/>
        <w:t>a</w:t>
      </w:r>
      <w:r>
        <w:rPr/>
        <w:t xml:space="preserve"> , wobei </w:t>
      </w:r>
      <w:r>
        <w:rPr>
          <w:color w:val="808080"/>
        </w:rPr>
        <w:t>(und)</w:t>
      </w:r>
      <w:r>
        <w:rPr/>
        <w:t xml:space="preserve"> seine Jünger ihn begleiteten </w:t>
      </w:r>
      <w:r>
        <w:rPr>
          <w:color w:val="808080"/>
        </w:rPr>
        <w:t>(ihm folgten)</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3960"/>
        <w:t>b</w:t>
      </w:r>
      <w:r>
        <w:rPr/>
        <w:t xml:space="preserve"> begann er, in der Synagoge zu lehren </w:t>
      </w:r>
      <w:r>
        <w:rPr>
          <w:color w:val="808080"/>
        </w:rPr>
        <w:t>(lehrte er)</w:t>
      </w:r>
      <w:r>
        <w:rPr/>
        <w:t xml:space="preserve"> </w:t>
      </w:r>
      <w:r>
        <w:rPr>
          <w:rStyle w:val="Funotenanker"/>
        </w:rPr>
        <w:footnoteReference w:customMarkFollows="1" w:id="3961"/>
        <w:t>c</w:t>
      </w:r>
      <w:r>
        <w:rPr/>
        <w:t xml:space="preserve">, und viele, die zuhörten, waren überwältigt </w:t>
      </w:r>
      <w:r>
        <w:rPr>
          <w:color w:val="808080"/>
        </w:rPr>
        <w:t>(überrascht, erstaunt, außer sich)</w:t>
      </w:r>
      <w:r>
        <w:rPr/>
        <w:t xml:space="preserve"> und sagten </w:t>
      </w:r>
      <w:r>
        <w:rPr>
          <w:rStyle w:val="Funotenanker"/>
        </w:rPr>
        <w:footnoteReference w:customMarkFollows="1" w:id="3962"/>
        <w:t>d</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3963"/>
        <w:t>e</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3964"/>
        <w:t>f</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3965"/>
        <w:t>g</w:t>
      </w:r>
      <w:r>
        <w:rPr/>
        <w:t xml:space="preserve">.{{field-off:bible}} </w:t>
        <w:br/>
        <w:t>[[@BibleTOBIBLE:Mk 6:7]]</w:t>
      </w:r>
      <w:r>
        <w:rPr>
          <w:b/>
        </w:rPr>
        <w:t>7</w:t>
      </w:r>
      <w:r>
        <w:rPr/>
        <w:t xml:space="preserve"> {{field-on:bible}}Und er rief die Zwölf zu sich und sandte sie paarweise </w:t>
      </w:r>
      <w:r>
        <w:rPr>
          <w:rStyle w:val="Funotenanker"/>
        </w:rPr>
        <w:footnoteReference w:customMarkFollows="1" w:id="3966"/>
        <w:t>h</w:t>
      </w:r>
      <w:r>
        <w:rPr/>
        <w:t xml:space="preserve"> aus, </w:t>
      </w:r>
      <w:r>
        <w:rPr>
          <w:rStyle w:val="Funotenanker"/>
        </w:rPr>
        <w:footnoteReference w:customMarkFollows="1" w:id="3967"/>
        <w:t>i</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3968"/>
        <w:t>j</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3969"/>
        <w:t>k</w:t>
      </w:r>
      <w:r>
        <w:rPr/>
        <w:t xml:space="preserve">, „und zieht keine zwei Unterhemden an!“ </w:t>
      </w:r>
      <w:r>
        <w:rPr>
          <w:rStyle w:val="Funotenanker"/>
        </w:rPr>
        <w:footnoteReference w:customMarkFollows="1" w:id="3970"/>
        <w:t>l</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3971"/>
        <w:t>m</w:t>
      </w:r>
      <w:r>
        <w:rPr/>
        <w:t xml:space="preserve"> dann schüttelt beim Aufbruch </w:t>
      </w:r>
      <w:r>
        <w:rPr>
          <w:color w:val="808080"/>
        </w:rPr>
        <w:t>(geht von dort weg und)</w:t>
      </w:r>
      <w:r>
        <w:rPr/>
        <w:t xml:space="preserve"> </w:t>
      </w:r>
      <w:r>
        <w:rPr>
          <w:rStyle w:val="Funotenanker"/>
        </w:rPr>
        <w:footnoteReference w:customMarkFollows="1" w:id="3972"/>
        <w:t>n</w:t>
      </w:r>
      <w:r>
        <w:rPr/>
        <w:t xml:space="preserve"> den Staub von euren Schuhsohlen </w:t>
      </w:r>
      <w:r>
        <w:rPr>
          <w:rStyle w:val="Funotenanker"/>
        </w:rPr>
        <w:footnoteReference w:customMarkFollows="1" w:id="3973"/>
        <w:t>o</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3974"/>
        <w:t>p</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3975"/>
        <w:t>q</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3976"/>
        <w:t>r</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3977"/>
        <w:t>s</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3978"/>
        <w:t>t</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3979"/>
        <w:t>u</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3980"/>
        <w:t>v</w:t>
      </w:r>
      <w:r>
        <w:rPr/>
        <w:t xml:space="preserve"> glaubte </w:t>
      </w:r>
      <w:r>
        <w:rPr>
          <w:color w:val="808080"/>
        </w:rPr>
        <w:t>(sagte, rief)</w:t>
      </w:r>
      <w:r>
        <w:rPr/>
        <w:t xml:space="preserve"> er </w:t>
      </w:r>
      <w:r>
        <w:rPr>
          <w:rStyle w:val="Funotenanker"/>
        </w:rPr>
        <w:footnoteReference w:customMarkFollows="1" w:id="3981"/>
        <w:t>w</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3982"/>
        <w:t>x</w:t>
      </w:r>
      <w:r>
        <w:rPr/>
        <w:t xml:space="preserve"> lassen </w:t>
      </w:r>
      <w:r>
        <w:rPr>
          <w:rStyle w:val="Funotenanker"/>
        </w:rPr>
        <w:footnoteReference w:customMarkFollows="1" w:id="3983"/>
        <w:t>y</w:t>
      </w:r>
      <w:r>
        <w:rPr/>
        <w:t xml:space="preserve">. </w:t>
      </w:r>
      <w:r>
        <w:rPr>
          <w:b/>
          <w:color w:val="808080"/>
        </w:rPr>
        <w:t>[</w:t>
      </w:r>
      <w:r>
        <w:rPr/>
        <w:t>Das tat er</w:t>
      </w:r>
      <w:r>
        <w:rPr>
          <w:b/>
          <w:color w:val="808080"/>
        </w:rPr>
        <w:t>]</w:t>
      </w:r>
      <w:r>
        <w:rPr/>
        <w:t xml:space="preserve"> </w:t>
      </w:r>
      <w:r>
        <w:rPr>
          <w:rStyle w:val="Funotenanker"/>
        </w:rPr>
        <w:footnoteReference w:customMarkFollows="1" w:id="3984"/>
        <w:t>z</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3985"/>
        <w:t>aa</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3986"/>
        <w:t>ab</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3987"/>
        <w:t>ac</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3988"/>
        <w:t>ad</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3989"/>
        <w:t>ae</w:t>
      </w:r>
      <w:r>
        <w:rPr/>
        <w:t xml:space="preserve">, und wenn er ihm zuhörte </w:t>
      </w:r>
      <w:r>
        <w:rPr>
          <w:color w:val="808080"/>
        </w:rPr>
        <w:t>(zugehört hatte)</w:t>
      </w:r>
      <w:r>
        <w:rPr/>
        <w:t xml:space="preserve">, </w:t>
      </w:r>
      <w:r>
        <w:rPr>
          <w:rStyle w:val="Funotenanker"/>
        </w:rPr>
        <w:footnoteReference w:customMarkFollows="1" w:id="3990"/>
        <w:t>af</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3991"/>
        <w:t>ag</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3992"/>
        <w:t>ah</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3993"/>
        <w:t>ai</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3994"/>
        <w:t>aj</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3995"/>
        <w:t>ak</w:t>
      </w:r>
      <w:r>
        <w:rPr/>
        <w:t xml:space="preserve"> hereinkam und tanzte, </w:t>
      </w:r>
      <w:r>
        <w:rPr>
          <w:rStyle w:val="Funotenanker"/>
        </w:rPr>
        <w:footnoteReference w:customMarkFollows="1" w:id="3996"/>
        <w:t>al</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3997"/>
        <w:t>am</w:t>
      </w:r>
      <w:r>
        <w:rPr/>
        <w:t xml:space="preserve">. Der König sagte zu dem Mädchen </w:t>
      </w:r>
      <w:r>
        <w:rPr>
          <w:rStyle w:val="Funotenanker"/>
        </w:rPr>
        <w:footnoteReference w:customMarkFollows="1" w:id="3998"/>
        <w:t>an</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3999"/>
        <w:t>ao</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4000"/>
        <w:t>ap</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4001"/>
        <w:t>aq</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4002"/>
        <w:t>ar</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4003"/>
        <w:t>as</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4004"/>
        <w:t>at</w:t>
      </w:r>
      <w:r>
        <w:rPr/>
        <w:t xml:space="preserve"> wollte er sie nicht abweisen.{{field-off:bible}} </w:t>
        <w:br/>
        <w:t>[[@BibleTOBIBLE:Mk 6:27]]</w:t>
      </w:r>
      <w:r>
        <w:rPr>
          <w:b/>
        </w:rPr>
        <w:t>27</w:t>
      </w:r>
      <w:r>
        <w:rPr/>
        <w:t xml:space="preserve"> {{field-on:bible}}Also </w:t>
      </w:r>
      <w:r>
        <w:rPr>
          <w:rStyle w:val="Funotenanker"/>
        </w:rPr>
        <w:footnoteReference w:customMarkFollows="1" w:id="4005"/>
        <w:t>au</w:t>
      </w:r>
      <w:r>
        <w:rPr/>
        <w:t xml:space="preserve"> schickte der König einen Henker und </w:t>
      </w:r>
      <w:r>
        <w:rPr>
          <w:rStyle w:val="Funotenanker"/>
        </w:rPr>
        <w:footnoteReference w:customMarkFollows="1" w:id="4006"/>
        <w:t>av</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4007"/>
        <w:t>aw</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4008"/>
        <w:t>ax</w:t>
      </w:r>
      <w:r>
        <w:rPr/>
        <w:t xml:space="preserve"> kamen bei Jesus zusammen und berichteten ihm alles, was sie getan und was sie gelehrt hatten.{{field-off:bible}} </w:t>
        <w:br/>
        <w:t>[[@BibleTOBIBLE:Mk 6:31]]</w:t>
      </w:r>
      <w:r>
        <w:rPr>
          <w:b/>
        </w:rPr>
        <w:t>31</w:t>
      </w:r>
      <w:r>
        <w:rPr/>
        <w:t xml:space="preserve"> {{field-on:bible}}Und er sagte zu ihnen: „Kommt ''ihr'' doch ganz allein </w:t>
      </w:r>
      <w:r>
        <w:rPr>
          <w:b/>
          <w:color w:val="808080"/>
        </w:rPr>
        <w:t>[</w:t>
      </w:r>
      <w:r>
        <w:rPr/>
        <w:t>mit mir</w:t>
      </w:r>
      <w:r>
        <w:rPr>
          <w:b/>
          <w:color w:val="808080"/>
        </w:rPr>
        <w:t>]</w:t>
      </w:r>
      <w:r>
        <w:rPr/>
        <w:t xml:space="preserve"> an einen abgelegenen Ort und ruht euch ein wenig aus!“ Denn es waren viele, die kamen und gingen,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4009"/>
        <w:t>ay</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4010"/>
        <w:t>az</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4011"/>
        <w:t>ba</w:t>
      </w:r>
      <w:r>
        <w:rPr/>
        <w:t xml:space="preserve"> an.{{field-off:bible}} </w:t>
        <w:br/>
        <w:t>[[@BibleTOBIBLE:Mk 6:34]]</w:t>
      </w:r>
      <w:r>
        <w:rPr>
          <w:b/>
        </w:rPr>
        <w:t>34</w:t>
      </w:r>
      <w:r>
        <w:rPr/>
        <w:t xml:space="preserve"> {{field-on:bible}}Und als er ausstieg, </w:t>
      </w:r>
      <w:r>
        <w:rPr>
          <w:rStyle w:val="Funotenanker"/>
        </w:rPr>
        <w:footnoteReference w:customMarkFollows="1" w:id="4012"/>
        <w:t>bb</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4013"/>
        <w:t>bc</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4014"/>
        <w:t>bd</w:t>
      </w:r>
      <w:r>
        <w:rPr/>
        <w:t xml:space="preserve"> kamen seine Jünger zu ihm und </w:t>
      </w:r>
      <w:r>
        <w:rPr>
          <w:rStyle w:val="Funotenanker"/>
        </w:rPr>
        <w:footnoteReference w:customMarkFollows="1" w:id="4015"/>
        <w:t>be</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4016"/>
        <w:t>bf</w:t>
      </w:r>
      <w:r>
        <w:rPr/>
        <w:t xml:space="preserve"> und Dörfern gehen und </w:t>
      </w:r>
      <w:r>
        <w:rPr>
          <w:rStyle w:val="Funotenanker"/>
        </w:rPr>
        <w:footnoteReference w:customMarkFollows="1" w:id="4017"/>
        <w:t>bg</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4018"/>
        <w:t>bh</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zu ihm: „Sollen wir losgehen und </w:t>
      </w:r>
      <w:r>
        <w:rPr>
          <w:rStyle w:val="Funotenanker"/>
        </w:rPr>
        <w:footnoteReference w:customMarkFollows="1" w:id="4019"/>
        <w:t>bi</w:t>
      </w:r>
      <w:r>
        <w:rPr/>
        <w:t xml:space="preserve"> </w:t>
      </w:r>
      <w:r>
        <w:rPr>
          <w:b/>
          <w:color w:val="808080"/>
        </w:rPr>
        <w:t>[</w:t>
      </w:r>
      <w:r>
        <w:rPr/>
        <w:t>für</w:t>
      </w:r>
      <w:r>
        <w:rPr>
          <w:b/>
          <w:color w:val="808080"/>
        </w:rPr>
        <w:t>]</w:t>
      </w:r>
      <w:r>
        <w:rPr/>
        <w:t xml:space="preserve"> zweihundert Denare </w:t>
      </w:r>
      <w:r>
        <w:rPr>
          <w:rStyle w:val="Funotenanker"/>
        </w:rPr>
        <w:footnoteReference w:customMarkFollows="1" w:id="4020"/>
        <w:t>bj</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4021"/>
        <w:t>bk</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4022"/>
        <w:t>bl</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4023"/>
        <w:t>bm</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4024"/>
        <w:t>bn</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4025"/>
        <w:t>bo</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4026"/>
        <w:t>bp</w:t>
      </w:r>
      <w:r>
        <w:rPr/>
        <w:t xml:space="preserve"> auf, auch von den Fischen </w:t>
      </w:r>
      <w:r>
        <w:rPr>
          <w:rStyle w:val="Funotenanker"/>
        </w:rPr>
        <w:footnoteReference w:customMarkFollows="1" w:id="4027"/>
        <w:t>bq</w:t>
      </w:r>
      <w:r>
        <w:rPr/>
        <w:t>.</w:t>
      </w:r>
      <w:r>
        <w:rPr>
          <w:position w:val="8"/>
          <w:sz w:val="19"/>
        </w:rPr>
        <w:t>[[ ℘ &gt;&gt; BibleTOBIBLE:Mk 8:8]]</w:t>
      </w:r>
      <w:r>
        <w:rPr/>
        <w:t xml:space="preserve"> {{field-off:bible}} </w:t>
        <w:br/>
        <w:t>[[@BibleTOBIBLE:Mk 6:44]]</w:t>
      </w:r>
      <w:r>
        <w:rPr>
          <w:b/>
        </w:rPr>
        <w:t>44</w:t>
      </w:r>
      <w:r>
        <w:rPr/>
        <w:t xml:space="preserve"> {{field-on:bible}}Und diejenigen, die die Brote gegessen hatten,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4028"/>
        <w:t>br</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4029"/>
        <w:t>bs</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4030"/>
        <w:t>bt</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4031"/>
        <w:t>bu</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er um die vierte Nachtwache </w:t>
      </w:r>
      <w:r>
        <w:rPr>
          <w:rStyle w:val="Funotenanker"/>
        </w:rPr>
        <w:footnoteReference w:customMarkFollows="1" w:id="4032"/>
        <w:t>bv</w:t>
      </w:r>
      <w:r>
        <w:rPr/>
        <w:t xml:space="preserve"> in ihre Richtung, indem er auf dem Meer lief. </w:t>
      </w:r>
      <w:r>
        <w:rPr>
          <w:rStyle w:val="Funotenanker"/>
        </w:rPr>
        <w:footnoteReference w:customMarkFollows="1" w:id="4033"/>
        <w:t>bw</w:t>
      </w:r>
      <w:r>
        <w:rPr/>
        <w:t xml:space="preserve"> Dabei </w:t>
      </w:r>
      <w:r>
        <w:rPr>
          <w:color w:val="808080"/>
        </w:rPr>
        <w:t>(und)</w:t>
      </w:r>
      <w:r>
        <w:rPr/>
        <w:t xml:space="preserve"> wollte </w:t>
      </w:r>
      <w:r>
        <w:rPr>
          <w:rStyle w:val="Funotenanker"/>
        </w:rPr>
        <w:footnoteReference w:customMarkFollows="1" w:id="4034"/>
        <w:t>bx</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4035"/>
        <w:t>by</w:t>
      </w:r>
      <w:r>
        <w:rPr/>
        <w:t xml:space="preserve"> meinten sie, dass es ein Gespenst sei, und schrien auf </w:t>
      </w:r>
      <w:r>
        <w:rPr>
          <w:color w:val="808080"/>
        </w:rPr>
        <w:t>(fingen an zu schreien)</w:t>
      </w:r>
      <w:r>
        <w:rPr/>
        <w:t xml:space="preserve"> </w:t>
      </w:r>
      <w:r>
        <w:rPr>
          <w:rStyle w:val="Funotenanker"/>
        </w:rPr>
        <w:footnoteReference w:customMarkFollows="1" w:id="4036"/>
        <w:t>bz</w:t>
      </w:r>
      <w:r>
        <w:rPr/>
        <w:t xml:space="preserve">.{{field-off:bible}} </w:t>
        <w:br/>
        <w:t>[[@BibleTOBIBLE:Mk 6:50]]</w:t>
      </w:r>
      <w:r>
        <w:rPr>
          <w:b/>
        </w:rPr>
        <w:t>50</w:t>
      </w:r>
      <w:r>
        <w:rPr/>
        <w:t xml:space="preserve"> {{field-on:bible}}Denn alle sahen ihn und erschraken </w:t>
      </w:r>
      <w:r>
        <w:rPr>
          <w:rStyle w:val="Funotenanker"/>
        </w:rPr>
        <w:footnoteReference w:customMarkFollows="1" w:id="4037"/>
        <w:t>ca</w:t>
      </w:r>
      <w:r>
        <w:rPr/>
        <w:t xml:space="preserve">. Doch er begann sofort mit ihnen zu reden </w:t>
      </w:r>
      <w:r>
        <w:rPr>
          <w:rStyle w:val="Funotenanker"/>
        </w:rPr>
        <w:footnoteReference w:customMarkFollows="1" w:id="4038"/>
        <w:t>cb</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4039"/>
        <w:t>cc</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4040"/>
        <w:t>cd</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4041"/>
        <w:t>ce</w:t>
      </w:r>
      <w:r>
        <w:rPr/>
        <w:t xml:space="preserve">, sondern ihr Herz war verstockt </w:t>
      </w:r>
      <w:r>
        <w:rPr>
          <w:color w:val="808080"/>
        </w:rPr>
        <w:t>(verhärtet)</w:t>
      </w:r>
      <w:r>
        <w:rPr/>
        <w:t xml:space="preserve"> </w:t>
      </w:r>
      <w:r>
        <w:rPr>
          <w:rStyle w:val="Funotenanker"/>
        </w:rPr>
        <w:footnoteReference w:customMarkFollows="1" w:id="4042"/>
        <w:t>cf</w:t>
      </w:r>
      <w:r>
        <w:rPr/>
        <w:t xml:space="preserve">.{{field-off:bible}} </w:t>
        <w:br/>
        <w:t>[[@BibleTOBIBLE:Mk 6:53]]</w:t>
      </w:r>
      <w:r>
        <w:rPr>
          <w:b/>
        </w:rPr>
        <w:t>53</w:t>
      </w:r>
      <w:r>
        <w:rPr/>
        <w:t xml:space="preserve"> {{field-on:bible}}Und nachdem sie übergesetzt hatten, </w:t>
      </w:r>
      <w:r>
        <w:rPr>
          <w:rStyle w:val="Funotenanker"/>
        </w:rPr>
        <w:footnoteReference w:customMarkFollows="1" w:id="4043"/>
        <w:t>cg</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4044"/>
        <w:t>ch</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4045"/>
        <w:t>ci</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4046"/>
        <w:t>cj</w:t>
      </w:r>
      <w:r>
        <w:rPr/>
        <w:t xml:space="preserve"> gesamte Gegend, und sie trugen </w:t>
      </w:r>
      <w:r>
        <w:rPr>
          <w:color w:val="808080"/>
        </w:rPr>
        <w:t>(fingen an zu tragen)</w:t>
      </w:r>
      <w:r>
        <w:rPr/>
        <w:t xml:space="preserve"> </w:t>
      </w:r>
      <w:r>
        <w:rPr>
          <w:rStyle w:val="Funotenanker"/>
        </w:rPr>
        <w:footnoteReference w:customMarkFollows="1" w:id="4047"/>
        <w:t>ck</w:t>
      </w:r>
      <w:r>
        <w:rPr/>
        <w:t xml:space="preserve"> diejenigen, denen es schlecht ging </w:t>
      </w:r>
      <w:r>
        <w:rPr>
          <w:color w:val="808080"/>
        </w:rPr>
        <w:t>(die Kranken)</w:t>
      </w:r>
      <w:r>
        <w:rPr/>
        <w:t xml:space="preserve"> </w:t>
      </w:r>
      <w:r>
        <w:rPr>
          <w:rStyle w:val="Funotenanker"/>
        </w:rPr>
        <w:footnoteReference w:customMarkFollows="1" w:id="4048"/>
        <w:t>cl</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4049"/>
        <w:t>cm</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4050"/>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4051"/>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4052"/>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4053"/>
        <w:t>c</w:t>
      </w:r>
      <w:r>
        <w:rPr/>
        <w:t xml:space="preserve"> die Brote </w:t>
      </w:r>
      <w:r>
        <w:rPr>
          <w:color w:val="808080"/>
        </w:rPr>
        <w:t>(ihr Essen)</w:t>
      </w:r>
      <w:r>
        <w:rPr/>
        <w:t xml:space="preserve"> aßen </w:t>
      </w:r>
      <w:r>
        <w:rPr>
          <w:rStyle w:val="Funotenanker"/>
        </w:rPr>
        <w:footnoteReference w:customMarkFollows="1" w:id="4054"/>
        <w:t>d</w:t>
      </w:r>
      <w:r>
        <w:rPr/>
        <w:t xml:space="preserve"> – </w:t>
      </w:r>
      <w:r>
        <w:rPr>
          <w:rStyle w:val="Funotenanker"/>
        </w:rPr>
        <w:footnoteReference w:customMarkFollows="1" w:id="4055"/>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4056"/>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4057"/>
        <w:t>g</w:t>
      </w:r>
      <w:r>
        <w:rPr/>
        <w:t xml:space="preserve"> festzuhalten, </w:t>
      </w:r>
      <w:r>
        <w:rPr>
          <w:rStyle w:val="Funotenanker"/>
        </w:rPr>
        <w:footnoteReference w:customMarkFollows="1" w:id="4058"/>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4059"/>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4060"/>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4061"/>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4062"/>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4063"/>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4064"/>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4065"/>
        <w:t>o</w:t>
      </w:r>
      <w:r>
        <w:rPr/>
        <w:t xml:space="preserve"> außer Acht lasst, </w:t>
      </w:r>
      <w:r>
        <w:rPr>
          <w:rStyle w:val="Funotenanker"/>
        </w:rPr>
        <w:footnoteReference w:customMarkFollows="1" w:id="4066"/>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4067"/>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w:t>
      </w:r>
      <w:r>
        <w:rPr>
          <w:color w:val="808080"/>
        </w:rPr>
        <w:t>(schmäht, schlechtmacht, herabsetzt)</w:t>
      </w:r>
      <w:r>
        <w:rPr/>
        <w:t xml:space="preserve">, muss sterben </w:t>
      </w:r>
      <w:r>
        <w:rPr>
          <w:rStyle w:val="Funotenanker"/>
        </w:rPr>
        <w:footnoteReference w:customMarkFollows="1" w:id="4068"/>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4069"/>
        <w:t>s</w:t>
      </w:r>
      <w:r>
        <w:rPr/>
        <w:t xml:space="preserve">, das heißt »Opfergabe </w:t>
      </w:r>
      <w:r>
        <w:rPr>
          <w:color w:val="808080"/>
        </w:rPr>
        <w:t>(Geschenk)</w:t>
      </w:r>
      <w:r>
        <w:rPr/>
        <w:t>«,</w:t>
      </w:r>
      <w:r>
        <w:rPr>
          <w:rStyle w:val="Funotenanker"/>
        </w:rPr>
        <w:footnoteReference w:customMarkFollows="1" w:id="4070"/>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4071"/>
        <w:t>u</w:t>
      </w:r>
      <w:r>
        <w:rPr/>
        <w:t xml:space="preserve"> ihr ihm nicht mehr, etwas </w:t>
      </w:r>
      <w:r>
        <w:rPr>
          <w:rStyle w:val="Funotenanker"/>
        </w:rPr>
        <w:footnoteReference w:customMarkFollows="1" w:id="4072"/>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4073"/>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4074"/>
        <w:t>x</w:t>
      </w:r>
      <w:r>
        <w:rPr/>
        <w:t xml:space="preserve"> auf </w:t>
      </w:r>
      <w:r>
        <w:rPr>
          <w:rStyle w:val="Funotenanker"/>
        </w:rPr>
        <w:footnoteReference w:customMarkFollows="1" w:id="4075"/>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4076"/>
        <w:t>z</w:t>
      </w:r>
      <w:r>
        <w:rPr/>
        <w:t xml:space="preserve"> sprach nun </w:t>
      </w:r>
      <w:r>
        <w:rPr>
          <w:rStyle w:val="Funotenanker"/>
        </w:rPr>
        <w:footnoteReference w:customMarkFollows="1" w:id="4077"/>
        <w:t>aa</w:t>
      </w:r>
      <w:r>
        <w:rPr/>
        <w:t xml:space="preserve"> zu ihnen: „Hört mir alle zu und versteht </w:t>
      </w:r>
      <w:r>
        <w:rPr>
          <w:rStyle w:val="Funotenanker"/>
        </w:rPr>
        <w:footnoteReference w:customMarkFollows="1" w:id="4078"/>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4079"/>
        <w:t>ac</w:t>
      </w:r>
      <w:r>
        <w:rPr/>
        <w:t xml:space="preserve"> Es ist vielmehr, was aus dem Menschen herauskommt, das den Menschen verunreinigt </w:t>
      </w:r>
      <w:r>
        <w:rPr>
          <w:rStyle w:val="Funotenanker"/>
        </w:rPr>
        <w:footnoteReference w:customMarkFollows="1" w:id="4080"/>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4081"/>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4082"/>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4083"/>
        <w:t>ag</w:t>
      </w:r>
      <w:r>
        <w:rPr/>
        <w:t xml:space="preserve"> ausgeschieden wird </w:t>
      </w:r>
      <w:r>
        <w:rPr>
          <w:color w:val="808080"/>
        </w:rPr>
        <w:t>(hinausgelangt)</w:t>
      </w:r>
      <w:r>
        <w:rPr/>
        <w:t xml:space="preserve">?“ So erklärte [Jesus] alle Speisen für rein. </w:t>
      </w:r>
      <w:r>
        <w:rPr>
          <w:rStyle w:val="Funotenanker"/>
        </w:rPr>
        <w:footnoteReference w:customMarkFollows="1" w:id="4084"/>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4085"/>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4086"/>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4087"/>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4088"/>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4089"/>
        <w:t>am</w:t>
      </w:r>
      <w:r>
        <w:rPr/>
        <w:t xml:space="preserve">. Und er begab sich in ein Haus und </w:t>
      </w:r>
      <w:r>
        <w:rPr>
          <w:rStyle w:val="Funotenanker"/>
        </w:rPr>
        <w:footnoteReference w:customMarkFollows="1" w:id="4090"/>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4091"/>
        <w:t>ao</w:t>
      </w:r>
      <w:r>
        <w:rPr/>
        <w:t xml:space="preserve">, und </w:t>
      </w:r>
      <w:r>
        <w:rPr>
          <w:rStyle w:val="Funotenanker"/>
        </w:rPr>
        <w:footnoteReference w:customMarkFollows="1" w:id="4092"/>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4093"/>
        <w:t>aq</w:t>
      </w:r>
      <w:r>
        <w:rPr/>
        <w:t xml:space="preserve"> – Und sie bat ihn hartnäckig </w:t>
      </w:r>
      <w:r>
        <w:rPr>
          <w:color w:val="808080"/>
        </w:rPr>
        <w:t>(immer wieder)</w:t>
      </w:r>
      <w:r>
        <w:rPr/>
        <w:t xml:space="preserve"> </w:t>
      </w:r>
      <w:r>
        <w:rPr>
          <w:rStyle w:val="Funotenanker"/>
        </w:rPr>
        <w:footnoteReference w:customMarkFollows="1" w:id="4094"/>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auch die Hunde unter dem Tisch fressen die Krümel </w:t>
      </w:r>
      <w:r>
        <w:rPr>
          <w:rStyle w:val="Funotenanker"/>
        </w:rPr>
        <w:footnoteReference w:customMarkFollows="1" w:id="4095"/>
        <w:t>as</w:t>
      </w:r>
      <w:r>
        <w:rPr/>
        <w:t xml:space="preserve"> </w:t>
      </w:r>
      <w:r>
        <w:rPr>
          <w:color w:val="808080"/>
        </w:rPr>
        <w:t>(Reste)</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4096"/>
        <w:t>at</w:t>
      </w:r>
      <w:r>
        <w:rPr/>
        <w:t xml:space="preserve">, geh </w:t>
      </w:r>
      <w:r>
        <w:rPr>
          <w:rStyle w:val="Funotenanker"/>
        </w:rPr>
        <w:footnoteReference w:customMarkFollows="1" w:id="4097"/>
        <w:t>au</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4098"/>
        <w:t>av</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4099"/>
        <w:t>aw</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4100"/>
        <w:t>ax</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4101"/>
        <w:t>ay</w:t>
      </w:r>
      <w:r>
        <w:rPr/>
        <w:t xml:space="preserve"> zu ihm und baten </w:t>
      </w:r>
      <w:r>
        <w:rPr>
          <w:color w:val="808080"/>
        </w:rPr>
        <w:t>(forderten auf)</w:t>
      </w:r>
      <w:r>
        <w:rPr/>
        <w:t xml:space="preserve"> ihn, ihm die Hand aufzulegen </w:t>
      </w:r>
      <w:r>
        <w:rPr>
          <w:rStyle w:val="Funotenanker"/>
        </w:rPr>
        <w:footnoteReference w:customMarkFollows="1" w:id="4102"/>
        <w:t>az</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4103"/>
        <w:t>ba</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4104"/>
        <w:t>bb</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4105"/>
        <w:t>bc</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4106"/>
        <w:t>bd</w:t>
      </w:r>
      <w:r>
        <w:rPr/>
        <w:t xml:space="preserve"> seiner Zunge löste sich, und er konnte richtig sprechen </w:t>
      </w:r>
      <w:r>
        <w:rPr>
          <w:rStyle w:val="Funotenanker"/>
        </w:rPr>
        <w:footnoteReference w:customMarkFollows="1" w:id="4107"/>
        <w:t>be</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4108"/>
        <w:t>bf</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4109"/>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4110"/>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zu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4111"/>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4112"/>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4113"/>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4114"/>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4115"/>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4116"/>
        <w:t>g</w:t>
      </w:r>
      <w:r>
        <w:rPr/>
        <w:t xml:space="preserve"> gelangte </w:t>
      </w:r>
      <w:r>
        <w:rPr>
          <w:color w:val="808080"/>
        </w:rPr>
        <w:t>(kam)</w:t>
      </w:r>
      <w:r>
        <w:rPr/>
        <w:t xml:space="preserve"> in das Gebiet von Dalmanuta </w:t>
      </w:r>
      <w:r>
        <w:rPr>
          <w:rStyle w:val="Funotenanker"/>
        </w:rPr>
        <w:footnoteReference w:customMarkFollows="1" w:id="4117"/>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4118"/>
        <w:t>i</w:t>
      </w:r>
      <w:r>
        <w:rPr/>
        <w:t xml:space="preserve"> und begannen mit ihm zu streiten, wobei sie von ihm ein Zeichen vom Himmel verlangten, </w:t>
      </w:r>
      <w:r>
        <w:rPr>
          <w:rStyle w:val="Funotenanker"/>
        </w:rPr>
        <w:footnoteReference w:customMarkFollows="1" w:id="4119"/>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120"/>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4121"/>
        <w:t>l</w:t>
      </w:r>
      <w:r>
        <w:rPr/>
        <w:t xml:space="preserve"> auf und </w:t>
      </w:r>
      <w:r>
        <w:rPr>
          <w:rStyle w:val="Funotenanker"/>
        </w:rPr>
        <w:footnoteReference w:customMarkFollows="1" w:id="4122"/>
        <w:t>m</w:t>
      </w:r>
      <w:r>
        <w:rPr/>
        <w:t xml:space="preserve"> sagte: „Wie!? </w:t>
      </w:r>
      <w:r>
        <w:rPr>
          <w:rStyle w:val="Funotenanker"/>
        </w:rPr>
        <w:footnoteReference w:customMarkFollows="1" w:id="4123"/>
        <w:t>n</w:t>
      </w:r>
      <w:r>
        <w:rPr/>
        <w:t xml:space="preserve"> Diese Generation </w:t>
      </w:r>
      <w:r>
        <w:rPr>
          <w:color w:val="808080"/>
        </w:rPr>
        <w:t>(Dieses Pack)</w:t>
      </w:r>
      <w:r>
        <w:rPr/>
        <w:t xml:space="preserve"> </w:t>
      </w:r>
      <w:r>
        <w:rPr>
          <w:rStyle w:val="Funotenanker"/>
        </w:rPr>
        <w:footnoteReference w:customMarkFollows="1" w:id="4124"/>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4125"/>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4126"/>
        <w:t>q</w:t>
      </w:r>
      <w:r>
        <w:rPr/>
        <w:t xml:space="preserve"> hatten vergessen </w:t>
      </w:r>
      <w:r>
        <w:rPr>
          <w:color w:val="808080"/>
        </w:rPr>
        <w:t>(vergaßen)</w:t>
      </w:r>
      <w:r>
        <w:rPr/>
        <w:t xml:space="preserve">, </w:t>
      </w:r>
      <w:r>
        <w:rPr>
          <w:rStyle w:val="Funotenanker"/>
        </w:rPr>
        <w:footnoteReference w:customMarkFollows="1" w:id="4127"/>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4128"/>
        <w:t>s</w:t>
      </w:r>
      <w:r>
        <w:rPr/>
        <w:t xml:space="preserve"> „Passt auf </w:t>
      </w:r>
      <w:r>
        <w:rPr>
          <w:color w:val="808080"/>
        </w:rPr>
        <w:t>(Seht zu)</w:t>
      </w:r>
      <w:r>
        <w:rPr/>
        <w:t xml:space="preserve">, hütet euch vor dem Sauerteig </w:t>
      </w:r>
      <w:r>
        <w:rPr>
          <w:rStyle w:val="Funotenanker"/>
        </w:rPr>
        <w:footnoteReference w:customMarkFollows="1" w:id="4129"/>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4130"/>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4131"/>
        <w:t>v</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4132"/>
        <w:t>w</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4133"/>
        <w:t>x</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4134"/>
        <w:t>y</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4135"/>
        <w:t>z</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4136"/>
        <w:t>aa</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4137"/>
        <w:t>ab</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4138"/>
        <w:t>ac</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4139"/>
        <w:t>ad</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[Jesus],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4140"/>
        <w:t>ae</w:t>
      </w:r>
      <w:r>
        <w:rPr/>
        <w:t xml:space="preserve"> führte ihn aus dem Dorf hinaus, und nachdem er ihm in die Augen gespuckt </w:t>
      </w:r>
      <w:r>
        <w:rPr>
          <w:rStyle w:val="Funotenanker"/>
        </w:rPr>
        <w:footnoteReference w:customMarkFollows="1" w:id="4141"/>
        <w:t>af</w:t>
      </w:r>
      <w:r>
        <w:rPr/>
        <w:t xml:space="preserve"> und ihm die Hände aufgelegt hatte, </w:t>
      </w:r>
      <w:r>
        <w:rPr>
          <w:rStyle w:val="Funotenanker"/>
        </w:rPr>
        <w:footnoteReference w:customMarkFollows="1" w:id="4142"/>
        <w:t>ag</w:t>
      </w:r>
      <w:r>
        <w:rPr/>
        <w:t xml:space="preserve"> fragte er ihn: „Siehst du etwas?“</w:t>
      </w:r>
      <w:r>
        <w:rPr>
          <w:rStyle w:val="Funotenanker"/>
        </w:rPr>
        <w:footnoteReference w:customMarkFollows="1" w:id="4143"/>
        <w:t>ah</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4144"/>
        <w:t>ai</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4145"/>
        <w:t>aj</w:t>
      </w:r>
      <w:r>
        <w:rPr/>
        <w:t xml:space="preserve"> wie Bäume, ich sehe sie umhergehen.“ </w:t>
      </w:r>
      <w:r>
        <w:rPr>
          <w:rStyle w:val="Funotenanker"/>
        </w:rPr>
        <w:footnoteReference w:customMarkFollows="1" w:id="4146"/>
        <w:t>ak</w:t>
      </w:r>
      <w:r>
        <w:rPr/>
        <w:t xml:space="preserve"> {{field-off:bible}} </w:t>
        <w:br/>
        <w:t>[[@BibleTOBIBLE:Mk 8:25]]</w:t>
      </w:r>
      <w:r>
        <w:rPr>
          <w:b/>
        </w:rPr>
        <w:t>25</w:t>
      </w:r>
      <w:r>
        <w:rPr/>
        <w:t xml:space="preserve"> {{field-on:bible}}Daraufhin legte [Jesus]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4147"/>
        <w:t>al</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[Jesus]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4148"/>
        <w:t>am</w:t>
      </w:r>
      <w:r>
        <w:rPr/>
        <w:t xml:space="preserve"> „Geh auch </w:t>
      </w:r>
      <w:r>
        <w:rPr>
          <w:color w:val="808080"/>
        </w:rPr>
        <w:t>(aber)</w:t>
      </w:r>
      <w:r>
        <w:rPr/>
        <w:t xml:space="preserve"> nicht ins Dorf! </w:t>
      </w:r>
      <w:r>
        <w:rPr>
          <w:rStyle w:val="Funotenanker"/>
        </w:rPr>
        <w:footnoteReference w:customMarkFollows="1" w:id="4149"/>
        <w:t>an</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4150"/>
        <w:t>ao</w:t>
      </w:r>
      <w:r>
        <w:rPr/>
        <w:t xml:space="preserve">; und auf dem Weg befragte er seine Jünger </w:t>
      </w:r>
      <w:r>
        <w:rPr>
          <w:strike/>
          <w:color w:val="808080"/>
        </w:rPr>
        <w:t>{und sagte zu ihnen}</w:t>
      </w:r>
      <w:r>
        <w:rPr/>
        <w:t xml:space="preserve"> </w:t>
      </w:r>
      <w:r>
        <w:rPr>
          <w:rStyle w:val="Funotenanker"/>
        </w:rPr>
        <w:footnoteReference w:customMarkFollows="1" w:id="4151"/>
        <w:t>ap</w:t>
      </w:r>
      <w:r>
        <w:rPr/>
        <w:t xml:space="preserve">: „Für wen halten mich die Leute?“ </w:t>
      </w:r>
      <w:r>
        <w:rPr>
          <w:rStyle w:val="Funotenanker"/>
        </w:rPr>
        <w:footnoteReference w:customMarkFollows="1" w:id="4152"/>
        <w:t>aq</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4153"/>
        <w:t>ar</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4154"/>
        <w:t>as</w:t>
      </w:r>
      <w:r>
        <w:rPr/>
        <w:t xml:space="preserve"> Und </w:t>
      </w:r>
      <w:r>
        <w:rPr>
          <w:strike/>
          <w:color w:val="808080"/>
        </w:rPr>
        <w:t>{antwortend}</w:t>
      </w:r>
      <w:r>
        <w:rPr/>
        <w:t xml:space="preserve"> </w:t>
      </w:r>
      <w:r>
        <w:rPr>
          <w:rStyle w:val="Funotenanker"/>
        </w:rPr>
        <w:footnoteReference w:customMarkFollows="1" w:id="4155"/>
        <w:t>at</w:t>
      </w:r>
      <w:r>
        <w:rPr/>
        <w:t xml:space="preserve"> sagte Petrus zu ihm: „Du bist der Messias </w:t>
      </w:r>
      <w:r>
        <w:rPr>
          <w:color w:val="808080"/>
        </w:rPr>
        <w:t>(Gesalbte; Christus)</w:t>
      </w:r>
      <w:r>
        <w:rPr/>
        <w:t xml:space="preserve">!“ </w:t>
      </w:r>
      <w:r>
        <w:rPr>
          <w:rStyle w:val="Funotenanker"/>
        </w:rPr>
        <w:footnoteReference w:customMarkFollows="1" w:id="4156"/>
        <w:t>au</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4157"/>
        <w:t>av</w:t>
      </w:r>
      <w:r>
        <w:rPr/>
        <w:t xml:space="preserve"> viel leiden, und von den Ältesten und den obersten </w:t>
      </w:r>
      <w:r>
        <w:rPr>
          <w:color w:val="808080"/>
        </w:rPr>
        <w:t>(führenden, Hohen)</w:t>
      </w:r>
      <w:r>
        <w:rPr/>
        <w:t xml:space="preserve"> Priestern </w:t>
      </w:r>
      <w:r>
        <w:rPr>
          <w:rStyle w:val="Funotenanker"/>
        </w:rPr>
        <w:footnoteReference w:customMarkFollows="1" w:id="4158"/>
        <w:t>aw</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4159"/>
        <w:t>ax</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4160"/>
        <w:t>ay</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4161"/>
        <w:t>az</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4162"/>
        <w:t>ba</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4163"/>
        <w:t>bb</w:t>
      </w:r>
      <w:r>
        <w:rPr/>
        <w:t xml:space="preserve">, Satan </w:t>
      </w:r>
      <w:r>
        <w:rPr>
          <w:color w:val="808080"/>
        </w:rPr>
        <w:t>(Widersacher)</w:t>
      </w:r>
      <w:r>
        <w:rPr/>
        <w:t xml:space="preserve"> </w:t>
      </w:r>
      <w:r>
        <w:rPr>
          <w:rStyle w:val="Funotenanker"/>
        </w:rPr>
        <w:footnoteReference w:customMarkFollows="1" w:id="4164"/>
        <w:t>bc</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4165"/>
        <w:t>bd</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4166"/>
        <w:t>be</w:t>
      </w:r>
      <w:r>
        <w:rPr/>
        <w:t xml:space="preserve"> sagte zu ihnen: „Wenn jemand mir nachfolgen </w:t>
      </w:r>
      <w:r>
        <w:rPr>
          <w:rStyle w:val="Funotenanker"/>
        </w:rPr>
        <w:footnoteReference w:customMarkFollows="1" w:id="4167"/>
        <w:t>bf</w:t>
      </w:r>
      <w:r>
        <w:rPr/>
        <w:t xml:space="preserve"> will, dann muss </w:t>
      </w:r>
      <w:r>
        <w:rPr>
          <w:color w:val="808080"/>
        </w:rPr>
        <w:t>(soll)</w:t>
      </w:r>
      <w:r>
        <w:rPr/>
        <w:t xml:space="preserve"> </w:t>
      </w:r>
      <w:r>
        <w:rPr>
          <w:rStyle w:val="Funotenanker"/>
        </w:rPr>
        <w:footnoteReference w:customMarkFollows="1" w:id="4168"/>
        <w:t>bg</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4169"/>
        <w:t>bh</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4170"/>
        <w:t>bi</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4171"/>
        <w:t>bj</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4172"/>
        <w:t>bk</w:t>
      </w:r>
      <w:r>
        <w:rPr/>
        <w:t xml:space="preserve"> über </w:t>
      </w:r>
      <w:r>
        <w:rPr>
          <w:color w:val="808080"/>
        </w:rPr>
        <w:t>(wegen)</w:t>
      </w:r>
      <w:r>
        <w:rPr/>
        <w:t xml:space="preserve"> mich und meine Worte schämt, </w:t>
      </w:r>
      <w:r>
        <w:rPr>
          <w:rStyle w:val="Funotenanker"/>
        </w:rPr>
        <w:footnoteReference w:customMarkFollows="1" w:id="4173"/>
        <w:t>bl</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4174"/>
        <w:t>Status</w:t>
      </w:r>
      <w:r>
        <w:rPr/>
        <w:t xml:space="preserve"> Und weiter </w:t>
      </w:r>
      <w:r>
        <w:rPr>
          <w:rStyle w:val="Funotenanker"/>
        </w:rPr>
        <w:footnoteReference w:customMarkFollows="1" w:id="4175"/>
        <w:t>a</w:t>
      </w:r>
      <w:r>
        <w:rPr/>
        <w:t xml:space="preserve"> sagte er zu ihnen: „Amen </w:t>
      </w:r>
      <w:r>
        <w:rPr>
          <w:color w:val="808080"/>
        </w:rPr>
        <w:t>(Wahrlich, Ja)</w:t>
      </w:r>
      <w:r>
        <w:rPr/>
        <w:t xml:space="preserve">, ich sage euch: </w:t>
      </w:r>
      <w:r>
        <w:rPr>
          <w:rStyle w:val="Funotenanker"/>
        </w:rPr>
        <w:footnoteReference w:customMarkFollows="1" w:id="4176"/>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4177"/>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4178"/>
        <w:t>d</w:t>
      </w:r>
      <w:r>
        <w:rPr/>
        <w:t xml:space="preserve"> mit Macht </w:t>
      </w:r>
      <w:r>
        <w:rPr>
          <w:color w:val="808080"/>
        </w:rPr>
        <w:t>(Kraft)</w:t>
      </w:r>
      <w:r>
        <w:rPr/>
        <w:t xml:space="preserve"> gekommen ist. </w:t>
      </w:r>
      <w:r>
        <w:rPr>
          <w:rStyle w:val="Funotenanker"/>
        </w:rPr>
        <w:footnoteReference w:customMarkFollows="1" w:id="4179"/>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und führte sie </w:t>
      </w:r>
      <w:r>
        <w:rPr>
          <w:rStyle w:val="Funotenanker"/>
        </w:rPr>
        <w:footnoteReference w:customMarkFollows="1" w:id="4180"/>
        <w:t>f</w:t>
      </w:r>
      <w:r>
        <w:rPr/>
        <w:t xml:space="preserve"> für sich, allein, </w:t>
      </w:r>
      <w:r>
        <w:rPr>
          <w:rStyle w:val="Funotenanker"/>
        </w:rPr>
        <w:footnoteReference w:customMarkFollows="1" w:id="4181"/>
        <w:t>g</w:t>
      </w:r>
      <w:r>
        <w:rPr/>
        <w:t xml:space="preserve"> auf einen hohen Berg, und er wurde vor ihnen </w:t>
      </w:r>
      <w:r>
        <w:rPr>
          <w:color w:val="808080"/>
        </w:rPr>
        <w:t>(vor ihren Augen)</w:t>
      </w:r>
      <w:r>
        <w:rPr/>
        <w:t xml:space="preserve"> </w:t>
      </w:r>
      <w:r>
        <w:rPr>
          <w:rStyle w:val="Funotenanker"/>
        </w:rPr>
        <w:footnoteReference w:customMarkFollows="1" w:id="4182"/>
        <w:t>h</w:t>
      </w:r>
      <w:r>
        <w:rPr/>
        <w:t xml:space="preserve"> verwandelt </w:t>
      </w:r>
      <w:r>
        <w:rPr>
          <w:color w:val="808080"/>
        </w:rPr>
        <w:t>(verwandelte sich)</w:t>
      </w:r>
      <w:r>
        <w:rPr/>
        <w:t xml:space="preserve">: </w:t>
      </w:r>
      <w:r>
        <w:rPr>
          <w:rStyle w:val="Funotenanker"/>
        </w:rPr>
        <w:footnoteReference w:customMarkFollows="1" w:id="4183"/>
        <w:t>i</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4184"/>
        <w:t>j</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4185"/>
        <w:t>k</w:t>
      </w:r>
      <w:r>
        <w:rPr/>
        <w:t xml:space="preserve"> , wie sie kein Walker</w:t>
      </w:r>
      <w:r>
        <w:rPr>
          <w:rStyle w:val="Funotenanker"/>
        </w:rPr>
        <w:footnoteReference w:customMarkFollows="1" w:id="4186"/>
        <w:t>l</w:t>
      </w:r>
      <w:r>
        <w:rPr/>
        <w:t xml:space="preserve"> auf der </w:t>
      </w:r>
      <w:r>
        <w:rPr>
          <w:b/>
          <w:color w:val="808080"/>
        </w:rPr>
        <w:t>[</w:t>
      </w:r>
      <w:r>
        <w:rPr/>
        <w:t>ganzen</w:t>
      </w:r>
      <w:r>
        <w:rPr>
          <w:b/>
          <w:color w:val="808080"/>
        </w:rPr>
        <w:t>]</w:t>
      </w:r>
      <w:r>
        <w:rPr/>
        <w:t xml:space="preserve"> Erde </w:t>
      </w:r>
      <w:r>
        <w:rPr>
          <w:rStyle w:val="Funotenanker"/>
        </w:rPr>
        <w:footnoteReference w:customMarkFollows="1" w:id="4187"/>
        <w:t>m</w:t>
      </w:r>
      <w:r>
        <w:rPr/>
        <w:t xml:space="preserve"> </w:t>
      </w:r>
      <w:r>
        <w:rPr>
          <w:strike/>
          <w:color w:val="808080"/>
        </w:rPr>
        <w:t>{derart}</w:t>
      </w:r>
      <w:r>
        <w:rPr/>
        <w:t xml:space="preserve"> </w:t>
      </w:r>
      <w:r>
        <w:rPr>
          <w:rStyle w:val="Funotenanker"/>
        </w:rPr>
        <w:footnoteReference w:customMarkFollows="1" w:id="4188"/>
        <w:t>n</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4189"/>
        <w:t>o</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4190"/>
        <w:t>p</w:t>
      </w:r>
      <w:r>
        <w:rPr/>
        <w:t xml:space="preserve"> sprach Petrus zu Jesus: „Meister </w:t>
      </w:r>
      <w:r>
        <w:rPr>
          <w:color w:val="808080"/>
        </w:rPr>
        <w:t>(Rabbi)</w:t>
      </w:r>
      <w:r>
        <w:rPr/>
        <w:t xml:space="preserve"> </w:t>
      </w:r>
      <w:r>
        <w:rPr>
          <w:rStyle w:val="Funotenanker"/>
        </w:rPr>
        <w:footnoteReference w:customMarkFollows="1" w:id="4191"/>
        <w:t>q</w:t>
      </w:r>
      <w:r>
        <w:rPr/>
        <w:t xml:space="preserve"> , es ist gut, dass wir hier sind! Und lass uns </w:t>
      </w:r>
      <w:r>
        <w:rPr>
          <w:color w:val="808080"/>
        </w:rPr>
        <w:t>(so lass uns denn)</w:t>
      </w:r>
      <w:r>
        <w:rPr/>
        <w:t xml:space="preserve"> </w:t>
      </w:r>
      <w:r>
        <w:rPr>
          <w:rStyle w:val="Funotenanker"/>
        </w:rPr>
        <w:footnoteReference w:customMarkFollows="1" w:id="4192"/>
        <w:t>r</w:t>
      </w:r>
      <w:r>
        <w:rPr/>
        <w:t xml:space="preserve"> drei Hütten </w:t>
      </w:r>
      <w:r>
        <w:rPr>
          <w:color w:val="808080"/>
        </w:rPr>
        <w:t>(Zelte)</w:t>
      </w:r>
      <w:r>
        <w:rPr/>
        <w:t xml:space="preserve"> bauen - dir eine, Mose eine und Elija eine!“ </w:t>
      </w:r>
      <w:r>
        <w:rPr>
          <w:rStyle w:val="Funotenanker"/>
        </w:rPr>
        <w:footnoteReference w:customMarkFollows="1" w:id="4193"/>
        <w:t>s</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4194"/>
        <w:t>t</w:t>
      </w:r>
      <w:r>
        <w:rPr/>
        <w:t xml:space="preserve"> sie </w:t>
      </w:r>
      <w:r>
        <w:rPr>
          <w:rStyle w:val="Funotenanker"/>
        </w:rPr>
        <w:footnoteReference w:customMarkFollows="1" w:id="4195"/>
        <w:t>u</w:t>
      </w:r>
      <w:r>
        <w:rPr/>
        <w:t xml:space="preserve"> ein, und eine Stimme kam aus der Wolke: „Dies ist mein geliebter </w:t>
      </w:r>
      <w:r>
        <w:rPr>
          <w:color w:val="808080"/>
        </w:rPr>
        <w:t>(einziger)</w:t>
      </w:r>
      <w:r>
        <w:rPr/>
        <w:t xml:space="preserve"> </w:t>
      </w:r>
      <w:r>
        <w:rPr>
          <w:rStyle w:val="Funotenanker"/>
        </w:rPr>
        <w:footnoteReference w:customMarkFollows="1" w:id="4196"/>
        <w:t>v</w:t>
      </w:r>
      <w:r>
        <w:rPr/>
        <w:t xml:space="preserve"> Sohn, </w:t>
      </w:r>
      <w:r>
        <w:rPr>
          <w:b/>
          <w:color w:val="808080"/>
        </w:rPr>
        <w:t>[</w:t>
      </w:r>
      <w:r>
        <w:rPr/>
        <w:t>darum</w:t>
      </w:r>
      <w:r>
        <w:rPr>
          <w:b/>
          <w:color w:val="808080"/>
        </w:rPr>
        <w:t>]</w:t>
      </w:r>
      <w:r>
        <w:rPr/>
        <w:t xml:space="preserve"> </w:t>
      </w:r>
      <w:r>
        <w:rPr>
          <w:rStyle w:val="Funotenanker"/>
        </w:rPr>
        <w:footnoteReference w:customMarkFollows="1" w:id="4197"/>
        <w:t>w</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4198"/>
        <w:t>x</w:t>
      </w:r>
      <w:r>
        <w:rPr/>
        <w:t xml:space="preserve"> mehr bei sich </w:t>
      </w:r>
      <w:r>
        <w:rPr>
          <w:rStyle w:val="Funotenanker"/>
        </w:rPr>
        <w:footnoteReference w:customMarkFollows="1" w:id="4199"/>
        <w:t>y</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4200"/>
        <w:t>z</w:t>
      </w:r>
      <w:r>
        <w:rPr/>
        <w:t xml:space="preserve"> Berg herabstiegen, befahl er ihnen </w:t>
      </w:r>
      <w:r>
        <w:rPr>
          <w:strike/>
          <w:color w:val="808080"/>
        </w:rPr>
        <w:t>{damit}</w:t>
      </w:r>
      <w:r>
        <w:rPr/>
        <w:t xml:space="preserve">, </w:t>
      </w:r>
      <w:r>
        <w:rPr>
          <w:rStyle w:val="Funotenanker"/>
        </w:rPr>
        <w:footnoteReference w:customMarkFollows="1" w:id="4201"/>
        <w:t>aa</w:t>
      </w:r>
      <w:r>
        <w:rPr/>
        <w:t xml:space="preserve"> niemandem zu erzählen, was sie gesehen hatten - erst </w:t>
      </w:r>
      <w:r>
        <w:rPr>
          <w:color w:val="808080"/>
        </w:rPr>
        <w:t>(außer)</w:t>
      </w:r>
      <w:r>
        <w:rPr/>
        <w:t xml:space="preserve"> </w:t>
      </w:r>
      <w:r>
        <w:rPr>
          <w:rStyle w:val="Funotenanker"/>
        </w:rPr>
        <w:footnoteReference w:customMarkFollows="1" w:id="4202"/>
        <w:t>ab</w:t>
      </w:r>
      <w:r>
        <w:rPr/>
        <w:t xml:space="preserve"> , wenn der Menschensohn </w:t>
      </w:r>
      <w:r>
        <w:rPr>
          <w:rStyle w:val="Funotenanker"/>
        </w:rPr>
        <w:footnoteReference w:customMarkFollows="1" w:id="4203"/>
        <w:t>ac</w:t>
      </w:r>
      <w:r>
        <w:rPr/>
        <w:t xml:space="preserve"> von den Toten </w:t>
      </w:r>
      <w:r>
        <w:rPr>
          <w:rStyle w:val="Funotenanker"/>
        </w:rPr>
        <w:footnoteReference w:customMarkFollows="1" w:id="4204"/>
        <w:t>ad</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4205"/>
        <w:t>ae</w:t>
      </w:r>
      <w:r>
        <w:rPr/>
        <w:t xml:space="preserve"> aber, was dies sei - „von den Toten Auferstehen“. </w:t>
      </w:r>
      <w:r>
        <w:rPr>
          <w:rStyle w:val="Funotenanker"/>
        </w:rPr>
        <w:footnoteReference w:customMarkFollows="1" w:id="4206"/>
        <w:t>af</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4207"/>
        <w:t>ag</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4208"/>
        <w:t>ah</w:t>
      </w:r>
      <w:r>
        <w:rPr/>
        <w:t xml:space="preserve"> kommt </w:t>
      </w:r>
      <w:r>
        <w:rPr>
          <w:rStyle w:val="Funotenanker"/>
        </w:rPr>
        <w:footnoteReference w:customMarkFollows="1" w:id="4209"/>
        <w:t>ai</w:t>
      </w:r>
      <w:r>
        <w:rPr/>
        <w:t xml:space="preserve"> Elija zuerst und stellt alles wieder her. </w:t>
      </w:r>
      <w:r>
        <w:rPr>
          <w:rStyle w:val="Funotenanker"/>
        </w:rPr>
        <w:footnoteReference w:customMarkFollows="1" w:id="4210"/>
        <w:t>aj</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4211"/>
        <w:t>ak</w:t>
      </w:r>
      <w:r>
        <w:rPr/>
        <w:t xml:space="preserve"> Elija ist auch </w:t>
      </w:r>
      <w:r>
        <w:rPr>
          <w:color w:val="808080"/>
        </w:rPr>
        <w:t>(sogar)</w:t>
      </w:r>
      <w:r>
        <w:rPr/>
        <w:t xml:space="preserve"> </w:t>
      </w:r>
      <w:r>
        <w:rPr>
          <w:rStyle w:val="Funotenanker"/>
        </w:rPr>
        <w:footnoteReference w:customMarkFollows="1" w:id="4212"/>
        <w:t>al</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4213"/>
        <w:t>am</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4214"/>
        <w:t>an</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4215"/>
        <w:t>ao</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4216"/>
        <w:t>ap</w:t>
      </w:r>
      <w:r>
        <w:rPr/>
        <w:t xml:space="preserve"> aus </w:t>
      </w:r>
      <w:r>
        <w:rPr>
          <w:color w:val="808080"/>
        </w:rPr>
        <w:t>(aus heraus)</w:t>
      </w:r>
      <w:r>
        <w:rPr/>
        <w:t xml:space="preserve"> </w:t>
      </w:r>
      <w:r>
        <w:rPr>
          <w:rStyle w:val="Funotenanker"/>
        </w:rPr>
        <w:footnoteReference w:customMarkFollows="1" w:id="4217"/>
        <w:t>aq</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4218"/>
        <w:t>ar</w:t>
      </w:r>
      <w:r>
        <w:rPr/>
        <w:t xml:space="preserve"> weil </w:t>
      </w:r>
      <w:r>
        <w:rPr>
          <w:rStyle w:val="Funotenanker"/>
        </w:rPr>
        <w:footnoteReference w:customMarkFollows="1" w:id="4219"/>
        <w:t>as</w:t>
      </w:r>
      <w:r>
        <w:rPr/>
        <w:t xml:space="preserve"> er einen stummen Geist </w:t>
      </w:r>
      <w:r>
        <w:rPr>
          <w:color w:val="808080"/>
        </w:rPr>
        <w:t>(einen Geist, der ihn stumm macht)</w:t>
      </w:r>
      <w:r>
        <w:rPr/>
        <w:t xml:space="preserve"> </w:t>
      </w:r>
      <w:r>
        <w:rPr>
          <w:rStyle w:val="Funotenanker"/>
        </w:rPr>
        <w:footnoteReference w:customMarkFollows="1" w:id="4220"/>
        <w:t>at</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4221"/>
        <w:t>au</w:t>
      </w:r>
      <w:r>
        <w:rPr/>
        <w:t xml:space="preserve"> er ihn anfällt </w:t>
      </w:r>
      <w:r>
        <w:rPr>
          <w:color w:val="808080"/>
        </w:rPr>
        <w:t>(packt)</w:t>
      </w:r>
      <w:r>
        <w:rPr/>
        <w:t xml:space="preserve">, </w:t>
      </w:r>
      <w:r>
        <w:rPr>
          <w:rStyle w:val="Funotenanker"/>
        </w:rPr>
        <w:footnoteReference w:customMarkFollows="1" w:id="4222"/>
        <w:t>av</w:t>
      </w:r>
      <w:r>
        <w:rPr/>
        <w:t xml:space="preserve"> zerrt er ihn hin und her </w:t>
      </w:r>
      <w:r>
        <w:rPr>
          <w:color w:val="808080"/>
        </w:rPr>
        <w:t>(wirft er ihn zu Boden)</w:t>
      </w:r>
      <w:r>
        <w:rPr/>
        <w:t xml:space="preserve"> </w:t>
      </w:r>
      <w:r>
        <w:rPr>
          <w:rStyle w:val="Funotenanker"/>
        </w:rPr>
        <w:footnoteReference w:customMarkFollows="1" w:id="4223"/>
        <w:t>aw</w:t>
      </w:r>
      <w:r>
        <w:rPr/>
        <w:t xml:space="preserve"> und ihm tritt Schaum vor den Mund </w:t>
      </w:r>
      <w:r>
        <w:rPr>
          <w:color w:val="808080"/>
        </w:rPr>
        <w:t>(er schäumt)</w:t>
      </w:r>
      <w:r>
        <w:rPr/>
        <w:t xml:space="preserve"> </w:t>
      </w:r>
      <w:r>
        <w:rPr>
          <w:rStyle w:val="Funotenanker"/>
        </w:rPr>
        <w:footnoteReference w:customMarkFollows="1" w:id="4224"/>
        <w:t>ax</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4225"/>
        <w:t>ay</w:t>
      </w:r>
      <w:r>
        <w:rPr/>
        <w:t xml:space="preserve"> sie konnten es nicht </w:t>
      </w:r>
      <w:r>
        <w:rPr>
          <w:color w:val="808080"/>
        </w:rPr>
        <w:t>(sie waren zu schwach dafür)</w:t>
      </w:r>
      <w:r>
        <w:rPr/>
        <w:t xml:space="preserve">. </w:t>
      </w:r>
      <w:r>
        <w:rPr>
          <w:rStyle w:val="Funotenanker"/>
        </w:rPr>
        <w:footnoteReference w:customMarkFollows="1" w:id="4226"/>
        <w:t>az</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4227"/>
        <w:t>ba</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4228"/>
        <w:t>bb</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4229"/>
        <w:t>bc</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4230"/>
        <w:t>bd</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4231"/>
        <w:t>be</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4232"/>
        <w:t>bf</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4233"/>
        <w:t>bg</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4234"/>
        <w:t>bh</w:t>
      </w:r>
      <w:r>
        <w:rPr/>
        <w:t xml:space="preserve"> wenn du etwas vermagst </w:t>
      </w:r>
      <w:r>
        <w:rPr>
          <w:color w:val="808080"/>
        </w:rPr>
        <w:t>(wenn etwas in deiner Macht steht)</w:t>
      </w:r>
      <w:r>
        <w:rPr/>
        <w:t xml:space="preserve">, </w:t>
      </w:r>
      <w:r>
        <w:rPr>
          <w:rStyle w:val="Funotenanker"/>
        </w:rPr>
        <w:footnoteReference w:customMarkFollows="1" w:id="4235"/>
        <w:t>bi</w:t>
      </w:r>
      <w:r>
        <w:rPr/>
        <w:t xml:space="preserve"> dann hilf uns und hab Mitleid mit uns </w:t>
      </w:r>
      <w:r>
        <w:rPr>
          <w:color w:val="808080"/>
        </w:rPr>
        <w:t>(erbarme dich unser)</w:t>
      </w:r>
      <w:r>
        <w:rPr/>
        <w:t xml:space="preserve">! </w:t>
      </w:r>
      <w:r>
        <w:rPr>
          <w:rStyle w:val="Funotenanker"/>
        </w:rPr>
        <w:footnoteReference w:customMarkFollows="1" w:id="4236"/>
        <w:t>bj</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4237"/>
        <w:t>bk</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4238"/>
        <w:t>bl</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4239"/>
        <w:t>bm</w:t>
      </w:r>
      <w:r>
        <w:rPr/>
        <w:t xml:space="preserve"> schrie </w:t>
      </w:r>
      <w:r>
        <w:rPr>
          <w:color w:val="808080"/>
        </w:rPr>
        <w:t>(schluchzte)</w:t>
      </w:r>
      <w:r>
        <w:rPr/>
        <w:t xml:space="preserve"> </w:t>
      </w:r>
      <w:r>
        <w:rPr>
          <w:rStyle w:val="Funotenanker"/>
        </w:rPr>
        <w:footnoteReference w:customMarkFollows="1" w:id="4240"/>
        <w:t>bn</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4241"/>
        <w:t>bo</w:t>
      </w:r>
      <w:r>
        <w:rPr/>
        <w:t xml:space="preserve">, </w:t>
      </w:r>
      <w:r>
        <w:rPr>
          <w:rStyle w:val="Funotenanker"/>
        </w:rPr>
        <w:footnoteReference w:customMarkFollows="1" w:id="4242"/>
        <w:t>bp</w:t>
      </w:r>
      <w:r>
        <w:rPr/>
        <w:t xml:space="preserve"> gebot er dem unreinen Geist </w:t>
      </w:r>
      <w:r>
        <w:rPr>
          <w:strike/>
          <w:color w:val="808080"/>
        </w:rPr>
        <w:t>{und sagte zu ihm}</w:t>
      </w:r>
      <w:r>
        <w:rPr/>
        <w:t xml:space="preserve">: „Du stummer und tauber Geist, </w:t>
      </w:r>
      <w:r>
        <w:rPr>
          <w:rStyle w:val="Funotenanker"/>
        </w:rPr>
        <w:footnoteReference w:customMarkFollows="1" w:id="4243"/>
        <w:t>bq</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4244"/>
        <w:t>br</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4245"/>
        <w:t>bs</w:t>
      </w:r>
      <w:r>
        <w:rPr/>
        <w:t xml:space="preserve"> wie tot, daher </w:t>
      </w:r>
      <w:r>
        <w:rPr>
          <w:color w:val="808080"/>
        </w:rPr>
        <w:t>(sodass)</w:t>
      </w:r>
      <w:r>
        <w:rPr/>
        <w:t xml:space="preserve"> </w:t>
      </w:r>
      <w:r>
        <w:rPr>
          <w:rStyle w:val="Funotenanker"/>
        </w:rPr>
        <w:footnoteReference w:customMarkFollows="1" w:id="4246"/>
        <w:t>bt</w:t>
      </w:r>
      <w:r>
        <w:rPr/>
        <w:t xml:space="preserve"> die Meisten </w:t>
      </w:r>
      <w:r>
        <w:rPr>
          <w:color w:val="808080"/>
        </w:rPr>
        <w:t>(die Menge)</w:t>
      </w:r>
      <w:r>
        <w:rPr/>
        <w:t xml:space="preserve"> </w:t>
      </w:r>
      <w:r>
        <w:rPr>
          <w:rStyle w:val="Funotenanker"/>
        </w:rPr>
        <w:footnoteReference w:customMarkFollows="1" w:id="4247"/>
        <w:t>bu</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4248"/>
        <w:t>bv</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4249"/>
        <w:t>bw</w:t>
      </w:r>
      <w:r>
        <w:rPr/>
        <w:t xml:space="preserve"> „Dass wir ihn nicht austreiben konnten </w:t>
      </w:r>
      <w:r>
        <w:rPr>
          <w:color w:val="808080"/>
        </w:rPr>
        <w:t>(Warum konnten wir ihn nicht austreiben)</w:t>
      </w:r>
      <w:r>
        <w:rPr/>
        <w:t xml:space="preserve">?“ </w:t>
      </w:r>
      <w:r>
        <w:rPr>
          <w:rStyle w:val="Funotenanker"/>
        </w:rPr>
        <w:footnoteReference w:customMarkFollows="1" w:id="4250"/>
        <w:t>bx</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4251"/>
        <w:t>by</w:t>
      </w:r>
      <w:r>
        <w:rPr/>
        <w:t xml:space="preserve"> außer durch Gebet.“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4252"/>
        <w:t>bz</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4253"/>
        <w:t>ca</w:t>
      </w:r>
      <w:r>
        <w:rPr/>
        <w:t xml:space="preserve"> seine Jünger und sagte zu ihnen: „Der Menschensohn ist in die Hände der Menschen </w:t>
      </w:r>
      <w:r>
        <w:rPr>
          <w:rStyle w:val="Funotenanker"/>
        </w:rPr>
        <w:footnoteReference w:customMarkFollows="1" w:id="4254"/>
        <w:t>cb</w:t>
      </w:r>
      <w:r>
        <w:rPr/>
        <w:t xml:space="preserve"> ausgeliefert </w:t>
      </w:r>
      <w:r>
        <w:rPr>
          <w:color w:val="808080"/>
        </w:rPr>
        <w:t>(wird ausgeliefert werden)</w:t>
      </w:r>
      <w:r>
        <w:rPr/>
        <w:t xml:space="preserve">, </w:t>
      </w:r>
      <w:r>
        <w:rPr>
          <w:rStyle w:val="Funotenanker"/>
        </w:rPr>
        <w:footnoteReference w:customMarkFollows="1" w:id="4255"/>
        <w:t>cc</w:t>
      </w:r>
      <w:r>
        <w:rPr/>
        <w:t xml:space="preserve"> und sie werden ihn töten, und nachdem </w:t>
      </w:r>
      <w:r>
        <w:rPr>
          <w:color w:val="808080"/>
        </w:rPr>
        <w:t>(obwohl)</w:t>
      </w:r>
      <w:r>
        <w:rPr/>
        <w:t xml:space="preserve"> </w:t>
      </w:r>
      <w:r>
        <w:rPr>
          <w:rStyle w:val="Funotenanker"/>
        </w:rPr>
        <w:footnoteReference w:customMarkFollows="1" w:id="4256"/>
        <w:t>cd</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4257"/>
        <w:t>ce</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4258"/>
        <w:t>cf</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4259"/>
        <w:t>cg</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4260"/>
        <w:t>ch</w:t>
      </w:r>
      <w:r>
        <w:rPr/>
        <w:t xml:space="preserve"> „Wenn jemand der Erste sein will, wird </w:t>
      </w:r>
      <w:r>
        <w:rPr>
          <w:color w:val="808080"/>
        </w:rPr>
        <w:t>(muss)</w:t>
      </w:r>
      <w:r>
        <w:rPr/>
        <w:t xml:space="preserve"> </w:t>
      </w:r>
      <w:r>
        <w:rPr>
          <w:rStyle w:val="Funotenanker"/>
        </w:rPr>
        <w:footnoteReference w:customMarkFollows="1" w:id="4261"/>
        <w:t>ci</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4262"/>
        <w:t>cj</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4263"/>
        <w:t>ck</w:t>
      </w:r>
      <w:r>
        <w:rPr/>
        <w:t xml:space="preserve"> aufnimmt, nimmt mich auf, und wer mich aufnimmt, nimmt nicht mich auf, sondern </w:t>
      </w:r>
      <w:r>
        <w:rPr>
          <w:color w:val="808080"/>
        </w:rPr>
        <w:t>(vielmehr)</w:t>
      </w:r>
      <w:r>
        <w:rPr/>
        <w:t xml:space="preserve"> </w:t>
      </w:r>
      <w:r>
        <w:rPr>
          <w:rStyle w:val="Funotenanker"/>
        </w:rPr>
        <w:footnoteReference w:customMarkFollows="1" w:id="4264"/>
        <w:t>cl</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4265"/>
        <w:t>cm</w:t>
      </w:r>
      <w:r>
        <w:rPr/>
        <w:t xml:space="preserve"> Wir hinderten ihn daran </w:t>
      </w:r>
      <w:r>
        <w:rPr>
          <w:color w:val="808080"/>
        </w:rPr>
        <w:t>(haben versucht, ihn daran hindern)</w:t>
      </w:r>
      <w:r>
        <w:rPr/>
        <w:t xml:space="preserve">, </w:t>
      </w:r>
      <w:r>
        <w:rPr>
          <w:rStyle w:val="Funotenanker"/>
        </w:rPr>
        <w:footnoteReference w:customMarkFollows="1" w:id="4266"/>
        <w:t>cn</w:t>
      </w:r>
      <w:r>
        <w:rPr/>
        <w:t xml:space="preserve"> weil er uns nicht folgt </w:t>
      </w:r>
      <w:r>
        <w:rPr>
          <w:color w:val="808080"/>
        </w:rPr>
        <w:t>(nicht zu uns gehört)</w:t>
      </w:r>
      <w:r>
        <w:rPr/>
        <w:t xml:space="preserve">. </w:t>
      </w:r>
      <w:r>
        <w:rPr>
          <w:rStyle w:val="Funotenanker"/>
        </w:rPr>
        <w:footnoteReference w:customMarkFollows="1" w:id="4267"/>
        <w:t>co</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4268"/>
        <w:t>cp</w:t>
      </w:r>
      <w:r>
        <w:rPr/>
        <w:t xml:space="preserve"> wirkt und schnell </w:t>
      </w:r>
      <w:r>
        <w:rPr>
          <w:rStyle w:val="Funotenanker"/>
        </w:rPr>
        <w:footnoteReference w:customMarkFollows="1" w:id="4269"/>
        <w:t>cq</w:t>
      </w:r>
      <w:r>
        <w:rPr/>
        <w:t xml:space="preserve"> schlecht von mir zu sprechen vermag </w:t>
      </w:r>
      <w:r>
        <w:rPr>
          <w:color w:val="808080"/>
        </w:rPr>
        <w:t>(von mir sprechen kann)</w:t>
      </w:r>
      <w:r>
        <w:rPr/>
        <w:t xml:space="preserve">. </w:t>
      </w:r>
      <w:r>
        <w:rPr>
          <w:rStyle w:val="Funotenanker"/>
        </w:rPr>
        <w:footnoteReference w:customMarkFollows="1" w:id="4270"/>
        <w:t>cr</w:t>
      </w:r>
      <w:r>
        <w:rPr/>
        <w:t xml:space="preserve"> {{field-off:bible}} </w:t>
        <w:br/>
        <w:t>[[@BibleTOBIBLE:Mk 9:40]]</w:t>
      </w:r>
      <w:r>
        <w:rPr>
          <w:b/>
        </w:rPr>
        <w:t>40</w:t>
      </w:r>
      <w:r>
        <w:rPr/>
        <w:t xml:space="preserve"> {{field-on:bible}}Denn wer nicht gegen uns ist, ist für uns </w:t>
      </w:r>
      <w:r>
        <w:rPr>
          <w:rStyle w:val="Funotenanker"/>
        </w:rPr>
        <w:footnoteReference w:customMarkFollows="1" w:id="4271"/>
        <w:t>cs</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4272"/>
        <w:t>ct</w:t>
      </w:r>
      <w:r>
        <w:rPr/>
        <w:t xml:space="preserve"> „</w:t>
      </w:r>
      <w:r>
        <w:rPr>
          <w:strike/>
          <w:color w:val="808080"/>
        </w:rPr>
        <w:t>{Denn}</w:t>
      </w:r>
      <w:r>
        <w:rPr/>
        <w:t xml:space="preserve"> </w:t>
      </w:r>
      <w:r>
        <w:rPr>
          <w:rStyle w:val="Funotenanker"/>
        </w:rPr>
        <w:footnoteReference w:customMarkFollows="1" w:id="4273"/>
        <w:t>cu</w:t>
      </w:r>
      <w:r>
        <w:rPr/>
        <w:t xml:space="preserve"> Wer euch </w:t>
      </w:r>
      <w:r>
        <w:rPr>
          <w:b/>
          <w:color w:val="808080"/>
        </w:rPr>
        <w:t>[</w:t>
      </w:r>
      <w:r>
        <w:rPr/>
        <w:t>auch nur</w:t>
      </w:r>
      <w:r>
        <w:rPr>
          <w:b/>
          <w:color w:val="808080"/>
        </w:rPr>
        <w:t>]</w:t>
      </w:r>
      <w:r>
        <w:rPr/>
        <w:t xml:space="preserve"> </w:t>
      </w:r>
      <w:r>
        <w:rPr>
          <w:rStyle w:val="Funotenanker"/>
        </w:rPr>
        <w:footnoteReference w:customMarkFollows="1" w:id="4274"/>
        <w:t>cv</w:t>
      </w:r>
      <w:r>
        <w:rPr/>
        <w:t xml:space="preserve"> einen Becher Wasser zu trinken gibt, </w:t>
      </w:r>
      <w:r>
        <w:rPr>
          <w:rStyle w:val="Funotenanker"/>
        </w:rPr>
        <w:footnoteReference w:customMarkFollows="1" w:id="4275"/>
        <w:t>cw</w:t>
      </w:r>
      <w:r>
        <w:rPr/>
        <w:t xml:space="preserve"> weil </w:t>
      </w:r>
      <w:r>
        <w:rPr>
          <w:color w:val="808080"/>
        </w:rPr>
        <w:t>(im Namen, dass)</w:t>
      </w:r>
      <w:r>
        <w:rPr/>
        <w:t xml:space="preserve"> </w:t>
      </w:r>
      <w:r>
        <w:rPr>
          <w:rStyle w:val="Funotenanker"/>
        </w:rPr>
        <w:footnoteReference w:customMarkFollows="1" w:id="4276"/>
        <w:t>cx</w:t>
      </w:r>
      <w:r>
        <w:rPr/>
        <w:t xml:space="preserve"> ihr zu Christus gehört - Amen, ich sage euch </w:t>
      </w:r>
      <w:r>
        <w:rPr>
          <w:rStyle w:val="Funotenanker"/>
        </w:rPr>
        <w:footnoteReference w:customMarkFollows="1" w:id="4277"/>
        <w:t>cy</w:t>
      </w:r>
      <w:r>
        <w:rPr/>
        <w:t xml:space="preserve"> - der wird seinen Lohn nicht verlieren </w:t>
      </w:r>
      <w:r>
        <w:rPr>
          <w:color w:val="808080"/>
        </w:rPr>
        <w:t>(wird ihn bekommen)</w:t>
      </w:r>
      <w:r>
        <w:rPr/>
        <w:t xml:space="preserve">. </w:t>
      </w:r>
      <w:r>
        <w:rPr>
          <w:rStyle w:val="Funotenanker"/>
        </w:rPr>
        <w:footnoteReference w:customMarkFollows="1" w:id="4278"/>
        <w:t>cz</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4279"/>
        <w:t>da</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4280"/>
        <w:t>db</w:t>
      </w:r>
      <w:r>
        <w:rPr/>
        <w:t xml:space="preserve"> die an mich </w:t>
      </w:r>
      <w:r>
        <w:rPr>
          <w:color w:val="808080"/>
        </w:rPr>
        <w:t>(</w:t>
      </w:r>
      <w:r>
        <w:rPr>
          <w:strike/>
          <w:color w:val="808080"/>
        </w:rPr>
        <w:t>{an mich}</w:t>
      </w:r>
      <w:r>
        <w:rPr>
          <w:color w:val="808080"/>
        </w:rPr>
        <w:t>)</w:t>
      </w:r>
      <w:r>
        <w:rPr/>
        <w:t xml:space="preserve"> glauben, ärgert </w:t>
      </w:r>
      <w:r>
        <w:rPr>
          <w:color w:val="808080"/>
        </w:rPr>
        <w:t>(vom Glauben abbringt)</w:t>
      </w:r>
      <w:r>
        <w:rPr/>
        <w:t xml:space="preserve"> </w:t>
      </w:r>
      <w:r>
        <w:rPr>
          <w:rStyle w:val="Funotenanker"/>
        </w:rPr>
        <w:footnoteReference w:customMarkFollows="1" w:id="4281"/>
        <w:t>dc</w:t>
      </w:r>
      <w:r>
        <w:rPr/>
        <w:t xml:space="preserve"> - für den ist </w:t>
      </w:r>
      <w:r>
        <w:rPr>
          <w:color w:val="808080"/>
        </w:rPr>
        <w:t>(wäre)</w:t>
      </w:r>
      <w:r>
        <w:rPr/>
        <w:t xml:space="preserve"> </w:t>
      </w:r>
      <w:r>
        <w:rPr>
          <w:rStyle w:val="Funotenanker"/>
        </w:rPr>
        <w:footnoteReference w:customMarkFollows="1" w:id="4282"/>
        <w:t>dd</w:t>
      </w:r>
      <w:r>
        <w:rPr/>
        <w:t xml:space="preserve"> es gut </w:t>
      </w:r>
      <w:r>
        <w:rPr>
          <w:color w:val="808080"/>
        </w:rPr>
        <w:t>(besser)</w:t>
      </w:r>
      <w:r>
        <w:rPr/>
        <w:t xml:space="preserve">, </w:t>
      </w:r>
      <w:r>
        <w:rPr>
          <w:rStyle w:val="Funotenanker"/>
        </w:rPr>
        <w:footnoteReference w:customMarkFollows="1" w:id="4283"/>
        <w:t>de</w:t>
      </w:r>
      <w:r>
        <w:rPr/>
        <w:t xml:space="preserve"> wenn ein Eselsmühlstein um seinen Hals gehängt und er ins Meer geworfen würde. </w:t>
      </w:r>
      <w:r>
        <w:rPr>
          <w:rStyle w:val="Funotenanker"/>
        </w:rPr>
        <w:footnoteReference w:customMarkFollows="1" w:id="4284"/>
        <w:t>df</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4285"/>
        <w:t>dg</w:t>
      </w:r>
      <w:r>
        <w:rPr/>
        <w:t xml:space="preserve"> hau sie ab! </w:t>
      </w:r>
      <w:r>
        <w:rPr>
          <w:b/>
          <w:color w:val="808080"/>
        </w:rPr>
        <w:t>[</w:t>
      </w:r>
      <w:r>
        <w:rPr/>
        <w:t>Denn</w:t>
      </w:r>
      <w:r>
        <w:rPr>
          <w:b/>
          <w:color w:val="808080"/>
        </w:rPr>
        <w:t>]</w:t>
      </w:r>
      <w:r>
        <w:rPr/>
        <w:t xml:space="preserve"> </w:t>
      </w:r>
      <w:r>
        <w:rPr>
          <w:rStyle w:val="Funotenanker"/>
        </w:rPr>
        <w:footnoteReference w:customMarkFollows="1" w:id="4286"/>
        <w:t>dh</w:t>
      </w:r>
      <w:r>
        <w:rPr/>
        <w:t xml:space="preserve"> es ist gut </w:t>
      </w:r>
      <w:r>
        <w:rPr>
          <w:color w:val="808080"/>
        </w:rPr>
        <w:t>(besser)</w:t>
      </w:r>
      <w:r>
        <w:rPr/>
        <w:t xml:space="preserve">, dass du verstümmelt in das Leben </w:t>
      </w:r>
      <w:r>
        <w:rPr>
          <w:rStyle w:val="Funotenanker"/>
        </w:rPr>
        <w:footnoteReference w:customMarkFollows="1" w:id="4287"/>
        <w:t>di</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4288"/>
        <w:t>dj</w:t>
      </w:r>
      <w:r>
        <w:rPr/>
        <w:t xml:space="preserve"> einzugehen </w:t>
      </w:r>
      <w:r>
        <w:rPr>
          <w:color w:val="808080"/>
        </w:rPr>
        <w:t>(geworfen zu werden)</w:t>
      </w:r>
      <w:r>
        <w:rPr/>
        <w:t xml:space="preserve">: </w:t>
      </w:r>
      <w:r>
        <w:rPr>
          <w:rStyle w:val="Funotenanker"/>
        </w:rPr>
        <w:footnoteReference w:customMarkFollows="1" w:id="4289"/>
        <w:t>dk</w:t>
      </w:r>
      <w:r>
        <w:rPr/>
        <w:t xml:space="preserve"> in das unauslöschliche Feuer, </w:t>
      </w:r>
      <w:r>
        <w:rPr>
          <w:rStyle w:val="Funotenanker"/>
        </w:rPr>
        <w:footnoteReference w:customMarkFollows="1" w:id="4290"/>
        <w:t>dl</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4291"/>
        <w:t>dm</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4292"/>
        <w:t>dn</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4293"/>
        <w:t>do</w:t>
      </w:r>
      <w:r>
        <w:rPr/>
        <w:t xml:space="preserve"> Jeder wird mit Feuer gesalzen werden. </w:t>
      </w:r>
      <w:r>
        <w:rPr>
          <w:rStyle w:val="Funotenanker"/>
        </w:rPr>
        <w:footnoteReference w:customMarkFollows="1" w:id="4294"/>
        <w:t>dp</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4295"/>
        <w:t>dq</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4296"/>
        <w:t>dr</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4297"/>
        <w:t>ds</w:t>
      </w:r>
      <w:r>
        <w:rPr/>
        <w:t xml:space="preserve"> euch, und haltet </w:t>
      </w:r>
      <w:r>
        <w:rPr>
          <w:b/>
          <w:color w:val="808080"/>
        </w:rPr>
        <w:t>[</w:t>
      </w:r>
      <w:r>
        <w:rPr/>
        <w:t>so</w:t>
      </w:r>
      <w:r>
        <w:rPr>
          <w:b/>
          <w:color w:val="808080"/>
        </w:rPr>
        <w:t>]</w:t>
      </w:r>
      <w:r>
        <w:rPr/>
        <w:t xml:space="preserve"> </w:t>
      </w:r>
      <w:r>
        <w:rPr>
          <w:rStyle w:val="Funotenanker"/>
        </w:rPr>
        <w:footnoteReference w:customMarkFollows="1" w:id="4298"/>
        <w:t>dt</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4299"/>
        <w:t>Status</w:t>
      </w:r>
      <w:r>
        <w:rPr/>
        <w:t xml:space="preserve"> Und von dort brach </w:t>
      </w:r>
      <w:r>
        <w:rPr>
          <w:color w:val="808080"/>
        </w:rPr>
        <w:t>(stand)</w:t>
      </w:r>
      <w:r>
        <w:rPr/>
        <w:t xml:space="preserve"> er auf und </w:t>
      </w:r>
      <w:r>
        <w:rPr>
          <w:rStyle w:val="Funotenanker"/>
        </w:rPr>
        <w:footnoteReference w:customMarkFollows="1" w:id="4300"/>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301"/>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4302"/>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4303"/>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4304"/>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4305"/>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4306"/>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4307"/>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4308"/>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4309"/>
        <w:t>j</w:t>
      </w:r>
      <w:r>
        <w:rPr/>
        <w:t xml:space="preserve"> aber die Jünger wiesen sie unfreundlich ab </w:t>
      </w:r>
      <w:r>
        <w:rPr>
          <w:color w:val="808080"/>
        </w:rPr>
        <w:t>(schimpften sie)</w:t>
      </w:r>
      <w:r>
        <w:rPr/>
        <w:t xml:space="preserve"> </w:t>
      </w:r>
      <w:r>
        <w:rPr>
          <w:rStyle w:val="Funotenanker"/>
        </w:rPr>
        <w:footnoteReference w:customMarkFollows="1" w:id="4310"/>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4311"/>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4312"/>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4313"/>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4314"/>
        <w:t>o</w:t>
      </w:r>
      <w:r>
        <w:rPr/>
        <w:t xml:space="preserve"> segnete sie, indem er ihnen die Hände auflegte. </w:t>
      </w:r>
      <w:r>
        <w:rPr>
          <w:rStyle w:val="Funotenanker"/>
        </w:rPr>
        <w:footnoteReference w:customMarkFollows="1" w:id="4315"/>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4316"/>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4317"/>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4318"/>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4319"/>
        <w:t>t</w:t>
      </w:r>
      <w:r>
        <w:rPr/>
        <w:t xml:space="preserve"> gewann ihn lieb </w:t>
      </w:r>
      <w:r>
        <w:rPr>
          <w:rStyle w:val="Funotenanker"/>
        </w:rPr>
        <w:footnoteReference w:customMarkFollows="1" w:id="4320"/>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4321"/>
        <w:t>v</w:t>
      </w:r>
      <w:r>
        <w:rPr/>
        <w:t xml:space="preserve"> über diese Forderung </w:t>
      </w:r>
      <w:r>
        <w:rPr>
          <w:color w:val="808080"/>
        </w:rPr>
        <w:t>(das Gesagte; Wort)</w:t>
      </w:r>
      <w:r>
        <w:rPr/>
        <w:t xml:space="preserve"> und </w:t>
      </w:r>
      <w:r>
        <w:rPr>
          <w:rStyle w:val="Funotenanker"/>
        </w:rPr>
        <w:footnoteReference w:customMarkFollows="1" w:id="4322"/>
        <w:t>w</w:t>
      </w:r>
      <w:r>
        <w:rPr/>
        <w:t xml:space="preserve"> ging traurig davon, denn er besaß </w:t>
      </w:r>
      <w:r>
        <w:rPr>
          <w:rStyle w:val="Funotenanker"/>
        </w:rPr>
        <w:footnoteReference w:customMarkFollows="1" w:id="4323"/>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4324"/>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4325"/>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4326"/>
        <w:t>aa</w:t>
      </w:r>
      <w:r>
        <w:rPr/>
        <w:t xml:space="preserve">. Doch Jesus sagte noch einmal zu ihnen </w:t>
      </w:r>
      <w:r>
        <w:rPr>
          <w:rStyle w:val="Funotenanker"/>
        </w:rPr>
        <w:footnoteReference w:customMarkFollows="1" w:id="4327"/>
        <w:t>ab</w:t>
      </w:r>
      <w:r>
        <w:rPr/>
        <w:t xml:space="preserve">: »Kinder </w:t>
      </w:r>
      <w:r>
        <w:rPr>
          <w:rStyle w:val="Funotenanker"/>
        </w:rPr>
        <w:footnoteReference w:customMarkFollows="1" w:id="4328"/>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4329"/>
        <w:t>ad</w:t>
      </w:r>
      <w:r>
        <w:rPr/>
        <w:t xml:space="preserve">, durch das Nadelöhr </w:t>
      </w:r>
      <w:r>
        <w:rPr>
          <w:rStyle w:val="Funotenanker"/>
        </w:rPr>
        <w:footnoteReference w:customMarkFollows="1" w:id="4330"/>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4331"/>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4332"/>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4333"/>
        <w:t>ah</w:t>
      </w:r>
      <w:r>
        <w:rPr/>
        <w:t xml:space="preserve"> zu ihm: »Du weißt </w:t>
      </w:r>
      <w:r>
        <w:rPr>
          <w:color w:val="808080"/>
        </w:rPr>
        <w:t>(Siehe)</w:t>
      </w:r>
      <w:r>
        <w:rPr/>
        <w:t xml:space="preserve">, </w:t>
      </w:r>
      <w:r>
        <w:rPr>
          <w:rStyle w:val="Funotenanker"/>
        </w:rPr>
        <w:footnoteReference w:customMarkFollows="1" w:id="4334"/>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4335"/>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4336"/>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4337"/>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ihnen voran, </w:t>
      </w:r>
      <w:r>
        <w:rPr>
          <w:rStyle w:val="Funotenanker"/>
        </w:rPr>
        <w:footnoteReference w:customMarkFollows="1" w:id="4338"/>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4339"/>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4340"/>
        <w:t>ao</w:t>
      </w:r>
      <w:r>
        <w:rPr/>
        <w:t xml:space="preserve"> bekamen Angst. Da </w:t>
      </w:r>
      <w:r>
        <w:rPr>
          <w:color w:val="808080"/>
        </w:rPr>
        <w:t>(und)</w:t>
      </w:r>
      <w:r>
        <w:rPr/>
        <w:t xml:space="preserve"> nahm er die Zwölf noch einmal beiseite und teilte ihnen mit </w:t>
      </w:r>
      <w:r>
        <w:rPr>
          <w:rStyle w:val="Funotenanker"/>
        </w:rPr>
        <w:footnoteReference w:customMarkFollows="1" w:id="4341"/>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4342"/>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4343"/>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4344"/>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4345"/>
        <w:t>at</w:t>
      </w:r>
      <w:r>
        <w:rPr/>
        <w:t xml:space="preserve"> tun soll?«{{field-off:bible}} </w:t>
        <w:br/>
        <w:t>[[@BibleTOBIBLE:Mk 10:37]]</w:t>
      </w:r>
      <w:r>
        <w:rPr>
          <w:b/>
        </w:rPr>
        <w:t>37</w:t>
      </w:r>
      <w:r>
        <w:rPr/>
        <w:t xml:space="preserve"> {{field-on:bible}}Sie sagten zu ihm: »Gewähre uns </w:t>
      </w:r>
      <w:r>
        <w:rPr>
          <w:rStyle w:val="Funotenanker"/>
        </w:rPr>
        <w:footnoteReference w:customMarkFollows="1" w:id="4346"/>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4347"/>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 oder </w:t>
      </w:r>
      <w:r>
        <w:rPr>
          <w:b/>
          <w:color w:val="808080"/>
        </w:rPr>
        <w:t>[</w:t>
      </w:r>
      <w:r>
        <w:rPr/>
        <w:t>mit</w:t>
      </w:r>
      <w:r>
        <w:rPr>
          <w:b/>
          <w:color w:val="808080"/>
        </w:rPr>
        <w:t>]</w:t>
      </w:r>
      <w:r>
        <w:rPr/>
        <w:t xml:space="preserve"> der Taufe getauft werden </w:t>
      </w:r>
      <w:r>
        <w:rPr>
          <w:rStyle w:val="Funotenanker"/>
        </w:rPr>
        <w:footnoteReference w:customMarkFollows="1" w:id="4348"/>
        <w:t>aw</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4349"/>
        <w:t>ax</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4350"/>
        <w:t>ay</w:t>
      </w:r>
      <w:r>
        <w:rPr/>
        <w:t xml:space="preserve"> {{field-off:bible}} </w:t>
        <w:br/>
        <w:t>[[@BibleTOBIBLE:Mk 10:41]]</w:t>
      </w:r>
      <w:r>
        <w:rPr>
          <w:b/>
        </w:rPr>
        <w:t>41</w:t>
      </w:r>
      <w:r>
        <w:rPr/>
        <w:t xml:space="preserve"> {{field-on:bible}}Und als die zehn </w:t>
      </w:r>
      <w:r>
        <w:rPr>
          <w:b/>
          <w:color w:val="808080"/>
        </w:rPr>
        <w:t>[</w:t>
      </w:r>
      <w:r>
        <w:rPr/>
        <w:t>anderen Jünger das</w:t>
      </w:r>
      <w:r>
        <w:rPr>
          <w:b/>
          <w:color w:val="808080"/>
        </w:rPr>
        <w:t>]</w:t>
      </w:r>
      <w:r>
        <w:rPr/>
        <w:t xml:space="preserve"> hörten, </w:t>
      </w:r>
      <w:r>
        <w:rPr>
          <w:rStyle w:val="Funotenanker"/>
        </w:rPr>
        <w:footnoteReference w:customMarkFollows="1" w:id="4351"/>
        <w:t>az</w:t>
      </w:r>
      <w:r>
        <w:rPr/>
        <w:t xml:space="preserve"> waren sie wütend </w:t>
      </w:r>
      <w:r>
        <w:rPr>
          <w:color w:val="808080"/>
        </w:rPr>
        <w:t>(ärgerten sie sich)</w:t>
      </w:r>
      <w:r>
        <w:rPr/>
        <w:t xml:space="preserve"> </w:t>
      </w:r>
      <w:r>
        <w:rPr>
          <w:rStyle w:val="Funotenanker"/>
        </w:rPr>
        <w:footnoteReference w:customMarkFollows="1" w:id="4352"/>
        <w:t>ba</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4353"/>
        <w:t>bb</w:t>
      </w:r>
      <w:r>
        <w:rPr/>
        <w:t xml:space="preserve"> die Menschen </w:t>
      </w:r>
      <w:r>
        <w:rPr>
          <w:rStyle w:val="Funotenanker"/>
        </w:rPr>
        <w:footnoteReference w:customMarkFollows="1" w:id="4354"/>
        <w:t>bc</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4355"/>
        <w:t>bd</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4356"/>
        <w:t>be</w:t>
      </w:r>
      <w:r>
        <w:rPr/>
        <w:t xml:space="preserve"> ein blinder Bettler, am Straßenrand </w:t>
      </w:r>
      <w:r>
        <w:rPr>
          <w:rStyle w:val="Funotenanker"/>
        </w:rPr>
        <w:footnoteReference w:customMarkFollows="1" w:id="4357"/>
        <w:t>bf</w:t>
      </w:r>
      <w:r>
        <w:rPr/>
        <w:t xml:space="preserve">,{{field-off:bible}} </w:t>
        <w:br/>
        <w:t>[[@BibleTOBIBLE:Mk 10:47]]</w:t>
      </w:r>
      <w:r>
        <w:rPr>
          <w:b/>
        </w:rPr>
        <w:t>47</w:t>
      </w:r>
      <w:r>
        <w:rPr/>
        <w:t xml:space="preserve"> {{field-on:bible}}Und als er hörte, </w:t>
      </w:r>
      <w:r>
        <w:rPr>
          <w:rStyle w:val="Funotenanker"/>
        </w:rPr>
        <w:footnoteReference w:customMarkFollows="1" w:id="4358"/>
        <w:t>bg</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4359"/>
        <w:t>bh</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4360"/>
        <w:t>bi</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4361"/>
        <w:t>bj</w:t>
      </w:r>
      <w:r>
        <w:rPr/>
        <w:t xml:space="preserve"> kam zu Jesus.{{field-off:bible}} </w:t>
        <w:br/>
        <w:t>[[@BibleTOBIBLE:Mk 10:51]]</w:t>
      </w:r>
      <w:r>
        <w:rPr>
          <w:b/>
        </w:rPr>
        <w:t>51</w:t>
      </w:r>
      <w:r>
        <w:rPr/>
        <w:t xml:space="preserve"> {{field-on:bible}}Und Jesus fragte ihn </w:t>
      </w:r>
      <w:r>
        <w:rPr>
          <w:rStyle w:val="Funotenanker"/>
        </w:rPr>
        <w:footnoteReference w:customMarkFollows="1" w:id="4362"/>
        <w:t>bk</w:t>
      </w:r>
      <w:r>
        <w:rPr/>
        <w:t xml:space="preserve">: »Was willst du, dass ich für dich tue?« Da sagte der Blinde zu ihm: »Rabbuni </w:t>
      </w:r>
      <w:r>
        <w:rPr>
          <w:rStyle w:val="Funotenanker"/>
        </w:rPr>
        <w:footnoteReference w:customMarkFollows="1" w:id="4363"/>
        <w:t>bl</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4364"/>
        <w:t>bm</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4365"/>
        <w:t>bn</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4366"/>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4367"/>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4368"/>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4369"/>
        <w:t>c</w:t>
      </w:r>
      <w:r>
        <w:rPr/>
        <w:t xml:space="preserve"> werdet ihr ein Eselsfohlen </w:t>
      </w:r>
      <w:r>
        <w:rPr>
          <w:color w:val="808080"/>
        </w:rPr>
        <w:t>(Fohlen)</w:t>
      </w:r>
      <w:r>
        <w:rPr/>
        <w:t xml:space="preserve"> </w:t>
      </w:r>
      <w:r>
        <w:rPr>
          <w:rStyle w:val="Funotenanker"/>
        </w:rPr>
        <w:footnoteReference w:customMarkFollows="1" w:id="4370"/>
        <w:t>d</w:t>
      </w:r>
      <w:r>
        <w:rPr/>
        <w:t xml:space="preserve"> angebunden finden, auf dem noch nie ein Mensch </w:t>
      </w:r>
      <w:r>
        <w:rPr>
          <w:rStyle w:val="Funotenanker"/>
        </w:rPr>
        <w:footnoteReference w:customMarkFollows="1" w:id="4371"/>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4372"/>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4373"/>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4374"/>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4375"/>
        <w:t>i</w:t>
      </w:r>
      <w:r>
        <w:rPr/>
        <w:t xml:space="preserve">: „Hosanna! </w:t>
      </w:r>
      <w:r>
        <w:rPr>
          <w:rStyle w:val="Funotenanker"/>
        </w:rPr>
        <w:footnoteReference w:customMarkFollows="1" w:id="4376"/>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4377"/>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4378"/>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4379"/>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4380"/>
        <w:t>n</w:t>
      </w:r>
      <w:r>
        <w:rPr/>
        <w:t xml:space="preserve"> „Nie mehr, bis in Ewigkeit, soll jemand </w:t>
      </w:r>
      <w:r>
        <w:rPr>
          <w:rStyle w:val="Funotenanker"/>
        </w:rPr>
        <w:footnoteReference w:customMarkFollows="1" w:id="4381"/>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4382"/>
        <w:t>p</w:t>
      </w:r>
      <w:r>
        <w:rPr/>
        <w:t xml:space="preserve"> ging er in den Tempel </w:t>
      </w:r>
      <w:r>
        <w:rPr>
          <w:color w:val="808080"/>
        </w:rPr>
        <w:t>(Tempelbezirk)</w:t>
      </w:r>
      <w:r>
        <w:rPr/>
        <w:t xml:space="preserve"> und </w:t>
      </w:r>
      <w:r>
        <w:rPr>
          <w:rStyle w:val="Funotenanker"/>
        </w:rPr>
        <w:footnoteReference w:customMarkFollows="1" w:id="4383"/>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4384"/>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4385"/>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4386"/>
        <w:t>t</w:t>
      </w:r>
      <w:r>
        <w:rPr/>
        <w:t xml:space="preserve"> „Heißt es nicht </w:t>
      </w:r>
      <w:r>
        <w:rPr>
          <w:color w:val="808080"/>
        </w:rPr>
        <w:t>(Steht nicht geschrieben)</w:t>
      </w:r>
      <w:r>
        <w:rPr/>
        <w:t>: »Mein Haus wird ein Haus des Gebets für alle Völker</w:t>
      </w:r>
      <w:r>
        <w:rPr>
          <w:rStyle w:val="Funotenanker"/>
        </w:rPr>
        <w:footnoteReference w:customMarkFollows="1" w:id="4387"/>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4388"/>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4389"/>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4390"/>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4391"/>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4392"/>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4393"/>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4394"/>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4395"/>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4396"/>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4397"/>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4398"/>
        <w:t>af</w:t>
      </w:r>
      <w:r>
        <w:rPr/>
        <w:t xml:space="preserve"> dann werden sie </w:t>
      </w:r>
      <w:r>
        <w:rPr>
          <w:strike/>
          <w:color w:val="808080"/>
        </w:rPr>
        <w:t>{für euch}</w:t>
      </w:r>
      <w:r>
        <w:rPr/>
        <w:t xml:space="preserve"> eintreffen. </w:t>
      </w:r>
      <w:r>
        <w:rPr>
          <w:rStyle w:val="Funotenanker"/>
        </w:rPr>
        <w:footnoteReference w:customMarkFollows="1" w:id="4399"/>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4400"/>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4401"/>
        <w:t>ai</w:t>
      </w:r>
      <w:r>
        <w:rPr/>
        <w:t xml:space="preserve">«{{field-off:bible}}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4402"/>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4403"/>
        <w:t>ak</w:t>
      </w:r>
      <w:r>
        <w:rPr/>
        <w:t xml:space="preserve"> </w:t>
      </w:r>
      <w:r>
        <w:rPr>
          <w:strike/>
          <w:color w:val="808080"/>
        </w:rPr>
        <w:t>{und}</w:t>
      </w:r>
      <w:r>
        <w:rPr/>
        <w:t xml:space="preserve"> Antwortet mir, </w:t>
      </w:r>
      <w:r>
        <w:rPr>
          <w:rStyle w:val="Funotenanker"/>
        </w:rPr>
        <w:footnoteReference w:customMarkFollows="1" w:id="4404"/>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4405"/>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4406"/>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t xml:space="preserve">Kapitel 12 sammelt die Sicht von Markus auf Jesu Theologie und Selbstverständnis in unterschiedlichen Textformen. Es beginnt mit dem Gleichnis der treulosen Pächter (12,1-11/12), das darstellt, wie Jesus durch die religiösen Führer der Juden abgelehnt wird. Hierauf folgt ein Streitgepräch zum Steuerzahlen (12,13-17), in dem Jesus das Verhältnis zwischen Theologie und Politik nicht etwa entscheidet, sondern den Glauben an Gott und politisches Handeln der Menschen in die Verantwortung der Glaubenden selbst legt. </w:t>
      </w:r>
      <w:r>
        <w:rPr>
          <w:rStyle w:val="Funotenanker"/>
        </w:rPr>
        <w:footnoteReference w:customMarkFollows="1" w:id="4407"/>
        <w:t>a</w:t>
      </w:r>
      <w:r>
        <w:rPr/>
        <w:t xml:space="preserve"> In einem weiteren Streitgespräch (12, 18-27) geht es um die Frage der Auferstehung. Jesus stellt klar, dass Gottes Schöpfung und seine Liebe zu den Menschen nicht mit dem Tod endet.</w:t>
      </w:r>
      <w:r>
        <w:rPr>
          <w:rStyle w:val="Funotenanker"/>
        </w:rPr>
        <w:footnoteReference w:customMarkFollows="1" w:id="4408"/>
        <w:t>b</w:t>
      </w:r>
      <w:r>
        <w:rPr/>
        <w:t xml:space="preserve"> Mit der Frage nach dem höchsten Gebot endet diese Reihe von Auseinandersetzungen. Jesus beginnt seinen eigenen Weg. Er erklärt, das Reich Gottes sei nicht weit. Die Einhaltung des Doppelgebots der Liebe ist für Jesus Zentrum der biblischen Ethik: Gutes Handeln muss sich an der Liebe zu Gott und den Mitmenschen messen lassen. </w:t>
      </w:r>
      <w:r>
        <w:rPr>
          <w:rStyle w:val="Funotenanker"/>
        </w:rPr>
        <w:footnoteReference w:customMarkFollows="1" w:id="4409"/>
        <w:t>c</w:t>
      </w:r>
      <w:r>
        <w:rPr/>
        <w:t xml:space="preserve"> Jesus beginnt seine eigene Lehre programmatisch im Tempel und stellt dar, dass der Messias viel mehr als nur ein irdischer Herrscher ist und setzt sich damit zugleich von der Lehre der Schriftgelehrten ab. Dies verdeutlicht er abschließend am Beispiel der armen Witwe.</w:t>
      </w:r>
      <w:r>
        <w:rPr>
          <w:rStyle w:val="Funotenanker"/>
        </w:rPr>
        <w:footnoteReference w:customMarkFollows="1" w:id="4410"/>
        <w:t>d</w:t>
      </w:r>
      <w:r>
        <w:rPr/>
        <w:t xml:space="preserve"> </w:t>
        <w:br/>
        <w:br/>
        <w:t>[[@BibleTOBIBLE:Mk 12:1]]</w:t>
      </w:r>
      <w:r>
        <w:rPr>
          <w:b/>
        </w:rPr>
        <w:t>1</w:t>
      </w:r>
      <w:r>
        <w:rPr/>
        <w:t xml:space="preserve"> {{field-on:bible}} </w:t>
      </w:r>
      <w:r>
        <w:rPr>
          <w:rStyle w:val="Funotenanker"/>
        </w:rPr>
        <w:footnoteReference w:customMarkFollows="1" w:id="4411"/>
        <w:t>Status</w:t>
      </w:r>
      <w:r>
        <w:rPr/>
        <w:t xml:space="preserve"> </w:t>
      </w:r>
      <w:r>
        <w:rPr>
          <w:rStyle w:val="Funotenanker"/>
        </w:rPr>
        <w:footnoteReference w:customMarkFollows="1" w:id="4412"/>
        <w:t>e</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4413"/>
        <w:t>f</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4414"/>
        <w:t>g</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4415"/>
        <w:t>h</w:t>
      </w:r>
      <w:r>
        <w:rPr/>
        <w:t xml:space="preserve"> aus und baute einen Wachtturm </w:t>
      </w:r>
      <w:r>
        <w:rPr>
          <w:rStyle w:val="Funotenanker"/>
        </w:rPr>
        <w:footnoteReference w:customMarkFollows="1" w:id="4416"/>
        <w:t>i</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4417"/>
        <w:t>j</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4418"/>
        <w:t>k</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4419"/>
        <w:t>l</w:t>
      </w:r>
      <w:r>
        <w:rPr/>
        <w:t xml:space="preserve"> und entehrten ihn </w:t>
      </w:r>
      <w:r>
        <w:rPr>
          <w:color w:val="808080"/>
        </w:rPr>
        <w:t>(behandelten ihn verächtlich)</w:t>
      </w:r>
      <w:r>
        <w:rPr/>
        <w:t>.</w:t>
      </w:r>
      <w:r>
        <w:rPr>
          <w:rStyle w:val="Funotenanker"/>
        </w:rPr>
        <w:footnoteReference w:customMarkFollows="1" w:id="4420"/>
        <w:t>m</w:t>
      </w:r>
      <w:r>
        <w:rPr/>
        <w:t xml:space="preserve"> {{field-off:bible}}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4421"/>
        <w:t>n</w:t>
      </w:r>
      <w:r>
        <w:rPr/>
        <w:t xml:space="preserve"> – manche verprügelten sie, andere brachten sie um</w:t>
      </w:r>
      <w:r>
        <w:rPr>
          <w:rStyle w:val="Funotenanker"/>
        </w:rPr>
        <w:footnoteReference w:customMarkFollows="1" w:id="4422"/>
        <w:t>o</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4423"/>
        <w:t>p</w:t>
      </w:r>
      <w:r>
        <w:rPr/>
        <w:t xml:space="preserve">. Er sandte ihn als letzten zu ihnen, weil er glaubte </w:t>
      </w:r>
      <w:r>
        <w:rPr>
          <w:color w:val="808080"/>
        </w:rPr>
        <w:t>(dachte, sich sagte)</w:t>
      </w:r>
      <w:r>
        <w:rPr/>
        <w:t xml:space="preserve">: </w:t>
      </w:r>
      <w:r>
        <w:rPr>
          <w:rStyle w:val="Funotenanker"/>
        </w:rPr>
        <w:footnoteReference w:customMarkFollows="1" w:id="4424"/>
        <w:t>q</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4425"/>
        <w:t>r</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4426"/>
        <w:t>s</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4427"/>
        <w:t>t</w:t>
      </w:r>
      <w:r>
        <w:rPr/>
        <w:t xml:space="preserve"> gelesen? </w:t>
        <w:br/>
        <w:t>»</w:t>
      </w:r>
      <w:r>
        <w:rPr>
          <w:b/>
          <w:color w:val="808080"/>
        </w:rPr>
        <w:t>[</w:t>
      </w:r>
      <w:r>
        <w:rPr/>
        <w:t>Der</w:t>
      </w:r>
      <w:r>
        <w:rPr>
          <w:b/>
          <w:color w:val="808080"/>
        </w:rPr>
        <w:t>]</w:t>
      </w:r>
      <w:r>
        <w:rPr/>
        <w:t xml:space="preserve"> Stein</w:t>
      </w:r>
      <w:r>
        <w:rPr>
          <w:rStyle w:val="Funotenanker"/>
        </w:rPr>
        <w:footnoteReference w:customMarkFollows="1" w:id="4428"/>
        <w:t>u</w:t>
      </w:r>
      <w:r>
        <w:rPr/>
        <w:t xml:space="preserve">, den die Bauleute abgelehnt </w:t>
      </w:r>
      <w:r>
        <w:rPr>
          <w:color w:val="808080"/>
        </w:rPr>
        <w:t>(verworfen, zurückgewiesen)</w:t>
      </w:r>
      <w:r>
        <w:rPr/>
        <w:t xml:space="preserve"> haben,</w:t>
        <w:br/>
        <w:t>''der''</w:t>
      </w:r>
      <w:r>
        <w:rPr>
          <w:rStyle w:val="Funotenanker"/>
        </w:rPr>
        <w:footnoteReference w:customMarkFollows="1" w:id="4429"/>
        <w:t>v</w:t>
      </w:r>
      <w:r>
        <w:rPr/>
        <w:t xml:space="preserve"> ist zum Schlussstein </w:t>
      </w:r>
      <w:r>
        <w:rPr>
          <w:color w:val="808080"/>
        </w:rPr>
        <w:t>(Kopfstein, Eckstein)</w:t>
      </w:r>
      <w:r>
        <w:rPr/>
        <w:t xml:space="preserve"> </w:t>
      </w:r>
      <w:r>
        <w:rPr>
          <w:rStyle w:val="Funotenanker"/>
        </w:rPr>
        <w:footnoteReference w:customMarkFollows="1" w:id="4430"/>
        <w:t>w</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4431"/>
        <w:t>x</w:t>
      </w:r>
      <w:r>
        <w:rPr/>
        <w:t xml:space="preserve"> </w:t>
        <w:br/>
        <w:t xml:space="preserve">und es ist wunderbar </w:t>
      </w:r>
      <w:r>
        <w:rPr>
          <w:color w:val="808080"/>
        </w:rPr>
        <w:t>(erstaunlich, verwunderlich)</w:t>
      </w:r>
      <w:r>
        <w:rPr/>
        <w:t xml:space="preserve">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4432"/>
        <w:t>y</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4433"/>
        <w:t>z</w:t>
      </w:r>
      <w:r>
        <w:rPr/>
        <w:t xml:space="preserve">, dass er das Gleichnis gegen sie gesprochen hatte </w:t>
      </w:r>
      <w:r>
        <w:rPr>
          <w:rStyle w:val="Funotenanker"/>
        </w:rPr>
        <w:footnoteReference w:customMarkFollows="1" w:id="4434"/>
        <w:t>aa</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4435"/>
        <w:t>ab</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4436"/>
        <w:t>ac</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4437"/>
        <w:t>ad</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4438"/>
        <w:t>ae</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4439"/>
        <w:t>af</w:t>
      </w:r>
      <w:r>
        <w:rPr/>
        <w:t xml:space="preserve"> den Weg Gottes </w:t>
      </w:r>
      <w:r>
        <w:rPr>
          <w:rStyle w:val="Funotenanker"/>
        </w:rPr>
        <w:footnoteReference w:customMarkFollows="1" w:id="4440"/>
        <w:t>ag</w:t>
      </w:r>
      <w:r>
        <w:rPr/>
        <w:t xml:space="preserve">. Darf man </w:t>
      </w:r>
      <w:r>
        <w:rPr>
          <w:rStyle w:val="Funotenanker"/>
        </w:rPr>
        <w:footnoteReference w:customMarkFollows="1" w:id="4441"/>
        <w:t>ah</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4442"/>
        <w:t>ai</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4443"/>
        <w:t>aj</w:t>
      </w:r>
      <w:r>
        <w:rPr/>
        <w:t xml:space="preserve"> sagte zu ihnen: „Warum stellt ihr mir eine Falle </w:t>
      </w:r>
      <w:r>
        <w:rPr>
          <w:color w:val="808080"/>
        </w:rPr>
        <w:t>(versucht ihr mich)</w:t>
      </w:r>
      <w:r>
        <w:rPr/>
        <w:t xml:space="preserve">? </w:t>
      </w:r>
      <w:r>
        <w:rPr>
          <w:rStyle w:val="Funotenanker"/>
        </w:rPr>
        <w:footnoteReference w:customMarkFollows="1" w:id="4444"/>
        <w:t>ak</w:t>
      </w:r>
      <w:r>
        <w:rPr/>
        <w:t xml:space="preserve"> Bringt mir einen Denar </w:t>
      </w:r>
      <w:r>
        <w:rPr>
          <w:rStyle w:val="Funotenanker"/>
        </w:rPr>
        <w:footnoteReference w:customMarkFollows="1" w:id="4445"/>
        <w:t>al</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4446"/>
        <w:t>am</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4447"/>
        <w:t>an</w:t>
      </w:r>
      <w:r>
        <w:rPr/>
        <w:t xml:space="preserve"> über ihn.{{field-off:bible}} </w:t>
        <w:br/>
        <w:t>[[@BibleTOBIBLE:Mk 12:18]]</w:t>
      </w:r>
      <w:r>
        <w:rPr>
          <w:b/>
        </w:rPr>
        <w:t>18</w:t>
      </w:r>
      <w:r>
        <w:rPr/>
        <w:t xml:space="preserve"> {{field-on:bible}} </w:t>
      </w:r>
      <w:r>
        <w:rPr>
          <w:strike/>
          <w:color w:val="808080"/>
        </w:rPr>
        <w:t>{Und}</w:t>
      </w:r>
      <w:r>
        <w:rPr/>
        <w:t xml:space="preserve"> es kamen zu ihm Sadduzäer, welche sagen </w:t>
      </w:r>
      <w:r>
        <w:rPr>
          <w:color w:val="808080"/>
        </w:rPr>
        <w:t>(der Meinung sind)</w:t>
      </w:r>
      <w:r>
        <w:rPr/>
        <w:t xml:space="preserve">, dass es keine Auferstehung gibt, und fragten ihn </w:t>
      </w:r>
      <w:r>
        <w:rPr>
          <w:strike/>
          <w:color w:val="808080"/>
        </w:rPr>
        <w:t>{sagend}</w:t>
      </w:r>
      <w:r>
        <w:rPr/>
        <w:t xml:space="preserve">:{{field-off:bible}} </w:t>
        <w:br/>
        <w:t>[[@BibleTOBIBLE:Mk 12:19]]</w:t>
      </w:r>
      <w:r>
        <w:rPr>
          <w:b/>
        </w:rPr>
        <w:t>19</w:t>
      </w:r>
      <w:r>
        <w:rPr/>
        <w:t xml:space="preserve"> {{field-on:bible}}„Lehrer, Mose hat uns geschrieben</w:t>
      </w:r>
      <w:r>
        <w:rPr>
          <w:rStyle w:val="Funotenanker"/>
        </w:rPr>
        <w:footnoteReference w:customMarkFollows="1" w:id="4448"/>
        <w:t>ao</w:t>
      </w:r>
      <w:r>
        <w:rPr/>
        <w:t>: »Wenn jemandes Bruder stirbt, und eine Frau zurücklässt</w:t>
      </w:r>
      <w:r>
        <w:rPr>
          <w:rStyle w:val="Funotenanker"/>
        </w:rPr>
        <w:footnoteReference w:customMarkFollows="1" w:id="4449"/>
        <w:t>ap</w:t>
      </w:r>
      <w:r>
        <w:rPr/>
        <w:t xml:space="preserve"> und kein Kind hinterlässt, dass dann sein Bruder dessen Frau nehmen und er für seinen Bruder Nachkommen </w:t>
      </w:r>
      <w:r>
        <w:rPr>
          <w:color w:val="808080"/>
        </w:rPr>
        <w:t>(Samen)</w:t>
      </w:r>
      <w:r>
        <w:rPr/>
        <w:t xml:space="preserve"> zeugen </w:t>
      </w:r>
      <w:r>
        <w:rPr>
          <w:color w:val="808080"/>
        </w:rPr>
        <w:t>(aufrichten)</w:t>
      </w:r>
      <w:r>
        <w:rPr/>
        <w:t xml:space="preserve"> soll«</w:t>
      </w:r>
      <w:r>
        <w:rPr>
          <w:rStyle w:val="Funotenanker"/>
        </w:rPr>
        <w:footnoteReference w:customMarkFollows="1" w:id="4450"/>
        <w:t>aq</w:t>
      </w:r>
      <w:r>
        <w:rPr/>
        <w:t xml:space="preserve">. </w:t>
      </w:r>
      <w:r>
        <w:rPr>
          <w:position w:val="8"/>
          <w:sz w:val="19"/>
        </w:rPr>
        <w:t>[[ ℘ &gt;&gt; BibleTOBIBLE:Dt 25:5]][[ ℘ &gt;&gt; BibleTOBIBLE:Ge 38:8]]</w:t>
      </w:r>
      <w:r>
        <w:rPr/>
        <w:t xml:space="preserve"> {{field-off:bible}} </w:t>
        <w:br/>
        <w:t>[[@BibleTOBIBLE:Mk 12:20]]</w:t>
      </w:r>
      <w:r>
        <w:rPr>
          <w:b/>
        </w:rPr>
        <w:t>20</w:t>
      </w:r>
      <w:r>
        <w:rPr/>
        <w:t xml:space="preserve"> {{field-on:bible}}Es waren </w:t>
      </w:r>
      <w:r>
        <w:rPr>
          <w:b/>
          <w:color w:val="808080"/>
        </w:rPr>
        <w:t>[</w:t>
      </w:r>
      <w:r>
        <w:rPr/>
        <w:t>einmal</w:t>
      </w:r>
      <w:r>
        <w:rPr>
          <w:b/>
          <w:color w:val="808080"/>
        </w:rPr>
        <w:t>]</w:t>
      </w:r>
      <w:r>
        <w:rPr/>
        <w:t xml:space="preserve"> sieben Brüder. Und der erste nahm eine Frau, und als er starb, hinterließ er keinen Nachkommen </w:t>
      </w:r>
      <w:r>
        <w:rPr>
          <w:color w:val="808080"/>
        </w:rPr>
        <w:t>(Samen)</w:t>
      </w:r>
      <w:r>
        <w:rPr/>
        <w:t xml:space="preserve">.{{field-off:bible}} </w:t>
        <w:br/>
        <w:t>[[@BibleTOBIBLE:Mk 12:21]]</w:t>
      </w:r>
      <w:r>
        <w:rPr>
          <w:b/>
        </w:rPr>
        <w:t>21</w:t>
      </w:r>
      <w:r>
        <w:rPr/>
        <w:t xml:space="preserve"> {{field-on:bible}}Und der zweite nahm sie, und er starb und hinterließ keinen Nachkommen </w:t>
      </w:r>
      <w:r>
        <w:rPr>
          <w:color w:val="808080"/>
        </w:rPr>
        <w:t>(Samen)</w:t>
      </w:r>
      <w:r>
        <w:rPr/>
        <w:t xml:space="preserve">. Und der dritte ebenso.{{field-off:bible}} </w:t>
        <w:br/>
        <w:t>[[@BibleTOBIBLE:Mk 12:22]]</w:t>
      </w:r>
      <w:r>
        <w:rPr>
          <w:b/>
        </w:rPr>
        <w:t>22</w:t>
      </w:r>
      <w:r>
        <w:rPr/>
        <w:t xml:space="preserve"> {{field-on:bible}} </w:t>
      </w:r>
      <w:r>
        <w:rPr>
          <w:strike/>
          <w:color w:val="808080"/>
        </w:rPr>
        <w:t>{Und}</w:t>
      </w:r>
      <w:r>
        <w:rPr/>
        <w:t xml:space="preserve"> die Sieben hinterließen </w:t>
      </w:r>
      <w:r>
        <w:rPr>
          <w:b/>
          <w:color w:val="808080"/>
        </w:rPr>
        <w:t>[</w:t>
      </w:r>
      <w:r>
        <w:rPr/>
        <w:t>also alle</w:t>
      </w:r>
      <w:r>
        <w:rPr>
          <w:b/>
          <w:color w:val="808080"/>
        </w:rPr>
        <w:t>]</w:t>
      </w:r>
      <w:r>
        <w:rPr/>
        <w:t xml:space="preserve"> keinen Nachkommen. </w:t>
      </w:r>
      <w:r>
        <w:rPr>
          <w:b/>
          <w:color w:val="808080"/>
        </w:rPr>
        <w:t>[</w:t>
      </w:r>
      <w:r>
        <w:rPr/>
        <w:t>Als</w:t>
      </w:r>
      <w:r>
        <w:rPr>
          <w:b/>
          <w:color w:val="808080"/>
        </w:rPr>
        <w:t>]</w:t>
      </w:r>
      <w:r>
        <w:rPr/>
        <w:t xml:space="preserve"> Letzte von allen starb auch die Frau.{{field-off:bible}} </w:t>
        <w:br/>
        <w:t>[[@BibleTOBIBLE:Mk 12:23]]</w:t>
      </w:r>
      <w:r>
        <w:rPr>
          <w:b/>
        </w:rPr>
        <w:t>23</w:t>
      </w:r>
      <w:r>
        <w:rPr/>
        <w:t xml:space="preserve"> {{field-on:bible}}Bei der Auferstehung, wenn sie auferstehen:</w:t>
      </w:r>
      <w:r>
        <w:rPr>
          <w:rStyle w:val="Funotenanker"/>
        </w:rPr>
        <w:footnoteReference w:customMarkFollows="1" w:id="4451"/>
        <w:t>ar</w:t>
      </w:r>
      <w:r>
        <w:rPr/>
        <w:t xml:space="preserve">Wessen Frau von diesen wird sie sein? Denn die sieben hatten sie </w:t>
      </w:r>
      <w:r>
        <w:rPr>
          <w:b/>
          <w:color w:val="808080"/>
        </w:rPr>
        <w:t>[</w:t>
      </w:r>
      <w:r>
        <w:rPr/>
        <w:t>alle</w:t>
      </w:r>
      <w:r>
        <w:rPr>
          <w:b/>
          <w:color w:val="808080"/>
        </w:rPr>
        <w:t>]</w:t>
      </w:r>
      <w:r>
        <w:rPr/>
        <w:t xml:space="preserve"> zur Frau.“{{field-off:bible}} </w:t>
        <w:br/>
        <w:t>[[@BibleTOBIBLE:Mk 12:24]]</w:t>
      </w:r>
      <w:r>
        <w:rPr>
          <w:b/>
        </w:rPr>
        <w:t>24</w:t>
      </w:r>
      <w:r>
        <w:rPr/>
        <w:t xml:space="preserve"> {{field-on:bible}}Jesus sagte zu ihnen: „Täuscht ihr euch nicht deshalb, weil ihr die Schriften nicht kennt und nicht Gottes Kraft?{{field-off:bible}} </w:t>
        <w:br/>
        <w:t>[[@BibleTOBIBLE:Mk 12:25]]</w:t>
      </w:r>
      <w:r>
        <w:rPr>
          <w:b/>
        </w:rPr>
        <w:t>25</w:t>
      </w:r>
      <w:r>
        <w:rPr/>
        <w:t xml:space="preserve"> {{field-on:bible}}Denn wenn sie von den Toten auferstehen, werden sie weder heiraten noch werden sie verheiratet, sondern sie sind wie Engel im Himmel </w:t>
      </w:r>
      <w:r>
        <w:rPr>
          <w:color w:val="808080"/>
        </w:rPr>
        <w:t>(in den Himmeln)</w:t>
      </w:r>
      <w:r>
        <w:rPr/>
        <w:t xml:space="preserve">.{{field-off:bible}} </w:t>
        <w:br/>
        <w:t>[[@BibleTOBIBLE:Mk 12:26]]</w:t>
      </w:r>
      <w:r>
        <w:rPr>
          <w:b/>
        </w:rPr>
        <w:t>26</w:t>
      </w:r>
      <w:r>
        <w:rPr/>
        <w:t xml:space="preserve"> {{field-on:bible}}Hinsichtlich der Toten aber, dass sie auferweckt werden – habt ihr nicht im Buch des Mose über den Dornbusch gelesen, wie Gott </w:t>
      </w:r>
      <w:r>
        <w:rPr>
          <w:b/>
          <w:color w:val="808080"/>
        </w:rPr>
        <w:t>[</w:t>
      </w:r>
      <w:r>
        <w:rPr/>
        <w:t>da</w:t>
      </w:r>
      <w:r>
        <w:rPr>
          <w:b/>
          <w:color w:val="808080"/>
        </w:rPr>
        <w:t>]</w:t>
      </w:r>
      <w:r>
        <w:rPr/>
        <w:t xml:space="preserve"> zu ihm sprach </w:t>
      </w:r>
      <w:r>
        <w:rPr>
          <w:strike/>
          <w:color w:val="808080"/>
        </w:rPr>
        <w:t>{sagend}</w:t>
      </w:r>
      <w:r>
        <w:rPr/>
        <w:t xml:space="preserve">: »Ich </w:t>
      </w:r>
      <w:r>
        <w:rPr>
          <w:b/>
          <w:color w:val="808080"/>
        </w:rPr>
        <w:t>[</w:t>
      </w:r>
      <w:r>
        <w:rPr/>
        <w:t>bin</w:t>
      </w:r>
      <w:r>
        <w:rPr>
          <w:b/>
          <w:color w:val="808080"/>
        </w:rPr>
        <w:t>]</w:t>
      </w:r>
      <w:r>
        <w:rPr/>
        <w:t xml:space="preserve"> der Gott Abrahams und der Gott Isaaks und der Gott Jakobs«? </w:t>
      </w:r>
      <w:r>
        <w:rPr>
          <w:rStyle w:val="Funotenanker"/>
        </w:rPr>
        <w:footnoteReference w:customMarkFollows="1" w:id="4452"/>
        <w:t>as</w:t>
      </w:r>
      <w:r>
        <w:rPr/>
        <w:t xml:space="preserve"> </w:t>
      </w:r>
      <w:r>
        <w:rPr>
          <w:position w:val="8"/>
          <w:sz w:val="19"/>
        </w:rPr>
        <w:t>[[ ℘ &gt;&gt; BibleTOBIBLE:Ex 3:6]]</w:t>
      </w:r>
      <w:r>
        <w:rPr/>
        <w:t xml:space="preserve"> {{field-off:bible}} </w:t>
        <w:br/>
        <w:t>[[@BibleTOBIBLE:Mk 12:27]]</w:t>
      </w:r>
      <w:r>
        <w:rPr>
          <w:b/>
        </w:rPr>
        <w:t>27</w:t>
      </w:r>
      <w:r>
        <w:rPr/>
        <w:t xml:space="preserve"> {{field-on:bible}}Er ist nicht ein Gott der Toten, sondern der Lebenden. Ihr täuscht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4453"/>
        <w:t>at</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 </w:t>
      </w:r>
      <w:r>
        <w:rPr>
          <w:strike/>
          <w:color w:val="808080"/>
        </w:rPr>
        <w:t>{Und}</w:t>
      </w:r>
      <w:r>
        <w:rPr/>
        <w:t xml:space="preserve"> Jesus sprach </w:t>
      </w:r>
      <w:r>
        <w:rPr>
          <w:color w:val="808080"/>
        </w:rPr>
        <w:t>(antwortete)</w:t>
      </w:r>
      <w:r>
        <w:rPr/>
        <w:t xml:space="preserve"> </w:t>
      </w:r>
      <w:r>
        <w:rPr>
          <w:strike/>
          <w:color w:val="808080"/>
        </w:rPr>
        <w:t>{und redete}</w:t>
      </w:r>
      <w:r>
        <w:rPr/>
        <w:t xml:space="preserve">, als er im Tempel lehrte: „Wie </w:t>
      </w:r>
      <w:r>
        <w:rPr>
          <w:b/>
          <w:color w:val="808080"/>
        </w:rPr>
        <w:t>[</w:t>
      </w:r>
      <w:r>
        <w:rPr/>
        <w:t>können</w:t>
      </w:r>
      <w:r>
        <w:rPr>
          <w:b/>
          <w:color w:val="808080"/>
        </w:rPr>
        <w:t>]</w:t>
      </w:r>
      <w:r>
        <w:rPr/>
        <w:t xml:space="preserve"> die Schriftgelehrten sagen, dass der Gesalbte der Sohn Davids ist?{{field-off:bible}} </w:t>
        <w:br/>
        <w:t>[[@BibleTOBIBLE:Mk 12:36]]</w:t>
      </w:r>
      <w:r>
        <w:rPr>
          <w:b/>
        </w:rPr>
        <w:t>36</w:t>
      </w:r>
      <w:r>
        <w:rPr/>
        <w:t xml:space="preserve"> {{field-on:bible}}David selbst sagte im heiligen Geist: »Der Herr sagte zu meinem Herrn. Setze </w:t>
      </w:r>
      <w:r>
        <w:rPr>
          <w:b/>
          <w:color w:val="808080"/>
        </w:rPr>
        <w:t>[</w:t>
      </w:r>
      <w:r>
        <w:rPr/>
        <w:t>dich</w:t>
      </w:r>
      <w:r>
        <w:rPr>
          <w:b/>
          <w:color w:val="808080"/>
        </w:rPr>
        <w:t>]</w:t>
      </w:r>
      <w:r>
        <w:rPr/>
        <w:t xml:space="preserve"> zu meiner Rechten, bis ich deine Feinde unter deine Füße setze.«</w:t>
      </w:r>
      <w:r>
        <w:rPr>
          <w:rStyle w:val="Funotenanker"/>
        </w:rPr>
        <w:footnoteReference w:customMarkFollows="1" w:id="4454"/>
        <w:t>au</w:t>
      </w:r>
      <w:r>
        <w:rPr/>
        <w:t xml:space="preserve"> {{field-off:bible}} </w:t>
        <w:br/>
        <w:t>[[@BibleTOBIBLE:Mk 12:37]]</w:t>
      </w:r>
      <w:r>
        <w:rPr>
          <w:b/>
        </w:rPr>
        <w:t>37</w:t>
      </w:r>
      <w:r>
        <w:rPr/>
        <w:t xml:space="preserve"> {{field-on:bible}}David selbst nennt ihn Herrn, und wie soll er </w:t>
      </w:r>
      <w:r>
        <w:rPr>
          <w:b/>
          <w:color w:val="808080"/>
        </w:rPr>
        <w:t>[</w:t>
      </w:r>
      <w:r>
        <w:rPr/>
        <w:t>dann</w:t>
      </w:r>
      <w:r>
        <w:rPr>
          <w:b/>
          <w:color w:val="808080"/>
        </w:rPr>
        <w:t>]</w:t>
      </w:r>
      <w:r>
        <w:rPr/>
        <w:t xml:space="preserve"> Sohn sein?“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für den Anschein lange beten, sie werden ein umfangreicheres Urteil erhalten.“{{field-off:bible}} </w:t>
        <w:br/>
        <w:t>[[@BibleTOBIBLE:Mk 12:41]]</w:t>
      </w:r>
      <w:r>
        <w:rPr>
          <w:b/>
        </w:rPr>
        <w:t>41</w:t>
      </w:r>
      <w:r>
        <w:rPr/>
        <w:t xml:space="preserve"> {{field-on:bible}}Und er setzte sich gegenüber dem Opferkasten und beobachtete, wie die Menschenmenge Geld in den Opferkasten warf; und viele Reiche warfen viel ein.{{field-off:bible}} </w:t>
        <w:br/>
        <w:t>[[@BibleTOBIBLE:Mk 12:42]]</w:t>
      </w:r>
      <w:r>
        <w:rPr>
          <w:b/>
        </w:rPr>
        <w:t>42</w:t>
      </w:r>
      <w:r>
        <w:rPr/>
        <w:t xml:space="preserve"> {{field-on:bible}}Da kam eine einzige arme Witwe und warf zwei Lepta ein, das entspricht einem Quadrans.{{field-off:bible}} </w:t>
        <w:br/>
        <w:t>[[@BibleTOBIBLE:Mk 12:43]]</w:t>
      </w:r>
      <w:r>
        <w:rPr>
          <w:b/>
        </w:rPr>
        <w:t>43</w:t>
      </w:r>
      <w:r>
        <w:rPr/>
        <w:t xml:space="preserve"> {{field-on:bible}}Und nachdem er seine Jünger zu sich gerufen hatte, sagte er zu ihnen: „Amen, ich sage euch:</w:t>
      </w:r>
      <w:r>
        <w:rPr>
          <w:rStyle w:val="Funotenanker"/>
        </w:rPr>
        <w:footnoteReference w:customMarkFollows="1" w:id="4455"/>
        <w:t>av</w:t>
      </w:r>
      <w:r>
        <w:rPr/>
        <w:t xml:space="preserve"> Diese arme Witwe hat mehr als alle </w:t>
      </w:r>
      <w:r>
        <w:rPr>
          <w:b/>
          <w:color w:val="808080"/>
        </w:rPr>
        <w:t>[</w:t>
      </w:r>
      <w:r>
        <w:rPr/>
        <w:t>anderen</w:t>
      </w:r>
      <w:r>
        <w:rPr>
          <w:b/>
          <w:color w:val="808080"/>
        </w:rPr>
        <w:t>]</w:t>
      </w:r>
      <w:r>
        <w:rPr/>
        <w:t xml:space="preserve"> eingeworfen, die </w:t>
      </w:r>
      <w:r>
        <w:rPr>
          <w:b/>
          <w:color w:val="808080"/>
        </w:rPr>
        <w:t>[</w:t>
      </w:r>
      <w:r>
        <w:rPr/>
        <w:t>etwas</w:t>
      </w:r>
      <w:r>
        <w:rPr>
          <w:b/>
          <w:color w:val="808080"/>
        </w:rPr>
        <w:t>]</w:t>
      </w:r>
      <w:r>
        <w:rPr/>
        <w:t xml:space="preserve"> in den Opferkasten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sie aber hat aus ihrem Mangel alles, was sie hatte, eingeworfen – ihr ganzes Leben </w:t>
      </w:r>
      <w:r>
        <w:rPr>
          <w:color w:val="808080"/>
        </w:rPr>
        <w:t>(ihren ganzen Lebensunterhalt)</w:t>
      </w:r>
      <w:r>
        <w:rPr/>
        <w:t>.“</w:t>
      </w:r>
      <w:r>
        <w:rPr>
          <w:rStyle w:val="Funotenanker"/>
        </w:rPr>
        <w:footnoteReference w:customMarkFollows="1" w:id="4456"/>
        <w:t>aw</w:t>
      </w:r>
      <w:r>
        <w:rPr/>
        <w:t xml:space="preserve"> {{field-off:bible}}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4457"/>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4458"/>
        <w:t>a</w:t>
      </w:r>
      <w:r>
        <w:rPr/>
        <w:t xml:space="preserve"> als er aus dem Tempel hinausging </w:t>
      </w:r>
      <w:r>
        <w:rPr>
          <w:color w:val="808080"/>
        </w:rPr>
        <w:t>(hinausgeht)</w:t>
      </w:r>
      <w:r>
        <w:rPr/>
        <w:t xml:space="preserve"> </w:t>
      </w:r>
      <w:r>
        <w:rPr>
          <w:rStyle w:val="Funotenanker"/>
        </w:rPr>
        <w:footnoteReference w:customMarkFollows="1" w:id="4459"/>
        <w:t>b</w:t>
      </w:r>
      <w:r>
        <w:rPr/>
        <w:t xml:space="preserve">, sagte </w:t>
      </w:r>
      <w:r>
        <w:rPr>
          <w:color w:val="808080"/>
        </w:rPr>
        <w:t>(sagt)</w:t>
      </w:r>
      <w:r>
        <w:rPr/>
        <w:t xml:space="preserve"> </w:t>
      </w:r>
      <w:r>
        <w:rPr>
          <w:rStyle w:val="Funotenanker"/>
        </w:rPr>
        <w:footnoteReference w:customMarkFollows="1" w:id="4460"/>
        <w:t>c</w:t>
      </w:r>
      <w:r>
        <w:rPr/>
        <w:t xml:space="preserve"> einer</w:t>
      </w:r>
      <w:r>
        <w:rPr>
          <w:rStyle w:val="Funotenanker"/>
        </w:rPr>
        <w:footnoteReference w:customMarkFollows="1" w:id="4461"/>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4462"/>
        <w:t>e</w:t>
      </w:r>
      <w:r>
        <w:rPr/>
        <w:t xml:space="preserve"> Was für Steine und was für Gebäude!</w:t>
      </w:r>
      <w:r>
        <w:rPr>
          <w:rStyle w:val="Funotenanker"/>
        </w:rPr>
        <w:footnoteReference w:customMarkFollows="1" w:id="4463"/>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4464"/>
        <w:t>g</w:t>
      </w:r>
      <w:r>
        <w:rPr/>
        <w:t xml:space="preserve"> Nicht </w:t>
      </w:r>
      <w:r>
        <w:rPr>
          <w:color w:val="808080"/>
        </w:rPr>
        <w:t>(Keinesfalls)</w:t>
      </w:r>
      <w:r>
        <w:rPr/>
        <w:t xml:space="preserve"> </w:t>
      </w:r>
      <w:r>
        <w:rPr>
          <w:rStyle w:val="Funotenanker"/>
        </w:rPr>
        <w:footnoteReference w:customMarkFollows="1" w:id="4465"/>
        <w:t>h</w:t>
      </w:r>
      <w:r>
        <w:rPr/>
        <w:t xml:space="preserve"> wird </w:t>
      </w:r>
      <w:r>
        <w:rPr>
          <w:b/>
          <w:color w:val="808080"/>
        </w:rPr>
        <w:t>[</w:t>
      </w:r>
      <w:r>
        <w:rPr/>
        <w:t>hier</w:t>
      </w:r>
      <w:r>
        <w:rPr>
          <w:b/>
          <w:color w:val="808080"/>
        </w:rPr>
        <w:t>]</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4466"/>
        <w:t>i</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4467"/>
        <w:t>j</w:t>
      </w:r>
      <w:r>
        <w:rPr/>
        <w:t xml:space="preserve"> Ölberg gegenüber dem Tempel, fragte</w:t>
      </w:r>
      <w:r>
        <w:rPr>
          <w:b/>
          <w:color w:val="808080"/>
        </w:rPr>
        <w:t>[</w:t>
      </w:r>
      <w:r>
        <w:rPr/>
        <w:t>n</w:t>
      </w:r>
      <w:r>
        <w:rPr>
          <w:b/>
          <w:color w:val="808080"/>
        </w:rPr>
        <w:t>]</w:t>
      </w:r>
      <w:r>
        <w:rPr/>
        <w:t xml:space="preserve"> ihn Petrus, Jakobus, Johannes und Andreas alleine</w:t>
      </w:r>
      <w:r>
        <w:rPr>
          <w:rStyle w:val="Funotenanker"/>
        </w:rPr>
        <w:footnoteReference w:customMarkFollows="1" w:id="4468"/>
        <w:t>k</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4469"/>
        <w:t>l</w:t>
      </w:r>
      <w:r>
        <w:rPr/>
        <w:t xml:space="preserve"> Wann wird dies</w:t>
      </w:r>
      <w:r>
        <w:rPr>
          <w:rStyle w:val="Funotenanker"/>
        </w:rPr>
        <w:footnoteReference w:customMarkFollows="1" w:id="4470"/>
        <w:t>m</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4471"/>
        <w:t>n</w:t>
      </w:r>
      <w:r>
        <w:rPr/>
        <w:t xml:space="preserve">, zu geschehen </w:t>
      </w:r>
      <w:r>
        <w:rPr>
          <w:color w:val="808080"/>
        </w:rPr>
        <w:t>(vollendet zu werden, zu enden)</w:t>
      </w:r>
      <w:r>
        <w:rPr/>
        <w:t xml:space="preserve"> </w:t>
      </w:r>
      <w:r>
        <w:rPr>
          <w:rStyle w:val="Funotenanker"/>
        </w:rPr>
        <w:footnoteReference w:customMarkFollows="1" w:id="4472"/>
        <w:t>o</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4473"/>
        <w:t>p</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es werden viele unter meinem Namen</w:t>
      </w:r>
      <w:r>
        <w:rPr>
          <w:rStyle w:val="Funotenanker"/>
        </w:rPr>
        <w:footnoteReference w:customMarkFollows="1" w:id="4474"/>
        <w:t>q</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4475"/>
        <w:t>r</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{{field-on:bible}}Erheben wird sich</w:t>
      </w:r>
      <w:r>
        <w:rPr>
          <w:rStyle w:val="Funotenanker"/>
        </w:rPr>
        <w:footnoteReference w:customMarkFollows="1" w:id="4476"/>
        <w:t>s</w:t>
      </w:r>
      <w:r>
        <w:rPr/>
        <w:t xml:space="preserve"> nämlich </w:t>
      </w:r>
      <w:r>
        <w:rPr>
          <w:color w:val="808080"/>
        </w:rPr>
        <w:t>(denn)</w:t>
      </w:r>
      <w:r>
        <w:rPr/>
        <w:t xml:space="preserve"> </w:t>
      </w:r>
      <w:r>
        <w:rPr>
          <w:rStyle w:val="Funotenanker"/>
        </w:rPr>
        <w:footnoteReference w:customMarkFollows="1" w:id="4477"/>
        <w:t>t</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4478"/>
        <w:t>u</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4479"/>
        <w:t>v</w:t>
      </w:r>
      <w:r>
        <w:rPr/>
        <w:t xml:space="preserve"> ausliefern</w:t>
      </w:r>
      <w:r>
        <w:rPr>
          <w:rStyle w:val="Funotenanker"/>
        </w:rPr>
        <w:footnoteReference w:customMarkFollows="1" w:id="4480"/>
        <w:t>w</w:t>
      </w:r>
      <w:r>
        <w:rPr/>
        <w:t xml:space="preserve"> an Synhedrien</w:t>
      </w:r>
      <w:r>
        <w:rPr>
          <w:rStyle w:val="Funotenanker"/>
        </w:rPr>
        <w:footnoteReference w:customMarkFollows="1" w:id="4481"/>
        <w:t>x</w:t>
      </w:r>
      <w:r>
        <w:rPr/>
        <w:t xml:space="preserve"> und Synagogen</w:t>
      </w:r>
      <w:r>
        <w:rPr>
          <w:rStyle w:val="Funotenanker"/>
        </w:rPr>
        <w:footnoteReference w:customMarkFollows="1" w:id="4482"/>
        <w:t>y</w:t>
      </w:r>
      <w:r>
        <w:rPr/>
        <w:t>, ihr werdet geprügelt werden und ihr werdet meinetwegen vor Statthalter und Könige gestellt werden, ihnen zum Zeugnis</w:t>
      </w:r>
      <w:r>
        <w:rPr>
          <w:rStyle w:val="Funotenanker"/>
        </w:rPr>
        <w:footnoteReference w:customMarkFollows="1" w:id="4483"/>
        <w:t>z</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4484"/>
        <w:t>aa</w:t>
      </w:r>
      <w:r>
        <w:rPr/>
        <w:t xml:space="preserve"> zuerst</w:t>
      </w:r>
      <w:r>
        <w:rPr>
          <w:rStyle w:val="Funotenanker"/>
        </w:rPr>
        <w:footnoteReference w:customMarkFollows="1" w:id="4485"/>
        <w:t>ab</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4486"/>
        <w:t>ac</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4487"/>
        <w:t>ad</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4488"/>
        <w:t>ae</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4489"/>
        <w:t>af</w:t>
      </w:r>
      <w:r>
        <w:rPr/>
        <w:t>. Der aber, der bis zum Ende</w:t>
      </w:r>
      <w:r>
        <w:rPr>
          <w:rStyle w:val="Funotenanker"/>
        </w:rPr>
        <w:footnoteReference w:customMarkFollows="1" w:id="4490"/>
        <w:t>ag</w:t>
      </w:r>
      <w:r>
        <w:rPr/>
        <w:t xml:space="preserve"> standhaft bleibt </w:t>
      </w:r>
      <w:r>
        <w:rPr>
          <w:color w:val="808080"/>
        </w:rPr>
        <w:t>(dies erduldet)</w:t>
      </w:r>
      <w:r>
        <w:rPr/>
        <w:t xml:space="preserve"> </w:t>
      </w:r>
      <w:r>
        <w:rPr>
          <w:rStyle w:val="Funotenanker"/>
        </w:rPr>
        <w:footnoteReference w:customMarkFollows="1" w:id="4491"/>
        <w:t>ah</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4492"/>
        <w:t>ai</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4493"/>
        <w:t>aj</w:t>
      </w:r>
      <w:r>
        <w:rPr/>
        <w:t xml:space="preserve"> –, dann sollen die in Judäa in die Berge fliehen</w:t>
      </w:r>
      <w:r>
        <w:rPr>
          <w:rStyle w:val="Funotenanker"/>
        </w:rPr>
        <w:footnoteReference w:customMarkFollows="1" w:id="4494"/>
        <w:t>ak</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4495"/>
        <w:t>al</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4496"/>
        <w:t>am</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4497"/>
        <w:t>an</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4498"/>
        <w:t>ao</w:t>
      </w:r>
      <w:r>
        <w:rPr/>
        <w:t>, die in jenen Tagen</w:t>
      </w:r>
      <w:r>
        <w:rPr>
          <w:rStyle w:val="Funotenanker"/>
        </w:rPr>
        <w:footnoteReference w:customMarkFollows="1" w:id="4499"/>
        <w:t>ap</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4500"/>
        <w:t>aq</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4501"/>
        <w:t>ar</w:t>
      </w:r>
      <w:r>
        <w:rPr/>
        <w:t xml:space="preserve"> bis jetzt nicht geschehen ist und niemals geschehen wird</w:t>
      </w:r>
      <w:r>
        <w:rPr>
          <w:rStyle w:val="Funotenanker"/>
        </w:rPr>
        <w:footnoteReference w:customMarkFollows="1" w:id="4502"/>
        <w:t>as</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4503"/>
        <w:t>at</w:t>
      </w:r>
      <w:r>
        <w:rPr/>
        <w:t xml:space="preserve"> würde absolut niemand</w:t>
      </w:r>
      <w:r>
        <w:rPr>
          <w:rStyle w:val="Funotenanker"/>
        </w:rPr>
        <w:footnoteReference w:customMarkFollows="1" w:id="4504"/>
        <w:t>au</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4505"/>
        <w:t>av</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4506"/>
        <w:t>aw</w:t>
      </w:r>
      <w:r>
        <w:rPr/>
        <w:t xml:space="preserve"> werden sie Zeichen und Wunder,</w:t>
      </w:r>
      <w:r>
        <w:rPr>
          <w:rStyle w:val="Funotenanker"/>
        </w:rPr>
        <w:footnoteReference w:customMarkFollows="1" w:id="4507"/>
        <w:t>ax</w:t>
      </w:r>
      <w:r>
        <w:rPr/>
        <w:t xml:space="preserve"> um – wenn möglich – die Auserwählten zu verführen </w:t>
      </w:r>
      <w:r>
        <w:rPr>
          <w:color w:val="808080"/>
        </w:rPr>
        <w:t>(irrezuführen)</w:t>
      </w:r>
      <w:r>
        <w:rPr/>
        <w:t xml:space="preserve"> </w:t>
      </w:r>
      <w:r>
        <w:rPr>
          <w:rStyle w:val="Funotenanker"/>
        </w:rPr>
        <w:footnoteReference w:customMarkFollows="1" w:id="4508"/>
        <w:t>ay</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4509"/>
        <w:t>az</w:t>
      </w:r>
      <w:r>
        <w:rPr/>
        <w:t xml:space="preserve"> seid achtsam! Ich habe euch alles vorausgesagt.</w:t>
      </w:r>
      <w:r>
        <w:rPr>
          <w:rStyle w:val="Funotenanker"/>
        </w:rPr>
        <w:footnoteReference w:customMarkFollows="1" w:id="4510"/>
        <w:t>ba</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4511"/>
        <w:t>bb</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4512"/>
        <w:t>bc</w:t>
      </w:r>
      <w:r>
        <w:rPr/>
        <w:t xml:space="preserve"> den in den Wolken kommenden Menschensohn</w:t>
      </w:r>
      <w:r>
        <w:rPr>
          <w:rStyle w:val="Funotenanker"/>
        </w:rPr>
        <w:footnoteReference w:customMarkFollows="1" w:id="4513"/>
        <w:t>bd</w:t>
      </w:r>
      <w:r>
        <w:rPr/>
        <w:t>, mit großer Macht</w:t>
      </w:r>
      <w:r>
        <w:rPr>
          <w:rStyle w:val="Funotenanker"/>
        </w:rPr>
        <w:footnoteReference w:customMarkFollows="1" w:id="4514"/>
        <w:t>be</w:t>
      </w:r>
      <w:r>
        <w:rPr/>
        <w:t xml:space="preserve"> und Herrlichkeit</w:t>
      </w:r>
      <w:r>
        <w:rPr>
          <w:rStyle w:val="Funotenanker"/>
        </w:rPr>
        <w:footnoteReference w:customMarkFollows="1" w:id="4515"/>
        <w:t>bf</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4516"/>
        <w:t>bg</w:t>
      </w:r>
      <w:r>
        <w:rPr/>
        <w:t xml:space="preserve"> vom Ende der Erde bis zum Ende des Himmels</w:t>
      </w:r>
      <w:r>
        <w:rPr>
          <w:rStyle w:val="Funotenanker"/>
        </w:rPr>
        <w:footnoteReference w:customMarkFollows="1" w:id="4517"/>
        <w:t>bh</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4518"/>
        <w:t>bi</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4519"/>
        <w:t>bj</w:t>
      </w:r>
      <w:r>
        <w:rPr/>
        <w:t xml:space="preserve"> seine Zweige</w:t>
      </w:r>
      <w:r>
        <w:rPr>
          <w:rStyle w:val="Funotenanker"/>
        </w:rPr>
        <w:footnoteReference w:customMarkFollows="1" w:id="4520"/>
        <w:t>bk</w:t>
      </w:r>
      <w:r>
        <w:rPr/>
        <w:t xml:space="preserve"> weich werden </w:t>
      </w:r>
      <w:r>
        <w:rPr>
          <w:rStyle w:val="Funotenanker"/>
        </w:rPr>
        <w:footnoteReference w:customMarkFollows="1" w:id="4521"/>
        <w:t>bl</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4522"/>
        <w:t>bm</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4523"/>
        <w:t>bn</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4524"/>
        <w:t>bo</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4525"/>
        <w:t>bp</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4526"/>
        <w:t>bq</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4527"/>
        <w:t>br</w:t>
      </w:r>
      <w:r>
        <w:rPr/>
        <w:t xml:space="preserve"> weder die Engel </w:t>
      </w:r>
      <w:r>
        <w:rPr>
          <w:color w:val="808080"/>
        </w:rPr>
        <w:t>(Boten)</w:t>
      </w:r>
      <w:r>
        <w:rPr/>
        <w:t xml:space="preserve"> </w:t>
      </w:r>
      <w:r>
        <w:rPr>
          <w:rStyle w:val="Funotenanker"/>
        </w:rPr>
        <w:footnoteReference w:customMarkFollows="1" w:id="4528"/>
        <w:t>bs</w:t>
      </w:r>
      <w:r>
        <w:rPr/>
        <w:t xml:space="preserve"> im Himmel, noch der Sohn, allein der Vater.{{field-off:bible}} </w:t>
        <w:br/>
        <w:t>[[@BibleTOBIBLE:Mk 13:33]]</w:t>
      </w:r>
      <w:r>
        <w:rPr>
          <w:b/>
        </w:rPr>
        <w:t>33</w:t>
      </w:r>
      <w:r>
        <w:rPr/>
        <w:t xml:space="preserve"> {{field-on:bible}}Seid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4529"/>
        <w:t>bt</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4530"/>
        <w:t>bu</w:t>
      </w:r>
      <w:r>
        <w:rPr/>
        <w:t xml:space="preserve"> </w:t>
      </w:r>
      <w:r>
        <w:rPr>
          <w:rStyle w:val="Funotenanker"/>
        </w:rPr>
        <w:footnoteReference w:customMarkFollows="1" w:id="4531"/>
        <w:t>bv</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4532"/>
        <w:t>bw</w:t>
      </w:r>
      <w:r>
        <w:rPr/>
        <w:t xml:space="preserve"> dem Torhüter gebot, dass er wachsam sei </w:t>
      </w:r>
      <w:r>
        <w:rPr>
          <w:color w:val="808080"/>
        </w:rPr>
        <w:t>(Wache halte)</w:t>
      </w:r>
      <w:r>
        <w:rPr/>
        <w:t>.</w:t>
      </w:r>
      <w:r>
        <w:rPr>
          <w:rStyle w:val="Funotenanker"/>
        </w:rPr>
        <w:footnoteReference w:customMarkFollows="1" w:id="4533"/>
        <w:t>bx</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4534"/>
        <w:t>by</w:t>
      </w:r>
      <w:r>
        <w:rPr/>
        <w:t xml:space="preserve"> - ob am Abend, zur Mitternacht, zum Hahnenschrei oder im Morgengrauen</w:t>
      </w:r>
      <w:r>
        <w:rPr>
          <w:rStyle w:val="Funotenanker"/>
        </w:rPr>
        <w:footnoteReference w:customMarkFollows="1" w:id="4535"/>
        <w:t>bz</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4536"/>
        <w:t>ca</w:t>
      </w:r>
      <w:r>
        <w:rPr/>
        <w:t xml:space="preserve"> allen: Seid wachsam!</w:t>
      </w:r>
      <w:r>
        <w:rPr>
          <w:position w:val="8"/>
          <w:sz w:val="19"/>
        </w:rPr>
        <w:t>[[ ℘ &gt;&gt; BibleTOBIBLE:Ac 20:31]][[ ℘ &gt;&gt; BibleTOBIBLE:1Co 16:13]][[ ℘ &gt;&gt; BibleTOBIBLE:1Pe 5:8]]</w:t>
      </w:r>
      <w:r>
        <w:rPr/>
        <w:t xml:space="preserve">“{{field-off:bible}} </w:t>
      </w:r>
    </w:p>
    <w:p>
      <w:pPr>
        <w:pStyle w:val="Berschrift3"/>
        <w:rPr/>
      </w:pPr>
      <w:r>
        <w:rPr/>
        <w:t>[[@BibleTOBIBLE:Mk 14]]Kapitel 14</w:t>
      </w:r>
    </w:p>
    <w:p>
      <w:pPr>
        <w:pStyle w:val="Textkrper"/>
        <w:rPr/>
      </w:pPr>
      <w:r>
        <w:rPr/>
        <w:t>Vv. 1-11: Vergleicht man Mk 14,3 mit Mt 26,6f, fällt auf, (1) dass in Mt die Aussage fehlt, dass Jesus liegend isst, (2) dass Mt die auffällige Genitivreihung zur Beschreibung des Öls stark ausgedünnt hat und (3) dass bei Mt das Gefäß nicht zerbrochen wird - drei Details, die den verschwenderischen Charakter des letzten Abendmahls unterstreichen: (1) zeigt, dass das Abendmahl in einem wohlhabenden Haushalt stattfand, (2) unterstreicht den hohen Wert des Öls und damit ebenso wie (3) die große Verschwendung der namenlosen Frau - Jesus lässt es sich beim letzten Abendmahl noch einmal „richtig gut gehen“. Dies wirkt befremdlich - auch auf „einige“ Anwesende, weshalb diese postwendend die Frau anfahren (Vv. 4f) - doch Jesus verteidigt sie. Und nicht nur das, sondern er wertet ihre Tat sogar so positiv, dass er prophezeit, dass einst auf der ganzen Welt davon berichtet wird - zur Erinnerung an sie (nicht an ihn) (Vv. 6-9)!Gerahmt wird diese Erzählung davon, dass die Hohepriester und die Schriftgelehrten nach einem Weg suchen, wie sie Jesus zu einem geeigneten Zeitpunkt töten können, und vom Verrat des Judas. Sowohl im Rahmen als auch im Zentrum ist also erstens von Zeit die Rede und zweitens von Jesu Tod - und dies ist der Schlüssel zum Verständnis dieses schwierigen Abschnitts: Jesus lässt es sich noch einmal „richtig gut gehen“, ja - aber das ist auch in Ordnung so, denn noch ist die Zeit, in der „die Hochzeitsgäste nicht fasten können, da der Bräutigam noch in ihrer Mitte ist“ (Mk 2,19, vgl. Lohfink 2011, S. 341f.). Und die Frau verhält sich äußerst verschwenderisch, ja - aber in diesem Kontext ist auch das in Ordnung so und sogar noch wichtiger als die Armenfürsorge, denn noch ist die Zeit, in der der Bräutigam in ihrer Mitte ist - gerade noch. Und angesichts dieses „gerade noch“ verhält sie sich ganz korrekt: Angesichts Jesu bevorstehendem Tod wird ihre „Verschwendung“ richtig und wichtig und die Frau erweist sich als fähig zur Erkenntnis des kairos, des „richtigen Zeitpunkts“ (Barton 1991, S. 233; ähnlich Story 2009, S. 20).Die Rahmung durch die Vv. 1f.10f. betont dann noch einen weiteren Aspekt: Nicht nur verhält sich die Frau hier ganz korrekt - sie tut dies auch noch im völligen Kontrast zu den religiösen Eliten (Vv. 1f) und zu Judas, „einem der Zwölf“</w:t>
      </w:r>
      <w:r>
        <w:rPr>
          <w:rStyle w:val="Funotenanker"/>
        </w:rPr>
        <w:footnoteReference w:customMarkFollows="1" w:id="4537"/>
        <w:t>a</w:t>
      </w:r>
      <w:r>
        <w:rPr/>
        <w:t xml:space="preserve"> (Vv. 10f.) und wird auf diese Weise dargestellt als „Paradigma wahrer Nachfolge“ (Schüssler Fiorenza 1988, S. 393; vgl. auch Beavis 1988, S. 8; Miller 2002, S. 186). Sie ist eine, die im rechten Moment die Zeichen der Zeit richtig deutet und daher alles auf eine Karte setzt, indem sie eine riesige Summe ihres Geldes auf die Parfumierung Jesu „verschwendet“ (im Gegensatz zu Judas, der für seine falsche Tat sogar Geld kassiert). Die Betonung des Timings in der vorangehenden Perikope erlaubt Markus gleich noch einen Seitenhieb auf Hohepriester, Schriftgelehrte und Judas: Ganz entgegen ihren Absichten werden sie Jesus eben doch an einem Fest gefangennehmen: Am Paschafest, einem der höchsten Feiertage im Judentum. Die Funktion von Vv. 12-16 ist es dabei vermutlich, den Grund für dieses Scheitern aufzuzeigen: Jesus plant zu geschickt und hat sich einen Plan erdacht, wie er sich den Autoritäten entziehen kann, bis er mit seinen Jüngern noch das Letzte Abendmahl gefeiert hat, und Absprachen mit einem Jerusalemer Hausbesitzer getroffen. Erst während dem Schlachten des Lamms im Tempelbezirk gibt er daher zweien seiner Jünger den Ort des Abendmahl bekannt - mehr oder weniger jedenfalls: Sie sollen in die Stadt gehen, wo sie bereits von einem Wasserträger erwartet werden werden (V. 13), dem sie fraglos zu jenem Haus folgen sollen, in „welches auch immer“ er hineingehen wird (V. 14). Dem Herrn dieses Hauses müssen sie dann auch noch zunächst ein Passwort geben („Der Lehrer fragt etc.“, V. 14) - und erst dann können sie das Mahl vorbereiten (so gut ausgelegt von Evans 2001, S. 374). Vv. 17-21 handeln vom Verrat des Judas; hier soll noch einmal die Schwere seines Verrats unterstrichen werden: Erstens durch die sogar doppelte redundante Formulierung in Vv. 18.20 („Einer von euch“ + „der mit mir isst“; „einer der Zwölf“ + „der mit mir in die Schüssel tunkt“) - der Verrat wird von einem aus dem engsten Freundeskreis Jesu begangen -; zweitens durch die auffällige Formulierung von V. 21 („Der Menschensohn geht... Wehe dem Menschen, durch den der Menschensohn ausgeliefert wird! Es wäre besser für ihn, wenn jener Mensch niemals geboren wäre!“) - ein gewöhnlicher Mensch vergeht sich hier am „Menschensohn“. Völlig einleuchtend ist daher das Drohwort in V. 21, dessen Logik zu sein scheint: Es ist zwar der Wille Gottes, dass der Menschensohn stirbt („wie geschrieben steht“, s. FN ai)</w:t>
      </w:r>
      <w:r>
        <w:rPr>
          <w:rStyle w:val="Funotenanker"/>
        </w:rPr>
        <w:footnoteReference w:customMarkFollows="1" w:id="4538"/>
        <w:t>b</w:t>
      </w:r>
      <w:r>
        <w:rPr/>
        <w:t xml:space="preserve"> und Judas ist so nicht mehr als sein Werkzeug - aber dennoch: Ob der Schwere seines Vergehens trifft ihn so große Schuld, dass er besser niemals geboren worden wäre.En passant erreicht auch die bei Markus übliche negative Darstellung der Jünger ihren Höhepunkt: Das „doch nicht etwa ich?“ muss sicher so verstanden werden, dass keiner der Jünger sich wirklich sicher ist, ob nicht er es ist, der den Menschensohn ausliefern wird - „jeder der Mahlteilnehmer ist sozusagen potentiell ein Judas“ (Weidemann 2013, S. 79). Vv. 22-25: Wegen der Zentralität dieser Verse im Christentum und auch, weil sich in der Erforschung dieser Stelle in den letzten Jahren einiges getan hat, sind hier etwas längere Anmerkungen angebracht. Neu ist in der Forschung (1) die Erkenntnis, dass es zur Zeit Jesu sehr wahrscheinlich noch überhaupt keine Pascha-„liturgie“ gab, die während des Paschamahl abgehalten wurde (vgl. z.B. Kulp 2005 und die dort gesammelte Literatur; auch Schlund 2005, S. 398f). Neu ist (2) die Erkenntnis, dass man für die Zeit Jesu nicht zwischen jüdischer und griechischer Mahlkultur trennen darf, da die jüdische Kultur insgesamt eine hellenistische Kultur war. Daher: „Die Eucharistie war nicht wie ein Gastmahl - sie war ein Gastmahl.“ (McGowan 2010, S. 186). Schließlich ist (3) die Erkenntnis neu, dass die sogenannten „Einsetzungsworte“ sehr wahrscheinlich nicht als „Einsetzungsworte“ aufgefasst wurden: In den ersten zwei Jahrhunderten wurden sie im Gottesdienst überhaupt nicht zitiert.</w:t>
      </w:r>
      <w:r>
        <w:rPr>
          <w:rStyle w:val="Funotenanker"/>
        </w:rPr>
        <w:footnoteReference w:customMarkFollows="1" w:id="4539"/>
        <w:t>c</w:t>
      </w:r>
      <w:r>
        <w:rPr/>
        <w:t xml:space="preserve"> Gelegentlich wurde daher der Alternativbegriff „Gabeworte“ vorgeschlagen, den wir daher auch hier verwenden werden.Den Ablauf des Letzten Abendmahls, das Mk hier als Paschamahl schildert (s. dazu den Exkurs zur Zeitrechnung), haben wir uns also als ein etwas ausgebautes hellenistisches Gastmahl vorzustellen: Es begann mit einer im Sitzen eingenommenen Vorspeiße, nach der sich die Tischgesellschaft geschlossen in den Speißesaal begab, wo der „Vorsitzende“ der Gesellschaft wie üblich im Judentum die Mahlzeit eröffnete, indem er ein Gebet (dazu s. FN aj) über dem Brot sprach, dieses brach und an die ganze Gesellschaft weiterreichte. Darauf folgte die im Liegen eingenommene Hauptmahlzeit, die sich von einem Gastmahl wohl hauptsächlich darin unterschied, dass auch das zuvor geschlachtete Lamm, Bitterkräuter und ungesäuerte Brote aufgetischt wurden (vgl. Kulp 2005, S. 112).</w:t>
      </w:r>
      <w:r>
        <w:rPr>
          <w:rStyle w:val="Funotenanker"/>
        </w:rPr>
        <w:footnoteReference w:customMarkFollows="1" w:id="4540"/>
        <w:t>d</w:t>
      </w:r>
      <w:r>
        <w:rPr/>
        <w:t xml:space="preserve"> Im Anschluss folgte ein Gebet über dem Wein, woraufhin normalerweise jeder für sich aus seinem eigenen Becher getrunken hätte, doch s. gleich. Darauf hätte normalerweise noch ein längerer Umtrunk gefolgt, der bei Jesus jedoch weggefallen zu sein scheint. Markus oder seine Quelle haben diese Reihenfolge außerdem abgewandelt, indem sie offenbar die Brothandlung an den Schluss der Hauptmahlzeit vor die Becherhandlung verschoben hat - vermutlich, weil dies die Struktur des Abendmahls in seiner Gemeinde war (s. FN ab). Ein paar Worte noch zur Becherhandlung. Wir folgen hier einem Deutungsvorschlag von Klinghardt 2012; Klinghardt 2012b und Heilmann/Wick 2013, der so neu ist, dass er in noch keinem Kommentar berücksichtigt wurde, aber viel zum Verständnis des Abendmahls beitragen kann. Wie die Becherhandlung gewöhnlicherweise abgelaufen wäre, haben wir eben gesehen. Jesus weicht von diesem Usus ab, indem er seinen Becher an die Jünger weitergibt. Weiterhin ist aber auszugehen von Lk 22,20: Das Partizip ausgegossen steht dort im Nominativ und kann sich daher nicht auf das Blut beziehen (das im Dativ steht), sondern muss sich auf den Becher beziehen. Nach Lukas Darstellung reicht Jesus also nicht nur seinen Becher an seine Jünger weiter, sondern leert zuvor auch noch einen Teil des Weines aus. Wenn wir nicht von vornherein davon ausgehen wollen, dass Lukas hier grammatisch falsch formuliert hätte oder dass Lukas von einer anderen Becherhandlung ausgeht als Markus und Matthäus, müssen wir zunächst einmal davon ausgehen, dass hinter dem ausgegossen in Mk und Mt die selbe Vorstellung steht.Beide Handlungen sind (abgesehen von einem möglichen Beleg für das Ausleeren in 4 Makk 3,16) für den jüdischen Kulturraum nicht belegt, sind aber gewöhnliche Bräuche beim hellenistischen Gastmahl: Die „Libation“ und der „geweihte Becher“. Bei der Libation weiht der Vorsitzende des Gastmahls seinen Becher einem Gott, opfert ihm dann einen Teil des Inhalts, indem er ihn auf den Boden oder in den Herd gießt, und trinkt den Rest; die übrigen Gäste folgen seinem Beispiel. Der geweihte Becher dagegen wird nicht geleert, sondern von einem Gast zum nächsten weitergereicht, damit jeder einen Schluck davon nehmen kann.</w:t>
      </w:r>
      <w:r>
        <w:rPr>
          <w:rStyle w:val="Funotenanker"/>
        </w:rPr>
        <w:footnoteReference w:customMarkFollows="1" w:id="4541"/>
        <w:t>e</w:t>
      </w:r>
      <w:r>
        <w:rPr/>
        <w:t xml:space="preserve"> Manchmal wurden diese beiden Bräuche wohl auch miteinander kombiniert (vgl. z.B. Smith 2002, S. 30; Tolles 1943, S. 86f), und eine solche Kombination haben wir uns auch für das Letzte Abendmahl zu denken. Vielsagend ist hier gerade bei Mk, dass er mit der Rede vom „Bundesblut“ Ex 24,6-8 einspielt, und auch dort wird die eine Hälfte des Blutes vor Gott ausgegossen, die andere Hälfte des Blutes wird über das Volk „ausgesprengt“. Wichtig ist dann die Bedeutung der Handlung am Brot einerseits und der Doppelhandlung am Becher andererseits. Sinn des Teilens und Essens des „be-beteten“ Brotes ist unter anderem die Vermittlung von „Anteil an der fürsorgenden Güte Gottes [... und] die Gemeinschaft miteinander [...] vor Gott und unter seinem Segen“ (Hofius 2000, S. 284). Das selbe gilt für den Doppelbrauch von Libation und geweihtem Becher: Von beiden Bräuchen erhoffte man sich - sozusagen im Gegenzug für das Weinopfer - eine Segnung. Durch die Libation, bei der aus dem selben Kelch das Opfer vorgenommen und getrunken wurde, wurde außerdem im Trinken eine Gemeinschaft zwischen dem einzelnen Trinker und der Gottheit hergestellt; durch das Kreisen des geweihten Bechers die Gemeinschaft untereinander vor der Gottheit, der der Becher geweiht war (vgl. Tolles 1943, S. 108-111). Beide Handlungen haben den selben Sinn: Hinwendung zu Gott und Vermittlung von Gottes Segen einerseits; Herstellung von Gemeinschaft mit Gott und untereinander andererseits.</w:t>
      </w:r>
      <w:r>
        <w:rPr>
          <w:rStyle w:val="Funotenanker"/>
        </w:rPr>
        <w:footnoteReference w:customMarkFollows="1" w:id="4542"/>
        <w:t>f</w:t>
      </w:r>
      <w:r>
        <w:rPr/>
        <w:t xml:space="preserve"> Während dieser Handlungen spricht Jesus also seine Gabeworte. „Dies ist mein Leib“, sagt er, und: „Dies ist mein Blut“. Das „dies“ bezieht sich wahrscheinlich auf die Gaben selbst; nicht auf die Handlungen (s. FN al) - aber die Handlungen spielen auf jeden Fall mit hinein: „Dies ist mein Leib“ spricht Jesus über dem gebrochenen, zu verspeißenden und segensvermittelnden Brot; „dies ist mein Blut“ über dem vergossenen, zu trinkenden und segensvermittelnden Wein.soma, „Leib“, ist ein sogenannter „anthropologischer Ganzheitsbegriff“, der nicht wie im Deutschen nur auf den „Körper“ bezogen werden darf. „Dies ist mein Leib“ meint: „Dieses Brot bin ich selbst. Das bin ich mit meiner Geschichte und meinem Leben“ (Lohfink 2011, S. 360). Dieses sein „Selbst, seine Geschichte und sein Leben“ deutet Jesus mithilfe des segensvermittelnden Brotes, das er dann an seine Jünger verteilt, und macht dieses so zum Symbol für seine „Proexistenz“. Ähnlich beim „vergossenen Blut“, das sich klar auf Jesu bevorstehenden Tod bezieht: Jesus deutet seinen Tod mithilfe des segensvermittelnden Weines, den er dann ebenfalls an seine Jünger verteilt, und macht diesen so zum Symbol für Jesu „Pro-exitus“, wie man entsprechend formulieren könnte. Diese „Pro“-Bedeutung wird bei Markus noch zusätzlich unterstrichen durch das „für viele“. „Dies ist mein Leib“ und „dies ist mein Blut“ meint: Ich habe für euch und für viele gelebt und werde für euch und für viele sterben. </w:t>
        <w:br/>
        <w:br/>
        <w:t>[[@BibleTOBIBLE:Mk 14:1]]</w:t>
      </w:r>
      <w:r>
        <w:rPr>
          <w:b/>
        </w:rPr>
        <w:t>1</w:t>
      </w:r>
      <w:r>
        <w:rPr/>
        <w:t xml:space="preserve"> {{field-on:bible}} </w:t>
      </w:r>
      <w:r>
        <w:rPr>
          <w:rStyle w:val="Funotenanker"/>
        </w:rPr>
        <w:footnoteReference w:customMarkFollows="1" w:id="4543"/>
        <w:t>Status</w:t>
      </w:r>
      <w:r>
        <w:rPr/>
        <w:t xml:space="preserve"> Das Pascha-Fest und </w:t>
      </w:r>
      <w:r>
        <w:rPr>
          <w:b/>
          <w:color w:val="808080"/>
        </w:rPr>
        <w:t>[</w:t>
      </w:r>
      <w:r>
        <w:rPr/>
        <w:t>das Fest der</w:t>
      </w:r>
      <w:r>
        <w:rPr>
          <w:b/>
          <w:color w:val="808080"/>
        </w:rPr>
        <w:t>]</w:t>
      </w:r>
      <w:r>
        <w:rPr/>
        <w:t xml:space="preserve"> ungesäuerten Brote waren </w:t>
      </w:r>
      <w:r>
        <w:rPr>
          <w:strike/>
          <w:color w:val="808080"/>
        </w:rPr>
        <w:t>{aber}</w:t>
      </w:r>
      <w:r>
        <w:rPr/>
        <w:t xml:space="preserve"> in zwei Tagen.</w:t>
      </w:r>
      <w:r>
        <w:rPr>
          <w:rStyle w:val="Funotenanker"/>
        </w:rPr>
        <w:footnoteReference w:customMarkFollows="1" w:id="4544"/>
        <w:t>g</w:t>
      </w:r>
      <w:r>
        <w:rPr/>
        <w:t xml:space="preserve"> Da suchten die Hohepriester und die Schriftgelehrten</w:t>
      </w:r>
      <w:r>
        <w:rPr>
          <w:rStyle w:val="Funotenanker"/>
        </w:rPr>
        <w:footnoteReference w:customMarkFollows="1" w:id="4545"/>
        <w:t>h</w:t>
      </w:r>
      <w:r>
        <w:rPr/>
        <w:t xml:space="preserve">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„Nicht während des Festes</w:t>
      </w:r>
      <w:r>
        <w:rPr>
          <w:rStyle w:val="Funotenanker"/>
        </w:rPr>
        <w:footnoteReference w:customMarkFollows="1" w:id="4546"/>
        <w:t>i</w:t>
      </w:r>
      <w:r>
        <w:rPr/>
        <w:t>, sonst wird es einen Aufruhr der Volksgemeinde geben.“</w:t>
      </w:r>
      <w:r>
        <w:rPr>
          <w:rStyle w:val="Funotenanker"/>
        </w:rPr>
        <w:footnoteReference w:customMarkFollows="1" w:id="4547"/>
        <w:t>j</w:t>
      </w:r>
      <w:r>
        <w:rPr/>
        <w:t xml:space="preserve"> {{field-off:bible}} </w:t>
        <w:br/>
        <w:t>[[@BibleTOBIBLE:Mk 14:3]]</w:t>
      </w:r>
      <w:r>
        <w:rPr>
          <w:b/>
        </w:rPr>
        <w:t>3</w:t>
      </w:r>
      <w:r>
        <w:rPr/>
        <w:t xml:space="preserve"> {{field-on:bible}}Und als er in Bethanien im Haus Simons des Leprakranken</w:t>
      </w:r>
      <w:r>
        <w:rPr>
          <w:rStyle w:val="Funotenanker"/>
        </w:rPr>
        <w:footnoteReference w:customMarkFollows="1" w:id="4548"/>
        <w:t>k</w:t>
      </w:r>
      <w:r>
        <w:rPr/>
        <w:t xml:space="preserve"> war – als er </w:t>
      </w:r>
      <w:r>
        <w:rPr>
          <w:b/>
          <w:color w:val="808080"/>
        </w:rPr>
        <w:t>[</w:t>
      </w:r>
      <w:r>
        <w:rPr/>
        <w:t>bei Tisch</w:t>
      </w:r>
      <w:r>
        <w:rPr>
          <w:b/>
          <w:color w:val="808080"/>
        </w:rPr>
        <w:t>]</w:t>
      </w:r>
      <w:r>
        <w:rPr/>
        <w:t xml:space="preserve"> lag</w:t>
      </w:r>
      <w:r>
        <w:rPr>
          <w:rStyle w:val="Funotenanker"/>
        </w:rPr>
        <w:footnoteReference w:customMarkFollows="1" w:id="4549"/>
        <w:t>l</w:t>
      </w:r>
      <w:r>
        <w:rPr/>
        <w:t xml:space="preserve"> – kam eine Frau</w:t>
      </w:r>
      <w:r>
        <w:rPr>
          <w:rStyle w:val="Funotenanker"/>
        </w:rPr>
        <w:footnoteReference w:customMarkFollows="1" w:id="4550"/>
        <w:t>m</w:t>
      </w:r>
      <w:r>
        <w:rPr/>
        <w:t>, die ein Alabastergefäß voll kostbaren, reinem Nardenparfums</w:t>
      </w:r>
      <w:r>
        <w:rPr>
          <w:rStyle w:val="Funotenanker"/>
        </w:rPr>
        <w:footnoteReference w:customMarkFollows="1" w:id="4551"/>
        <w:t>n</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4552"/>
        <w:t>o</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{{field-on:bible}}Einige aber waren </w:t>
      </w:r>
      <w:r>
        <w:rPr>
          <w:strike/>
          <w:color w:val="808080"/>
        </w:rPr>
        <w:t>{untereinander}</w:t>
      </w:r>
      <w:r>
        <w:rPr/>
        <w:t xml:space="preserve"> verärgert </w:t>
      </w:r>
      <w:r>
        <w:rPr>
          <w:color w:val="808080"/>
        </w:rPr>
        <w:t>(voller Empörung)</w:t>
      </w:r>
      <w:r>
        <w:rPr/>
        <w:t xml:space="preserve"> </w:t>
      </w:r>
      <w:r>
        <w:rPr>
          <w:b/>
          <w:color w:val="808080"/>
        </w:rPr>
        <w:t>[</w:t>
      </w:r>
      <w:r>
        <w:rPr/>
        <w:t>und sagten</w:t>
      </w:r>
      <w:r>
        <w:rPr>
          <w:b/>
          <w:color w:val="808080"/>
        </w:rPr>
        <w:t>]</w:t>
      </w:r>
      <w:r>
        <w:rPr/>
        <w:t xml:space="preserve"> zueinander: „Für was ist diese Verschwendung des Parfums geschehen?{{field-off:bible}} </w:t>
        <w:br/>
        <w:t>[[@BibleTOBIBLE:Mk 14:5]]</w:t>
      </w:r>
      <w:r>
        <w:rPr>
          <w:b/>
        </w:rPr>
        <w:t>5</w:t>
      </w:r>
      <w:r>
        <w:rPr/>
        <w:t xml:space="preserve"> {{field-on:bible}}Man hätte nämlich dieses Parfum für mehr als 300 Denare</w:t>
      </w:r>
      <w:r>
        <w:rPr>
          <w:rStyle w:val="Funotenanker"/>
        </w:rPr>
        <w:footnoteReference w:customMarkFollows="1" w:id="4553"/>
        <w:t>p</w:t>
      </w:r>
      <w:r>
        <w:rPr/>
        <w:t xml:space="preserve"> </w:t>
      </w:r>
      <w:r>
        <w:rPr>
          <w:color w:val="808080"/>
        </w:rPr>
        <w:t>(teurer als für 300 Denare)</w:t>
      </w:r>
      <w:r>
        <w:rPr/>
        <w:t xml:space="preserve"> verkaufen und </w:t>
      </w:r>
      <w:r>
        <w:rPr>
          <w:b/>
          <w:color w:val="808080"/>
        </w:rPr>
        <w:t>[</w:t>
      </w:r>
      <w:r>
        <w:rPr/>
        <w:t>den Erlös</w:t>
      </w:r>
      <w:r>
        <w:rPr>
          <w:b/>
          <w:color w:val="808080"/>
        </w:rPr>
        <w:t>]</w:t>
      </w:r>
      <w:r>
        <w:rPr/>
        <w:t xml:space="preserve"> den Armen geben können.</w:t>
      </w:r>
      <w:r>
        <w:rPr>
          <w:rStyle w:val="Funotenanker"/>
        </w:rPr>
        <w:footnoteReference w:customMarkFollows="1" w:id="4554"/>
        <w:t>q</w:t>
      </w:r>
      <w:r>
        <w:rPr/>
        <w:t xml:space="preserve">“ Und sie machten ihr Vorwürfe.{{field-off:bible}} </w:t>
        <w:br/>
        <w:t>[[@BibleTOBIBLE:Mk 14:6]]</w:t>
      </w:r>
      <w:r>
        <w:rPr>
          <w:b/>
        </w:rPr>
        <w:t>6</w:t>
      </w:r>
      <w:r>
        <w:rPr/>
        <w:t xml:space="preserve"> {{field-on:bible}}Jesus aber sprach: „Lasst sie! Was macht ihr ihr Beschwerden?</w:t>
      </w:r>
      <w:r>
        <w:rPr>
          <w:rStyle w:val="Funotenanker"/>
        </w:rPr>
        <w:footnoteReference w:customMarkFollows="1" w:id="4555"/>
        <w:t>r</w:t>
      </w:r>
      <w:r>
        <w:rPr/>
        <w:t xml:space="preserve"> Sie hat ein gutes Werk</w:t>
      </w:r>
      <w:r>
        <w:rPr>
          <w:rStyle w:val="Funotenanker"/>
        </w:rPr>
        <w:footnoteReference w:customMarkFollows="1" w:id="4556"/>
        <w:t>s</w:t>
      </w:r>
      <w:r>
        <w:rPr/>
        <w:t xml:space="preserve"> an mir getan –{{field-off:bible}} </w:t>
        <w:br/>
        <w:t>[[@BibleTOBIBLE:Mk 14:7]]</w:t>
      </w:r>
      <w:r>
        <w:rPr>
          <w:b/>
        </w:rPr>
        <w:t>7</w:t>
      </w:r>
      <w:r>
        <w:rPr/>
        <w:t xml:space="preserve"> {{field-on:bible}}und</w:t>
      </w:r>
      <w:r>
        <w:rPr>
          <w:rStyle w:val="Funotenanker"/>
        </w:rPr>
        <w:footnoteReference w:customMarkFollows="1" w:id="4557"/>
        <w:t>t</w:t>
      </w:r>
      <w:r>
        <w:rPr/>
        <w:t xml:space="preserve"> die Armen habt ihr immer bei euch und sooft </w:t>
      </w:r>
      <w:r>
        <w:rPr>
          <w:color w:val="808080"/>
        </w:rPr>
        <w:t>(falls)</w:t>
      </w:r>
      <w:r>
        <w:rPr/>
        <w:t xml:space="preserve"> ihr wollt, könnt ihr ihnen </w:t>
      </w:r>
      <w:r>
        <w:rPr>
          <w:color w:val="808080"/>
        </w:rPr>
        <w:t>(immer)</w:t>
      </w:r>
      <w:r>
        <w:rPr/>
        <w:t xml:space="preserve"> </w:t>
      </w:r>
      <w:r>
        <w:rPr>
          <w:rStyle w:val="Funotenanker"/>
        </w:rPr>
        <w:footnoteReference w:customMarkFollows="1" w:id="4558"/>
        <w:t>u</w:t>
      </w:r>
      <w:r>
        <w:rPr/>
        <w:t xml:space="preserve"> wohltun </w:t>
      </w:r>
      <w:r>
        <w:rPr>
          <w:color w:val="808080"/>
        </w:rPr>
        <w:t>(Gutes tun)</w:t>
      </w:r>
      <w:r>
        <w:rPr/>
        <w:t xml:space="preserve">; mich aber habt ihr nicht immer.{{field-off:bible}} </w:t>
        <w:br/>
        <w:t>[[@BibleTOBIBLE:Mk 14:8]]</w:t>
      </w:r>
      <w:r>
        <w:rPr>
          <w:b/>
        </w:rPr>
        <w:t>8</w:t>
      </w:r>
      <w:r>
        <w:rPr/>
        <w:t xml:space="preserve"> {{field-on:bible}}Was sie </w:t>
      </w:r>
      <w:r>
        <w:rPr>
          <w:b/>
          <w:color w:val="808080"/>
        </w:rPr>
        <w:t>[</w:t>
      </w:r>
      <w:r>
        <w:rPr/>
        <w:t>tun</w:t>
      </w:r>
      <w:r>
        <w:rPr>
          <w:b/>
          <w:color w:val="808080"/>
        </w:rPr>
        <w:t>]</w:t>
      </w:r>
      <w:r>
        <w:rPr/>
        <w:t xml:space="preserve"> konnte </w:t>
      </w:r>
      <w:r>
        <w:rPr>
          <w:color w:val="808080"/>
        </w:rPr>
        <w:t>(was sie hatte)</w:t>
      </w:r>
      <w:r>
        <w:rPr/>
        <w:t xml:space="preserve"> </w:t>
      </w:r>
      <w:r>
        <w:rPr>
          <w:rStyle w:val="Funotenanker"/>
        </w:rPr>
        <w:footnoteReference w:customMarkFollows="1" w:id="4559"/>
        <w:t>v</w:t>
      </w:r>
      <w:r>
        <w:rPr/>
        <w:t>, hat sie getan: Sie hat es vorweggenommen, meinen Leib für das Begräbnis einzubalsamieren</w:t>
      </w:r>
      <w:r>
        <w:rPr>
          <w:rStyle w:val="Funotenanker"/>
        </w:rPr>
        <w:footnoteReference w:customMarkFollows="1" w:id="4560"/>
        <w:t>w</w:t>
      </w:r>
      <w:r>
        <w:rPr/>
        <w:t xml:space="preserve">.{{field-off:bible}} </w:t>
        <w:br/>
        <w:t>[[@BibleTOBIBLE:Mk 14:9]]</w:t>
      </w:r>
      <w:r>
        <w:rPr>
          <w:b/>
        </w:rPr>
        <w:t>9</w:t>
      </w:r>
      <w:r>
        <w:rPr/>
        <w:t xml:space="preserve"> {{field-on:bible}}Amen, ich sage euch</w:t>
      </w:r>
      <w:r>
        <w:rPr>
          <w:rStyle w:val="Funotenanker"/>
        </w:rPr>
        <w:footnoteReference w:customMarkFollows="1" w:id="4561"/>
        <w:t>x</w:t>
      </w:r>
      <w:r>
        <w:rPr/>
        <w:t xml:space="preserve">, wo auch immer diese Freuden-Botschaft </w:t>
      </w:r>
      <w:r>
        <w:rPr>
          <w:color w:val="808080"/>
        </w:rPr>
        <w:t>(dieses Evangelium)</w:t>
      </w:r>
      <w:r>
        <w:rPr/>
        <w:t xml:space="preserve"> </w:t>
      </w:r>
      <w:r>
        <w:rPr>
          <w:rStyle w:val="Funotenanker"/>
        </w:rPr>
        <w:footnoteReference w:customMarkFollows="1" w:id="4562"/>
        <w:t>y</w:t>
      </w:r>
      <w:r>
        <w:rPr/>
        <w:t xml:space="preserve"> auf der ganzen Welt verkündet wird, wird auch von dem, was diese getan hat, gesprochen werden - zur Erinnerung an sie.“{{field-off:bible}} </w:t>
        <w:br/>
        <w:t>[[@BibleTOBIBLE:Mk 14:10]]</w:t>
      </w:r>
      <w:r>
        <w:rPr>
          <w:b/>
        </w:rPr>
        <w:t>10</w:t>
      </w:r>
      <w:r>
        <w:rPr/>
        <w:t xml:space="preserve"> {{field-on:bible}}Und Judas Iskariot, einer der Zwölf, ging zu den Hohepriestern,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wie er ihn zur rechten Zeit</w:t>
      </w:r>
      <w:r>
        <w:rPr>
          <w:rStyle w:val="Funotenanker"/>
        </w:rPr>
        <w:footnoteReference w:customMarkFollows="1" w:id="4563"/>
        <w:t>z</w:t>
      </w:r>
      <w:r>
        <w:rPr/>
        <w:t xml:space="preserve"> ausliefern könnte.{{field-off:bible}} </w:t>
        <w:br/>
        <w:t>[[@BibleTOBIBLE:Mk 14:12]]</w:t>
      </w:r>
      <w:r>
        <w:rPr>
          <w:b/>
        </w:rPr>
        <w:t>12</w:t>
      </w:r>
      <w:r>
        <w:rPr/>
        <w:t xml:space="preserve"> {{field-on:bible}}Und am ersten Tag </w:t>
      </w:r>
      <w:r>
        <w:rPr>
          <w:b/>
          <w:color w:val="808080"/>
        </w:rPr>
        <w:t>[</w:t>
      </w:r>
      <w:r>
        <w:rPr/>
        <w:t>des Festes</w:t>
      </w:r>
      <w:r>
        <w:rPr>
          <w:b/>
          <w:color w:val="808080"/>
        </w:rPr>
        <w:t>]</w:t>
      </w:r>
      <w:r>
        <w:rPr/>
        <w:t xml:space="preserve"> der ungesäuerten </w:t>
      </w:r>
      <w:r>
        <w:rPr>
          <w:b/>
          <w:color w:val="808080"/>
        </w:rPr>
        <w:t>[</w:t>
      </w:r>
      <w:r>
        <w:rPr/>
        <w:t>Brote</w:t>
      </w:r>
      <w:r>
        <w:rPr>
          <w:b/>
          <w:color w:val="808080"/>
        </w:rPr>
        <w:t>]</w:t>
      </w:r>
      <w:r>
        <w:rPr/>
        <w:t>,</w:t>
      </w:r>
      <w:r>
        <w:rPr>
          <w:rStyle w:val="Funotenanker"/>
        </w:rPr>
        <w:footnoteReference w:customMarkFollows="1" w:id="4564"/>
        <w:t>aa</w:t>
      </w:r>
      <w:r>
        <w:rPr/>
        <w:t xml:space="preserve"> als sie das Pascha</w:t>
      </w:r>
      <w:r>
        <w:rPr>
          <w:b/>
          <w:color w:val="808080"/>
        </w:rPr>
        <w:t>[</w:t>
      </w:r>
      <w:r>
        <w:rPr/>
        <w:t>lamm</w:t>
      </w:r>
      <w:r>
        <w:rPr>
          <w:b/>
          <w:color w:val="808080"/>
        </w:rPr>
        <w:t>]</w:t>
      </w:r>
      <w:r>
        <w:rPr/>
        <w:t xml:space="preserve"> opferten </w:t>
      </w:r>
      <w:r>
        <w:rPr>
          <w:color w:val="808080"/>
        </w:rPr>
        <w:t>(an dem man das Pascha</w:t>
      </w:r>
      <w:r>
        <w:rPr>
          <w:b/>
          <w:color w:val="808080"/>
        </w:rPr>
        <w:t>[</w:t>
      </w:r>
      <w:r>
        <w:rPr>
          <w:color w:val="808080"/>
        </w:rPr>
        <w:t>lamm</w:t>
      </w:r>
      <w:r>
        <w:rPr>
          <w:b/>
          <w:color w:val="808080"/>
        </w:rPr>
        <w:t>]</w:t>
      </w:r>
      <w:r>
        <w:rPr>
          <w:color w:val="808080"/>
        </w:rPr>
        <w:t xml:space="preserve"> zu opfern pflegte)</w:t>
      </w:r>
      <w:r>
        <w:rPr/>
        <w:t xml:space="preserve"> </w:t>
      </w:r>
      <w:r>
        <w:rPr>
          <w:rStyle w:val="Funotenanker"/>
        </w:rPr>
        <w:footnoteReference w:customMarkFollows="1" w:id="4565"/>
        <w:t>ab</w:t>
      </w:r>
      <w:r>
        <w:rPr/>
        <w:t>, fragten</w:t>
      </w:r>
      <w:r>
        <w:rPr>
          <w:rStyle w:val="Funotenanker"/>
        </w:rPr>
        <w:footnoteReference w:customMarkFollows="1" w:id="4566"/>
        <w:t>ac</w:t>
      </w:r>
      <w:r>
        <w:rPr/>
        <w:t xml:space="preserve"> ihn seine Jünger: „Wo willst du, </w:t>
      </w:r>
      <w:r>
        <w:rPr>
          <w:b/>
          <w:color w:val="808080"/>
        </w:rPr>
        <w:t>[</w:t>
      </w:r>
      <w:r>
        <w:rPr/>
        <w:t>dass</w:t>
      </w:r>
      <w:r>
        <w:rPr>
          <w:b/>
          <w:color w:val="808080"/>
        </w:rPr>
        <w:t>]</w:t>
      </w:r>
      <w:r>
        <w:rPr/>
        <w:t xml:space="preserve"> wir </w:t>
      </w:r>
      <w:r>
        <w:rPr>
          <w:strike/>
          <w:color w:val="808080"/>
        </w:rPr>
        <w:t>{fortgehend}</w:t>
      </w:r>
      <w:r>
        <w:rPr/>
        <w:t xml:space="preserve"> vorbereiten, damit du das Pascha essen kann?“{{field-off:bible}} </w:t>
        <w:br/>
        <w:t>[[@BibleTOBIBLE:Mk 14:13]]</w:t>
      </w:r>
      <w:r>
        <w:rPr>
          <w:b/>
        </w:rPr>
        <w:t>13</w:t>
      </w:r>
      <w:r>
        <w:rPr/>
        <w:t xml:space="preserve"> {{field-on:bible}}Und er sandte zwei seiner Jünger</w:t>
      </w:r>
      <w:r>
        <w:rPr>
          <w:rStyle w:val="Funotenanker"/>
        </w:rPr>
        <w:footnoteReference w:customMarkFollows="1" w:id="4567"/>
        <w:t>ad</w:t>
      </w:r>
      <w:r>
        <w:rPr/>
        <w:t xml:space="preserve"> und sagte zu ihnen: „Geht in die Stadt, und es wird ein Mann auf euch zutreten</w:t>
      </w:r>
      <w:r>
        <w:rPr>
          <w:rStyle w:val="Funotenanker"/>
        </w:rPr>
        <w:footnoteReference w:customMarkFollows="1" w:id="4568"/>
        <w:t>ae</w:t>
      </w:r>
      <w:r>
        <w:rPr/>
        <w:t xml:space="preserve">, der einen Krug Wasser trägt. Folgt ihm,{{field-off:bible}} </w:t>
        <w:br/>
        <w:t>[[@BibleTOBIBLE:Mk 14:14]]</w:t>
      </w:r>
      <w:r>
        <w:rPr>
          <w:b/>
        </w:rPr>
        <w:t>14</w:t>
      </w:r>
      <w:r>
        <w:rPr/>
        <w:t xml:space="preserve"> {{field-on:bible}}und wo auch immer er hineingeht, sagt zu dem Hausherrn </w:t>
      </w:r>
      <w:r>
        <w:rPr>
          <w:strike/>
          <w:color w:val="808080"/>
        </w:rPr>
        <w:t>{dass}</w:t>
      </w:r>
      <w:r>
        <w:rPr/>
        <w:t>: »Der Lehrer sagt: »Wo ist mein Gästezimmer, wo ich das Pascha</w:t>
      </w:r>
      <w:r>
        <w:rPr>
          <w:b/>
          <w:color w:val="808080"/>
        </w:rPr>
        <w:t>[</w:t>
      </w:r>
      <w:r>
        <w:rPr/>
        <w:t>mahl</w:t>
      </w:r>
      <w:r>
        <w:rPr>
          <w:b/>
          <w:color w:val="808080"/>
        </w:rPr>
        <w:t>]</w:t>
      </w:r>
      <w:r>
        <w:rPr/>
        <w:t xml:space="preserve"> mit meinen Jüngern essen kann?««!</w:t>
      </w:r>
      <w:r>
        <w:rPr>
          <w:rStyle w:val="Funotenanker"/>
        </w:rPr>
        <w:footnoteReference w:customMarkFollows="1" w:id="4569"/>
        <w:t>af</w:t>
      </w:r>
      <w:r>
        <w:rPr/>
        <w:t xml:space="preserve"> {{field-off:bible}} </w:t>
        <w:br/>
        <w:t>[[@BibleTOBIBLE:Mk 14:15]]</w:t>
      </w:r>
      <w:r>
        <w:rPr>
          <w:b/>
        </w:rPr>
        <w:t>15</w:t>
      </w:r>
      <w:r>
        <w:rPr/>
        <w:t xml:space="preserve"> {{field-on:bible}}Und dieser wird euch ein großes Zimmer im Obergeschoss zeigen, möbliert und vorbereitet. Dort bereitet für uns vor!</w:t>
      </w:r>
      <w:r>
        <w:rPr>
          <w:rStyle w:val="Funotenanker"/>
        </w:rPr>
        <w:footnoteReference w:customMarkFollows="1" w:id="4570"/>
        <w:t>ag</w:t>
      </w:r>
      <w:r>
        <w:rPr/>
        <w:t xml:space="preserve">“{{field-off:bible}} </w:t>
        <w:br/>
        <w:t>[[@BibleTOBIBLE:Mk 14:16]]</w:t>
      </w:r>
      <w:r>
        <w:rPr>
          <w:b/>
        </w:rPr>
        <w:t>16</w:t>
      </w:r>
      <w:r>
        <w:rPr/>
        <w:t xml:space="preserve"> {{field-on:bible}}Und die Jünger gingen hinaus und kamen in die Stadt, und sie fanden </w:t>
      </w:r>
      <w:r>
        <w:rPr>
          <w:b/>
          <w:color w:val="808080"/>
        </w:rPr>
        <w:t>[</w:t>
      </w:r>
      <w:r>
        <w:rPr/>
        <w:t>alles so</w:t>
      </w:r>
      <w:r>
        <w:rPr>
          <w:b/>
          <w:color w:val="808080"/>
        </w:rPr>
        <w:t>]</w:t>
      </w:r>
      <w:r>
        <w:rPr/>
        <w:t xml:space="preserve"> vor, wie er </w:t>
      </w:r>
      <w:r>
        <w:rPr>
          <w:b/>
          <w:color w:val="808080"/>
        </w:rPr>
        <w:t>[</w:t>
      </w:r>
      <w:r>
        <w:rPr/>
        <w:t>es</w:t>
      </w:r>
      <w:r>
        <w:rPr>
          <w:b/>
          <w:color w:val="808080"/>
        </w:rPr>
        <w:t>]</w:t>
      </w:r>
      <w:r>
        <w:rPr/>
        <w:t xml:space="preserve"> ihnen gesagt hatte, und sie bereiteten das Pascha</w:t>
      </w:r>
      <w:r>
        <w:rPr>
          <w:b/>
          <w:color w:val="808080"/>
        </w:rPr>
        <w:t>[</w:t>
      </w:r>
      <w:r>
        <w:rPr/>
        <w:t>mahl</w:t>
      </w:r>
      <w:r>
        <w:rPr>
          <w:b/>
          <w:color w:val="808080"/>
        </w:rPr>
        <w:t>]</w:t>
      </w:r>
      <w:r>
        <w:rPr/>
        <w:t xml:space="preserve"> vor.{{field-off:bible}} </w:t>
        <w:br/>
        <w:t>[[@BibleTOBIBLE:Mk 14:17]]</w:t>
      </w:r>
      <w:r>
        <w:rPr>
          <w:b/>
        </w:rPr>
        <w:t>17</w:t>
      </w:r>
      <w:r>
        <w:rPr/>
        <w:t xml:space="preserve"> {{field-on:bible}}Und als </w:t>
      </w:r>
      <w:r>
        <w:rPr>
          <w:b/>
          <w:color w:val="808080"/>
        </w:rPr>
        <w:t>[</w:t>
      </w:r>
      <w:r>
        <w:rPr/>
        <w:t>es</w:t>
      </w:r>
      <w:r>
        <w:rPr>
          <w:b/>
          <w:color w:val="808080"/>
        </w:rPr>
        <w:t>]</w:t>
      </w:r>
      <w:r>
        <w:rPr/>
        <w:t xml:space="preserve"> Abend geworden war </w:t>
      </w:r>
      <w:r>
        <w:rPr>
          <w:color w:val="808080"/>
        </w:rPr>
        <w:t>(wurde)</w:t>
      </w:r>
      <w:r>
        <w:rPr/>
        <w:t xml:space="preserve">, kam er mit den Zwölf.{{field-off:bible}} </w:t>
        <w:br/>
        <w:t>[[@BibleTOBIBLE:Mk 14:18]]</w:t>
      </w:r>
      <w:r>
        <w:rPr>
          <w:b/>
        </w:rPr>
        <w:t>18</w:t>
      </w:r>
      <w:r>
        <w:rPr/>
        <w:t xml:space="preserve"> {{field-on:bible}}Und während </w:t>
      </w:r>
      <w:r>
        <w:rPr>
          <w:color w:val="808080"/>
        </w:rPr>
        <w:t>(als)</w:t>
      </w:r>
      <w:r>
        <w:rPr/>
        <w:t xml:space="preserve"> </w:t>
      </w:r>
      <w:r>
        <w:rPr>
          <w:rStyle w:val="Funotenanker"/>
        </w:rPr>
        <w:footnoteReference w:customMarkFollows="1" w:id="4571"/>
        <w:t>ah</w:t>
      </w:r>
      <w:r>
        <w:rPr/>
        <w:t xml:space="preserve"> sie zum Essen lagen</w:t>
      </w:r>
      <w:r>
        <w:rPr>
          <w:rStyle w:val="Funotenanker"/>
        </w:rPr>
        <w:footnoteReference w:customMarkFollows="1" w:id="4572"/>
        <w:t>ai</w:t>
      </w:r>
      <w:r>
        <w:rPr/>
        <w:t>, sagte Jesus: „Amen, ich sage euch: Einer von euch, der mit mir isst,</w:t>
      </w:r>
      <w:r>
        <w:rPr>
          <w:rStyle w:val="Funotenanker"/>
        </w:rPr>
        <w:footnoteReference w:customMarkFollows="1" w:id="4573"/>
        <w:t>aj</w:t>
      </w:r>
      <w:r>
        <w:rPr/>
        <w:t xml:space="preserve"> wird mich ausliefern</w:t>
      </w:r>
      <w:r>
        <w:rPr>
          <w:rStyle w:val="Funotenanker"/>
        </w:rPr>
        <w:footnoteReference w:customMarkFollows="1" w:id="4574"/>
        <w:t>ak</w:t>
      </w:r>
      <w:r>
        <w:rPr/>
        <w:t xml:space="preserve">.“{{field-off:bible}} </w:t>
        <w:br/>
        <w:t>[[@BibleTOBIBLE:Mk 14:19]]</w:t>
      </w:r>
      <w:r>
        <w:rPr>
          <w:b/>
        </w:rPr>
        <w:t>19</w:t>
      </w:r>
      <w:r>
        <w:rPr/>
        <w:t xml:space="preserve"> {{field-on:bible}}Das machte sie bestürzt </w:t>
      </w:r>
      <w:r>
        <w:rPr>
          <w:color w:val="808080"/>
        </w:rPr>
        <w:t>(traurig)</w:t>
      </w:r>
      <w:r>
        <w:rPr/>
        <w:t xml:space="preserve"> und einer nach dem anderen sagte zu ihm: „Doch nicht etwa ich?“{{field-off:bible}} </w:t>
        <w:br/>
        <w:t>[[@BibleTOBIBLE:Mk 14:20]]</w:t>
      </w:r>
      <w:r>
        <w:rPr>
          <w:b/>
        </w:rPr>
        <w:t>20</w:t>
      </w:r>
      <w:r>
        <w:rPr/>
        <w:t xml:space="preserve"> {{field-on:bible}}Da sagte er zu ihnen: „Einer der Zwölf, der </w:t>
      </w:r>
      <w:r>
        <w:rPr>
          <w:b/>
          <w:color w:val="808080"/>
        </w:rPr>
        <w:t>[</w:t>
      </w:r>
      <w:r>
        <w:rPr/>
        <w:t>das Brot</w:t>
      </w:r>
      <w:r>
        <w:rPr>
          <w:b/>
          <w:color w:val="808080"/>
        </w:rPr>
        <w:t>]</w:t>
      </w:r>
      <w:r>
        <w:rPr/>
        <w:t xml:space="preserve"> mit mir in die </w:t>
      </w:r>
      <w:r>
        <w:rPr>
          <w:color w:val="808080"/>
        </w:rPr>
        <w:t>(eine)</w:t>
      </w:r>
      <w:r>
        <w:rPr/>
        <w:t xml:space="preserve"> </w:t>
      </w:r>
      <w:r>
        <w:rPr>
          <w:rStyle w:val="Funotenanker"/>
        </w:rPr>
        <w:footnoteReference w:customMarkFollows="1" w:id="4575"/>
        <w:t>al</w:t>
      </w:r>
      <w:r>
        <w:rPr/>
        <w:t xml:space="preserve"> Schüssel tunkt.</w:t>
      </w:r>
      <w:r>
        <w:rPr>
          <w:rStyle w:val="Funotenanker"/>
        </w:rPr>
        <w:footnoteReference w:customMarkFollows="1" w:id="4576"/>
        <w:t>am</w:t>
      </w:r>
      <w:r>
        <w:rPr/>
        <w:t xml:space="preserve"> {{field-off:bible}} </w:t>
        <w:br/>
        <w:t>[[@BibleTOBIBLE:Mk 14:21]]</w:t>
      </w:r>
      <w:r>
        <w:rPr>
          <w:b/>
        </w:rPr>
        <w:t>21</w:t>
      </w:r>
      <w:r>
        <w:rPr/>
        <w:t xml:space="preserve"> {{field-on:bible}}Denn der Menschensohn</w:t>
      </w:r>
      <w:r>
        <w:rPr>
          <w:rStyle w:val="Funotenanker"/>
        </w:rPr>
        <w:footnoteReference w:customMarkFollows="1" w:id="4577"/>
        <w:t>an</w:t>
      </w:r>
      <w:r>
        <w:rPr/>
        <w:t xml:space="preserve"> geht</w:t>
      </w:r>
      <w:r>
        <w:rPr>
          <w:rStyle w:val="Funotenanker"/>
        </w:rPr>
        <w:footnoteReference w:customMarkFollows="1" w:id="4578"/>
        <w:t>ao</w:t>
      </w:r>
      <w:r>
        <w:rPr/>
        <w:t xml:space="preserve"> zwar, wie über ihn geschrieben steht</w:t>
      </w:r>
      <w:r>
        <w:rPr>
          <w:rStyle w:val="Funotenanker"/>
        </w:rPr>
        <w:footnoteReference w:customMarkFollows="1" w:id="4579"/>
        <w:t>ap</w:t>
      </w:r>
      <w:r>
        <w:rPr/>
        <w:t xml:space="preserve">, aber wehe jenem Menschen, durch den der Menschensohn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als er bei </w:t>
      </w:r>
      <w:r>
        <w:rPr>
          <w:color w:val="808080"/>
        </w:rPr>
        <w:t>(nach)</w:t>
      </w:r>
      <w:r>
        <w:rPr/>
        <w:t xml:space="preserve"> ihrem Essen ein Brot genommen und </w:t>
      </w:r>
      <w:r>
        <w:rPr>
          <w:b/>
          <w:color w:val="808080"/>
        </w:rPr>
        <w:t>[</w:t>
      </w:r>
      <w:r>
        <w:rPr/>
        <w:t>Gott</w:t>
      </w:r>
      <w:r>
        <w:rPr>
          <w:b/>
          <w:color w:val="808080"/>
        </w:rPr>
        <w:t>]</w:t>
      </w:r>
      <w:r>
        <w:rPr/>
        <w:t xml:space="preserve"> gedankt hatte,</w:t>
      </w:r>
      <w:r>
        <w:rPr>
          <w:rStyle w:val="Funotenanker"/>
        </w:rPr>
        <w:footnoteReference w:customMarkFollows="1" w:id="4580"/>
        <w:t>aq</w:t>
      </w:r>
      <w:r>
        <w:rPr/>
        <w:t xml:space="preserve"> hatte, brach er </w:t>
      </w:r>
      <w:r>
        <w:rPr>
          <w:b/>
          <w:color w:val="808080"/>
        </w:rPr>
        <w:t>[</w:t>
      </w:r>
      <w:r>
        <w:rPr/>
        <w:t>es</w:t>
      </w:r>
      <w:r>
        <w:rPr>
          <w:b/>
          <w:color w:val="808080"/>
        </w:rPr>
        <w:t>]</w:t>
      </w:r>
      <w:r>
        <w:rPr/>
        <w:t xml:space="preserve"> </w:t>
      </w:r>
      <w:r>
        <w:rPr>
          <w:rStyle w:val="Funotenanker"/>
        </w:rPr>
        <w:footnoteReference w:customMarkFollows="1" w:id="4581"/>
        <w:t>ar</w:t>
      </w:r>
      <w:r>
        <w:rPr/>
        <w:t xml:space="preserve">, gab </w:t>
      </w:r>
      <w:r>
        <w:rPr>
          <w:b/>
          <w:color w:val="808080"/>
        </w:rPr>
        <w:t>[</w:t>
      </w:r>
      <w:r>
        <w:rPr/>
        <w:t>es</w:t>
      </w:r>
      <w:r>
        <w:rPr>
          <w:b/>
          <w:color w:val="808080"/>
        </w:rPr>
        <w:t>]</w:t>
      </w:r>
      <w:r>
        <w:rPr/>
        <w:t xml:space="preserve"> ihnen und sagte: „Nehmt, dies</w:t>
      </w:r>
      <w:r>
        <w:rPr>
          <w:rStyle w:val="Funotenanker"/>
        </w:rPr>
        <w:footnoteReference w:customMarkFollows="1" w:id="4582"/>
        <w:t>as</w:t>
      </w:r>
      <w:r>
        <w:rPr/>
        <w:t xml:space="preserve"> ist mein Leib!“</w:t>
      </w:r>
      <w:r>
        <w:rPr>
          <w:rStyle w:val="Funotenanker"/>
        </w:rPr>
        <w:footnoteReference w:customMarkFollows="1" w:id="4583"/>
        <w:t>at</w:t>
      </w:r>
      <w:r>
        <w:rPr/>
        <w:t xml:space="preserve"> {{field-off:bible}} </w:t>
        <w:br/>
        <w:t>[[@BibleTOBIBLE:Mk 14:23]]</w:t>
      </w:r>
      <w:r>
        <w:rPr>
          <w:b/>
        </w:rPr>
        <w:t>23</w:t>
      </w:r>
      <w:r>
        <w:rPr/>
        <w:t xml:space="preserve"> {{field-on:bible}}Und als er einen Becher </w:t>
      </w:r>
      <w:r>
        <w:rPr>
          <w:color w:val="808080"/>
        </w:rPr>
        <w:t>(Kelch)</w:t>
      </w:r>
      <w:r>
        <w:rPr/>
        <w:t xml:space="preserve"> </w:t>
      </w:r>
      <w:r>
        <w:rPr>
          <w:rStyle w:val="Funotenanker"/>
        </w:rPr>
        <w:footnoteReference w:customMarkFollows="1" w:id="4584"/>
        <w:t>au</w:t>
      </w:r>
      <w:r>
        <w:rPr/>
        <w:t xml:space="preserve"> genommen und </w:t>
      </w:r>
      <w:r>
        <w:rPr>
          <w:b/>
          <w:color w:val="808080"/>
        </w:rPr>
        <w:t>[</w:t>
      </w:r>
      <w:r>
        <w:rPr/>
        <w:t>Gott</w:t>
      </w:r>
      <w:r>
        <w:rPr>
          <w:b/>
          <w:color w:val="808080"/>
        </w:rPr>
        <w:t>]</w:t>
      </w:r>
      <w:r>
        <w:rPr/>
        <w:t xml:space="preserve"> gedankt</w:t>
      </w:r>
      <w:r>
        <w:rPr>
          <w:rStyle w:val="Funotenanker"/>
        </w:rPr>
        <w:footnoteReference w:customMarkFollows="1" w:id="4585"/>
        <w:t>av</w:t>
      </w:r>
      <w:r>
        <w:rPr/>
        <w:t xml:space="preserve"> hatte, gab er </w:t>
      </w:r>
      <w:r>
        <w:rPr>
          <w:b/>
          <w:color w:val="808080"/>
        </w:rPr>
        <w:t>[</w:t>
      </w:r>
      <w:r>
        <w:rPr/>
        <w:t>ihn</w:t>
      </w:r>
      <w:r>
        <w:rPr>
          <w:b/>
          <w:color w:val="808080"/>
        </w:rPr>
        <w:t>]</w:t>
      </w:r>
      <w:r>
        <w:rPr/>
        <w:t xml:space="preserve"> ihnen und sie alle tranken aus diesem.</w:t>
      </w:r>
      <w:r>
        <w:rPr>
          <w:rStyle w:val="Funotenanker"/>
        </w:rPr>
        <w:footnoteReference w:customMarkFollows="1" w:id="4586"/>
        <w:t>aw</w:t>
      </w:r>
      <w:r>
        <w:rPr/>
        <w:t xml:space="preserve"> {{field-off:bible}} </w:t>
        <w:br/>
        <w:t>[[@BibleTOBIBLE:Mk 14:24]]</w:t>
      </w:r>
      <w:r>
        <w:rPr>
          <w:b/>
        </w:rPr>
        <w:t>24</w:t>
      </w:r>
      <w:r>
        <w:rPr/>
        <w:t xml:space="preserve"> {{field-on:bible}}Und er sagte zu ihnen: „Dies ist mein Blut des </w:t>
      </w:r>
      <w:r>
        <w:rPr>
          <w:color w:val="808080"/>
        </w:rPr>
        <w:t>(neuen)</w:t>
      </w:r>
      <w:r>
        <w:rPr/>
        <w:t xml:space="preserve"> </w:t>
      </w:r>
      <w:r>
        <w:rPr>
          <w:rStyle w:val="Funotenanker"/>
        </w:rPr>
        <w:footnoteReference w:customMarkFollows="1" w:id="4587"/>
        <w:t>ax</w:t>
      </w:r>
      <w:r>
        <w:rPr/>
        <w:t xml:space="preserve"> Bundes, für viele</w:t>
      </w:r>
      <w:r>
        <w:rPr>
          <w:rStyle w:val="Funotenanker"/>
        </w:rPr>
        <w:footnoteReference w:customMarkFollows="1" w:id="4588"/>
        <w:t>ay</w:t>
      </w:r>
      <w:r>
        <w:rPr/>
        <w:t xml:space="preserve"> vergossen.</w:t>
      </w:r>
      <w:r>
        <w:rPr>
          <w:rStyle w:val="Funotenanker"/>
        </w:rPr>
        <w:footnoteReference w:customMarkFollows="1" w:id="4589"/>
        <w:t>az</w:t>
      </w:r>
      <w:r>
        <w:rPr/>
        <w:t xml:space="preserve"> {{field-off:bible}} </w:t>
        <w:br/>
        <w:t>[[@BibleTOBIBLE:Mk 14:25]]</w:t>
      </w:r>
      <w:r>
        <w:rPr>
          <w:b/>
        </w:rPr>
        <w:t>25</w:t>
      </w:r>
      <w:r>
        <w:rPr/>
        <w:t xml:space="preserve"> {{field-on:bible}}Amen, ich sage euch: Ich werde nicht wieder vom Gewächs des Weinstocks trinken bis zu jenem Tag, an dem ich </w:t>
      </w:r>
      <w:r>
        <w:rPr>
          <w:b/>
          <w:color w:val="808080"/>
        </w:rPr>
        <w:t>[</w:t>
      </w:r>
      <w:r>
        <w:rPr/>
        <w:t>von</w:t>
      </w:r>
      <w:r>
        <w:rPr>
          <w:b/>
          <w:color w:val="808080"/>
        </w:rPr>
        <w:t>]</w:t>
      </w:r>
      <w:r>
        <w:rPr/>
        <w:t xml:space="preserve"> ihm erneut </w:t>
      </w:r>
      <w:r>
        <w:rPr>
          <w:color w:val="808080"/>
        </w:rPr>
        <w:t>(ihn als neuen)</w:t>
      </w:r>
      <w:r>
        <w:rPr/>
        <w:t xml:space="preserve"> </w:t>
      </w:r>
      <w:r>
        <w:rPr>
          <w:rStyle w:val="Funotenanker"/>
        </w:rPr>
        <w:footnoteReference w:customMarkFollows="1" w:id="4590"/>
        <w:t>ba</w:t>
      </w:r>
      <w:r>
        <w:rPr/>
        <w:t xml:space="preserve"> im Reich Gottes trinken werde.“{{field-off:bible}} </w:t>
        <w:br/>
        <w:t>[[@BibleTOBIBLE:Mk 14:26]]</w:t>
      </w:r>
      <w:r>
        <w:rPr>
          <w:b/>
        </w:rPr>
        <w:t>26</w:t>
      </w:r>
      <w:r>
        <w:rPr/>
        <w:t xml:space="preserve"> {{field-on:bible}}Und nachdem sie </w:t>
      </w:r>
      <w:r>
        <w:rPr>
          <w:b/>
          <w:color w:val="808080"/>
        </w:rPr>
        <w:t>[</w:t>
      </w:r>
      <w:r>
        <w:rPr/>
        <w:t>ein Loblied</w:t>
      </w:r>
      <w:r>
        <w:rPr>
          <w:b/>
          <w:color w:val="808080"/>
        </w:rPr>
        <w:t>]</w:t>
      </w:r>
      <w:r>
        <w:rPr/>
        <w:t xml:space="preserve"> </w:t>
      </w:r>
      <w:r>
        <w:rPr>
          <w:rStyle w:val="Funotenanker"/>
        </w:rPr>
        <w:footnoteReference w:customMarkFollows="1" w:id="4591"/>
        <w:t>bb</w:t>
      </w:r>
      <w:r>
        <w:rPr/>
        <w:t xml:space="preserve"> gesungen hatten, gingen sie hinaus zum Ölberg.{{field-off:bible}} </w:t>
        <w:br/>
        <w:t>[[@BibleTOBIBLE:Mk 14:27]]</w:t>
      </w:r>
      <w:r>
        <w:rPr>
          <w:b/>
        </w:rPr>
        <w:t>27</w:t>
      </w:r>
      <w:r>
        <w:rPr/>
        <w:t xml:space="preserve"> {{field-on:bible}}Da sagte Jesus zu ihnen: „Ihr werdet euch alle ärgern </w:t>
      </w:r>
      <w:r>
        <w:rPr>
          <w:rStyle w:val="Funotenanker"/>
        </w:rPr>
        <w:footnoteReference w:customMarkFollows="1" w:id="4592"/>
        <w:t>bc</w:t>
      </w:r>
      <w:r>
        <w:rPr/>
        <w:t xml:space="preserve">, weil geschrieben steht: »Ich werde den Hirten schlagen </w:t>
      </w:r>
      <w:r>
        <w:rPr>
          <w:color w:val="808080"/>
        </w:rPr>
        <w:t>(erschlagen)</w:t>
      </w:r>
      <w:r>
        <w:rPr/>
        <w:t xml:space="preserve">, und die Schafe werden zerstreut werden.« </w:t>
      </w:r>
      <w:r>
        <w:rPr>
          <w:position w:val="8"/>
          <w:sz w:val="19"/>
        </w:rPr>
        <w:t>[[ ℘ &gt;&gt; BibleTOBIBLE:Zec 13:7]]</w:t>
      </w:r>
      <w:r>
        <w:rPr/>
        <w:t xml:space="preserve"> {{field-off:bible}} </w:t>
        <w:br/>
        <w:t>[[@BibleTOBIBLE:Mk 14:28]]</w:t>
      </w:r>
      <w:r>
        <w:rPr>
          <w:b/>
        </w:rPr>
        <w:t>28</w:t>
      </w:r>
      <w:r>
        <w:rPr/>
        <w:t xml:space="preserve"> {{field-on:bible}}Doch nachdem ich auferweckt sein werde, werde ich euch nach Galiläa vorausgehen.“{{field-off:bible}} </w:t>
        <w:br/>
        <w:t>[[@BibleTOBIBLE:Mk 14:29]]</w:t>
      </w:r>
      <w:r>
        <w:rPr>
          <w:b/>
        </w:rPr>
        <w:t>29</w:t>
      </w:r>
      <w:r>
        <w:rPr/>
        <w:t xml:space="preserve"> {{field-on:bible}}Daraufhin sagte Petrus zu ihm: „Wenn sich </w:t>
      </w:r>
      <w:r>
        <w:rPr>
          <w:b/>
          <w:color w:val="808080"/>
        </w:rPr>
        <w:t>[</w:t>
      </w:r>
      <w:r>
        <w:rPr/>
        <w:t>auch</w:t>
      </w:r>
      <w:r>
        <w:rPr>
          <w:b/>
          <w:color w:val="808080"/>
        </w:rPr>
        <w:t>]</w:t>
      </w:r>
      <w:r>
        <w:rPr/>
        <w:t xml:space="preserve"> alle ärgern werden, doch ich nicht!“{{field-off:bible}} </w:t>
        <w:br/>
        <w:t>[[@BibleTOBIBLE:Mk 14:30]]</w:t>
      </w:r>
      <w:r>
        <w:rPr>
          <w:b/>
        </w:rPr>
        <w:t>30</w:t>
      </w:r>
      <w:r>
        <w:rPr/>
        <w:t xml:space="preserve"> {{field-on:bible}}Und Jesus sagte zu ihm: „Amen , ich sage dir: Du wirst mich heute, in dieser Nacht, bevor der Hahn zweimal kräht, dreimal verleugnen.</w:t>
      </w:r>
      <w:r>
        <w:rPr>
          <w:rStyle w:val="Funotenanker"/>
        </w:rPr>
        <w:footnoteReference w:customMarkFollows="1" w:id="4593"/>
        <w:t>bd</w:t>
      </w:r>
      <w:r>
        <w:rPr/>
        <w:t xml:space="preserve">“{{field-off:bible}} </w:t>
        <w:br/>
        <w:t>[[@BibleTOBIBLE:Mk 14:31]]</w:t>
      </w:r>
      <w:r>
        <w:rPr>
          <w:b/>
        </w:rPr>
        <w:t>31</w:t>
      </w:r>
      <w:r>
        <w:rPr/>
        <w:t xml:space="preserve"> {{field-on:bible}}Aber er sagte vehement </w:t>
      </w:r>
      <w:r>
        <w:rPr>
          <w:color w:val="808080"/>
        </w:rPr>
        <w:t>(mit Nachdruck)</w:t>
      </w:r>
      <w:r>
        <w:rPr/>
        <w:t>: „</w:t>
      </w:r>
      <w:r>
        <w:rPr>
          <w:b/>
          <w:color w:val="808080"/>
        </w:rPr>
        <w:t>[</w:t>
      </w:r>
      <w:r>
        <w:rPr/>
        <w:t>Selbst</w:t>
      </w:r>
      <w:r>
        <w:rPr>
          <w:b/>
          <w:color w:val="808080"/>
        </w:rPr>
        <w:t>]</w:t>
      </w:r>
      <w:r>
        <w:rPr/>
        <w:t xml:space="preserve"> wenn ich zusammen mit dir sterben müsste, werde ich dich </w:t>
      </w:r>
      <w:r>
        <w:rPr>
          <w:b/>
          <w:color w:val="808080"/>
        </w:rPr>
        <w:t>[</w:t>
      </w:r>
      <w:r>
        <w:rPr/>
        <w:t>bestimmt</w:t>
      </w:r>
      <w:r>
        <w:rPr>
          <w:b/>
          <w:color w:val="808080"/>
        </w:rPr>
        <w:t>]</w:t>
      </w:r>
      <w:r>
        <w:rPr/>
        <w:t xml:space="preserve"> nicht </w:t>
      </w:r>
      <w:r>
        <w:rPr>
          <w:color w:val="808080"/>
        </w:rPr>
        <w:t>(niemals)</w:t>
      </w:r>
      <w:r>
        <w:rPr/>
        <w:t xml:space="preserve"> </w:t>
      </w:r>
      <w:r>
        <w:rPr>
          <w:rStyle w:val="Funotenanker"/>
        </w:rPr>
        <w:footnoteReference w:customMarkFollows="1" w:id="4594"/>
        <w:t>be</w:t>
      </w:r>
      <w:r>
        <w:rPr/>
        <w:t xml:space="preserve">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gingen zu einem Grundstück, dessen Name „Getsemani“ </w:t>
      </w:r>
      <w:r>
        <w:rPr>
          <w:b/>
          <w:color w:val="808080"/>
        </w:rPr>
        <w:t>[</w:t>
      </w:r>
      <w:r>
        <w:rPr/>
        <w:t>war</w:t>
      </w:r>
      <w:r>
        <w:rPr>
          <w:b/>
          <w:color w:val="808080"/>
        </w:rPr>
        <w:t>]</w:t>
      </w:r>
      <w:r>
        <w:rPr/>
        <w:t xml:space="preserve">, und er sagte zu seinen Jüngern: „Setzt euch hier hin, bis ich gebetet habe!“{{field-off:bible}} </w:t>
        <w:br/>
        <w:t>[[@BibleTOBIBLE:Mk 14:33]]</w:t>
      </w:r>
      <w:r>
        <w:rPr>
          <w:b/>
        </w:rPr>
        <w:t>33</w:t>
      </w:r>
      <w:r>
        <w:rPr/>
        <w:t xml:space="preserve"> {{field-on:bible}}Dann nahm er Petrus und Jakobus und Johannes mit sich, und er begann, aufgeregt </w:t>
      </w:r>
      <w:r>
        <w:rPr>
          <w:color w:val="808080"/>
        </w:rPr>
        <w:t>(entsetzt)</w:t>
      </w:r>
      <w:r>
        <w:rPr/>
        <w:t xml:space="preserve"> und verängstigt </w:t>
      </w:r>
      <w:r>
        <w:rPr>
          <w:color w:val="808080"/>
        </w:rPr>
        <w:t>(beunruhigt)</w:t>
      </w:r>
      <w:r>
        <w:rPr/>
        <w:t xml:space="preserve"> zu sein,{{field-off:bible}} </w:t>
        <w:br/>
        <w:t>[[@BibleTOBIBLE:Mk 14:34]]</w:t>
      </w:r>
      <w:r>
        <w:rPr>
          <w:b/>
        </w:rPr>
        <w:t>34</w:t>
      </w:r>
      <w:r>
        <w:rPr/>
        <w:t xml:space="preserve"> {{field-on:bible}}und er sagte zu ihnen: „Meine Seele ist zu Tode betrübt</w:t>
      </w:r>
      <w:r>
        <w:rPr>
          <w:rStyle w:val="Funotenanker"/>
        </w:rPr>
        <w:footnoteReference w:customMarkFollows="1" w:id="4595"/>
        <w:t>bf</w:t>
      </w:r>
      <w:r>
        <w:rPr/>
        <w:t xml:space="preserve">; bleibt hier und wacht </w:t>
      </w:r>
      <w:r>
        <w:rPr>
          <w:color w:val="808080"/>
        </w:rPr>
        <w:t>(bleibt wach)</w:t>
      </w:r>
      <w:r>
        <w:rPr/>
        <w:t xml:space="preserve">!“{{field-off:bible}} </w:t>
        <w:br/>
        <w:t>[[@BibleTOBIBLE:Mk 14:35]]</w:t>
      </w:r>
      <w:r>
        <w:rPr>
          <w:b/>
        </w:rPr>
        <w:t>35</w:t>
      </w:r>
      <w:r>
        <w:rPr/>
        <w:t xml:space="preserve"> {{field-on:bible}}Und er ging ein wenig voraus und fiel </w:t>
      </w:r>
      <w:r>
        <w:rPr>
          <w:color w:val="808080"/>
        </w:rPr>
        <w:t>(warf sich)</w:t>
      </w:r>
      <w:r>
        <w:rPr/>
        <w:t xml:space="preserve"> auf die Erde, und er betete, dass – wenn es möglich ist – die Stunde an ihm vorübergeht,{{field-off:bible}} </w:t>
        <w:br/>
        <w:t>[[@BibleTOBIBLE:Mk 14:36]]</w:t>
      </w:r>
      <w:r>
        <w:rPr>
          <w:b/>
        </w:rPr>
        <w:t>36</w:t>
      </w:r>
      <w:r>
        <w:rPr/>
        <w:t xml:space="preserve"> {{field-on:bible}}und er sagte: „Abba, Vater, alles </w:t>
      </w:r>
      <w:r>
        <w:rPr>
          <w:b/>
          <w:color w:val="808080"/>
        </w:rPr>
        <w:t>[</w:t>
      </w:r>
      <w:r>
        <w:rPr/>
        <w:t>ist</w:t>
      </w:r>
      <w:r>
        <w:rPr>
          <w:b/>
          <w:color w:val="808080"/>
        </w:rPr>
        <w:t>]</w:t>
      </w:r>
      <w:r>
        <w:rPr/>
        <w:t xml:space="preserve"> dir möglich. Nimm diesen Kelch</w:t>
      </w:r>
      <w:r>
        <w:rPr>
          <w:rStyle w:val="Funotenanker"/>
        </w:rPr>
        <w:footnoteReference w:customMarkFollows="1" w:id="4596"/>
        <w:t>bg</w:t>
      </w:r>
      <w:r>
        <w:rPr/>
        <w:t xml:space="preserve"> von mir weg!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kam und stellte fest </w:t>
      </w:r>
      <w:r>
        <w:rPr>
          <w:color w:val="808080"/>
        </w:rPr>
        <w:t>(fand)</w:t>
      </w:r>
      <w:r>
        <w:rPr/>
        <w:t xml:space="preserve">, dass sie schlafen, und er sagte zu Petrus: „Simon, schläfst du? Konntest du nicht eine einzige Stunde wachen?{{field-off:bible}} </w:t>
        <w:br/>
        <w:t>[[@BibleTOBIBLE:Mk 14:38]]</w:t>
      </w:r>
      <w:r>
        <w:rPr>
          <w:b/>
        </w:rPr>
        <w:t>38</w:t>
      </w:r>
      <w:r>
        <w:rPr/>
        <w:t xml:space="preserve"> {{field-on:bible}}Wacht und betet, damit ihr nicht in Versuchung geratet! Der Geist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erneut ging er los, betete und sprach dasselbe Gebet </w:t>
      </w:r>
      <w:r>
        <w:rPr>
          <w:color w:val="808080"/>
        </w:rPr>
        <w:t>(Wort, Sache)</w:t>
      </w:r>
      <w:r>
        <w:rPr/>
        <w:t xml:space="preserve">.{{field-off:bible}} </w:t>
        <w:br/>
        <w:t>[[@BibleTOBIBLE:Mk 14:40]]</w:t>
      </w:r>
      <w:r>
        <w:rPr>
          <w:b/>
        </w:rPr>
        <w:t>40</w:t>
      </w:r>
      <w:r>
        <w:rPr/>
        <w:t xml:space="preserve"> {{field-on:bible}}Und erneut ging er und stellte fest, dass sie schliefen, denn ihre Augen waren müde </w:t>
      </w:r>
      <w:r>
        <w:rPr>
          <w:color w:val="808080"/>
        </w:rPr>
        <w:t>(beschwert)</w:t>
      </w:r>
      <w:r>
        <w:rPr/>
        <w:t xml:space="preserve">, und sie wussten nicht, was sie ihm antworten sollten.{{field-off:bible}} </w:t>
        <w:br/>
        <w:t>[[@BibleTOBIBLE:Mk 14:41]]</w:t>
      </w:r>
      <w:r>
        <w:rPr>
          <w:b/>
        </w:rPr>
        <w:t>41</w:t>
      </w:r>
      <w:r>
        <w:rPr/>
        <w:t xml:space="preserve"> {{field-on:bible}}Und das dritte </w:t>
      </w:r>
      <w:r>
        <w:rPr>
          <w:b/>
          <w:color w:val="808080"/>
        </w:rPr>
        <w:t>[</w:t>
      </w:r>
      <w:r>
        <w:rPr/>
        <w:t>Mal</w:t>
      </w:r>
      <w:r>
        <w:rPr>
          <w:b/>
          <w:color w:val="808080"/>
        </w:rPr>
        <w:t>]</w:t>
      </w:r>
      <w:r>
        <w:rPr/>
        <w:t xml:space="preserve"> kam er und sagte zu ihnen: „Schlaft weiter und ruht euch aus! Es reicht. Die Stunde ist gekommen, siehe!, der Sohn des Menschen wird in die Hände der Sünder ausgeliefert.{{field-off:bible}} </w:t>
        <w:br/>
        <w:t>[[@BibleTOBIBLE:Mk 14:42]]</w:t>
      </w:r>
      <w:r>
        <w:rPr>
          <w:b/>
        </w:rPr>
        <w:t>42</w:t>
      </w:r>
      <w:r>
        <w:rPr/>
        <w:t xml:space="preserve"> {{field-on:bible}}Erhebt euch, lasst uns aufbrechen! Siehe!, der mich verrät, ist genaht.“{{field-off:bible}} </w:t>
        <w:br/>
        <w:t>[[@BibleTOBIBLE:Mk 14:43]]</w:t>
      </w:r>
      <w:r>
        <w:rPr>
          <w:b/>
        </w:rPr>
        <w:t>43</w:t>
      </w:r>
      <w:r>
        <w:rPr/>
        <w:t xml:space="preserve"> {{field-on:bible}}Und prompt, noch während er redete, kam Judas, einer der zwölf, und mit ihm eine Menschenmenge mit Schwertern und Keulen </w:t>
      </w:r>
      <w:r>
        <w:rPr>
          <w:color w:val="808080"/>
        </w:rPr>
        <w:t>(Hölzern)</w:t>
      </w:r>
      <w:r>
        <w:rPr/>
        <w:t xml:space="preserve">, von den Oberpriestern und den Schriftgelehrten und den Ältesten.{{field-off:bible}} </w:t>
        <w:br/>
        <w:t>[[@BibleTOBIBLE:Mk 14:44]]</w:t>
      </w:r>
      <w:r>
        <w:rPr>
          <w:b/>
        </w:rPr>
        <w:t>44</w:t>
      </w:r>
      <w:r>
        <w:rPr/>
        <w:t xml:space="preserve"> {{field-on:bible}}Aber derjenige, der ihn auslieferte, gab ihnen ein Zeichen </w:t>
      </w:r>
      <w:r>
        <w:rPr>
          <w:color w:val="808080"/>
        </w:rPr>
        <w:t>(eine Andeutung)</w:t>
      </w:r>
      <w:r>
        <w:rPr/>
        <w:t xml:space="preserve"> </w:t>
      </w:r>
      <w:r>
        <w:rPr>
          <w:strike/>
          <w:color w:val="808080"/>
        </w:rPr>
        <w:t>{sagend}</w:t>
      </w:r>
      <w:r>
        <w:rPr/>
        <w:t xml:space="preserve">: „Wen auch immer ich liebhaben sollte, der ist es. Ergreift ihn und führt ihn sicher ab!“{{field-off:bible}} </w:t>
        <w:br/>
        <w:t>[[@BibleTOBIBLE:Mk 14:45]]</w:t>
      </w:r>
      <w:r>
        <w:rPr>
          <w:b/>
        </w:rPr>
        <w:t>45</w:t>
      </w:r>
      <w:r>
        <w:rPr/>
        <w:t xml:space="preserve"> {{field-on:bible}}Und als er kam, ging er sofort zu ihm und sagte: „Rabbi!“, und er küsste ihn.{{field-off:bible}} </w:t>
        <w:br/>
        <w:t>[[@BibleTOBIBLE:Mk 14:46]]</w:t>
      </w:r>
      <w:r>
        <w:rPr>
          <w:b/>
        </w:rPr>
        <w:t>46</w:t>
      </w:r>
      <w:r>
        <w:rPr/>
        <w:t xml:space="preserve"> {{field-on:bible}}Aber sie legten die Hände an ihn, und sie nahmen ihn fest </w:t>
      </w:r>
      <w:r>
        <w:rPr>
          <w:color w:val="808080"/>
        </w:rPr>
        <w:t>(ergriffen ihn)</w:t>
      </w:r>
      <w:r>
        <w:rPr/>
        <w:t xml:space="preserve">.{{field-off:bible}} </w:t>
        <w:br/>
        <w:t>[[@BibleTOBIBLE:Mk 14:47]]</w:t>
      </w:r>
      <w:r>
        <w:rPr>
          <w:b/>
        </w:rPr>
        <w:t>47</w:t>
      </w:r>
      <w:r>
        <w:rPr/>
        <w:t xml:space="preserve"> {{field-on:bible}}Aber einer von denen, die dabeistanden, zog das Schwert und schlug den Sklaven </w:t>
      </w:r>
      <w:r>
        <w:rPr>
          <w:color w:val="808080"/>
        </w:rPr>
        <w:t>(Diener)</w:t>
      </w:r>
      <w:r>
        <w:rPr/>
        <w:t xml:space="preserve"> des Oberpriesters, und er trennte dessen Ohr ab.{{field-off:bible}} </w:t>
        <w:br/>
        <w:t>[[@BibleTOBIBLE:Mk 14:48]]</w:t>
      </w:r>
      <w:r>
        <w:rPr>
          <w:b/>
        </w:rPr>
        <w:t>48</w:t>
      </w:r>
      <w:r>
        <w:rPr/>
        <w:t xml:space="preserve"> {{field-on:bible}}Und Jesus antwortete </w:t>
      </w:r>
      <w:r>
        <w:rPr>
          <w:strike/>
          <w:color w:val="808080"/>
        </w:rPr>
        <w:t>{und sagte zu}</w:t>
      </w:r>
      <w:r>
        <w:rPr/>
        <w:t xml:space="preserve"> ihnen: „Wie gegen einen Räuber seid ihr mit Schwertern und Keulen ausgezogen, um mich festzunehmen?{{field-off:bible}} </w:t>
        <w:br/>
        <w:t>[[@BibleTOBIBLE:Mk 14:49]]</w:t>
      </w:r>
      <w:r>
        <w:rPr>
          <w:b/>
        </w:rPr>
        <w:t>49</w:t>
      </w:r>
      <w:r>
        <w:rPr/>
        <w:t xml:space="preserve"> {{field-on:bible}}Tag für Tag war ich bei euch und lehrte im Tempel</w:t>
      </w:r>
      <w:r>
        <w:rPr>
          <w:rStyle w:val="Funotenanker"/>
        </w:rPr>
        <w:footnoteReference w:customMarkFollows="1" w:id="4597"/>
        <w:t>bh</w:t>
      </w:r>
      <w:r>
        <w:rPr/>
        <w:t xml:space="preserve">, und ihr habt mich nicht ergriffen. Aber </w:t>
      </w:r>
      <w:r>
        <w:rPr>
          <w:b/>
          <w:color w:val="808080"/>
        </w:rPr>
        <w:t>[</w:t>
      </w:r>
      <w:r>
        <w:rPr/>
        <w:t>es geschah dies nur</w:t>
      </w:r>
      <w:r>
        <w:rPr>
          <w:b/>
          <w:color w:val="808080"/>
        </w:rPr>
        <w:t>]</w:t>
      </w:r>
      <w:r>
        <w:rPr/>
        <w:t xml:space="preserve">, damit die Schriften erfüllt werden.“{{field-off:bible}} </w:t>
        <w:br/>
        <w:t>[[@BibleTOBIBLE:Mk 14:50]]</w:t>
      </w:r>
      <w:r>
        <w:rPr>
          <w:b/>
        </w:rPr>
        <w:t>50</w:t>
      </w:r>
      <w:r>
        <w:rPr/>
        <w:t xml:space="preserve"> {{field-on:bible}}Da verließen ihn alle und flohen.{{field-off:bible}} </w:t>
        <w:br/>
        <w:t>[[@BibleTOBIBLE:Mk 14:51]]</w:t>
      </w:r>
      <w:r>
        <w:rPr>
          <w:b/>
        </w:rPr>
        <w:t>51</w:t>
      </w:r>
      <w:r>
        <w:rPr/>
        <w:t xml:space="preserve"> {{field-on:bible}}Und ein gewisser junger Mann folgte ihm, bekleidet mit einem Hemd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w:t>
      </w:r>
      <w:r>
        <w:rPr>
          <w:b/>
          <w:color w:val="808080"/>
        </w:rPr>
        <w:t>[</w:t>
      </w:r>
      <w:r>
        <w:rPr/>
        <w:t>wollten</w:t>
      </w:r>
      <w:r>
        <w:rPr>
          <w:b/>
          <w:color w:val="808080"/>
        </w:rPr>
        <w:t>]</w:t>
      </w:r>
      <w:r>
        <w:rPr/>
        <w:t xml:space="preserve"> ihn festnehmen </w:t>
      </w:r>
      <w:r>
        <w:rPr>
          <w:color w:val="808080"/>
        </w:rPr>
        <w:t>(ergreifen)</w:t>
      </w:r>
      <w:r>
        <w:rPr/>
        <w:t xml:space="preserve">,{{field-off:bible}} </w:t>
        <w:br/>
        <w:t>[[@BibleTOBIBLE:Mk 14:52]]</w:t>
      </w:r>
      <w:r>
        <w:rPr>
          <w:b/>
        </w:rPr>
        <w:t>52</w:t>
      </w:r>
      <w:r>
        <w:rPr/>
        <w:t xml:space="preserve"> {{field-on:bible}}aber er ließ das Hemd zurück und floh nackt.{{field-off:bible}} </w:t>
        <w:br/>
        <w:t>[[@BibleTOBIBLE:Mk 14:53]]</w:t>
      </w:r>
      <w:r>
        <w:rPr>
          <w:b/>
        </w:rPr>
        <w:t>53</w:t>
      </w:r>
      <w:r>
        <w:rPr/>
        <w:t xml:space="preserve"> {{field-on:bible}}Und sie brachten </w:t>
      </w:r>
      <w:r>
        <w:rPr>
          <w:color w:val="808080"/>
        </w:rPr>
        <w:t>(führten ab)</w:t>
      </w:r>
      <w:r>
        <w:rPr/>
        <w:t xml:space="preserve"> Jesus zum Hohen Priester, und alle obersten </w:t>
      </w:r>
      <w:r>
        <w:rPr>
          <w:color w:val="808080"/>
        </w:rPr>
        <w:t>(führenden, Hohen)</w:t>
      </w:r>
      <w:r>
        <w:rPr/>
        <w:t xml:space="preserve"> Priester</w:t>
      </w:r>
      <w:r>
        <w:rPr>
          <w:rStyle w:val="Funotenanker"/>
        </w:rPr>
        <w:footnoteReference w:customMarkFollows="1" w:id="4598"/>
        <w:t>bi</w:t>
      </w:r>
      <w:r>
        <w:rPr/>
        <w:t xml:space="preserve"> und die Ältesten und die Schriftgelehrten kamen zusammen </w:t>
      </w:r>
      <w:r>
        <w:rPr>
          <w:color w:val="808080"/>
        </w:rPr>
        <w:t>(versammelten sich)</w:t>
      </w:r>
      <w:r>
        <w:rPr/>
        <w:t xml:space="preserve">.{{field-off:bible}} </w:t>
        <w:br/>
        <w:t>[[@BibleTOBIBLE:Mk 14:54]]</w:t>
      </w:r>
      <w:r>
        <w:rPr>
          <w:b/>
        </w:rPr>
        <w:t>54</w:t>
      </w:r>
      <w:r>
        <w:rPr/>
        <w:t xml:space="preserve"> {{field-on:bible}}Und Petrus folgte </w:t>
      </w:r>
      <w:r>
        <w:rPr>
          <w:color w:val="808080"/>
        </w:rPr>
        <w:t>(war gefolgt)</w:t>
      </w:r>
      <w:r>
        <w:rPr/>
        <w:t xml:space="preserve"> </w:t>
      </w:r>
      <w:r>
        <w:rPr>
          <w:rStyle w:val="Funotenanker"/>
        </w:rPr>
        <w:footnoteReference w:customMarkFollows="1" w:id="4599"/>
        <w:t>bj</w:t>
      </w:r>
      <w:r>
        <w:rPr/>
        <w:t xml:space="preserve"> ihm in einiger Entfernung </w:t>
      </w:r>
      <w:r>
        <w:rPr>
          <w:color w:val="808080"/>
        </w:rPr>
        <w:t>(von weitem)</w:t>
      </w:r>
      <w:r>
        <w:rPr/>
        <w:t xml:space="preserve"> bis nach drinnen </w:t>
      </w:r>
      <w:r>
        <w:rPr>
          <w:color w:val="808080"/>
        </w:rPr>
        <w:t>(hinein)</w:t>
      </w:r>
      <w:r>
        <w:rPr/>
        <w:t xml:space="preserve"> in den Innenhof </w:t>
      </w:r>
      <w:r>
        <w:rPr>
          <w:color w:val="808080"/>
        </w:rPr>
        <w:t>(Palast)</w:t>
      </w:r>
      <w:r>
        <w:rPr/>
        <w:t xml:space="preserve"> des Hohen Priesters,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4600"/>
        <w:t>bk</w:t>
      </w:r>
      <w:r>
        <w:rPr/>
        <w:t xml:space="preserve"> bei den Dienern </w:t>
      </w:r>
      <w:r>
        <w:rPr>
          <w:color w:val="808080"/>
        </w:rPr>
        <w:t>(Wächtern)</w:t>
      </w:r>
      <w:r>
        <w:rPr/>
        <w:t xml:space="preserve"> </w:t>
      </w:r>
      <w:r>
        <w:rPr>
          <w:rStyle w:val="Funotenanker"/>
        </w:rPr>
        <w:footnoteReference w:customMarkFollows="1" w:id="4601"/>
        <w:t>bl</w:t>
      </w:r>
      <w:r>
        <w:rPr/>
        <w:t xml:space="preserve"> und wärmte sich am Licht </w:t>
      </w:r>
      <w:r>
        <w:rPr>
          <w:color w:val="808080"/>
        </w:rPr>
        <w:t>(Feuer)</w:t>
      </w:r>
      <w:r>
        <w:rPr/>
        <w:t xml:space="preserve"> </w:t>
      </w:r>
      <w:r>
        <w:rPr>
          <w:rStyle w:val="Funotenanker"/>
        </w:rPr>
        <w:footnoteReference w:customMarkFollows="1" w:id="4602"/>
        <w:t>bm</w:t>
      </w:r>
      <w:r>
        <w:rPr/>
        <w:t xml:space="preserve">.{{field-off:bible}}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w:t>
      </w:r>
      <w:r>
        <w:rPr>
          <w:color w:val="808080"/>
        </w:rPr>
        <w:t>(und)</w:t>
      </w:r>
      <w:r>
        <w:rPr/>
        <w:t xml:space="preserve"> sie fanden keine,{{field-off:bible}} </w:t>
        <w:br/>
        <w:t>[[@BibleTOBIBLE:Mk 14:56]]</w:t>
      </w:r>
      <w:r>
        <w:rPr>
          <w:b/>
        </w:rPr>
        <w:t>56</w:t>
      </w:r>
      <w:r>
        <w:rPr/>
        <w:t xml:space="preserve"> {{field-on:bible}}denn viele machten Falschaussagen gegen ihn, aber </w:t>
      </w:r>
      <w:r>
        <w:rPr>
          <w:color w:val="808080"/>
        </w:rPr>
        <w:t>(und)</w:t>
      </w:r>
      <w:r>
        <w:rPr/>
        <w:t xml:space="preserve"> ihre Aussagen waren nicht übereinstimmend </w:t>
      </w:r>
      <w:r>
        <w:rPr>
          <w:color w:val="808080"/>
        </w:rPr>
        <w:t>(gleich)</w:t>
      </w:r>
      <w:r>
        <w:rPr/>
        <w:t xml:space="preserve">.{{field-off:bible}} </w:t>
        <w:br/>
        <w:t>[[@BibleTOBIBLE:Mk 14:57]]</w:t>
      </w:r>
      <w:r>
        <w:rPr>
          <w:b/>
        </w:rPr>
        <w:t>57</w:t>
      </w:r>
      <w:r>
        <w:rPr/>
        <w:t xml:space="preserve"> {{field-on:bible}}Und einige standen auf und sagten falsch gegen ihn aus:{{field-off:bible}} </w:t>
        <w:br/>
        <w:t>[[@BibleTOBIBLE:Mk 14:58]]</w:t>
      </w:r>
      <w:r>
        <w:rPr>
          <w:b/>
        </w:rPr>
        <w:t>58</w:t>
      </w:r>
      <w:r>
        <w:rPr/>
        <w:t xml:space="preserve"> {{field-on:bible}} </w:t>
      </w:r>
      <w:r>
        <w:rPr>
          <w:strike/>
          <w:color w:val="808080"/>
        </w:rPr>
        <w:t>{dass}</w:t>
      </w:r>
      <w:r>
        <w:rPr/>
        <w:t xml:space="preserve"> „Wir haben gehört, wie </w:t>
      </w:r>
      <w:r>
        <w:rPr>
          <w:color w:val="808080"/>
        </w:rPr>
        <w:t>(dass)</w:t>
      </w:r>
      <w:r>
        <w:rPr/>
        <w:t xml:space="preserve"> er sagte: </w:t>
      </w:r>
      <w:r>
        <w:rPr>
          <w:strike/>
          <w:color w:val="808080"/>
        </w:rPr>
        <w:t>{dass}</w:t>
      </w:r>
      <w:r>
        <w:rPr/>
        <w:t xml:space="preserve"> Ich werde diesen von Hand</w:t>
      </w:r>
      <w:r>
        <w:rPr>
          <w:rStyle w:val="Funotenanker"/>
        </w:rPr>
        <w:footnoteReference w:customMarkFollows="1" w:id="4603"/>
        <w:t>bn</w:t>
      </w:r>
      <w:r>
        <w:rPr/>
        <w:t xml:space="preserve"> erbauten Tempel abreißen und innerhalb von drei Tagen einen anderen, nicht von Hand erbauten errichten!“</w:t>
      </w:r>
      <w:r>
        <w:rPr>
          <w:rStyle w:val="Funotenanker"/>
        </w:rPr>
        <w:footnoteReference w:customMarkFollows="1" w:id="4604"/>
        <w:t>bo</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 Zeugnis </w:t>
      </w:r>
      <w:r>
        <w:rPr>
          <w:color w:val="808080"/>
        </w:rPr>
        <w:t>(Aussage)</w:t>
      </w:r>
      <w:r>
        <w:rPr/>
        <w:t xml:space="preserve"> übereinstimmend </w:t>
      </w:r>
      <w:r>
        <w:rPr>
          <w:color w:val="808080"/>
        </w:rPr>
        <w:t>(gleich)</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4605"/>
        <w:t>bp</w:t>
      </w:r>
      <w:r>
        <w:rPr/>
        <w:t xml:space="preserve"> in die Mitte und</w:t>
      </w:r>
      <w:r>
        <w:rPr>
          <w:rStyle w:val="Funotenanker"/>
        </w:rPr>
        <w:footnoteReference w:customMarkFollows="1" w:id="4606"/>
        <w:t>bq</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aussagen?“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4607"/>
        <w:t>br</w:t>
      </w:r>
      <w:r>
        <w:rPr/>
        <w:t xml:space="preserve"> und antwortete gar nichts. Wieder fragte </w:t>
      </w:r>
      <w:r>
        <w:rPr>
          <w:color w:val="808080"/>
        </w:rPr>
        <w:t>(befragte, verhörte)</w:t>
      </w:r>
      <w:r>
        <w:rPr/>
        <w:t xml:space="preserve"> ihn der Hohepriester und sagte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4608"/>
        <w:t>bs</w:t>
      </w:r>
      <w:r>
        <w:rPr/>
        <w:t xml:space="preserve"> </w:t>
      </w:r>
      <w:r>
        <w:rPr>
          <w:position w:val="8"/>
          <w:sz w:val="19"/>
        </w:rPr>
        <w:t>[[ ℘ &gt;&gt; BibleTOBIBLE:Ps 110:1]]</w:t>
      </w:r>
      <w:r>
        <w:rPr/>
        <w:t xml:space="preserve"> sitzt und mit den Wolken des Himmels kommt</w:t>
      </w:r>
      <w:r>
        <w:rPr>
          <w:rStyle w:val="Funotenanker"/>
        </w:rPr>
        <w:footnoteReference w:customMarkFollows="1" w:id="4609"/>
        <w:t>bt</w:t>
      </w:r>
      <w:r>
        <w:rPr/>
        <w:t xml:space="preserve"> </w:t>
      </w:r>
      <w:r>
        <w:rPr>
          <w:position w:val="8"/>
          <w:sz w:val="19"/>
        </w:rPr>
        <w:t>[[ ℘ &gt;&gt; BibleTOBIBLE:Da 7:13]]</w:t>
      </w:r>
      <w:r>
        <w:rPr/>
        <w:t>.“</w:t>
      </w:r>
      <w:r>
        <w:rPr>
          <w:rStyle w:val="Funotenanker"/>
        </w:rPr>
        <w:footnoteReference w:customMarkFollows="1" w:id="4610"/>
        <w:t>bu</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4611"/>
        <w:t>bv</w:t>
      </w:r>
      <w:r>
        <w:rPr/>
        <w:t xml:space="preserve"> und</w:t>
      </w:r>
      <w:r>
        <w:rPr>
          <w:rStyle w:val="Funotenanker"/>
        </w:rPr>
        <w:footnoteReference w:customMarkFollows="1" w:id="4612"/>
        <w:t>bw</w:t>
      </w:r>
      <w:r>
        <w:rPr/>
        <w:t xml:space="preserve"> rief </w:t>
      </w:r>
      <w:r>
        <w:rPr>
          <w:color w:val="808080"/>
        </w:rPr>
        <w:t>(sagte)</w:t>
      </w:r>
      <w:r>
        <w:rPr/>
        <w:t xml:space="preserve">: „Wozu </w:t>
      </w:r>
      <w:r>
        <w:rPr>
          <w:color w:val="808080"/>
        </w:rPr>
        <w:t>(was)</w:t>
      </w:r>
      <w:r>
        <w:rPr/>
        <w:t xml:space="preserve"> brauchen</w:t>
      </w:r>
      <w:r>
        <w:rPr>
          <w:rStyle w:val="Funotenanker"/>
        </w:rPr>
        <w:footnoteReference w:customMarkFollows="1" w:id="4613"/>
        <w:t>bx</w:t>
      </w:r>
      <w:r>
        <w:rPr/>
        <w:t xml:space="preserve"> wir noch Zeugen?{{field-off:bible}} </w:t>
        <w:br/>
        <w:t>[[@BibleTOBIBLE:Mk 14:64]]</w:t>
      </w:r>
      <w:r>
        <w:rPr>
          <w:b/>
        </w:rPr>
        <w:t>64</w:t>
      </w:r>
      <w:r>
        <w:rPr/>
        <w:t xml:space="preserve"> {{field-on:bible}}Ihr habt die Gotteslästerung gehört. Was ist eurer Urteil </w:t>
      </w:r>
      <w:r>
        <w:rPr>
          <w:color w:val="808080"/>
        </w:rPr>
        <w:t>(eure Meinung)</w:t>
      </w:r>
      <w:r>
        <w:rPr/>
        <w:t xml:space="preserve">?“ Und </w:t>
      </w:r>
      <w:r>
        <w:rPr>
          <w:color w:val="808080"/>
        </w:rPr>
        <w:t>(aber)</w:t>
      </w:r>
      <w:r>
        <w:rPr/>
        <w:t xml:space="preserve"> sie alle verurteilten ihn, des Todes schuldig</w:t>
      </w:r>
      <w:r>
        <w:rPr>
          <w:rStyle w:val="Funotenanker"/>
        </w:rPr>
        <w:footnoteReference w:customMarkFollows="1" w:id="4614"/>
        <w:t>by</w:t>
      </w:r>
      <w:r>
        <w:rPr/>
        <w:t xml:space="preserve"> zu sein</w:t>
      </w:r>
      <w:r>
        <w:rPr>
          <w:rStyle w:val="Funotenanker"/>
        </w:rPr>
        <w:footnoteReference w:customMarkFollows="1" w:id="4615"/>
        <w:t>bz</w:t>
      </w:r>
      <w:r>
        <w:rPr/>
        <w:t xml:space="preserve">.{{field-off:bible}} </w:t>
        <w:br/>
        <w:t>[[@BibleTOBIBLE:Mk 14:65]]</w:t>
      </w:r>
      <w:r>
        <w:rPr>
          <w:b/>
        </w:rPr>
        <w:t>65</w:t>
      </w:r>
      <w:r>
        <w:rPr/>
        <w:t xml:space="preserve"> {{field-on:bible}}Und einige begannen ihn anzuspucken und sein Gesicht zu verhüllen und ihn mit den Fäusten</w:t>
      </w:r>
      <w:r>
        <w:rPr>
          <w:rStyle w:val="Funotenanker"/>
        </w:rPr>
        <w:footnoteReference w:customMarkFollows="1" w:id="4616"/>
        <w:t>ca</w:t>
      </w:r>
      <w:r>
        <w:rPr/>
        <w:t xml:space="preserve"> zu schlagen und </w:t>
      </w:r>
      <w:r>
        <w:rPr>
          <w:b/>
          <w:color w:val="808080"/>
        </w:rPr>
        <w:t>[</w:t>
      </w:r>
      <w:r>
        <w:rPr/>
        <w:t>zu</w:t>
      </w:r>
      <w:r>
        <w:rPr>
          <w:b/>
          <w:color w:val="808080"/>
        </w:rPr>
        <w:t>]</w:t>
      </w:r>
      <w:r>
        <w:rPr/>
        <w:t xml:space="preserve"> ihm zu sagen: „Prophezeie </w:t>
      </w:r>
      <w:r>
        <w:rPr>
          <w:b/>
          <w:color w:val="808080"/>
        </w:rPr>
        <w:t>[</w:t>
      </w:r>
      <w:r>
        <w:rPr/>
        <w:t>doch</w:t>
      </w:r>
      <w:r>
        <w:rPr>
          <w:b/>
          <w:color w:val="808080"/>
        </w:rPr>
        <w:t>]</w:t>
      </w:r>
      <w:r>
        <w:rPr/>
        <w:t xml:space="preserve">!“, und </w:t>
      </w:r>
      <w:r>
        <w:rPr>
          <w:b/>
          <w:color w:val="808080"/>
        </w:rPr>
        <w:t>[</w:t>
      </w:r>
      <w:r>
        <w:rPr/>
        <w:t>auch</w:t>
      </w:r>
      <w:r>
        <w:rPr>
          <w:b/>
          <w:color w:val="808080"/>
        </w:rPr>
        <w:t>]</w:t>
      </w:r>
      <w:r>
        <w:rPr/>
        <w:t xml:space="preserve"> die Diener nahmen ihn </w:t>
      </w:r>
      <w:r>
        <w:rPr>
          <w:b/>
          <w:color w:val="808080"/>
        </w:rPr>
        <w:t>[</w:t>
      </w:r>
      <w:r>
        <w:rPr/>
        <w:t>mit</w:t>
      </w:r>
      <w:r>
        <w:rPr>
          <w:b/>
          <w:color w:val="808080"/>
        </w:rPr>
        <w:t>]</w:t>
      </w:r>
      <w:r>
        <w:rPr/>
        <w:t xml:space="preserve"> </w:t>
      </w:r>
      <w:r>
        <w:rPr>
          <w:color w:val="808080"/>
        </w:rPr>
        <w:t>(verpassten ihm)</w:t>
      </w:r>
      <w:r>
        <w:rPr/>
        <w:t xml:space="preserve"> </w:t>
      </w:r>
      <w:r>
        <w:rPr>
          <w:rStyle w:val="Funotenanker"/>
        </w:rPr>
        <w:footnoteReference w:customMarkFollows="1" w:id="4617"/>
        <w:t>cb</w:t>
      </w:r>
      <w:r>
        <w:rPr/>
        <w:t xml:space="preserve"> Schlägen.{{field-off:bible}} </w:t>
        <w:br/>
        <w:t>[[@BibleTOBIBLE:Mk 14:66]]</w:t>
      </w:r>
      <w:r>
        <w:rPr>
          <w:b/>
        </w:rPr>
        <w:t>66</w:t>
      </w:r>
      <w:r>
        <w:rPr/>
        <w:t xml:space="preserve"> {{field-on:bible}}Und während Petrus unten im Hof war, kam eine der Sklavinnen des Oberpriesters,{{field-off:bible}} </w:t>
        <w:br/>
        <w:t>[[@BibleTOBIBLE:Mk 14:67]]</w:t>
      </w:r>
      <w:r>
        <w:rPr>
          <w:b/>
        </w:rPr>
        <w:t>67</w:t>
      </w:r>
      <w:r>
        <w:rPr/>
        <w:t xml:space="preserve"> {{field-on:bible}}und als sie sah, dass Petrus sich wärmte, sah sie ihn an und sagte: „Auch du warst bei dem Nazarener Jesus!“{{field-off:bible}} </w:t>
        <w:br/>
        <w:t>[[@BibleTOBIBLE:Mk 14:68]]</w:t>
      </w:r>
      <w:r>
        <w:rPr>
          <w:b/>
        </w:rPr>
        <w:t>68</w:t>
      </w:r>
      <w:r>
        <w:rPr/>
        <w:t xml:space="preserve"> {{field-on:bible}}Aber er leugnete </w:t>
      </w:r>
      <w:r>
        <w:rPr>
          <w:b/>
          <w:color w:val="808080"/>
        </w:rPr>
        <w:t>[</w:t>
      </w:r>
      <w:r>
        <w:rPr/>
        <w:t>es</w:t>
      </w:r>
      <w:r>
        <w:rPr>
          <w:b/>
          <w:color w:val="808080"/>
        </w:rPr>
        <w:t>]</w:t>
      </w:r>
      <w:r>
        <w:rPr/>
        <w:t xml:space="preserve"> und sagte: „Weder weiß ich noch verstehe ich, was du sagst.“ Und er ging nach draußen in den Vorhof, und ein Hahn krähte.{{field-off:bible}} </w:t>
        <w:br/>
        <w:t>[[@BibleTOBIBLE:Mk 14:69]]</w:t>
      </w:r>
      <w:r>
        <w:rPr>
          <w:b/>
        </w:rPr>
        <w:t>69</w:t>
      </w:r>
      <w:r>
        <w:rPr/>
        <w:t xml:space="preserve"> {{field-on:bible}}Und als die Sklavin ihn sah, begann sie erneut zu denen zu sagen, die dabeistanden: „Dieser gehört zu</w:t>
      </w:r>
      <w:r>
        <w:rPr>
          <w:rStyle w:val="Funotenanker"/>
        </w:rPr>
        <w:footnoteReference w:customMarkFollows="1" w:id="4618"/>
        <w:t>cc</w:t>
      </w:r>
      <w:r>
        <w:rPr/>
        <w:t xml:space="preserve"> ihnen!“{{field-off:bible}} </w:t>
        <w:br/>
        <w:t>[[@BibleTOBIBLE:Mk 14:70]]</w:t>
      </w:r>
      <w:r>
        <w:rPr>
          <w:b/>
        </w:rPr>
        <w:t>70</w:t>
      </w:r>
      <w:r>
        <w:rPr/>
        <w:t xml:space="preserve"> {{field-on:bible}}Aber er leugnete </w:t>
      </w:r>
      <w:r>
        <w:rPr>
          <w:b/>
          <w:color w:val="808080"/>
        </w:rPr>
        <w:t>[</w:t>
      </w:r>
      <w:r>
        <w:rPr/>
        <w:t>es</w:t>
      </w:r>
      <w:r>
        <w:rPr>
          <w:b/>
          <w:color w:val="808080"/>
        </w:rPr>
        <w:t>]</w:t>
      </w:r>
      <w:r>
        <w:rPr/>
        <w:t xml:space="preserve"> wieder, und kurz danach sagten diejenigen, die dabeistanden, erneut zu Petrus: „Wahrhaftig, du gehörst zu</w:t>
      </w:r>
      <w:r>
        <w:rPr>
          <w:rStyle w:val="Funotenanker"/>
        </w:rPr>
        <w:footnoteReference w:customMarkFollows="1" w:id="4619"/>
        <w:t>cd</w:t>
      </w:r>
      <w:r>
        <w:rPr/>
        <w:t xml:space="preserve"> ihnen, denn du bist auch ein Galiläer</w:t>
      </w:r>
      <w:r>
        <w:rPr>
          <w:rStyle w:val="Funotenanker"/>
        </w:rPr>
        <w:footnoteReference w:customMarkFollows="1" w:id="4620"/>
        <w:t>ce</w:t>
      </w:r>
      <w:r>
        <w:rPr/>
        <w:t xml:space="preserve">.“{{field-off:bible}} </w:t>
        <w:br/>
        <w:t>[[@BibleTOBIBLE:Mk 14:71]]</w:t>
      </w:r>
      <w:r>
        <w:rPr>
          <w:b/>
        </w:rPr>
        <w:t>71</w:t>
      </w:r>
      <w:r>
        <w:rPr/>
        <w:t xml:space="preserve"> {{field-on:bible}}Aber er begann sich zu verfluchen und zu schwören: „Ich kenne diesen Menschen nicht, den ihr meint </w:t>
      </w:r>
      <w:r>
        <w:rPr>
          <w:color w:val="808080"/>
        </w:rPr>
        <w:t>(sagt)</w:t>
      </w:r>
      <w:r>
        <w:rPr/>
        <w:t xml:space="preserve">.“{{field-off:bible}} </w:t>
        <w:br/>
        <w:t>[[@BibleTOBIBLE:Mk 14:72]]</w:t>
      </w:r>
      <w:r>
        <w:rPr>
          <w:b/>
        </w:rPr>
        <w:t>72</w:t>
      </w:r>
      <w:r>
        <w:rPr/>
        <w:t xml:space="preserve"> {{field-on:bible}}Und prompt krähte zum zweiten Mal ein Hahn. Da erinnerte sich Petrus an das Wort, als Jesus zu ihm gesagt hatte: „Bevor der Hahn zweimal kräht, wirst du mich dreimal verleugnen.“ Und er brach zusammen </w:t>
      </w:r>
      <w:r>
        <w:rPr>
          <w:color w:val="808080"/>
        </w:rPr>
        <w:t>(fiel nieder)</w:t>
      </w:r>
      <w:r>
        <w:rPr/>
        <w:t xml:space="preserve"> und begann zu weinen.{{field-off:bible}}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4621"/>
        <w:t>Status</w:t>
      </w:r>
      <w:r>
        <w:rPr/>
        <w:t xml:space="preserve"> Und dann frühmorgens, nachdem die Oberpriester mit den Ältesten und Schriftgelehrten und dem gesamten Synedrium Rat gehalten hatten </w:t>
      </w:r>
      <w:r>
        <w:rPr>
          <w:color w:val="808080"/>
        </w:rPr>
        <w:t>(einen Plan gefasst hatten)</w:t>
      </w:r>
      <w:r>
        <w:rPr/>
        <w:t xml:space="preserve"> </w:t>
      </w:r>
      <w:r>
        <w:rPr>
          <w:b/>
          <w:color w:val="808080"/>
        </w:rPr>
        <w:t>[</w:t>
      </w:r>
      <w:r>
        <w:rPr/>
        <w:t>und</w:t>
      </w:r>
      <w:r>
        <w:rPr>
          <w:b/>
          <w:color w:val="808080"/>
        </w:rPr>
        <w:t>]</w:t>
      </w:r>
      <w:r>
        <w:rPr/>
        <w:t xml:space="preserve"> nachdem sie Jesus gefesselt hatten, führten sie ihn ab und lieferten ihn an Pilatus aus.{{field-off:bible}} </w:t>
        <w:br/>
        <w:t>[[@BibleTOBIBLE:Mk 15:2]]</w:t>
      </w:r>
      <w:r>
        <w:rPr>
          <w:b/>
        </w:rPr>
        <w:t>2</w:t>
      </w:r>
      <w:r>
        <w:rPr/>
        <w:t xml:space="preserve"> {{field-on:bible}}Und Pilatus fragte ihn: „Bist ''du'' der König der Juden </w:t>
      </w:r>
      <w:r>
        <w:rPr>
          <w:color w:val="808080"/>
        </w:rPr>
        <w:t>(Judäer)</w:t>
      </w:r>
      <w:r>
        <w:rPr/>
        <w:t xml:space="preserve">?“ Er </w:t>
      </w:r>
      <w:r>
        <w:rPr>
          <w:strike/>
          <w:color w:val="808080"/>
        </w:rPr>
        <w:t>{aber}</w:t>
      </w:r>
      <w:r>
        <w:rPr/>
        <w:t xml:space="preserve"> antwortete ihm </w:t>
      </w:r>
      <w:r>
        <w:rPr>
          <w:strike/>
          <w:color w:val="808080"/>
        </w:rPr>
        <w:t>{und sagt}</w:t>
      </w:r>
      <w:r>
        <w:rPr/>
        <w:t xml:space="preserve">: „Du sagst </w:t>
      </w:r>
      <w:r>
        <w:rPr>
          <w:b/>
          <w:color w:val="808080"/>
        </w:rPr>
        <w:t>[</w:t>
      </w:r>
      <w:r>
        <w:rPr/>
        <w:t>es</w:t>
      </w:r>
      <w:r>
        <w:rPr>
          <w:b/>
          <w:color w:val="808080"/>
        </w:rPr>
        <w:t>]</w:t>
      </w:r>
      <w:r>
        <w:rPr/>
        <w:t xml:space="preserve">.“{{field-off:bible}} </w:t>
        <w:br/>
        <w:t>[[@BibleTOBIBLE:Mk 15:3]]</w:t>
      </w:r>
      <w:r>
        <w:rPr>
          <w:b/>
        </w:rPr>
        <w:t>3</w:t>
      </w:r>
      <w:r>
        <w:rPr/>
        <w:t xml:space="preserve"> {{field-on:bible}} </w:t>
      </w:r>
      <w:r>
        <w:rPr>
          <w:strike/>
          <w:color w:val="808080"/>
        </w:rPr>
        <w:t>{Und}</w:t>
      </w:r>
      <w:r>
        <w:rPr/>
        <w:t xml:space="preserve"> </w:t>
      </w:r>
      <w:r>
        <w:rPr>
          <w:b/>
          <w:color w:val="808080"/>
        </w:rPr>
        <w:t>[</w:t>
      </w:r>
      <w:r>
        <w:rPr/>
        <w:t>da</w:t>
      </w:r>
      <w:r>
        <w:rPr>
          <w:b/>
          <w:color w:val="808080"/>
        </w:rPr>
        <w:t>]</w:t>
      </w:r>
      <w:r>
        <w:rPr/>
        <w:t xml:space="preserve"> klagten ihn die Oberpriester vieler </w:t>
      </w:r>
      <w:r>
        <w:rPr>
          <w:b/>
          <w:color w:val="808080"/>
        </w:rPr>
        <w:t>[</w:t>
      </w:r>
      <w:r>
        <w:rPr/>
        <w:t>Dinge</w:t>
      </w:r>
      <w:r>
        <w:rPr>
          <w:b/>
          <w:color w:val="808080"/>
        </w:rPr>
        <w:t>]</w:t>
      </w:r>
      <w:r>
        <w:rPr/>
        <w:t xml:space="preserve"> an.{{field-off:bible}} </w:t>
        <w:br/>
        <w:t>[[@BibleTOBIBLE:Mk 15:4]]</w:t>
      </w:r>
      <w:r>
        <w:rPr>
          <w:b/>
        </w:rPr>
        <w:t>4</w:t>
      </w:r>
      <w:r>
        <w:rPr/>
        <w:t xml:space="preserve"> {{field-on:bible}}Und Pilatus fragte ihn erneut </w:t>
      </w:r>
      <w:r>
        <w:rPr>
          <w:strike/>
          <w:color w:val="808080"/>
        </w:rPr>
        <w:t>{und sagte}</w:t>
      </w:r>
      <w:r>
        <w:rPr/>
        <w:t xml:space="preserve">: „Antwortest du nichts? Siehe, wie viel sie dich beschuldigen!“{{field-off:bible}} </w:t>
        <w:br/>
        <w:t>[[@BibleTOBIBLE:Mk 15:5]]</w:t>
      </w:r>
      <w:r>
        <w:rPr>
          <w:b/>
        </w:rPr>
        <w:t>5</w:t>
      </w:r>
      <w:r>
        <w:rPr/>
        <w:t xml:space="preserve"> {{field-on:bible}}Jesus aber antwortete nicht länger, sodass Pilatus sich wunderte.{{field-off:bible}} </w:t>
        <w:br/>
        <w:t>[[@BibleTOBIBLE:Mk 15:6]]</w:t>
      </w:r>
      <w:r>
        <w:rPr>
          <w:b/>
        </w:rPr>
        <w:t>6</w:t>
      </w:r>
      <w:r>
        <w:rPr/>
        <w:t xml:space="preserve"> {{field-on:bible}}Nun ließ er ihnen zum Fest ''einen'' Gefangenen frei, den sie erbaten.{{field-off:bible}} </w:t>
        <w:br/>
        <w:t>[[@BibleTOBIBLE:Mk 15:7]]</w:t>
      </w:r>
      <w:r>
        <w:rPr>
          <w:b/>
        </w:rPr>
        <w:t>7</w:t>
      </w:r>
      <w:r>
        <w:rPr/>
        <w:t xml:space="preserve"> {{field-on:bible}}Es war aber einer,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zu bitten, </w:t>
      </w:r>
      <w:r>
        <w:rPr>
          <w:b/>
          <w:color w:val="808080"/>
        </w:rPr>
        <w:t>[</w:t>
      </w:r>
      <w:r>
        <w:rPr/>
        <w:t>zu tun</w:t>
      </w:r>
      <w:r>
        <w:rPr>
          <w:b/>
          <w:color w:val="808080"/>
        </w:rPr>
        <w:t>]</w:t>
      </w:r>
      <w:r>
        <w:rPr/>
        <w:t xml:space="preserve"> was er für sie zu tun pflegte.{{field-off:bible}} </w:t>
        <w:br/>
        <w:t>[[@BibleTOBIBLE:Mk 15:9]]</w:t>
      </w:r>
      <w:r>
        <w:rPr>
          <w:b/>
        </w:rPr>
        <w:t>9</w:t>
      </w:r>
      <w:r>
        <w:rPr/>
        <w:t xml:space="preserve"> {{field-on:bible}}Und Pilatus antwortete ihnen </w:t>
      </w:r>
      <w:r>
        <w:rPr>
          <w:strike/>
          <w:color w:val="808080"/>
        </w:rPr>
        <w:t>{und sagte}</w:t>
      </w:r>
      <w:r>
        <w:rPr/>
        <w:t xml:space="preserve">: „Wollt ihr, dass ich euch den »König der Juden </w:t>
      </w:r>
      <w:r>
        <w:rPr>
          <w:color w:val="808080"/>
        </w:rPr>
        <w:t>(Judäer)</w:t>
      </w:r>
      <w:r>
        <w:rPr/>
        <w:t xml:space="preserve">« freilasse?“{{field-off:bible}} </w:t>
        <w:br/>
        <w:t>[[@BibleTOBIBLE:Mk 15:10]]</w:t>
      </w:r>
      <w:r>
        <w:rPr>
          <w:b/>
        </w:rPr>
        <w:t>10</w:t>
      </w:r>
      <w:r>
        <w:rPr/>
        <w:t xml:space="preserve"> {{field-on:bible}}Denn er wusste, dass die Oberpriester ihn aus Neid übergeben hatten.{{field-off:bible}} </w:t>
        <w:br/>
        <w:t>[[@BibleTOBIBLE:Mk 15:11]]</w:t>
      </w:r>
      <w:r>
        <w:rPr>
          <w:b/>
        </w:rPr>
        <w:t>11</w:t>
      </w:r>
      <w:r>
        <w:rPr/>
        <w:t xml:space="preserve"> {{field-on:bible}}Die Oberpriester aber hetzten die Menschenmenge auf, dass er ihnen vielmehr Barabbas freilassen solle.{{field-off:bible}} </w:t>
        <w:br/>
        <w:t>[[@BibleTOBIBLE:Mk 15:12]]</w:t>
      </w:r>
      <w:r>
        <w:rPr>
          <w:b/>
        </w:rPr>
        <w:t>12</w:t>
      </w:r>
      <w:r>
        <w:rPr/>
        <w:t xml:space="preserve"> {{field-on:bible}}Und Pilatus antwortete ihnen erneut </w:t>
      </w:r>
      <w:r>
        <w:rPr>
          <w:b/>
          <w:color w:val="808080"/>
        </w:rPr>
        <w:t>[</w:t>
      </w:r>
      <w:r>
        <w:rPr/>
        <w:t>und sagte</w:t>
      </w:r>
      <w:r>
        <w:rPr>
          <w:b/>
          <w:color w:val="808080"/>
        </w:rPr>
        <w:t>]</w:t>
      </w:r>
      <w:r>
        <w:rPr/>
        <w:t xml:space="preserve">: „Was nun wollt ihr, dass ich </w:t>
      </w:r>
      <w:r>
        <w:rPr>
          <w:b/>
          <w:color w:val="808080"/>
        </w:rPr>
        <w:t>[</w:t>
      </w:r>
      <w:r>
        <w:rPr/>
        <w:t>mit dem</w:t>
      </w:r>
      <w:r>
        <w:rPr>
          <w:b/>
          <w:color w:val="808080"/>
        </w:rPr>
        <w:t>]</w:t>
      </w:r>
      <w:r>
        <w:rPr/>
        <w:t xml:space="preserve"> mache, den ihr den »König der Juden </w:t>
      </w:r>
      <w:r>
        <w:rPr>
          <w:color w:val="808080"/>
        </w:rPr>
        <w:t>(Judäer)</w:t>
      </w:r>
      <w:r>
        <w:rPr/>
        <w:t>« nennt?“</w:t>
      </w:r>
      <w:r>
        <w:rPr>
          <w:rStyle w:val="Funotenanker"/>
        </w:rPr>
        <w:footnoteReference w:customMarkFollows="1" w:id="4622"/>
        <w:t>a</w:t>
      </w:r>
      <w:r>
        <w:rPr/>
        <w:t xml:space="preserve"> {{field-off:bible}} </w:t>
        <w:br/>
        <w:t>[[@BibleTOBIBLE:Mk 15:13]]</w:t>
      </w:r>
      <w:r>
        <w:rPr>
          <w:b/>
        </w:rPr>
        <w:t>13</w:t>
      </w:r>
      <w:r>
        <w:rPr/>
        <w:t xml:space="preserve"> {{field-on:bible}}Sie aber schrien erneut: „Kreuzige ihn!“{{field-off:bible}} </w:t>
        <w:br/>
        <w:t>[[@BibleTOBIBLE:Mk 15:14]]</w:t>
      </w:r>
      <w:r>
        <w:rPr>
          <w:b/>
        </w:rPr>
        <w:t>14</w:t>
      </w:r>
      <w:r>
        <w:rPr/>
        <w:t xml:space="preserve"> {{field-on:bible}}Und Pilatus sagte zu ihnen: „Was hat er denn Schlechtes getan?“ Sie aber schrien maßlos: „Kreuzige ihn!“{{field-off:bible}} </w:t>
        <w:br/>
        <w:t>[[@BibleTOBIBLE:Mk 15:15]]</w:t>
      </w:r>
      <w:r>
        <w:rPr>
          <w:b/>
        </w:rPr>
        <w:t>15</w:t>
      </w:r>
      <w:r>
        <w:rPr/>
        <w:t xml:space="preserve"> {{field-on:bible}}Da aber Pilatus der Menschenmenge gefallen wollte, ließ er ihnen Barabbas frei, und übergab Jesus, nachdem er ihn gegeißelt hatte, damit er gekreuzigt werde.{{field-off:bible}} </w:t>
        <w:br/>
        <w:t>[[@BibleTOBIBLE:Mk 15:16]]</w:t>
      </w:r>
      <w:r>
        <w:rPr>
          <w:b/>
        </w:rPr>
        <w:t>16</w:t>
      </w:r>
      <w:r>
        <w:rPr/>
        <w:t xml:space="preserve"> {{field-on:bible}}Und die Soldaten führten ihn in den Hof – das heißt: das Prätorium – und </w:t>
      </w:r>
      <w:r>
        <w:rPr>
          <w:strike/>
          <w:color w:val="808080"/>
        </w:rPr>
        <w:t>{sie}</w:t>
      </w:r>
      <w:r>
        <w:rPr/>
        <w:t xml:space="preserve"> riefen</w:t>
      </w:r>
      <w:r>
        <w:rPr>
          <w:rStyle w:val="Funotenanker"/>
        </w:rPr>
        <w:footnoteReference w:customMarkFollows="1" w:id="4623"/>
        <w:t>b</w:t>
      </w:r>
      <w:r>
        <w:rPr/>
        <w:t xml:space="preserve"> die gesamte Truppe zusammen.{{field-off:bible}} </w:t>
        <w:br/>
        <w:t>[[@BibleTOBIBLE:Mk 15:17]]</w:t>
      </w:r>
      <w:r>
        <w:rPr>
          <w:b/>
        </w:rPr>
        <w:t>17</w:t>
      </w:r>
      <w:r>
        <w:rPr/>
        <w:t xml:space="preserve"> {{field-on:bible}}Und sie ziehen ihm einen Purpurmantel an, und sie flochten eine Krone aus Dornen und setzen sie ihm auf.{{field-off:bible}} </w:t>
        <w:br/>
        <w:t>[[@BibleTOBIBLE:Mk 15:18]]</w:t>
      </w:r>
      <w:r>
        <w:rPr>
          <w:b/>
        </w:rPr>
        <w:t>18</w:t>
      </w:r>
      <w:r>
        <w:rPr/>
        <w:t xml:space="preserve"> {{field-on:bible}}Und sie begannen, ihn zu grüßen: „Sei gegrüßt, König der Juden </w:t>
      </w:r>
      <w:r>
        <w:rPr>
          <w:color w:val="808080"/>
        </w:rPr>
        <w:t>(Judäer)</w:t>
      </w:r>
      <w:r>
        <w:rPr/>
        <w:t xml:space="preserve">!“{{field-off:bible}} </w:t>
        <w:br/>
        <w:t>[[@BibleTOBIBLE:Mk 15:19]]</w:t>
      </w:r>
      <w:r>
        <w:rPr>
          <w:b/>
        </w:rPr>
        <w:t>19</w:t>
      </w:r>
      <w:r>
        <w:rPr/>
        <w:t xml:space="preserve"> {{field-on:bible}}Und sie schlugen seinen Kopf mit einem Rohr und bespuckten ihn, und sie gingen auf die Knie und beteten ihn an.</w:t>
      </w:r>
      <w:r>
        <w:rPr>
          <w:rStyle w:val="Funotenanker"/>
        </w:rPr>
        <w:footnoteReference w:customMarkFollows="1" w:id="4624"/>
        <w:t>c</w:t>
      </w:r>
      <w:r>
        <w:rPr/>
        <w:t xml:space="preserve"> {{field-off:bible}} </w:t>
        <w:br/>
        <w:t>[[@BibleTOBIBLE:Mk 15:20]]</w:t>
      </w:r>
      <w:r>
        <w:rPr>
          <w:b/>
        </w:rPr>
        <w:t>20</w:t>
      </w:r>
      <w:r>
        <w:rPr/>
        <w:t xml:space="preserve"> {{field-on:bible}}Und als sie ihn verspottet hatten, zogen sie ihm den Purpurmantel aus, und sie zogen ihm seine Kleider an. Dann führen sie ihn ab, um ihn zu kreuzigen.{{field-off:bible}} </w:t>
        <w:br/>
        <w:t>[[@BibleTOBIBLE:Mk 15:21]]</w:t>
      </w:r>
      <w:r>
        <w:rPr>
          <w:b/>
        </w:rPr>
        <w:t>21</w:t>
      </w:r>
      <w:r>
        <w:rPr/>
        <w:t xml:space="preserve"> {{field-on:bible}}Und sie zwangen</w:t>
      </w:r>
      <w:r>
        <w:rPr>
          <w:rStyle w:val="Funotenanker"/>
        </w:rPr>
        <w:footnoteReference w:customMarkFollows="1" w:id="4625"/>
        <w:t>d</w:t>
      </w:r>
      <w:r>
        <w:rPr/>
        <w:t xml:space="preserve"> einen Passanten, einen gewissen Simon Kyrene, der vom Feld kam, von Vater von Alexander und Rufus, damit er sein </w:t>
      </w:r>
      <w:r>
        <w:rPr>
          <w:color w:val="808080"/>
        </w:rPr>
        <w:t>(dessen)</w:t>
      </w:r>
      <w:r>
        <w:rPr/>
        <w:t xml:space="preserve"> Kreuz träge.{{field-off:bible}} </w:t>
        <w:br/>
        <w:t>[[@BibleTOBIBLE:Mk 15:22]]</w:t>
      </w:r>
      <w:r>
        <w:rPr>
          <w:b/>
        </w:rPr>
        <w:t>22</w:t>
      </w:r>
      <w:r>
        <w:rPr/>
        <w:t xml:space="preserve"> {{field-on:bible}}Und sie bringen ihn zu dem Ort Golgata – das heißt übersetzt: Ort des Schädels.{{field-off:bible}} </w:t>
        <w:br/>
        <w:t>[[@BibleTOBIBLE:Mk 15:23]]</w:t>
      </w:r>
      <w:r>
        <w:rPr>
          <w:b/>
        </w:rPr>
        <w:t>23</w:t>
      </w:r>
      <w:r>
        <w:rPr/>
        <w:t xml:space="preserve"> {{field-on:bible}}Und sie gaben ihm mit Myrrhe vermischten Wein, er aber nahm </w:t>
      </w:r>
      <w:r>
        <w:rPr>
          <w:b/>
          <w:color w:val="808080"/>
        </w:rPr>
        <w:t>[</w:t>
      </w:r>
      <w:r>
        <w:rPr/>
        <w:t>den Wein</w:t>
      </w:r>
      <w:r>
        <w:rPr>
          <w:b/>
          <w:color w:val="808080"/>
        </w:rPr>
        <w:t>]</w:t>
      </w:r>
      <w:r>
        <w:rPr/>
        <w:t xml:space="preserve"> nicht.{{field-off:bible}} </w:t>
        <w:br/>
        <w:t>[[@BibleTOBIBLE:Mk 15:24]]</w:t>
      </w:r>
      <w:r>
        <w:rPr>
          <w:b/>
        </w:rPr>
        <w:t>24</w:t>
      </w:r>
      <w:r>
        <w:rPr/>
        <w:t xml:space="preserve"> {{field-on:bible}}Und sie kreuzigen ihn und ''</w:t>
      </w:r>
      <w:r>
        <w:rPr>
          <w:strike/>
          <w:color w:val="808080"/>
        </w:rPr>
        <w:t>{sie}</w:t>
      </w:r>
      <w:r>
        <w:rPr/>
        <w:t xml:space="preserve"> teilten seine Kleider, indem sie ein Los über </w:t>
      </w:r>
      <w:r>
        <w:rPr>
          <w:strike/>
          <w:color w:val="808080"/>
        </w:rPr>
        <w:t>{sie}</w:t>
      </w:r>
      <w:r>
        <w:rPr/>
        <w:t xml:space="preserve"> </w:t>
      </w:r>
      <w:r>
        <w:rPr>
          <w:b/>
          <w:color w:val="808080"/>
        </w:rPr>
        <w:t>[</w:t>
      </w:r>
      <w:r>
        <w:rPr/>
        <w:t>die Kleider</w:t>
      </w:r>
      <w:r>
        <w:rPr>
          <w:b/>
          <w:color w:val="808080"/>
        </w:rPr>
        <w:t>]</w:t>
      </w:r>
      <w:r>
        <w:rPr/>
        <w:t xml:space="preserve"> warfen''</w:t>
      </w:r>
      <w:r>
        <w:rPr>
          <w:rStyle w:val="Funotenanker"/>
        </w:rPr>
        <w:footnoteReference w:customMarkFollows="1" w:id="4626"/>
        <w:t>e</w:t>
      </w:r>
      <w:r>
        <w:rPr/>
        <w:t xml:space="preserve">, wer was nähme. </w:t>
      </w:r>
      <w:r>
        <w:rPr>
          <w:position w:val="8"/>
          <w:sz w:val="19"/>
        </w:rPr>
        <w:t>[[ ℘ &gt;&gt; BibleTOBIBLE:Ps 22:19]]</w:t>
      </w:r>
      <w:r>
        <w:rPr/>
        <w:t xml:space="preserve"> {{field-off:bible}} </w:t>
        <w:br/>
        <w:t>[[@BibleTOBIBLE:Mk 15:25]]</w:t>
      </w:r>
      <w:r>
        <w:rPr>
          <w:b/>
        </w:rPr>
        <w:t>25</w:t>
      </w:r>
      <w:r>
        <w:rPr/>
        <w:t xml:space="preserve"> {{field-on:bible}}Und es war die dritte Stunde, als sie ihn kreuzigten.{{field-off:bible}}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Juden </w:t>
      </w:r>
      <w:r>
        <w:rPr>
          <w:color w:val="808080"/>
        </w:rPr>
        <w:t>(Judäer)</w:t>
      </w:r>
      <w:r>
        <w:rPr/>
        <w:t xml:space="preserve">.{{field-off:bible}} </w:t>
        <w:br/>
        <w:t>[[@BibleTOBIBLE:Mk 15:27]]</w:t>
      </w:r>
      <w:r>
        <w:rPr>
          <w:b/>
        </w:rPr>
        <w:t>27</w:t>
      </w:r>
      <w:r>
        <w:rPr/>
        <w:t xml:space="preserve"> {{field-on:bible}}Und zusammen mit ihm kreuzigen sie zwei Räuber, einen zur seiner Rechten und einen zur seiner Linken.{{field-off:bible}} </w:t>
        <w:br/>
        <w:t>[[@BibleTOBIBLE:Mk 15:28]]</w:t>
      </w:r>
      <w:r>
        <w:rPr>
          <w:b/>
        </w:rPr>
        <w:t>28</w:t>
      </w:r>
      <w:r>
        <w:rPr/>
        <w:t xml:space="preserve"> {{field-on:bible}} </w:t>
      </w:r>
      <w:r>
        <w:rPr>
          <w:strike/>
          <w:color w:val="808080"/>
        </w:rPr>
        <w:t>{Und erfüllt wurde die Schrift[, die sagt]: Mit den Ungerechten wurde er [zusammengetan] {angerechnet}}</w:t>
      </w:r>
      <w:r>
        <w:rPr/>
        <w:t xml:space="preserve"> </w:t>
      </w:r>
      <w:r>
        <w:rPr>
          <w:rStyle w:val="Funotenanker"/>
        </w:rPr>
        <w:footnoteReference w:customMarkFollows="1" w:id="4627"/>
        <w:t>f</w:t>
      </w:r>
      <w:r>
        <w:rPr/>
        <w:t xml:space="preserve"> {{field-off:bible}} </w:t>
        <w:br/>
        <w:t>[[@BibleTOBIBLE:Mk 15:29]]</w:t>
      </w:r>
      <w:r>
        <w:rPr>
          <w:b/>
        </w:rPr>
        <w:t>29</w:t>
      </w:r>
      <w:r>
        <w:rPr/>
        <w:t xml:space="preserve"> {{field-on:bible}}Und die Vobeilaufenden lästerten </w:t>
      </w:r>
      <w:r>
        <w:rPr>
          <w:strike/>
          <w:color w:val="808080"/>
        </w:rPr>
        <w:t>{über}</w:t>
      </w:r>
      <w:r>
        <w:rPr/>
        <w:t xml:space="preserve"> ihn, schüttelten ihre Köpfe und sagten: „Aha! Der </w:t>
      </w:r>
      <w:r>
        <w:rPr>
          <w:b/>
          <w:color w:val="808080"/>
        </w:rPr>
        <w:t>[</w:t>
      </w:r>
      <w:r>
        <w:rPr/>
        <w:t>du</w:t>
      </w:r>
      <w:r>
        <w:rPr>
          <w:b/>
          <w:color w:val="808080"/>
        </w:rPr>
        <w:t>]</w:t>
      </w:r>
      <w:r>
        <w:rPr/>
        <w:t xml:space="preserve"> den Tempel niederreißt und in drei Tagen aufbaust,{{field-off:bible}} </w:t>
        <w:br/>
        <w:t>[[@BibleTOBIBLE:Mk 15:30]]</w:t>
      </w:r>
      <w:r>
        <w:rPr>
          <w:b/>
        </w:rPr>
        <w:t>30</w:t>
      </w:r>
      <w:r>
        <w:rPr/>
        <w:t xml:space="preserve"> {{field-on:bible}}rette dich selbst, </w:t>
      </w:r>
      <w:r>
        <w:rPr>
          <w:b/>
          <w:color w:val="808080"/>
        </w:rPr>
        <w:t>[</w:t>
      </w:r>
      <w:r>
        <w:rPr/>
        <w:t>indem du</w:t>
      </w:r>
      <w:r>
        <w:rPr>
          <w:b/>
          <w:color w:val="808080"/>
        </w:rPr>
        <w:t>]</w:t>
      </w:r>
      <w:r>
        <w:rPr/>
        <w:t xml:space="preserve"> von dem Kreuz herabsteigst!“{{field-off:bible}} </w:t>
        <w:br/>
        <w:t>[[@BibleTOBIBLE:Mk 15:31]]</w:t>
      </w:r>
      <w:r>
        <w:rPr>
          <w:b/>
        </w:rPr>
        <w:t>31</w:t>
      </w:r>
      <w:r>
        <w:rPr/>
        <w:t xml:space="preserve"> {{field-on:bible}}Genauso spotteten auch die Oberpriester zueinander mit den Schriftgelehrten</w:t>
      </w:r>
      <w:r>
        <w:rPr>
          <w:strike/>
          <w:color w:val="808080"/>
        </w:rPr>
        <w:t>{ und sagten}</w:t>
      </w:r>
      <w:r>
        <w:rPr/>
        <w:t xml:space="preserve">: „Andere hat er gerettet, sich selbst vermag er nicht zu retten.{{field-off:bible}} </w:t>
        <w:br/>
        <w:t>[[@BibleTOBIBLE:Mk 15:32]]</w:t>
      </w:r>
      <w:r>
        <w:rPr>
          <w:b/>
        </w:rPr>
        <w:t>32</w:t>
      </w:r>
      <w:r>
        <w:rPr/>
        <w:t xml:space="preserve"> {{field-on:bible}}Der Gesalbte </w:t>
      </w:r>
      <w:r>
        <w:rPr>
          <w:color w:val="808080"/>
        </w:rPr>
        <w:t>(Christus)</w:t>
      </w:r>
      <w:r>
        <w:rPr/>
        <w:t xml:space="preserve">, der König Israels, er soll jetzt von dem Kreuz herabsteigen, damit wir sehen und glauben!“ Und die Mitgekreuzigten </w:t>
      </w:r>
      <w:r>
        <w:rPr>
          <w:strike/>
          <w:color w:val="808080"/>
        </w:rPr>
        <w:t>{mit ihm}</w:t>
      </w:r>
      <w:r>
        <w:rPr/>
        <w:t xml:space="preserve"> beleidigten ihn </w:t>
      </w:r>
      <w:r>
        <w:rPr>
          <w:b/>
          <w:color w:val="808080"/>
        </w:rPr>
        <w:t>[</w:t>
      </w:r>
      <w:r>
        <w:rPr/>
        <w:t>auch</w:t>
      </w:r>
      <w:r>
        <w:rPr>
          <w:b/>
          <w:color w:val="808080"/>
        </w:rPr>
        <w:t>]</w:t>
      </w:r>
      <w:r>
        <w:rPr/>
        <w:t xml:space="preserve">.{{field-off:bible}} </w:t>
        <w:br/>
        <w:t>[[@BibleTOBIBLE:Mk 15:33]]</w:t>
      </w:r>
      <w:r>
        <w:rPr>
          <w:b/>
        </w:rPr>
        <w:t>33</w:t>
      </w:r>
      <w:r>
        <w:rPr/>
        <w:t xml:space="preserve"> {{field-on:bible}}Und zur sechsten Stunde, geschah eine Finsternis über dem ganzen Land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4628"/>
        <w:t>g</w:t>
      </w:r>
      <w:r>
        <w:rPr/>
        <w:t xml:space="preserve"> Das heißt übersetzt: „Mein Gott, mein Gott, warum hast du mich verlassen?“{{field-off:bible}} </w:t>
        <w:br/>
        <w:t>[[@BibleTOBIBLE:Mk 15:35]]</w:t>
      </w:r>
      <w:r>
        <w:rPr>
          <w:b/>
        </w:rPr>
        <w:t>35</w:t>
      </w:r>
      <w:r>
        <w:rPr/>
        <w:t xml:space="preserve"> {{field-on:bible}}Und als einige der Beistehenden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aber lief </w:t>
      </w:r>
      <w:r>
        <w:rPr>
          <w:b/>
          <w:color w:val="808080"/>
        </w:rPr>
        <w:t>[</w:t>
      </w:r>
      <w:r>
        <w:rPr/>
        <w:t>und</w:t>
      </w:r>
      <w:r>
        <w:rPr>
          <w:b/>
          <w:color w:val="808080"/>
        </w:rPr>
        <w:t>]</w:t>
      </w:r>
      <w:r>
        <w:rPr/>
        <w:t xml:space="preserve"> füllte einen Schwamm </w:t>
      </w:r>
      <w:r>
        <w:rPr>
          <w:b/>
          <w:color w:val="808080"/>
        </w:rPr>
        <w:t>[</w:t>
      </w:r>
      <w:r>
        <w:rPr/>
        <w:t>mit</w:t>
      </w:r>
      <w:r>
        <w:rPr>
          <w:b/>
          <w:color w:val="808080"/>
        </w:rPr>
        <w:t>]</w:t>
      </w:r>
      <w:r>
        <w:rPr/>
        <w:t xml:space="preserve"> Essig und steckte </w:t>
      </w:r>
      <w:r>
        <w:rPr>
          <w:b/>
          <w:color w:val="808080"/>
        </w:rPr>
        <w:t>[</w:t>
      </w:r>
      <w:r>
        <w:rPr/>
        <w:t>ihn</w:t>
      </w:r>
      <w:r>
        <w:rPr>
          <w:b/>
          <w:color w:val="808080"/>
        </w:rPr>
        <w:t>]</w:t>
      </w:r>
      <w:r>
        <w:rPr/>
        <w:t xml:space="preserve"> auf ein Rohr, gab ihm zu trinken und sprach: „Halt, lasst uns sehen, ob Elia kommt, um ihn herabzunehmen!“{{field-off:bible}} </w:t>
        <w:br/>
        <w:t>[[@BibleTOBIBLE:Mk 15:37]]</w:t>
      </w:r>
      <w:r>
        <w:rPr>
          <w:b/>
        </w:rPr>
        <w:t>37</w:t>
      </w:r>
      <w:r>
        <w:rPr/>
        <w:t xml:space="preserve"> {{field-on:bible}}Jesus aber stieß einen lauten Schrei aus und tat seinen letzten Atem.{{field-off:bible}}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nun der Centurio, der ihm gegenüber dabeistand, sah, dass er auf diese Weise schrie </w:t>
      </w:r>
      <w:r>
        <w:rPr>
          <w:b/>
          <w:color w:val="808080"/>
        </w:rPr>
        <w:t>[</w:t>
      </w:r>
      <w:r>
        <w:rPr/>
        <w:t>und</w:t>
      </w:r>
      <w:r>
        <w:rPr>
          <w:b/>
          <w:color w:val="808080"/>
        </w:rPr>
        <w:t>]</w:t>
      </w:r>
      <w:r>
        <w:rPr/>
        <w:t xml:space="preserve"> seinen letzten Atem tat, sagte er: „Wahrlich, dieser Mensch war</w:t>
      </w:r>
      <w:r>
        <w:rPr>
          <w:b/>
          <w:color w:val="808080"/>
        </w:rPr>
        <w:t>[</w:t>
      </w:r>
      <w:r>
        <w:rPr/>
        <w:t>und bleibt</w:t>
      </w:r>
      <w:r>
        <w:rPr>
          <w:b/>
          <w:color w:val="808080"/>
        </w:rPr>
        <w:t>]</w:t>
      </w:r>
      <w:r>
        <w:rPr/>
        <w:t xml:space="preserve"> </w:t>
      </w:r>
      <w:r>
        <w:rPr>
          <w:rStyle w:val="Funotenanker"/>
        </w:rPr>
        <w:footnoteReference w:customMarkFollows="1" w:id="4629"/>
        <w:t>h</w:t>
      </w:r>
      <w:r>
        <w:rPr/>
        <w:t xml:space="preserve"> Gottes Sohn!“{{field-off:bible}} </w:t>
        <w:br/>
        <w:t>[[@BibleTOBIBLE:Mk 15:40]]</w:t>
      </w:r>
      <w:r>
        <w:rPr>
          <w:b/>
        </w:rPr>
        <w:t>40</w:t>
      </w:r>
      <w:r>
        <w:rPr/>
        <w:t xml:space="preserve"> {{field-on:bible}}Es waren aber auch Frauen </w:t>
      </w:r>
      <w:r>
        <w:rPr>
          <w:b/>
          <w:color w:val="808080"/>
        </w:rPr>
        <w:t>[</w:t>
      </w:r>
      <w:r>
        <w:rPr/>
        <w:t>anwesend</w:t>
      </w:r>
      <w:r>
        <w:rPr>
          <w:b/>
          <w:color w:val="808080"/>
        </w:rPr>
        <w:t>]</w:t>
      </w:r>
      <w:r>
        <w:rPr/>
        <w:t xml:space="preserve">,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 </w:t>
      </w:r>
      <w:r>
        <w:rPr>
          <w:strike/>
          <w:color w:val="808080"/>
        </w:rPr>
        <w:t>{und}</w:t>
      </w:r>
      <w:r>
        <w:rPr/>
        <w:t xml:space="preserve"> die ihm, als er in Galiläa war, nachgefolgt waren und ihm gedient hatten und viele andere </w:t>
      </w:r>
      <w:r>
        <w:rPr>
          <w:b/>
          <w:color w:val="808080"/>
        </w:rPr>
        <w:t>[</w:t>
      </w:r>
      <w:r>
        <w:rPr/>
        <w:t>Frauen</w:t>
      </w:r>
      <w:r>
        <w:rPr>
          <w:b/>
          <w:color w:val="808080"/>
        </w:rPr>
        <w:t>]</w:t>
      </w:r>
      <w:r>
        <w:rPr/>
        <w:t>, die mit ihm nach Jerusalem hinaufgestiegen</w:t>
      </w:r>
      <w:r>
        <w:rPr>
          <w:rStyle w:val="Funotenanker"/>
        </w:rPr>
        <w:footnoteReference w:customMarkFollows="1" w:id="4630"/>
        <w:t>i</w:t>
      </w:r>
      <w:r>
        <w:rPr/>
        <w:t xml:space="preserve"> waren.{{field-off:bible}} </w:t>
        <w:br/>
        <w:t>[[@BibleTOBIBLE:Mk 15:42]]</w:t>
      </w:r>
      <w:r>
        <w:rPr>
          <w:b/>
        </w:rPr>
        <w:t>42</w:t>
      </w:r>
      <w:r>
        <w:rPr/>
        <w:t xml:space="preserve"> {{field-on:bible}}Und als es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w:t>
      </w:r>
      <w:r>
        <w:rPr>
          <w:strike/>
          <w:color w:val="808080"/>
        </w:rPr>
        <w:t>{er}</w:t>
      </w:r>
      <w:r>
        <w:rPr/>
        <w:t xml:space="preserve"> bat um den Leichnam </w:t>
      </w:r>
      <w:r>
        <w:rPr>
          <w:color w:val="808080"/>
        </w:rPr>
        <w:t>(Leib)</w:t>
      </w:r>
      <w:r>
        <w:rPr/>
        <w:t xml:space="preserve"> von Jesus.{{field-off:bible}} </w:t>
        <w:br/>
        <w:t>[[@BibleTOBIBLE:Mk 15:44]]</w:t>
      </w:r>
      <w:r>
        <w:rPr>
          <w:b/>
        </w:rPr>
        <w:t>44</w:t>
      </w:r>
      <w:r>
        <w:rPr/>
        <w:t xml:space="preserve"> {{field-on:bible}}Pilatus aber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gab er Josef den Leichnam.{{field-off:bible}} </w:t>
        <w:br/>
        <w:t>[[@BibleTOBIBLE:Mk 15:46]]</w:t>
      </w:r>
      <w:r>
        <w:rPr>
          <w:b/>
        </w:rPr>
        <w:t>46</w:t>
      </w:r>
      <w:r>
        <w:rPr/>
        <w:t xml:space="preserve"> {{field-on:bible}}Und er kaufte ein Leinentuch und nahm ihn herab, wickelte </w:t>
      </w:r>
      <w:r>
        <w:rPr>
          <w:b/>
          <w:color w:val="808080"/>
        </w:rPr>
        <w:t>[</w:t>
      </w:r>
      <w:r>
        <w:rPr/>
        <w:t>ihn</w:t>
      </w:r>
      <w:r>
        <w:rPr>
          <w:b/>
          <w:color w:val="808080"/>
        </w:rPr>
        <w:t>]</w:t>
      </w:r>
      <w:r>
        <w:rPr/>
        <w:t xml:space="preserve"> in das Leinentuch, und </w:t>
      </w:r>
      <w:r>
        <w:rPr>
          <w:strike/>
          <w:color w:val="808080"/>
        </w:rPr>
        <w:t>{er}</w:t>
      </w:r>
      <w:r>
        <w:rPr/>
        <w:t xml:space="preserve">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{{field-on:bible}}Aber Maria Magdalena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4631"/>
        <w:t>Status</w:t>
      </w:r>
      <w:r>
        <w:rPr/>
        <w:t xml:space="preserve"> Und als der Sabbat vorüber war</w:t>
      </w:r>
      <w:r>
        <w:rPr>
          <w:rStyle w:val="Funotenanker"/>
        </w:rPr>
        <w:footnoteReference w:customMarkFollows="1" w:id="4632"/>
        <w:t>a</w:t>
      </w:r>
      <w:r>
        <w:rPr/>
        <w:t xml:space="preserve">, kauften Maria </w:t>
      </w:r>
      <w:r>
        <w:rPr>
          <w:b/>
          <w:color w:val="808080"/>
        </w:rPr>
        <w:t>[</w:t>
      </w:r>
      <w:r>
        <w:rPr/>
        <w:t>von, aus</w:t>
      </w:r>
      <w:r>
        <w:rPr>
          <w:b/>
          <w:color w:val="808080"/>
        </w:rPr>
        <w:t>]</w:t>
      </w:r>
      <w:r>
        <w:rPr/>
        <w:t xml:space="preserve"> Magdala und Maria, </w:t>
      </w:r>
      <w:r>
        <w:rPr>
          <w:b/>
          <w:color w:val="808080"/>
        </w:rPr>
        <w:t>[</w:t>
      </w:r>
      <w:r>
        <w:rPr/>
        <w:t>die Mutter</w:t>
      </w:r>
      <w:r>
        <w:rPr>
          <w:b/>
          <w:color w:val="808080"/>
        </w:rPr>
        <w:t>]</w:t>
      </w:r>
      <w:r>
        <w:rPr/>
        <w:t xml:space="preserve"> des Jakobus</w:t>
      </w:r>
      <w:r>
        <w:rPr>
          <w:rStyle w:val="Funotenanker"/>
        </w:rPr>
        <w:footnoteReference w:customMarkFollows="1" w:id="4633"/>
        <w:t>b</w:t>
      </w:r>
      <w:r>
        <w:rPr/>
        <w:t xml:space="preserve"> und Salome Spezereien </w:t>
      </w:r>
      <w:r>
        <w:rPr>
          <w:color w:val="808080"/>
        </w:rPr>
        <w:t>(wohlriechende Kräuter, Gewürze)</w:t>
      </w:r>
      <w:r>
        <w:rPr/>
        <w:t xml:space="preserve"> </w:t>
      </w:r>
      <w:r>
        <w:rPr>
          <w:rStyle w:val="Funotenanker"/>
        </w:rPr>
        <w:footnoteReference w:customMarkFollows="1" w:id="4634"/>
        <w:t>c</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4635"/>
        <w:t>d</w:t>
      </w:r>
      <w:r>
        <w:rPr/>
        <w:t xml:space="preserve"> gingen sie zum Grab, während </w:t>
      </w:r>
      <w:r>
        <w:rPr>
          <w:color w:val="808080"/>
        </w:rPr>
        <w:t>(als)</w:t>
      </w:r>
      <w:r>
        <w:rPr/>
        <w:t xml:space="preserve"> die Sonne aufging</w:t>
      </w:r>
      <w:r>
        <w:rPr>
          <w:rStyle w:val="Funotenanker"/>
        </w:rPr>
        <w:footnoteReference w:customMarkFollows="1" w:id="4636"/>
        <w:t>e</w:t>
      </w:r>
      <w:r>
        <w:rPr/>
        <w:t xml:space="preserve">.{{field-off:bible}} </w:t>
        <w:br/>
        <w:t>[[@BibleTOBIBLE:Mk 16:3]]</w:t>
      </w:r>
      <w:r>
        <w:rPr>
          <w:b/>
        </w:rPr>
        <w:t>3</w:t>
      </w:r>
      <w:r>
        <w:rPr/>
        <w:t xml:space="preserve"> {{field-on:bible}}Und sie sprachen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aufblickten</w:t>
      </w:r>
      <w:r>
        <w:rPr>
          <w:rStyle w:val="Funotenanker"/>
        </w:rPr>
        <w:footnoteReference w:customMarkFollows="1" w:id="4637"/>
        <w:t>f</w:t>
      </w:r>
      <w:r>
        <w:rPr/>
        <w:t xml:space="preserve">, nehmen sie wahr </w:t>
      </w:r>
      <w:r>
        <w:rPr>
          <w:color w:val="808080"/>
        </w:rPr>
        <w:t>(merken sie)</w:t>
      </w:r>
      <w:r>
        <w:rPr/>
        <w:t xml:space="preserve">, dass der Stein abgewälzt </w:t>
      </w:r>
      <w:r>
        <w:rPr>
          <w:color w:val="808080"/>
        </w:rPr>
        <w:t>(weggewälzt)</w:t>
      </w:r>
      <w:r>
        <w:rPr/>
        <w:t xml:space="preserve"> war; er war nämlich sehr groß.{{field-off:bible}} </w:t>
        <w:br/>
        <w:t>[[@BibleTOBIBLE:Mk 16:5]]</w:t>
      </w:r>
      <w:r>
        <w:rPr>
          <w:b/>
        </w:rPr>
        <w:t>5</w:t>
      </w:r>
      <w:r>
        <w:rPr/>
        <w:t xml:space="preserve"> {{field-on:bible}}Und nachdem sie hineingegangen waren</w:t>
      </w:r>
      <w:r>
        <w:rPr>
          <w:rStyle w:val="Funotenanker"/>
        </w:rPr>
        <w:footnoteReference w:customMarkFollows="1" w:id="4638"/>
        <w:t>g</w:t>
      </w:r>
      <w:r>
        <w:rPr/>
        <w:t xml:space="preserve"> in das Grab, sahen</w:t>
      </w:r>
      <w:r>
        <w:rPr>
          <w:rStyle w:val="Funotenanker"/>
        </w:rPr>
        <w:footnoteReference w:customMarkFollows="1" w:id="4639"/>
        <w:t>h</w:t>
      </w:r>
      <w:r>
        <w:rPr/>
        <w:t xml:space="preserve"> sie einen Jüngling zur Rechten </w:t>
      </w:r>
      <w:r>
        <w:rPr>
          <w:color w:val="808080"/>
        </w:rPr>
        <w:t>(auf der rechten Seite)</w:t>
      </w:r>
      <w:r>
        <w:rPr/>
        <w:t xml:space="preserve"> </w:t>
      </w:r>
      <w:r>
        <w:rPr>
          <w:rStyle w:val="Funotenanker"/>
        </w:rPr>
        <w:footnoteReference w:customMarkFollows="1" w:id="4640"/>
        <w:t>i</w:t>
      </w:r>
      <w:r>
        <w:rPr/>
        <w:t xml:space="preserve"> sitzen, der ein weißes Gewand an</w:t>
      </w:r>
      <w:r>
        <w:rPr>
          <w:color w:val="808080"/>
        </w:rPr>
        <w:t>(gezogen)</w:t>
      </w:r>
      <w:r>
        <w:rPr/>
        <w:t xml:space="preserve"> </w:t>
      </w:r>
      <w:r>
        <w:rPr>
          <w:rStyle w:val="Funotenanker"/>
        </w:rPr>
        <w:footnoteReference w:customMarkFollows="1" w:id="4641"/>
        <w:t>j</w:t>
      </w:r>
      <w:r>
        <w:rPr/>
        <w:t xml:space="preserve"> hatte, und sie entsetzten sich </w:t>
      </w:r>
      <w:r>
        <w:rPr>
          <w:color w:val="808080"/>
        </w:rPr>
        <w:t>(waren sehr erstaunt)</w:t>
      </w:r>
      <w:r>
        <w:rPr/>
        <w:t xml:space="preserve">.{{field-off:bible}} </w:t>
        <w:br/>
        <w:t>[[@BibleTOBIBLE:Mk 16:6]]</w:t>
      </w:r>
      <w:r>
        <w:rPr>
          <w:b/>
        </w:rPr>
        <w:t>6</w:t>
      </w:r>
      <w:r>
        <w:rPr/>
        <w:t xml:space="preserve"> {{field-on:bible}}Er aber spricht</w:t>
      </w:r>
      <w:r>
        <w:rPr>
          <w:rStyle w:val="Funotenanker"/>
        </w:rPr>
        <w:footnoteReference w:customMarkFollows="1" w:id="4642"/>
        <w:t>k</w:t>
      </w:r>
      <w:r>
        <w:rPr/>
        <w:t xml:space="preserve"> zu ihnen: Entsetzt euch nicht </w:t>
      </w:r>
      <w:r>
        <w:rPr>
          <w:color w:val="808080"/>
        </w:rPr>
        <w:t>(Seid nicht erstaunt)</w:t>
      </w:r>
      <w:r>
        <w:rPr/>
        <w:t xml:space="preserve">! Ihr sucht Jesus, den Nazarener, den Gekreuzigten. Er ist auferstanden </w:t>
      </w:r>
      <w:r>
        <w:rPr>
          <w:color w:val="808080"/>
        </w:rPr>
        <w:t>(er wurde auferweckt)</w:t>
      </w:r>
      <w:r>
        <w:rPr/>
        <w:t xml:space="preserve"> </w:t>
      </w:r>
      <w:r>
        <w:rPr>
          <w:rStyle w:val="Funotenanker"/>
        </w:rPr>
        <w:footnoteReference w:customMarkFollows="1" w:id="4643"/>
        <w:t>l</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 Doch geht)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4644"/>
        <w:t>m</w:t>
      </w:r>
      <w:r>
        <w:rPr/>
        <w:t xml:space="preserve"> euch vorangeht nach Galiläa</w:t>
      </w:r>
      <w:r>
        <w:rPr>
          <w:rStyle w:val="Funotenanker"/>
        </w:rPr>
        <w:footnoteReference w:customMarkFollows="1" w:id="4645"/>
        <w:t>n</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4646"/>
        <w:t>o</w:t>
      </w:r>
      <w:r>
        <w:rPr/>
        <w:t xml:space="preserve"> und flohen von dem Grab, sie waren nämlich ergriffen von </w:t>
      </w:r>
      <w:r>
        <w:rPr>
          <w:color w:val="808080"/>
        </w:rPr>
        <w:t>(hatten)</w:t>
      </w:r>
      <w:r>
        <w:rPr/>
        <w:t xml:space="preserve"> Angst </w:t>
      </w:r>
      <w:r>
        <w:rPr>
          <w:color w:val="808080"/>
        </w:rPr>
        <w:t>(Zittern)</w:t>
      </w:r>
      <w:r>
        <w:rPr/>
        <w:t xml:space="preserve"> und Entsetzen </w:t>
      </w:r>
      <w:r>
        <w:rPr>
          <w:color w:val="808080"/>
        </w:rPr>
        <w:t>(Bestürzung)</w:t>
      </w:r>
      <w:r>
        <w:rPr/>
        <w:t xml:space="preserve"> </w:t>
      </w:r>
      <w:r>
        <w:rPr>
          <w:rStyle w:val="Funotenanker"/>
        </w:rPr>
        <w:footnoteReference w:customMarkFollows="1" w:id="4647"/>
        <w:t>p</w:t>
      </w:r>
      <w:r>
        <w:rPr/>
        <w:t xml:space="preserve">. Und sie sagten keinem </w:t>
      </w:r>
      <w:r>
        <w:rPr>
          <w:color w:val="808080"/>
        </w:rPr>
        <w:t>(niemandem)</w:t>
      </w:r>
      <w:r>
        <w:rPr/>
        <w:t xml:space="preserve"> etwas; denn</w:t>
      </w:r>
      <w:r>
        <w:rPr>
          <w:rStyle w:val="Funotenanker"/>
        </w:rPr>
        <w:footnoteReference w:customMarkFollows="1" w:id="4648"/>
        <w:t>q</w:t>
      </w:r>
      <w:r>
        <w:rPr/>
        <w:t xml:space="preserve"> sie fürchteten sich. </w:t>
      </w:r>
      <w:r>
        <w:rPr>
          <w:rStyle w:val="Funotenanker"/>
        </w:rPr>
        <w:footnoteReference w:customMarkFollows="1" w:id="4649"/>
        <w:t>r</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4650"/>
        <w:t>s</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4651"/>
        <w:t>t</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ganze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4652"/>
        <w:t>u</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werden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Schlangen aufheben</w:t>
      </w:r>
      <w:r>
        <w:rPr>
          <w:rStyle w:val="Funotenanker"/>
        </w:rPr>
        <w:footnoteReference w:customMarkFollows="1" w:id="4653"/>
        <w:t>v</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4654"/>
        <w:t>w</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4655"/>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1:32]]</w:t>
      </w:r>
      <w:r>
        <w:rPr>
          <w:b/>
        </w:rPr>
        <w:t>32</w:t>
      </w:r>
      <w:r>
        <w:rPr/>
        <w:t xml:space="preserve"> {{field-on:bible}} </w:t>
      </w:r>
      <w:r>
        <w:rPr>
          <w:rStyle w:val="Funotenanker"/>
        </w:rPr>
        <w:footnoteReference w:customMarkFollows="1" w:id="4656"/>
        <w:t>Status</w:t>
      </w:r>
      <w:r>
        <w:rPr/>
        <w:t xml:space="preserve"> Dieser wird groß sein und er wird Sohn des Allerhöchsten genannt werden und der Herr, Gott, wird ihm geben den Thron Davids, seines Vaters.{{field-off:bible}} </w:t>
        <w:br/>
        <w:t>[[@BibleTOBIBLE:Lk 1:46]]</w:t>
      </w:r>
      <w:r>
        <w:rPr>
          <w:b/>
        </w:rPr>
        <w:t>46</w:t>
      </w:r>
      <w:r>
        <w:rPr/>
        <w:t xml:space="preserve"> {{field-on:bible}} </w:t>
      </w:r>
      <w:r>
        <w:rPr>
          <w:rStyle w:val="Funotenanker"/>
        </w:rPr>
        <w:footnoteReference w:customMarkFollows="1" w:id="4657"/>
        <w:t>Status</w:t>
      </w:r>
      <w:r>
        <w:rPr/>
        <w:t xml:space="preserve"> Und Maria</w:t>
      </w:r>
      <w:r>
        <w:rPr>
          <w:rStyle w:val="Funotenanker"/>
        </w:rPr>
        <w:footnoteReference w:customMarkFollows="1" w:id="4658"/>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4659"/>
        <w:t>b</w:t>
      </w:r>
      <w:r>
        <w:rPr/>
        <w:t xml:space="preserve"> preist </w:t>
      </w:r>
      <w:r>
        <w:rPr>
          <w:color w:val="808080"/>
        </w:rPr>
        <w:t>(macht groß</w:t>
      </w:r>
      <w:r>
        <w:rPr/>
        <w:t xml:space="preserve"> </w:t>
      </w:r>
      <w:r>
        <w:rPr>
          <w:rStyle w:val="Funotenanker"/>
        </w:rPr>
        <w:footnoteReference w:customMarkFollows="1" w:id="4660"/>
        <w:t>c</w:t>
      </w:r>
      <w:r>
        <w:rPr/>
        <w:t xml:space="preserve"> </w:t>
      </w:r>
      <w:r>
        <w:rPr>
          <w:color w:val="808080"/>
        </w:rPr>
        <w:t>, dankt)</w:t>
      </w:r>
      <w:r>
        <w:rPr/>
        <w:t xml:space="preserve"> </w:t>
      </w:r>
      <w:r>
        <w:rPr>
          <w:rStyle w:val="Funotenanker"/>
        </w:rPr>
        <w:footnoteReference w:customMarkFollows="1" w:id="4661"/>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4662"/>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4663"/>
        <w:t>f</w:t>
      </w:r>
      <w:r>
        <w:rPr/>
        <w:t xml:space="preserve"> seiner Sklavin </w:t>
      </w:r>
      <w:r>
        <w:rPr>
          <w:color w:val="808080"/>
        </w:rPr>
        <w:t>(Magd)</w:t>
      </w:r>
      <w:r>
        <w:rPr/>
        <w:t xml:space="preserve"> </w:t>
      </w:r>
      <w:r>
        <w:rPr>
          <w:rStyle w:val="Funotenanker"/>
        </w:rPr>
        <w:footnoteReference w:customMarkFollows="1" w:id="4664"/>
        <w:t>g</w:t>
      </w:r>
      <w:r>
        <w:rPr/>
        <w:t xml:space="preserve"> hat er geschaut </w:t>
      </w:r>
      <w:r>
        <w:rPr>
          <w:color w:val="808080"/>
        </w:rPr>
        <w:t>(sich angenommen)</w:t>
      </w:r>
      <w:r>
        <w:rPr/>
        <w:t xml:space="preserve"> </w:t>
      </w:r>
      <w:r>
        <w:rPr>
          <w:rStyle w:val="Funotenanker"/>
        </w:rPr>
        <w:footnoteReference w:customMarkFollows="1" w:id="4665"/>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4666"/>
        <w:t>i</w:t>
      </w:r>
      <w:r>
        <w:rPr/>
        <w:t xml:space="preserve"> von nun an halten für glücklich </w:t>
      </w:r>
      <w:r>
        <w:rPr>
          <w:color w:val="808080"/>
        </w:rPr>
        <w:t>(werden mich für glücklich halten)</w:t>
      </w:r>
      <w:r>
        <w:rPr/>
        <w:t xml:space="preserve"> </w:t>
      </w:r>
      <w:r>
        <w:rPr>
          <w:rStyle w:val="Funotenanker"/>
        </w:rPr>
        <w:footnoteReference w:customMarkFollows="1" w:id="4667"/>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4668"/>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4669"/>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4670"/>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4671"/>
        <w:t>n</w:t>
      </w:r>
      <w:r>
        <w:rPr/>
        <w:t xml:space="preserve"> seine Huld </w:t>
      </w:r>
      <w:r>
        <w:rPr>
          <w:color w:val="808080"/>
        </w:rPr>
        <w:t>(Gnade, Erbarmen, Barmherzigkeit)</w:t>
      </w:r>
      <w:r>
        <w:rPr/>
        <w:t xml:space="preserve"> </w:t>
      </w:r>
      <w:r>
        <w:rPr>
          <w:rStyle w:val="Funotenanker"/>
        </w:rPr>
        <w:footnoteReference w:customMarkFollows="1" w:id="4672"/>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4673"/>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4674"/>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4675"/>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4676"/>
        <w:t>s</w:t>
      </w:r>
      <w:r>
        <w:rPr/>
        <w:t xml:space="preserve"> mit seinem Arm </w:t>
      </w:r>
      <w:r>
        <w:rPr>
          <w:color w:val="808080"/>
        </w:rPr>
        <w:t>(Macht)</w:t>
      </w:r>
      <w:r>
        <w:rPr/>
        <w:t>:</w:t>
      </w:r>
      <w:r>
        <w:rPr>
          <w:rStyle w:val="Funotenanker"/>
        </w:rPr>
        <w:footnoteReference w:customMarkFollows="1" w:id="4677"/>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4678"/>
        <w:t>u</w:t>
      </w:r>
      <w:r>
        <w:rPr/>
        <w:t xml:space="preserve"> Hochmütige </w:t>
      </w:r>
      <w:r>
        <w:rPr>
          <w:color w:val="808080"/>
        </w:rPr>
        <w:t>(Stolze)</w:t>
      </w:r>
      <w:r>
        <w:rPr/>
        <w:t xml:space="preserve"> </w:t>
      </w:r>
      <w:r>
        <w:rPr>
          <w:rStyle w:val="Funotenanker"/>
        </w:rPr>
        <w:footnoteReference w:customMarkFollows="1" w:id="4679"/>
        <w:t>v</w:t>
      </w:r>
      <w:r>
        <w:rPr/>
        <w:t xml:space="preserve"> an der Gesinnung ihres Gemüts </w:t>
      </w:r>
      <w:r>
        <w:rPr>
          <w:color w:val="808080"/>
        </w:rPr>
        <w:t>(Hochmütige)</w:t>
      </w:r>
      <w:r>
        <w:rPr/>
        <w:t xml:space="preserve"> </w:t>
      </w:r>
      <w:r>
        <w:rPr>
          <w:rStyle w:val="Funotenanker"/>
        </w:rPr>
        <w:footnoteReference w:customMarkFollows="1" w:id="4680"/>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4681"/>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4682"/>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4683"/>
        <w:t>z</w:t>
      </w:r>
      <w:r>
        <w:rPr/>
        <w:t xml:space="preserve"> bereichert </w:t>
      </w:r>
      <w:r>
        <w:rPr>
          <w:color w:val="808080"/>
        </w:rPr>
        <w:t>(füllt, sättigt)</w:t>
      </w:r>
      <w:r>
        <w:rPr/>
        <w:t xml:space="preserve"> </w:t>
      </w:r>
      <w:r>
        <w:rPr>
          <w:rStyle w:val="Funotenanker"/>
        </w:rPr>
        <w:footnoteReference w:customMarkFollows="1" w:id="4684"/>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4685"/>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4686"/>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4687"/>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4688"/>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4689"/>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4690"/>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4691"/>
        <w:t>b</w:t>
      </w:r>
      <w:r>
        <w:rPr/>
        <w:t>.</w:t>
      </w:r>
      <w:r>
        <w:rPr>
          <w:rStyle w:val="Funotenanker"/>
        </w:rPr>
        <w:footnoteReference w:customMarkFollows="1" w:id="4692"/>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4693"/>
        <w:t>d</w:t>
      </w:r>
      <w:r>
        <w:rPr/>
        <w:t xml:space="preserve"> als </w:t>
      </w:r>
      <w:r>
        <w:rPr>
          <w:color w:val="808080"/>
        </w:rPr>
        <w:t>(während)</w:t>
      </w:r>
      <w:r>
        <w:rPr/>
        <w:t xml:space="preserve"> </w:t>
      </w:r>
      <w:r>
        <w:rPr>
          <w:rStyle w:val="Funotenanker"/>
        </w:rPr>
        <w:footnoteReference w:customMarkFollows="1" w:id="4694"/>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4695"/>
        <w:t>f</w:t>
      </w:r>
      <w:r>
        <w:rPr/>
        <w:t xml:space="preserve">,{{field-off:bible}} </w:t>
        <w:br/>
        <w:t>[[@BibleTOBIBLE:Lk 2:5]]</w:t>
      </w:r>
      <w:r>
        <w:rPr>
          <w:b/>
        </w:rPr>
        <w:t>5</w:t>
      </w:r>
      <w:r>
        <w:rPr/>
        <w:t xml:space="preserve"> {{field-on:bible}}um sich mit Maria, seiner Verlobten</w:t>
      </w:r>
      <w:r>
        <w:rPr>
          <w:rStyle w:val="Funotenanker"/>
        </w:rPr>
        <w:footnoteReference w:customMarkFollows="1" w:id="4696"/>
        <w:t>g</w:t>
      </w:r>
      <w:r>
        <w:rPr/>
        <w:t xml:space="preserve"> </w:t>
      </w:r>
      <w:r>
        <w:rPr>
          <w:color w:val="808080"/>
        </w:rPr>
        <w:t>(„seiner ihm angetrauten Frau“</w:t>
      </w:r>
      <w:r>
        <w:rPr/>
        <w:t xml:space="preserve"> </w:t>
      </w:r>
      <w:r>
        <w:rPr>
          <w:rStyle w:val="Funotenanker"/>
        </w:rPr>
        <w:footnoteReference w:customMarkFollows="1" w:id="4697"/>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4698"/>
        <w:t>i</w:t>
      </w:r>
      <w:r>
        <w:rPr/>
        <w:t xml:space="preserve">, wurden ihre Tage erfüllt </w:t>
      </w:r>
      <w:r>
        <w:rPr>
          <w:color w:val="808080"/>
        </w:rPr>
        <w:t>(war die Zeit gekommen)</w:t>
      </w:r>
      <w:r>
        <w:rPr/>
        <w:t>, dass sie gebären sollte</w:t>
      </w:r>
      <w:r>
        <w:rPr>
          <w:rStyle w:val="Funotenanker"/>
        </w:rPr>
        <w:footnoteReference w:customMarkFollows="1" w:id="4699"/>
        <w:t>j</w:t>
      </w:r>
      <w:r>
        <w:rPr/>
        <w:t xml:space="preserve"> </w:t>
      </w:r>
      <w:r>
        <w:rPr>
          <w:rStyle w:val="Funotenanker"/>
        </w:rPr>
        <w:footnoteReference w:customMarkFollows="1" w:id="4700"/>
        <w:t>k</w:t>
      </w:r>
      <w:r>
        <w:rPr/>
        <w:t xml:space="preserve">,{{field-off:bible}} </w:t>
        <w:br/>
        <w:t>[[@BibleTOBIBLE:Lk 2:7]]</w:t>
      </w:r>
      <w:r>
        <w:rPr>
          <w:b/>
        </w:rPr>
        <w:t>7</w:t>
      </w:r>
      <w:r>
        <w:rPr/>
        <w:t xml:space="preserve"> {{field-on:bible}}und sie gebar ihren Sohn als Erstgeborenen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4701"/>
        <w:t>l</w:t>
      </w:r>
      <w:r>
        <w:rPr/>
        <w:t xml:space="preserve"> lebten und nachts Wache bei ihrer Herde hielten</w:t>
      </w:r>
      <w:r>
        <w:rPr>
          <w:rStyle w:val="Funotenanker"/>
        </w:rPr>
        <w:footnoteReference w:customMarkFollows="1" w:id="4702"/>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4703"/>
        <w:t>n</w:t>
      </w:r>
      <w:r>
        <w:rPr/>
        <w:t xml:space="preserve"> große Furcht</w:t>
      </w:r>
      <w:r>
        <w:rPr>
          <w:rStyle w:val="Funotenanker"/>
        </w:rPr>
        <w:footnoteReference w:customMarkFollows="1" w:id="4704"/>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4705"/>
        <w:t>p</w:t>
      </w:r>
      <w:r>
        <w:rPr/>
        <w:t xml:space="preserve"> euch große Freude, die</w:t>
      </w:r>
      <w:r>
        <w:rPr>
          <w:rStyle w:val="Funotenanker"/>
        </w:rPr>
        <w:footnoteReference w:customMarkFollows="1" w:id="4706"/>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4707"/>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4708"/>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4709"/>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4710"/>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4711"/>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4712"/>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4713"/>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4714"/>
        <w:t>y</w:t>
      </w:r>
      <w:r>
        <w:rPr/>
        <w:t>, was ihnen über dieses Neugeborene</w:t>
      </w:r>
      <w:r>
        <w:rPr>
          <w:rStyle w:val="Funotenanker"/>
        </w:rPr>
        <w:footnoteReference w:customMarkFollows="1" w:id="4715"/>
        <w:t>z</w:t>
      </w:r>
      <w:r>
        <w:rPr/>
        <w:t xml:space="preserve"> </w:t>
      </w:r>
      <w:r>
        <w:rPr>
          <w:color w:val="808080"/>
        </w:rPr>
        <w:t>(kleine Kind, Kind)</w:t>
      </w:r>
      <w:r>
        <w:rPr/>
        <w:t xml:space="preserve"> gesagt worden war</w:t>
      </w:r>
      <w:r>
        <w:rPr>
          <w:rStyle w:val="Funotenanker"/>
        </w:rPr>
        <w:footnoteReference w:customMarkFollows="1" w:id="4716"/>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4717"/>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4718"/>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4719"/>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4720"/>
        <w:t>ae</w:t>
      </w:r>
      <w:r>
        <w:rPr/>
        <w:t>, da</w:t>
      </w:r>
      <w:r>
        <w:rPr>
          <w:rStyle w:val="Funotenanker"/>
        </w:rPr>
        <w:footnoteReference w:customMarkFollows="1" w:id="4721"/>
        <w:t>af</w:t>
      </w:r>
      <w:r>
        <w:rPr/>
        <w:t xml:space="preserve"> wurde ihm der Name Jesus gegeben</w:t>
      </w:r>
      <w:r>
        <w:rPr>
          <w:rStyle w:val="Funotenanker"/>
        </w:rPr>
        <w:footnoteReference w:customMarkFollows="1" w:id="4722"/>
        <w:t>ag</w:t>
      </w:r>
      <w:r>
        <w:rPr/>
        <w:t>, der von dem Engel genannt worden war</w:t>
      </w:r>
      <w:r>
        <w:rPr>
          <w:rStyle w:val="Funotenanker"/>
        </w:rPr>
        <w:footnoteReference w:customMarkFollows="1" w:id="4723"/>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4724"/>
        <w:t>ai</w:t>
      </w:r>
      <w:r>
        <w:rPr/>
        <w:t xml:space="preserve"> nach dem Gesetz des Mose erfüllt waren, führten sie ihn </w:t>
      </w:r>
      <w:r>
        <w:rPr>
          <w:strike/>
          <w:color w:val="808080"/>
        </w:rPr>
        <w:t>{hinauf}</w:t>
      </w:r>
      <w:r>
        <w:rPr/>
        <w:t xml:space="preserve"> </w:t>
      </w:r>
      <w:r>
        <w:rPr>
          <w:rStyle w:val="Funotenanker"/>
        </w:rPr>
        <w:footnoteReference w:customMarkFollows="1" w:id="4725"/>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4726"/>
        <w:t>ak</w:t>
      </w:r>
      <w:r>
        <w:rPr/>
        <w:t xml:space="preserve"> </w:t>
      </w:r>
      <w:r>
        <w:rPr>
          <w:rStyle w:val="Funotenanker"/>
        </w:rPr>
        <w:footnoteReference w:customMarkFollows="1" w:id="4727"/>
        <w:t>al</w:t>
      </w:r>
      <w:r>
        <w:rPr/>
        <w:t xml:space="preserve">,{{field-off:bible}} </w:t>
        <w:br/>
        <w:t>[[@BibleTOBIBLE:Lk 2:23]]</w:t>
      </w:r>
      <w:r>
        <w:rPr>
          <w:b/>
        </w:rPr>
        <w:t>23</w:t>
      </w:r>
      <w:r>
        <w:rPr/>
        <w:t xml:space="preserve"> {{field-on:bible}}wie es im Gesetz des Herrn steht</w:t>
      </w:r>
      <w:r>
        <w:rPr>
          <w:rStyle w:val="Funotenanker"/>
        </w:rPr>
        <w:footnoteReference w:customMarkFollows="1" w:id="4728"/>
        <w:t>am</w:t>
      </w:r>
      <w:r>
        <w:rPr/>
        <w:t>:</w:t>
      </w:r>
      <w:r>
        <w:rPr>
          <w:rStyle w:val="Funotenanker"/>
        </w:rPr>
        <w:footnoteReference w:customMarkFollows="1" w:id="4729"/>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4730"/>
        <w:t>ao</w:t>
      </w:r>
      <w:r>
        <w:rPr/>
        <w:t>, soll dem Herrn heilig genannt werden</w:t>
      </w:r>
      <w:r>
        <w:rPr>
          <w:rStyle w:val="Funotenanker"/>
        </w:rPr>
        <w:footnoteReference w:customMarkFollows="1" w:id="4731"/>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4732"/>
        <w:t>aq</w:t>
      </w:r>
      <w:r>
        <w:rPr/>
        <w:t xml:space="preserve"> im Gesetz des Herrn, ein Paar</w:t>
      </w:r>
      <w:r>
        <w:rPr>
          <w:rStyle w:val="Funotenanker"/>
        </w:rPr>
        <w:footnoteReference w:customMarkFollows="1" w:id="4733"/>
        <w:t>ar</w:t>
      </w:r>
      <w:r>
        <w:rPr/>
        <w:t xml:space="preserve"> Turteltauben oder zwei Taubenjunge</w:t>
      </w:r>
      <w:r>
        <w:rPr>
          <w:rStyle w:val="Funotenanker"/>
        </w:rPr>
        <w:footnoteReference w:customMarkFollows="1" w:id="4734"/>
        <w:t>as</w:t>
      </w:r>
      <w:r>
        <w:rPr/>
        <w:t xml:space="preserve">.{{field-off:bible}}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4735"/>
        <w:t>Status</w:t>
      </w:r>
      <w:r>
        <w:rPr/>
        <w:t xml:space="preserve"> Im fünfzehnten Herrschaftsjahr </w:t>
      </w:r>
      <w:r>
        <w:rPr>
          <w:strike/>
          <w:color w:val="808080"/>
        </w:rPr>
        <w:t>{aber}</w:t>
      </w:r>
      <w:r>
        <w:rPr/>
        <w:t xml:space="preserve"> des Kaisers Tiberius, als</w:t>
      </w:r>
      <w:r>
        <w:rPr>
          <w:rStyle w:val="Funotenanker"/>
        </w:rPr>
        <w:footnoteReference w:customMarkFollows="1" w:id="4736"/>
        <w:t>a</w:t>
      </w:r>
      <w:r>
        <w:rPr/>
        <w:t xml:space="preserve"> Pontius Pilatus über Judäa herrschte und als Herodes Vierfürst </w:t>
      </w:r>
      <w:r>
        <w:rPr>
          <w:color w:val="808080"/>
        </w:rPr>
        <w:t>(Tetrarch)</w:t>
      </w:r>
      <w:r>
        <w:rPr/>
        <w:t xml:space="preserve"> </w:t>
      </w:r>
      <w:r>
        <w:rPr>
          <w:rStyle w:val="Funotenanker"/>
        </w:rPr>
        <w:footnoteReference w:customMarkFollows="1" w:id="4737"/>
        <w:t>b</w:t>
      </w:r>
      <w:r>
        <w:rPr/>
        <w:t xml:space="preserve"> über Galiläa war, sein Bruder Philippus </w:t>
      </w:r>
      <w:r>
        <w:rPr>
          <w:strike/>
          <w:color w:val="808080"/>
        </w:rPr>
        <w:t>{aber}</w:t>
      </w:r>
      <w:r>
        <w:rPr/>
        <w:t xml:space="preserve"> Vierfürst über Ituräa und das trachonitische Gebiet sowie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4738"/>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4739"/>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4740"/>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4741"/>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4742"/>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antwortete er </w:t>
      </w:r>
      <w:r>
        <w:rPr>
          <w:b/>
          <w:color w:val="808080"/>
        </w:rPr>
        <w:t>[</w:t>
      </w:r>
      <w:r>
        <w:rPr/>
        <w:t>jeweils</w:t>
      </w:r>
      <w:r>
        <w:rPr>
          <w:b/>
          <w:color w:val="808080"/>
        </w:rPr>
        <w:t>]</w:t>
      </w:r>
      <w:r>
        <w:rPr/>
        <w:t xml:space="preserve"> </w:t>
      </w:r>
      <w:r>
        <w:rPr>
          <w:rStyle w:val="Funotenanker"/>
        </w:rPr>
        <w:footnoteReference w:customMarkFollows="1" w:id="4743"/>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w:t>
      </w:r>
      <w:r>
        <w:rPr>
          <w:strike/>
          <w:color w:val="808080"/>
        </w:rPr>
        <w:t>{aber}</w:t>
      </w:r>
      <w:r>
        <w:rPr/>
        <w:t xml:space="preserve">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{{field-on:bible}}Als </w:t>
      </w:r>
      <w:r>
        <w:rPr>
          <w:color w:val="808080"/>
        </w:rPr>
        <w:t>(weil)</w:t>
      </w:r>
      <w:r>
        <w:rPr/>
        <w:t xml:space="preserve"> wiederum </w:t>
      </w:r>
      <w:r>
        <w:rPr>
          <w:color w:val="808080"/>
        </w:rPr>
        <w:t>(aber)</w:t>
      </w:r>
      <w:r>
        <w:rPr/>
        <w:t xml:space="preserve">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w:t>
      </w:r>
      <w:r>
        <w:rPr>
          <w:color w:val="808080"/>
        </w:rPr>
        <w:t>(Messias, Gesalbte)</w:t>
      </w:r>
      <w:r>
        <w:rPr/>
        <w:t xml:space="preserve">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4744"/>
        <w:t>i</w:t>
      </w:r>
      <w:r>
        <w:rPr/>
        <w:t xml:space="preserve"> stärker ist als ich; ich bin unwürdig, diesem</w:t>
      </w:r>
      <w:r>
        <w:rPr>
          <w:rStyle w:val="Funotenanker"/>
        </w:rPr>
        <w:footnoteReference w:customMarkFollows="1" w:id="4745"/>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4746"/>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4747"/>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4748"/>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4749"/>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w:t>
      </w:r>
      <w:r>
        <w:rPr>
          <w:b/>
        </w:rPr>
        <w:t>1</w:t>
      </w:r>
      <w:r>
        <w:rPr/>
        <w:t xml:space="preserve"> {{field-on:bible}}Jesus aber, voll des heilgen Geistes, kehrte vom Jordan zurück und wurde im </w:t>
      </w:r>
      <w:r>
        <w:rPr>
          <w:color w:val="808080"/>
        </w:rPr>
        <w:t>(vom)</w:t>
      </w:r>
      <w:r>
        <w:rPr/>
        <w:t xml:space="preserve"> Geist in der Wüste geführt,{{field-off:bible}} </w:t>
        <w:br/>
        <w:t>[[@BibleTOBIBLE:Lk 4:2]]</w:t>
      </w:r>
      <w:r>
        <w:rPr>
          <w:b/>
        </w:rPr>
        <w:t>2</w:t>
      </w:r>
      <w:r>
        <w:rPr/>
        <w:t xml:space="preserve"> {{field-on:bible}}vierzig Tage lang, wobei er vom Teufel versucht wurde. Und er aß nichts in jenen Tagen und als sie zu Ende gingen </w:t>
      </w:r>
      <w:r>
        <w:rPr>
          <w:color w:val="808080"/>
        </w:rPr>
        <w:t>(vollendet, erfüllt wurden)</w:t>
      </w:r>
      <w:r>
        <w:rPr/>
        <w:t xml:space="preserve">, hatte er Hunger </w:t>
      </w:r>
      <w:r>
        <w:rPr>
          <w:color w:val="808080"/>
        </w:rPr>
        <w:t>(hungerte er, ihn)</w:t>
      </w:r>
      <w:r>
        <w:rPr/>
        <w:t xml:space="preserve">.{{field-off:bible}} </w:t>
        <w:br/>
        <w:t>[[@BibleTOBIBLE:Lk 4:3]]</w:t>
      </w:r>
      <w:r>
        <w:rPr>
          <w:b/>
        </w:rPr>
        <w:t>3</w:t>
      </w:r>
      <w:r>
        <w:rPr/>
        <w:t xml:space="preserve"> {{field-on:bible}} </w:t>
      </w:r>
      <w:r>
        <w:rPr>
          <w:b/>
          <w:color w:val="808080"/>
        </w:rPr>
        <w:t>[</w:t>
      </w:r>
      <w:r>
        <w:rPr/>
        <w:t>Es</w:t>
      </w:r>
      <w:r>
        <w:rPr>
          <w:b/>
          <w:color w:val="808080"/>
        </w:rPr>
        <w:t>]</w:t>
      </w:r>
      <w:r>
        <w:rPr/>
        <w:t xml:space="preserve"> sagte ihm aber der Teufel: Wenn du Sohn Gottes bist, sag diesem Stein, dass er Brot werde.{{field-off:bible}} </w:t>
        <w:br/>
        <w:t>[[@BibleTOBIBLE:Lk 4:4]]</w:t>
      </w:r>
      <w:r>
        <w:rPr>
          <w:b/>
        </w:rPr>
        <w:t>4</w:t>
      </w:r>
      <w:r>
        <w:rPr/>
        <w:t xml:space="preserve"> {{field-on:bible}}Und </w:t>
      </w:r>
      <w:r>
        <w:rPr>
          <w:b/>
          <w:color w:val="808080"/>
        </w:rPr>
        <w:t>[</w:t>
      </w:r>
      <w:r>
        <w:rPr/>
        <w:t>es</w:t>
      </w:r>
      <w:r>
        <w:rPr>
          <w:b/>
          <w:color w:val="808080"/>
        </w:rPr>
        <w:t>]</w:t>
      </w:r>
      <w:r>
        <w:rPr/>
        <w:t xml:space="preserve"> antwortete ihm </w:t>
      </w:r>
      <w:r>
        <w:rPr>
          <w:strike/>
          <w:color w:val="808080"/>
        </w:rPr>
        <w:t>{der}</w:t>
      </w:r>
      <w:r>
        <w:rPr/>
        <w:t xml:space="preserve"> Jesus: Es steht </w:t>
      </w:r>
      <w:r>
        <w:rPr>
          <w:color w:val="808080"/>
        </w:rPr>
        <w:t>(ist)</w:t>
      </w:r>
      <w:r>
        <w:rPr/>
        <w:t xml:space="preserve"> geschrieben: </w:t>
      </w:r>
      <w:r>
        <w:rPr>
          <w:strike/>
          <w:color w:val="808080"/>
        </w:rPr>
        <w:t>{dass}</w:t>
      </w:r>
      <w:r>
        <w:rPr/>
        <w:t xml:space="preserve"> „Nicht von Brot allein wird der Mensch leben“</w:t>
      </w:r>
      <w:r>
        <w:rPr>
          <w:rStyle w:val="Funotenanker"/>
        </w:rPr>
        <w:footnoteReference w:customMarkFollows="1" w:id="4750"/>
        <w:t>a</w:t>
      </w:r>
      <w:r>
        <w:rPr/>
        <w:t xml:space="preserve">.{{field-off:bible}} </w:t>
        <w:br/>
        <w:t>[[@BibleTOBIBLE:Lk 4:5]]</w:t>
      </w:r>
      <w:r>
        <w:rPr>
          <w:b/>
        </w:rPr>
        <w:t>5</w:t>
      </w:r>
      <w:r>
        <w:rPr/>
        <w:t xml:space="preserve"> {{field-on:bible}}Und er führte ihn hinauf und zeigte ihm alle die Reiche der bewohnten Welt in einem Augenblick </w:t>
      </w:r>
      <w:r>
        <w:rPr>
          <w:color w:val="808080"/>
        </w:rPr>
        <w:t>(Punkt der Zeit)</w:t>
      </w:r>
      <w:r>
        <w:rPr/>
        <w:t xml:space="preserve"> {{field-off:bible}} </w:t>
        <w:br/>
        <w:t>[[@BibleTOBIBLE:Lk 4:6]]</w:t>
      </w:r>
      <w:r>
        <w:rPr>
          <w:b/>
        </w:rPr>
        <w:t>6</w:t>
      </w:r>
      <w:r>
        <w:rPr/>
        <w:t xml:space="preserve"> {{field-on:bible}}und </w:t>
      </w:r>
      <w:r>
        <w:rPr>
          <w:b/>
          <w:color w:val="808080"/>
        </w:rPr>
        <w:t>[</w:t>
      </w:r>
      <w:r>
        <w:rPr/>
        <w:t>es</w:t>
      </w:r>
      <w:r>
        <w:rPr>
          <w:b/>
          <w:color w:val="808080"/>
        </w:rPr>
        <w:t>]</w:t>
      </w:r>
      <w:r>
        <w:rPr/>
        <w:t xml:space="preserve"> sagte ihm der Teufel: Dir werde ich diese ganze Vollmacht geben und ihren</w:t>
      </w:r>
      <w:r>
        <w:rPr>
          <w:rStyle w:val="Funotenanker"/>
        </w:rPr>
        <w:footnoteReference w:customMarkFollows="1" w:id="4751"/>
        <w:t>b</w:t>
      </w:r>
      <w:r>
        <w:rPr/>
        <w:t xml:space="preserve"> Ruhm </w:t>
      </w:r>
      <w:r>
        <w:rPr>
          <w:color w:val="808080"/>
        </w:rPr>
        <w:t>(Glanz, ihre Herrlichkeit)</w:t>
      </w:r>
      <w:r>
        <w:rPr/>
        <w:t xml:space="preserve">, denn mir wurde </w:t>
      </w:r>
      <w:r>
        <w:rPr>
          <w:b/>
          <w:color w:val="808080"/>
        </w:rPr>
        <w:t>[</w:t>
      </w:r>
      <w:r>
        <w:rPr/>
        <w:t>sie</w:t>
      </w:r>
      <w:r>
        <w:rPr>
          <w:b/>
          <w:color w:val="808080"/>
        </w:rPr>
        <w:t>]</w:t>
      </w:r>
      <w:r>
        <w:rPr/>
        <w:t xml:space="preserve"> übergeben und ich gebe sie, wem ich will;{{field-off:bible}} </w:t>
        <w:br/>
        <w:t>[[@BibleTOBIBLE:Lk 4:7]]</w:t>
      </w:r>
      <w:r>
        <w:rPr>
          <w:b/>
        </w:rPr>
        <w:t>7</w:t>
      </w:r>
      <w:r>
        <w:rPr/>
        <w:t xml:space="preserve"> {{field-on:bible}}du also – wenn du dich </w:t>
      </w:r>
      <w:r>
        <w:rPr>
          <w:b/>
          <w:color w:val="808080"/>
        </w:rPr>
        <w:t>[</w:t>
      </w:r>
      <w:r>
        <w:rPr/>
        <w:t>verehrend</w:t>
      </w:r>
      <w:r>
        <w:rPr>
          <w:b/>
          <w:color w:val="808080"/>
        </w:rPr>
        <w:t>]</w:t>
      </w:r>
      <w:r>
        <w:rPr/>
        <w:t xml:space="preserve"> vor mir niederwirfst </w:t>
      </w:r>
      <w:r>
        <w:rPr>
          <w:color w:val="808080"/>
        </w:rPr>
        <w:t>(mich anbetest)</w:t>
      </w:r>
      <w:r>
        <w:rPr/>
        <w:t xml:space="preserve">, wird sie ganz dein sein.{{field-off:bible}} </w:t>
        <w:br/>
        <w:t>[[@BibleTOBIBLE:Lk 4:8]]</w:t>
      </w:r>
      <w:r>
        <w:rPr>
          <w:b/>
        </w:rPr>
        <w:t>8</w:t>
      </w:r>
      <w:r>
        <w:rPr/>
        <w:t xml:space="preserve"> {{field-on:bible}}Und Jesus antwortete und sagte ihm: Es steht </w:t>
      </w:r>
      <w:r>
        <w:rPr>
          <w:color w:val="808080"/>
        </w:rPr>
        <w:t>(ist)</w:t>
      </w:r>
      <w:r>
        <w:rPr/>
        <w:t xml:space="preserve"> geschrieben: „Den Herrn, deinen Gott sollst </w:t>
      </w:r>
      <w:r>
        <w:rPr>
          <w:color w:val="808080"/>
        </w:rPr>
        <w:t>(wirst)</w:t>
      </w:r>
      <w:r>
        <w:rPr/>
        <w:t xml:space="preserve"> du dich niederwerfend verehren </w:t>
      </w:r>
      <w:r>
        <w:rPr>
          <w:color w:val="808080"/>
        </w:rPr>
        <w:t>(anbeten)</w:t>
      </w:r>
      <w:r>
        <w:rPr/>
        <w:t xml:space="preserve"> und ihm allein sollst </w:t>
      </w:r>
      <w:r>
        <w:rPr>
          <w:color w:val="808080"/>
        </w:rPr>
        <w:t>(wirst)</w:t>
      </w:r>
      <w:r>
        <w:rPr/>
        <w:t xml:space="preserve"> du dienen.“</w:t>
      </w:r>
      <w:r>
        <w:rPr>
          <w:rStyle w:val="Funotenanker"/>
        </w:rPr>
        <w:footnoteReference w:customMarkFollows="1" w:id="4752"/>
        <w:t>c</w:t>
      </w:r>
      <w:r>
        <w:rPr/>
        <w:t xml:space="preserve"> {{field-off:bible}} </w:t>
        <w:br/>
        <w:t>[[@BibleTOBIBLE:Lk 4:9]]</w:t>
      </w:r>
      <w:r>
        <w:rPr>
          <w:b/>
        </w:rPr>
        <w:t>9</w:t>
      </w:r>
      <w:r>
        <w:rPr/>
        <w:t xml:space="preserve"> {{field-on:bible}}Er führte ihn aber nach Jerusalem und stellte ihn auf die Zinnen </w:t>
      </w:r>
      <w:r>
        <w:rPr>
          <w:color w:val="808080"/>
        </w:rPr>
        <w:t>(den Rand)</w:t>
      </w:r>
      <w:r>
        <w:rPr/>
        <w:t xml:space="preserve"> des Tempels und sagte ihm: Wenn du Sohn Gottes bist, wirf dich von hier hinab </w:t>
      </w:r>
      <w:r>
        <w:rPr>
          <w:color w:val="808080"/>
        </w:rPr>
        <w:t>(nach unten)</w:t>
      </w:r>
      <w:r>
        <w:rPr/>
        <w:t xml:space="preserve">,{{field-off:bible}} </w:t>
        <w:br/>
        <w:t>[[@BibleTOBIBLE:Lk 4:10]]</w:t>
      </w:r>
      <w:r>
        <w:rPr>
          <w:b/>
        </w:rPr>
        <w:t>10</w:t>
      </w:r>
      <w:r>
        <w:rPr/>
        <w:t xml:space="preserve"> {{field-on:bible}}denn es steht </w:t>
      </w:r>
      <w:r>
        <w:rPr>
          <w:color w:val="808080"/>
        </w:rPr>
        <w:t>(ist)</w:t>
      </w:r>
      <w:r>
        <w:rPr/>
        <w:t xml:space="preserve"> geschrieben: </w:t>
      </w:r>
      <w:r>
        <w:rPr>
          <w:strike/>
          <w:color w:val="808080"/>
        </w:rPr>
        <w:t>{dass}</w:t>
      </w:r>
      <w:r>
        <w:rPr/>
        <w:t xml:space="preserve"> „Seinen Engel wird er deinetwegen </w:t>
      </w:r>
      <w:r>
        <w:rPr>
          <w:color w:val="808080"/>
        </w:rPr>
        <w:t>(in Rücksicht auf dich)</w:t>
      </w:r>
      <w:r>
        <w:rPr/>
        <w:t xml:space="preserve"> befehlen, dich zu bewahren </w:t>
      </w:r>
      <w:r>
        <w:rPr>
          <w:color w:val="808080"/>
        </w:rPr>
        <w:t>(bewachen)</w:t>
      </w:r>
      <w:r>
        <w:rPr/>
        <w:t xml:space="preserve">“ </w:t>
      </w:r>
      <w:r>
        <w:rPr>
          <w:rStyle w:val="Funotenanker"/>
        </w:rPr>
        <w:footnoteReference w:customMarkFollows="1" w:id="4753"/>
        <w:t>d</w:t>
      </w:r>
      <w:r>
        <w:rPr/>
        <w:t xml:space="preserve"> {{field-off:bible}} </w:t>
        <w:br/>
        <w:t>[[@BibleTOBIBLE:Lk 4:11]]</w:t>
      </w:r>
      <w:r>
        <w:rPr>
          <w:b/>
        </w:rPr>
        <w:t>11</w:t>
      </w:r>
      <w:r>
        <w:rPr/>
        <w:t xml:space="preserve"> {{field-on:bible}}und </w:t>
      </w:r>
      <w:r>
        <w:rPr>
          <w:strike/>
          <w:color w:val="808080"/>
        </w:rPr>
        <w:t>{dass}</w:t>
      </w:r>
      <w:r>
        <w:rPr/>
        <w:t xml:space="preserve"> „auf Händen werden sie dich tragen, damit du deinen Fuß nicht gegen einen Stein stößt.“</w:t>
      </w:r>
      <w:r>
        <w:rPr>
          <w:rStyle w:val="Funotenanker"/>
        </w:rPr>
        <w:footnoteReference w:customMarkFollows="1" w:id="4754"/>
        <w:t>e</w:t>
      </w:r>
      <w:r>
        <w:rPr/>
        <w:t xml:space="preserve"> {{field-off:bible}} </w:t>
        <w:br/>
        <w:t>[[@BibleTOBIBLE:Lk 4:12]]</w:t>
      </w:r>
      <w:r>
        <w:rPr>
          <w:b/>
        </w:rPr>
        <w:t>12</w:t>
      </w:r>
      <w:r>
        <w:rPr/>
        <w:t xml:space="preserve"> {{field-on:bible}}Und </w:t>
      </w:r>
      <w:r>
        <w:rPr>
          <w:strike/>
          <w:color w:val="808080"/>
        </w:rPr>
        <w:t>{der}</w:t>
      </w:r>
      <w:r>
        <w:rPr/>
        <w:t xml:space="preserve"> Jesus antwortete und sagte ihm: </w:t>
      </w:r>
      <w:r>
        <w:rPr>
          <w:strike/>
          <w:color w:val="808080"/>
        </w:rPr>
        <w:t>{dass}</w:t>
      </w:r>
      <w:r>
        <w:rPr/>
        <w:t xml:space="preserve"> Es ist gesagt worden: „Du sollst </w:t>
      </w:r>
      <w:r>
        <w:rPr>
          <w:color w:val="808080"/>
        </w:rPr>
        <w:t>(wirst)</w:t>
      </w:r>
      <w:r>
        <w:rPr/>
        <w:t xml:space="preserve"> den Herrn, deinen Gott nicht versuchen.“</w:t>
      </w:r>
      <w:r>
        <w:rPr>
          <w:rStyle w:val="Funotenanker"/>
        </w:rPr>
        <w:footnoteReference w:customMarkFollows="1" w:id="4755"/>
        <w:t>f</w:t>
      </w:r>
      <w:r>
        <w:rPr/>
        <w:t xml:space="preserve"> {{field-off:bible}} </w:t>
        <w:br/>
        <w:t>[[@BibleTOBIBLE:Lk 4:13]]</w:t>
      </w:r>
      <w:r>
        <w:rPr>
          <w:b/>
        </w:rPr>
        <w:t>13</w:t>
      </w:r>
      <w:r>
        <w:rPr/>
        <w:t xml:space="preserve"> {{field-on:bible}}Und nachdem </w:t>
      </w:r>
      <w:r>
        <w:rPr>
          <w:color w:val="808080"/>
        </w:rPr>
        <w:t>(als)</w:t>
      </w:r>
      <w:r>
        <w:rPr/>
        <w:t xml:space="preserve"> der Teufel alle Versuchung zu Ende gebracht </w:t>
      </w:r>
      <w:r>
        <w:rPr>
          <w:color w:val="808080"/>
        </w:rPr>
        <w:t>(vollendet)</w:t>
      </w:r>
      <w:r>
        <w:rPr/>
        <w:t xml:space="preserve"> hatte, ließ er von ihm ab bis zu einem gelegenem Zeitpunkt </w:t>
      </w:r>
      <w:r>
        <w:rPr>
          <w:color w:val="808080"/>
        </w:rPr>
        <w:t>(einer passenden Gelegenheit)</w:t>
      </w:r>
      <w:r>
        <w:rPr/>
        <w:t xml:space="preserve">.{{field-off:bible}} </w:t>
        <w:br/>
        <w:t>[[@BibleTOBIBLE:Lk 4:14]]</w:t>
      </w:r>
      <w:r>
        <w:rPr>
          <w:b/>
        </w:rPr>
        <w:t>14</w:t>
      </w:r>
      <w:r>
        <w:rPr/>
        <w:t xml:space="preserve"> {{field-on:bible}}Und </w:t>
      </w:r>
      <w:r>
        <w:rPr>
          <w:strike/>
          <w:color w:val="808080"/>
        </w:rPr>
        <w:t>{der}</w:t>
      </w:r>
      <w:r>
        <w:rPr/>
        <w:t xml:space="preserve"> Jesus kehrte in der Kraft des Geistes nach Galiäa zurück. Und Kunde ging aus in die ganze Umgebung über ihn.{{field-off:bible}} </w:t>
        <w:br/>
        <w:t>[[@BibleTOBIBLE:Lk 4:15]]</w:t>
      </w:r>
      <w:r>
        <w:rPr>
          <w:b/>
        </w:rPr>
        <w:t>15</w:t>
      </w:r>
      <w:r>
        <w:rPr/>
        <w:t xml:space="preserve"> {{field-on:bible}}Und er lehrte in ihren Synagogen und wurde von allen gerühmt.{{field-off:bible}} </w:t>
        <w:br/>
        <w:t>[[@BibleTOBIBLE:Lk 4:16]]</w:t>
      </w:r>
      <w:r>
        <w:rPr>
          <w:b/>
        </w:rPr>
        <w:t>16</w:t>
      </w:r>
      <w:r>
        <w:rPr/>
        <w:t xml:space="preserve"> {{field-on:bible}}Und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4756"/>
        <w:t>g</w:t>
      </w:r>
      <w:r>
        <w:rPr/>
        <w:t>. Und als</w:t>
      </w:r>
      <w:r>
        <w:rPr>
          <w:rStyle w:val="Funotenanker"/>
        </w:rPr>
        <w:footnoteReference w:customMarkFollows="1" w:id="4757"/>
        <w:t>h</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4758"/>
        <w:t>i</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4759"/>
        <w:t>j</w:t>
      </w:r>
      <w:r>
        <w:rPr/>
        <w:t xml:space="preserve"> er die Buchrolle zusammengerollt und</w:t>
      </w:r>
      <w:r>
        <w:rPr>
          <w:rStyle w:val="Funotenanker"/>
        </w:rPr>
        <w:footnoteReference w:customMarkFollows="1" w:id="4760"/>
        <w:t>k</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4761"/>
        <w:t>l</w:t>
      </w:r>
      <w:r>
        <w:rPr/>
        <w:t>: Heute wurde diese Schriftstelle</w:t>
      </w:r>
      <w:r>
        <w:rPr>
          <w:rStyle w:val="Funotenanker"/>
        </w:rPr>
        <w:footnoteReference w:customMarkFollows="1" w:id="4762"/>
        <w:t>m</w:t>
      </w:r>
      <w:r>
        <w:rPr/>
        <w:t xml:space="preserve"> in</w:t>
      </w:r>
      <w:r>
        <w:rPr>
          <w:rStyle w:val="Funotenanker"/>
        </w:rPr>
        <w:footnoteReference w:customMarkFollows="1" w:id="4763"/>
        <w:t>n</w:t>
      </w:r>
      <w:r>
        <w:rPr/>
        <w:t xml:space="preserve"> euren Ohren erfüllt.{{field-off:bible}} </w:t>
      </w:r>
    </w:p>
    <w:p>
      <w:pPr>
        <w:pStyle w:val="Berschrift3"/>
        <w:rPr/>
      </w:pPr>
      <w:r>
        <w:rPr/>
        <w:t>[[@BibleTOBIBLE:Lk 5]]Kapitel 5</w:t>
      </w:r>
    </w:p>
    <w:p>
      <w:pPr>
        <w:pStyle w:val="Textkrper"/>
        <w:rPr/>
      </w:pPr>
      <w:r>
        <w:rPr/>
        <w:br/>
        <w:t>[[@BibleTOBIBLE:Lk 5:17]]</w:t>
      </w:r>
      <w:r>
        <w:rPr>
          <w:b/>
        </w:rPr>
        <w:t>17</w:t>
      </w:r>
      <w:r>
        <w:rPr/>
        <w:t xml:space="preserve"> {{field-on:bible}}Und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6]]Kapitel 6</w:t>
      </w:r>
    </w:p>
    <w:p>
      <w:pPr>
        <w:pStyle w:val="Textkrper"/>
        <w:rPr/>
      </w:pPr>
      <w:r>
        <w:rPr/>
        <w:br/>
        <w:t>[[@BibleTOBIBLE:Lk 6:36]]</w:t>
      </w:r>
      <w:r>
        <w:rPr>
          <w:b/>
        </w:rPr>
        <w:t>36</w:t>
      </w:r>
      <w:r>
        <w:rPr/>
        <w:t xml:space="preserve"> {{field-on:bible}}Seid barmherzig, wie auch</w:t>
      </w:r>
      <w:r>
        <w:rPr>
          <w:rStyle w:val="Funotenanker"/>
        </w:rPr>
        <w:footnoteReference w:customMarkFollows="1" w:id="4764"/>
        <w:t>a</w:t>
      </w:r>
      <w:r>
        <w:rPr/>
        <w:t xml:space="preserve"> euer Vater barmherzig ist.{{field-off:bible}} </w:t>
        <w:br/>
        <w:t>[[@BibleTOBIBLE:Lk 6:37]]</w:t>
      </w:r>
      <w:r>
        <w:rPr>
          <w:b/>
        </w:rPr>
        <w:t>37</w:t>
      </w:r>
      <w:r>
        <w:rPr/>
        <w:t xml:space="preserve"> {{field-on:bible}}Und richtet nicht, dann</w:t>
      </w:r>
      <w:r>
        <w:rPr>
          <w:rStyle w:val="Funotenanker"/>
        </w:rPr>
        <w:footnoteReference w:customMarkFollows="1" w:id="4765"/>
        <w:t>b</w:t>
      </w:r>
      <w:r>
        <w:rPr/>
        <w:t xml:space="preserve"> werdet auch ihr nicht gerichtet; und verurteilt nicht, dann werdet auch ihr nicht verurteilt. Lasst frei, dann werdet ihr freigelassen werden.{{field-off:bible}} </w:t>
        <w:br/>
        <w:t>[[@BibleTOBIBLE:Lk 6:38]]</w:t>
      </w:r>
      <w:r>
        <w:rPr>
          <w:b/>
        </w:rPr>
        <w:t>38</w:t>
      </w:r>
      <w:r>
        <w:rPr/>
        <w:t xml:space="preserve"> {{field-on:bible}}Gebt, und euch wird gegeben. Ein Maß, gut, festgedrückt, gerüttelt </w:t>
      </w:r>
      <w:r>
        <w:rPr>
          <w:b/>
          <w:color w:val="808080"/>
        </w:rPr>
        <w:t>[</w:t>
      </w:r>
      <w:r>
        <w:rPr/>
        <w:t>und</w:t>
      </w:r>
      <w:r>
        <w:rPr>
          <w:b/>
          <w:color w:val="808080"/>
        </w:rPr>
        <w:t>]</w:t>
      </w:r>
      <w:r>
        <w:rPr/>
        <w:t xml:space="preserve"> nach allen Seiten überfließend wird man in eure Tasche </w:t>
      </w:r>
      <w:r>
        <w:rPr>
          <w:color w:val="808080"/>
        </w:rPr>
        <w:t>(in den Bausch eures Gewandes)</w:t>
      </w:r>
      <w:r>
        <w:rPr/>
        <w:t xml:space="preserve"> geben </w:t>
      </w:r>
      <w:r>
        <w:rPr>
          <w:color w:val="808080"/>
        </w:rPr>
        <w:t>(schenken)</w:t>
      </w:r>
      <w:r>
        <w:rPr/>
        <w:t xml:space="preserve">. Denn mit dem Maß, mit dem ihr messt, wird euch wieder zugemessen werden.{{field-off:bible}} </w:t>
        <w:br/>
        <w:t>[[@BibleTOBIBLE:Lk 6:39]]</w:t>
      </w:r>
      <w:r>
        <w:rPr>
          <w:b/>
        </w:rPr>
        <w:t>39</w:t>
      </w:r>
      <w:r>
        <w:rPr/>
        <w:t xml:space="preserve"> {{field-on:bible}}Er </w:t>
      </w:r>
      <w:r>
        <w:rPr>
          <w:color w:val="808080"/>
        </w:rPr>
        <w:t>(sprach =)</w:t>
      </w:r>
      <w:r>
        <w:rPr/>
        <w:t xml:space="preserve"> erzählte ihnen aber auch ein Gleichnis: kann etwa ein Blinder einen Blinden führen </w:t>
      </w:r>
      <w:r>
        <w:rPr>
          <w:color w:val="808080"/>
        </w:rPr>
        <w:t>(anleiten, vgl. Apg. 8,31)</w:t>
      </w:r>
      <w:r>
        <w:rPr/>
        <w:t xml:space="preserve">? Werden sie nicht beide in </w:t>
      </w:r>
      <w:r>
        <w:rPr>
          <w:b/>
          <w:color w:val="808080"/>
        </w:rPr>
        <w:t>[</w:t>
      </w:r>
      <w:r>
        <w:rPr/>
        <w:t>die</w:t>
      </w:r>
      <w:r>
        <w:rPr>
          <w:b/>
          <w:color w:val="808080"/>
        </w:rPr>
        <w:t>]</w:t>
      </w:r>
      <w:r>
        <w:rPr/>
        <w:t xml:space="preserve"> Grube fallen?{{field-off:bible}} </w:t>
        <w:br/>
        <w:t>[[@BibleTOBIBLE:Lk 6:40]]</w:t>
      </w:r>
      <w:r>
        <w:rPr>
          <w:b/>
        </w:rPr>
        <w:t>40</w:t>
      </w:r>
      <w:r>
        <w:rPr/>
        <w:t xml:space="preserve"> {{field-on:bible}}Der Schüler </w:t>
      </w:r>
      <w:r>
        <w:rPr>
          <w:color w:val="808080"/>
        </w:rPr>
        <w:t>(ist =)</w:t>
      </w:r>
      <w:r>
        <w:rPr/>
        <w:t xml:space="preserve"> steht nicht über dem Lehrer. Ganz vollendet</w:t>
      </w:r>
      <w:r>
        <w:rPr>
          <w:rStyle w:val="Funotenanker"/>
        </w:rPr>
        <w:footnoteReference w:customMarkFollows="1" w:id="4766"/>
        <w:t>c</w:t>
      </w:r>
      <w:r>
        <w:rPr/>
        <w:t xml:space="preserve"> aber, wird er wie sein Lehrer sein.{{field-off:bible}} </w:t>
        <w:br/>
        <w:t>[[@BibleTOBIBLE:Lk 6:41]]</w:t>
      </w:r>
      <w:r>
        <w:rPr>
          <w:b/>
        </w:rPr>
        <w:t>41</w:t>
      </w:r>
      <w:r>
        <w:rPr/>
        <w:t xml:space="preserve"> {{field-on:bible}}Warum aber siehst du den Splitter </w:t>
      </w:r>
      <w:r>
        <w:rPr>
          <w:strike/>
          <w:color w:val="808080"/>
        </w:rPr>
        <w:t>{der}</w:t>
      </w:r>
      <w:r>
        <w:rPr/>
        <w:t xml:space="preserve"> im Auge deines Bruders, den Balken aber im eigenen Auge bemerkst du nicht </w:t>
      </w:r>
      <w:r>
        <w:rPr>
          <w:color w:val="808080"/>
        </w:rPr>
        <w:t>(nimmst du nicht wahr)</w:t>
      </w:r>
      <w:r>
        <w:rPr/>
        <w:t xml:space="preserve">?{{field-off:bible}} </w:t>
        <w:br/>
        <w:t>[[@BibleTOBIBLE:Lk 6:42]]</w:t>
      </w:r>
      <w:r>
        <w:rPr>
          <w:b/>
        </w:rPr>
        <w:t>42</w:t>
      </w:r>
      <w:r>
        <w:rPr/>
        <w:t xml:space="preserve"> {{field-on:bible}}Wie vermagst du zu sagen </w:t>
      </w:r>
      <w:r>
        <w:rPr>
          <w:color w:val="808080"/>
        </w:rPr>
        <w:t>(kannst du sagen)</w:t>
      </w:r>
      <w:r>
        <w:rPr/>
        <w:t xml:space="preserve"> zu deinem Bruder: Bruder, lass mich den Splitter </w:t>
      </w:r>
      <w:r>
        <w:rPr>
          <w:strike/>
          <w:color w:val="808080"/>
        </w:rPr>
        <w:t>{der}</w:t>
      </w:r>
      <w:r>
        <w:rPr/>
        <w:t xml:space="preserve"> in deinem Auge herausziehen </w:t>
      </w:r>
      <w:r>
        <w:rPr>
          <w:color w:val="808080"/>
        </w:rPr>
        <w:t>(entfernen)</w:t>
      </w:r>
      <w:r>
        <w:rPr/>
        <w:t>, während</w:t>
      </w:r>
      <w:r>
        <w:rPr>
          <w:rStyle w:val="Funotenanker"/>
        </w:rPr>
        <w:footnoteReference w:customMarkFollows="1" w:id="4767"/>
        <w:t>d</w:t>
      </w:r>
      <w:r>
        <w:rPr/>
        <w:t xml:space="preserve"> du selbst den Balken in deinem Auge nicht siehst? Heuchler </w:t>
      </w:r>
      <w:r>
        <w:rPr>
          <w:color w:val="808080"/>
        </w:rPr>
        <w:t>(Schauspieler)</w:t>
      </w:r>
      <w:r>
        <w:rPr/>
        <w:t xml:space="preserve">, zieh </w:t>
      </w:r>
      <w:r>
        <w:rPr>
          <w:color w:val="808080"/>
        </w:rPr>
        <w:t>(entferne)</w:t>
      </w:r>
      <w:r>
        <w:rPr/>
        <w:t xml:space="preserve"> zuerst den Balken aus deinem Auge, und dann </w:t>
      </w:r>
      <w:r>
        <w:rPr>
          <w:color w:val="808080"/>
        </w:rPr>
        <w:t>(wirst =)</w:t>
      </w:r>
      <w:r>
        <w:rPr/>
        <w:t xml:space="preserve"> kannst du </w:t>
      </w:r>
      <w:r>
        <w:rPr>
          <w:color w:val="808080"/>
        </w:rPr>
        <w:t>(scharf hinblicken =)</w:t>
      </w:r>
      <w:r>
        <w:rPr/>
        <w:t xml:space="preserve"> genau zusehen, dass du den Splitter </w:t>
      </w:r>
      <w:r>
        <w:rPr>
          <w:strike/>
          <w:color w:val="808080"/>
        </w:rPr>
        <w:t>{den}</w:t>
      </w:r>
      <w:r>
        <w:rPr/>
        <w:t xml:space="preserve"> im Auge deines Bruder ausziehst </w:t>
      </w:r>
      <w:r>
        <w:rPr>
          <w:color w:val="808080"/>
        </w:rPr>
        <w:t>(entfernst)</w:t>
      </w:r>
      <w:r>
        <w:rPr/>
        <w:t xml:space="preserve">.{{field-off:bible}} </w:t>
      </w:r>
    </w:p>
    <w:p>
      <w:pPr>
        <w:pStyle w:val="Berschrift3"/>
        <w:rPr/>
      </w:pPr>
      <w:r>
        <w:rPr/>
        <w:t>[[@BibleTOBIBLE:Lk 7]]Kapitel 7</w:t>
      </w:r>
    </w:p>
    <w:p>
      <w:pPr>
        <w:pStyle w:val="Textkrper"/>
        <w:rPr/>
      </w:pPr>
      <w:r>
        <w:rPr/>
        <w:t xml:space="preserve">Zur Übersetzung von e;cw mit Infinitiv (V.42) vgl. Bauer/Aland, Sp. 673. </w:t>
        <w:br/>
        <w:br/>
        <w:t>[[@BibleTOBIBLE:Lk 7:36]]</w:t>
      </w:r>
      <w:r>
        <w:rPr>
          <w:b/>
        </w:rPr>
        <w:t>36</w:t>
      </w:r>
      <w:r>
        <w:rPr/>
        <w:t xml:space="preserve"> {{field-on:bible}}Einer der Pharisäer aber fragte ihn, dass er mit ihm esse, und nachdem er ins Haus des Pharisäers hineingegangen war, legte er sich nieder.{{field-off:bible}} </w:t>
        <w:br/>
        <w:t>[[@BibleTOBIBLE:Lk 7:37]]</w:t>
      </w:r>
      <w:r>
        <w:rPr>
          <w:b/>
        </w:rPr>
        <w:t>37</w:t>
      </w:r>
      <w:r>
        <w:rPr/>
        <w:t xml:space="preserve"> {{field-on:bible}}Und siehe: eine Frau, die in der Stadt, eine sündige, und nachdem sie erfahren hatte, dass er im Haus des Pharisäers niederlag, brachte sie eine Dose mit Salböl herbei{{field-off:bible}} </w:t>
        <w:br/>
        <w:t>[[@BibleTOBIBLE:Lk 7:38]]</w:t>
      </w:r>
      <w:r>
        <w:rPr>
          <w:b/>
        </w:rPr>
        <w:t>38</w:t>
      </w:r>
      <w:r>
        <w:rPr/>
        <w:t xml:space="preserve"> {{field-on:bible}}und als sie sich nach hinten zu seinen Füßen gestellt hatte, begann sie weinend, seine Füße mit Tränen zu benetzen und </w:t>
      </w:r>
      <w:r>
        <w:rPr>
          <w:b/>
          <w:color w:val="808080"/>
        </w:rPr>
        <w:t>[</w:t>
      </w:r>
      <w:r>
        <w:rPr/>
        <w:t>mit</w:t>
      </w:r>
      <w:r>
        <w:rPr>
          <w:b/>
          <w:color w:val="808080"/>
        </w:rPr>
        <w:t>]</w:t>
      </w:r>
      <w:r>
        <w:rPr/>
        <w:t xml:space="preserve"> den Haaren ihres Kopfes wischte sie </w:t>
      </w:r>
      <w:r>
        <w:rPr>
          <w:b/>
          <w:color w:val="808080"/>
        </w:rPr>
        <w:t>[</w:t>
      </w:r>
      <w:r>
        <w:rPr/>
        <w:t>sie</w:t>
      </w:r>
      <w:r>
        <w:rPr>
          <w:b/>
          <w:color w:val="808080"/>
        </w:rPr>
        <w:t>]</w:t>
      </w:r>
      <w:r>
        <w:rPr/>
        <w:t xml:space="preserve"> ab und küsste seine Füße und salbte </w:t>
      </w:r>
      <w:r>
        <w:rPr>
          <w:b/>
          <w:color w:val="808080"/>
        </w:rPr>
        <w:t>[</w:t>
      </w:r>
      <w:r>
        <w:rPr/>
        <w:t>sie</w:t>
      </w:r>
      <w:r>
        <w:rPr>
          <w:b/>
          <w:color w:val="808080"/>
        </w:rPr>
        <w:t>]</w:t>
      </w:r>
      <w:r>
        <w:rPr/>
        <w:t xml:space="preserve"> mit Myrre.{{field-off:bible}} </w:t>
        <w:br/>
        <w:t>[[@BibleTOBIBLE:Lk 7:39]]</w:t>
      </w:r>
      <w:r>
        <w:rPr>
          <w:b/>
        </w:rPr>
        <w:t>39</w:t>
      </w:r>
      <w:r>
        <w:rPr/>
        <w:t xml:space="preserve"> {{field-on:bible}}Als aber der Pharisäer das sah, der ihn eingeladen hatte, sprach er zu sich selbst, indem er sagte: „Wenn dieser ein Prophet wäre, wüsste er, wer und was für eine Frau </w:t>
      </w:r>
      <w:r>
        <w:rPr>
          <w:b/>
          <w:color w:val="808080"/>
        </w:rPr>
        <w:t>[</w:t>
      </w:r>
      <w:r>
        <w:rPr/>
        <w:t>es ist</w:t>
      </w:r>
      <w:r>
        <w:rPr>
          <w:b/>
          <w:color w:val="808080"/>
        </w:rPr>
        <w:t>]</w:t>
      </w:r>
      <w:r>
        <w:rPr/>
        <w:t xml:space="preserve">, die ihn berührt, dass sie sündig ist.“{{field-off:bible}} </w:t>
        <w:br/>
        <w:t>[[@BibleTOBIBLE:Lk 7:40]]</w:t>
      </w:r>
      <w:r>
        <w:rPr>
          <w:b/>
        </w:rPr>
        <w:t>40</w:t>
      </w:r>
      <w:r>
        <w:rPr/>
        <w:t xml:space="preserve"> {{field-on:bible}}Und Jesus antwortete, indem er ihm sagte: „Simon, ich habe dir etwas zu sagen.“ Der aber </w:t>
      </w:r>
      <w:r>
        <w:rPr>
          <w:b/>
          <w:color w:val="808080"/>
        </w:rPr>
        <w:t>[</w:t>
      </w:r>
      <w:r>
        <w:rPr/>
        <w:t>sagte</w:t>
      </w:r>
      <w:r>
        <w:rPr>
          <w:b/>
          <w:color w:val="808080"/>
        </w:rPr>
        <w:t>]</w:t>
      </w:r>
      <w:r>
        <w:rPr/>
        <w:t xml:space="preserve">: „Lehrer,“ sagte er, „sprich!“{{field-off:bible}} </w:t>
        <w:br/>
        <w:t>[[@BibleTOBIBLE:Lk 7:41]]</w:t>
      </w:r>
      <w:r>
        <w:rPr>
          <w:b/>
        </w:rPr>
        <w:t>41</w:t>
      </w:r>
      <w:r>
        <w:rPr/>
        <w:t xml:space="preserve"> {{field-on:bible}}„Zwei Schuldnern war irgendein Geldverleiher. Der eine schuldete 500 Dinare, der andere 50.{{field-off:bible}} </w:t>
        <w:br/>
        <w:t>[[@BibleTOBIBLE:Lk 7:42]]</w:t>
      </w:r>
      <w:r>
        <w:rPr>
          <w:b/>
        </w:rPr>
        <w:t>42</w:t>
      </w:r>
      <w:r>
        <w:rPr/>
        <w:t xml:space="preserve"> {{field-on:bible}}Weil sie nicht zurückzuzahlen imstande waren , erließ er beiden </w:t>
      </w:r>
      <w:r>
        <w:rPr>
          <w:color w:val="808080"/>
        </w:rPr>
        <w:t>(die Schuld)</w:t>
      </w:r>
      <w:r>
        <w:rPr/>
        <w:t xml:space="preserve">. Wer nun von ihnen wird ihn mehr lieben?“{{field-off:bible}} </w:t>
        <w:br/>
        <w:t>[[@BibleTOBIBLE:Lk 7:43]]</w:t>
      </w:r>
      <w:r>
        <w:rPr>
          <w:b/>
        </w:rPr>
        <w:t>43</w:t>
      </w:r>
      <w:r>
        <w:rPr/>
        <w:t xml:space="preserve"> {{field-on:bible}}Simon antwortete, indem er sprach: „Ich vermute: derjenige, dem mehr erlassen wurde.“ Der aber antwortete ihm: „Recht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br/>
        <w:t>[[@BibleTOBIBLE:Lk 9:28]]</w:t>
      </w:r>
      <w:r>
        <w:rPr>
          <w:b/>
        </w:rPr>
        <w:t>28</w:t>
      </w:r>
      <w:r>
        <w:rPr/>
        <w:t xml:space="preserve"> {{field-on:bible}}Es geschah aber ungefähr </w:t>
      </w:r>
      <w:r>
        <w:rPr>
          <w:color w:val="808080"/>
        </w:rPr>
        <w:t>(wie)</w:t>
      </w:r>
      <w:r>
        <w:rPr/>
        <w:t xml:space="preserve"> acht Tage nach diesen Worten </w:t>
      </w:r>
      <w:r>
        <w:rPr>
          <w:color w:val="808080"/>
        </w:rPr>
        <w:t>(Reden)</w:t>
      </w:r>
      <w:r>
        <w:rPr/>
        <w:t xml:space="preserve"> und Jesus nahm Petrus und Johannes und Jakob mit sich und stieg auf den Berg, um zu beten.{{field-off:bible}} </w:t>
        <w:br/>
        <w:t>[[@BibleTOBIBLE:Lk 9:29]]</w:t>
      </w:r>
      <w:r>
        <w:rPr>
          <w:b/>
        </w:rPr>
        <w:t>29</w:t>
      </w:r>
      <w:r>
        <w:rPr/>
        <w:t xml:space="preserve"> {{field-on:bible}}Und es wurde, während er betete, das Aussehen seines Gesichts verändert </w:t>
      </w:r>
      <w:r>
        <w:rPr>
          <w:color w:val="808080"/>
        </w:rPr>
        <w:t>(andersartig, verändert)</w:t>
      </w:r>
      <w:r>
        <w:rPr/>
        <w:t xml:space="preserve"> und sein Gewandt glänzend weiß.{{field-off:bible}} </w:t>
        <w:br/>
        <w:t>[[@BibleTOBIBLE:Lk 9:30]]</w:t>
      </w:r>
      <w:r>
        <w:rPr>
          <w:b/>
        </w:rPr>
        <w:t>30</w:t>
      </w:r>
      <w:r>
        <w:rPr/>
        <w:t xml:space="preserve"> {{field-on:bible}}Und sieh, zwei Männer sprachen mit ihm, welche Moses und Elias waren,{{field-off:bible}} </w:t>
        <w:br/>
        <w:t>[[@BibleTOBIBLE:Lk 9:31]]</w:t>
      </w:r>
      <w:r>
        <w:rPr>
          <w:b/>
        </w:rPr>
        <w:t>31</w:t>
      </w:r>
      <w:r>
        <w:rPr/>
        <w:t xml:space="preserve"> {{field-on:bible}}die in Herrlichkeit erschienen und seinen Ausgang besprachen </w:t>
      </w:r>
      <w:r>
        <w:rPr>
          <w:color w:val="808080"/>
        </w:rPr>
        <w:t>(seinen/von seinem Ausgang sprachen)</w:t>
      </w:r>
      <w:r>
        <w:rPr/>
        <w:t xml:space="preserve">, den er im Begriff war, in Jerusalem zu vollenden </w:t>
      </w:r>
      <w:r>
        <w:rPr>
          <w:color w:val="808080"/>
        </w:rPr>
        <w:t>(den er in Jerusalem vollenden sollte)</w:t>
      </w:r>
      <w:r>
        <w:rPr/>
        <w:t xml:space="preserve">.{{field-off:bible}} </w:t>
        <w:br/>
        <w:t>[[@BibleTOBIBLE:Lk 9:32]]</w:t>
      </w:r>
      <w:r>
        <w:rPr>
          <w:b/>
        </w:rPr>
        <w:t>32</w:t>
      </w:r>
      <w:r>
        <w:rPr/>
        <w:t xml:space="preserve"> {{field-on:bible}} </w:t>
      </w:r>
      <w:r>
        <w:rPr>
          <w:strike/>
          <w:color w:val="808080"/>
        </w:rPr>
        <w:t>{Der}</w:t>
      </w:r>
      <w:r>
        <w:rPr/>
        <w:t xml:space="preserve"> Petrus aber und die mit ihm waren mit Schlaf beschwert </w:t>
      </w:r>
      <w:r>
        <w:rPr>
          <w:color w:val="808080"/>
        </w:rPr>
        <w:t>(von Schlaf bedrängt)</w:t>
      </w:r>
      <w:r>
        <w:rPr/>
        <w:t xml:space="preserve">. Als sie aber vollends aufwachten </w:t>
      </w:r>
      <w:r>
        <w:rPr>
          <w:color w:val="808080"/>
        </w:rPr>
        <w:t>(wach geworden waren)</w:t>
      </w:r>
      <w:r>
        <w:rPr/>
        <w:t xml:space="preserve">, sahen sie seine Herrlichkeit und die zwei Männer, die bei ihm standen.{{field-off:bible}} </w:t>
        <w:br/>
        <w:t>[[@BibleTOBIBLE:Lk 9:33]]</w:t>
      </w:r>
      <w:r>
        <w:rPr>
          <w:b/>
        </w:rPr>
        <w:t>33</w:t>
      </w:r>
      <w:r>
        <w:rPr/>
        <w:t xml:space="preserve"> {{field-on:bible}}Und es geschah, als sie</w:t>
      </w:r>
      <w:r>
        <w:rPr>
          <w:rStyle w:val="Funotenanker"/>
        </w:rPr>
        <w:footnoteReference w:customMarkFollows="1" w:id="4768"/>
        <w:t>a</w:t>
      </w:r>
      <w:r>
        <w:rPr/>
        <w:t xml:space="preserve"> sich von ihm trennten, </w:t>
      </w:r>
      <w:r>
        <w:rPr>
          <w:b/>
          <w:color w:val="808080"/>
        </w:rPr>
        <w:t>[</w:t>
      </w:r>
      <w:r>
        <w:rPr/>
        <w:t>und</w:t>
      </w:r>
      <w:r>
        <w:rPr>
          <w:b/>
          <w:color w:val="808080"/>
        </w:rPr>
        <w:t>]</w:t>
      </w:r>
      <w:r>
        <w:rPr/>
        <w:t xml:space="preserve"> </w:t>
      </w:r>
      <w:r>
        <w:rPr>
          <w:strike/>
          <w:color w:val="808080"/>
        </w:rPr>
        <w:t>{der}</w:t>
      </w:r>
      <w:r>
        <w:rPr/>
        <w:t xml:space="preserve"> Petrus sagte zu </w:t>
      </w:r>
      <w:r>
        <w:rPr>
          <w:strike/>
          <w:color w:val="808080"/>
        </w:rPr>
        <w:t>{dem}</w:t>
      </w:r>
      <w:r>
        <w:rPr/>
        <w:t xml:space="preserve"> Jesus: Meister, es ist gut, dass wir hier sind, und wir werden drei Hütten </w:t>
      </w:r>
      <w:r>
        <w:rPr>
          <w:color w:val="808080"/>
        </w:rPr>
        <w:t>(Zelte)</w:t>
      </w:r>
      <w:r>
        <w:rPr/>
        <w:t xml:space="preserve"> machen </w:t>
      </w:r>
      <w:r>
        <w:rPr>
          <w:color w:val="808080"/>
        </w:rPr>
        <w:t>(bauen, aufschlagen)</w:t>
      </w:r>
      <w:r>
        <w:rPr/>
        <w:t xml:space="preserve">, eine </w:t>
      </w:r>
      <w:r>
        <w:rPr>
          <w:color w:val="808080"/>
        </w:rPr>
        <w:t>(eines)</w:t>
      </w:r>
      <w:r>
        <w:rPr/>
        <w:t xml:space="preserve"> für dich und eine </w:t>
      </w:r>
      <w:r>
        <w:rPr>
          <w:color w:val="808080"/>
        </w:rPr>
        <w:t>(eines)</w:t>
      </w:r>
      <w:r>
        <w:rPr/>
        <w:t xml:space="preserve"> für Moses und eine </w:t>
      </w:r>
      <w:r>
        <w:rPr>
          <w:color w:val="808080"/>
        </w:rPr>
        <w:t>(eines)</w:t>
      </w:r>
      <w:r>
        <w:rPr/>
        <w:t xml:space="preserve"> für Elias.{{field-off:bible}} </w:t>
        <w:br/>
        <w:t>[[@BibleTOBIBLE:Lk 9:34]]</w:t>
      </w:r>
      <w:r>
        <w:rPr>
          <w:b/>
        </w:rPr>
        <w:t>34</w:t>
      </w:r>
      <w:r>
        <w:rPr/>
        <w:t xml:space="preserve"> {{field-on:bible}}Während er aber dies </w:t>
      </w:r>
      <w:r>
        <w:rPr>
          <w:color w:val="808080"/>
        </w:rPr>
        <w:t>(diese Dinge)</w:t>
      </w:r>
      <w:r>
        <w:rPr/>
        <w:t xml:space="preserve"> sagte, kam </w:t>
      </w:r>
      <w:r>
        <w:rPr>
          <w:color w:val="808080"/>
        </w:rPr>
        <w:t>(entstand, wurde)</w:t>
      </w:r>
      <w:r>
        <w:rPr/>
        <w:t xml:space="preserve"> eine Wolke und überschattete sie. Sie fürchteten sich aber, als sie in die Wolke hineinkamen.{{field-off:bible}} </w:t>
        <w:br/>
        <w:t>[[@BibleTOBIBLE:Lk 9:35]]</w:t>
      </w:r>
      <w:r>
        <w:rPr>
          <w:b/>
        </w:rPr>
        <w:t>35</w:t>
      </w:r>
      <w:r>
        <w:rPr/>
        <w:t xml:space="preserve"> {{field-on:bible}}Und eine Stimme kam </w:t>
      </w:r>
      <w:r>
        <w:rPr>
          <w:color w:val="808080"/>
        </w:rPr>
        <w:t>(entstand, wurde)</w:t>
      </w:r>
      <w:r>
        <w:rPr/>
        <w:t xml:space="preserve"> aus der Wolke, die sagte: Dieser ist mein Sohn, der auserwählte, hört auf ihn.{{field-off:bible}} </w:t>
        <w:br/>
        <w:t>[[@BibleTOBIBLE:Lk 9:36]]</w:t>
      </w:r>
      <w:r>
        <w:rPr>
          <w:b/>
        </w:rPr>
        <w:t>36</w:t>
      </w:r>
      <w:r>
        <w:rPr/>
        <w:t xml:space="preserve"> {{field-on:bible}}Und als die Stimme kam, wurde Jesus allein gefunden. Und sie schwiegen und berichteten niemanden in jenen Tagen </w:t>
      </w:r>
      <w:r>
        <w:rPr>
          <w:strike/>
          <w:color w:val="808080"/>
        </w:rPr>
        <w:t>{nichts}</w:t>
      </w:r>
      <w:r>
        <w:rPr/>
        <w:t xml:space="preserve"> von dem, was sie gesehen hatten.{{field-off:bible}}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10:17]]</w:t>
      </w:r>
      <w:r>
        <w:rPr>
          <w:b/>
        </w:rPr>
        <w:t>17</w:t>
      </w:r>
      <w:r>
        <w:rPr/>
        <w:t xml:space="preserve"> {{field-on:bible}}Die 70 </w:t>
      </w:r>
      <w:r>
        <w:rPr>
          <w:b/>
          <w:color w:val="808080"/>
        </w:rPr>
        <w:t>[</w:t>
      </w:r>
      <w:r>
        <w:rPr/>
        <w:t>Jünger</w:t>
      </w:r>
      <w:r>
        <w:rPr>
          <w:b/>
          <w:color w:val="808080"/>
        </w:rPr>
        <w:t>]</w:t>
      </w:r>
      <w:r>
        <w:rPr/>
        <w:t xml:space="preserve"> aber kehrten zurück, und</w:t>
      </w:r>
      <w:r>
        <w:rPr>
          <w:rStyle w:val="Funotenanker"/>
        </w:rPr>
        <w:footnoteReference w:customMarkFollows="1" w:id="4769"/>
        <w:t>a</w:t>
      </w:r>
      <w:r>
        <w:rPr/>
        <w:t xml:space="preserve"> zwei </w:t>
      </w:r>
      <w:r>
        <w:rPr>
          <w:b/>
          <w:color w:val="808080"/>
        </w:rPr>
        <w:t>[</w:t>
      </w:r>
      <w:r>
        <w:rPr/>
        <w:t>von ihnen</w:t>
      </w:r>
      <w:r>
        <w:rPr>
          <w:b/>
          <w:color w:val="808080"/>
        </w:rPr>
        <w:t>]</w:t>
      </w:r>
      <w:r>
        <w:rPr/>
        <w:t xml:space="preserve"> </w:t>
      </w:r>
      <w:r>
        <w:rPr>
          <w:rStyle w:val="Funotenanker"/>
        </w:rPr>
        <w:footnoteReference w:customMarkFollows="1" w:id="4770"/>
        <w:t>b</w:t>
      </w:r>
      <w:r>
        <w:rPr/>
        <w:t xml:space="preserve"> riefen </w:t>
      </w:r>
      <w:r>
        <w:rPr>
          <w:color w:val="808080"/>
        </w:rPr>
        <w:t>(sprachen)</w:t>
      </w:r>
      <w:r>
        <w:rPr/>
        <w:t xml:space="preserve"> mit Freuden: Herr, auch </w:t>
      </w:r>
      <w:r>
        <w:rPr>
          <w:color w:val="808080"/>
        </w:rPr>
        <w:t>(sogar)</w:t>
      </w:r>
      <w:r>
        <w:rPr/>
        <w:t xml:space="preserve"> die Dämonen</w:t>
      </w:r>
      <w:r>
        <w:rPr>
          <w:rStyle w:val="Funotenanker"/>
        </w:rPr>
        <w:footnoteReference w:customMarkFollows="1" w:id="4771"/>
        <w:t>c</w:t>
      </w:r>
      <w:r>
        <w:rPr/>
        <w:t xml:space="preserve"> gehorchen </w:t>
      </w:r>
      <w:r>
        <w:rPr>
          <w:color w:val="808080"/>
        </w:rPr>
        <w:t>(unterwerfen sich, ordnen sich unter)</w:t>
      </w:r>
      <w:r>
        <w:rPr/>
        <w:t xml:space="preserve"> </w:t>
      </w:r>
      <w:r>
        <w:rPr>
          <w:rStyle w:val="Funotenanker"/>
        </w:rPr>
        <w:footnoteReference w:customMarkFollows="1" w:id="4772"/>
        <w:t>d</w:t>
      </w:r>
      <w:r>
        <w:rPr/>
        <w:t xml:space="preserve"> uns in deinem Namen!{{field-off:bible}} </w:t>
        <w:br/>
        <w:t>[[@BibleTOBIBLE:Lk 10:18]]</w:t>
      </w:r>
      <w:r>
        <w:rPr>
          <w:b/>
        </w:rPr>
        <w:t>18</w:t>
      </w:r>
      <w:r>
        <w:rPr/>
        <w:t xml:space="preserve"> {{field-on:bible}}Sprach er </w:t>
      </w:r>
      <w:r>
        <w:rPr>
          <w:strike/>
          <w:color w:val="808080"/>
        </w:rPr>
        <w:t>{aber}</w:t>
      </w:r>
      <w:r>
        <w:rPr/>
        <w:t xml:space="preserve"> zu ihnen: Ich sah den Satan</w:t>
      </w:r>
      <w:r>
        <w:rPr>
          <w:rStyle w:val="Funotenanker"/>
        </w:rPr>
        <w:footnoteReference w:customMarkFollows="1" w:id="4773"/>
        <w:t>e</w:t>
      </w:r>
      <w:r>
        <w:rPr/>
        <w:t xml:space="preserve"> wie einen Blitz</w:t>
      </w:r>
      <w:r>
        <w:rPr>
          <w:rStyle w:val="Funotenanker"/>
        </w:rPr>
        <w:footnoteReference w:customMarkFollows="1" w:id="4774"/>
        <w:t>f</w:t>
      </w:r>
      <w:r>
        <w:rPr/>
        <w:t xml:space="preserve"> aus dem Himmel fallen.{{field-off:bible}} </w:t>
        <w:br/>
        <w:t>[[@BibleTOBIBLE:Lk 10:19]]</w:t>
      </w:r>
      <w:r>
        <w:rPr>
          <w:b/>
        </w:rPr>
        <w:t>19</w:t>
      </w:r>
      <w:r>
        <w:rPr/>
        <w:t xml:space="preserve"> {{field-on:bible}}Siehe, ich habe euch die </w:t>
      </w:r>
      <w:r>
        <w:rPr>
          <w:color w:val="808080"/>
        </w:rPr>
        <w:t>(Voll)</w:t>
      </w:r>
      <w:r>
        <w:rPr/>
        <w:t xml:space="preserve">Macht </w:t>
      </w:r>
      <w:r>
        <w:rPr>
          <w:color w:val="808080"/>
        </w:rPr>
        <w:t>(Freiheit, Fähigkeit, Befugnis, Amtsgewalt)</w:t>
      </w:r>
      <w:r>
        <w:rPr/>
        <w:t xml:space="preserve"> gegeben, auf Schlangen und Skorpione zu treten </w:t>
      </w:r>
      <w:r>
        <w:rPr>
          <w:color w:val="808080"/>
        </w:rPr>
        <w:t>(gehen, wandeln)</w:t>
      </w:r>
      <w:r>
        <w:rPr/>
        <w:t xml:space="preserve">, und über alle Macht </w:t>
      </w:r>
      <w:r>
        <w:rPr>
          <w:color w:val="808080"/>
        </w:rPr>
        <w:t>(Fähigkeit)</w:t>
      </w:r>
      <w:r>
        <w:rPr/>
        <w:t xml:space="preserve"> des Feindes, und niemand wird euch </w:t>
      </w:r>
      <w:r>
        <w:rPr>
          <w:color w:val="808080"/>
        </w:rPr>
        <w:t>(be)</w:t>
      </w:r>
      <w:r>
        <w:rPr/>
        <w:t xml:space="preserve">schädigen </w:t>
      </w:r>
      <w:r>
        <w:rPr>
          <w:color w:val="808080"/>
        </w:rPr>
        <w:t>(verderben)</w:t>
      </w:r>
      <w:r>
        <w:rPr/>
        <w:t xml:space="preserve">.{{field-off:bible}} </w:t>
        <w:br/>
        <w:t>[[@BibleTOBIBLE:Lk 10:20]]</w:t>
      </w:r>
      <w:r>
        <w:rPr>
          <w:b/>
        </w:rPr>
        <w:t>20</w:t>
      </w:r>
      <w:r>
        <w:rPr/>
        <w:t xml:space="preserve"> {{field-on:bible}}Jedoch </w:t>
      </w:r>
      <w:r>
        <w:rPr>
          <w:color w:val="808080"/>
        </w:rPr>
        <w:t>(indessen)</w:t>
      </w:r>
      <w:r>
        <w:rPr/>
        <w:t xml:space="preserve"> freut euch nicht darüber, dass euch die Geistwesen gehorchen </w:t>
      </w:r>
      <w:r>
        <w:rPr>
          <w:color w:val="808080"/>
        </w:rPr>
        <w:t>(sich unterwerfen, sich unterordnen)</w:t>
      </w:r>
      <w:r>
        <w:rPr/>
        <w:t>; freut euch aber, dass eure Namen im Himmel</w:t>
      </w:r>
      <w:r>
        <w:rPr>
          <w:rStyle w:val="Funotenanker"/>
        </w:rPr>
        <w:footnoteReference w:customMarkFollows="1" w:id="4775"/>
        <w:t>g</w:t>
      </w:r>
      <w:r>
        <w:rPr/>
        <w:t xml:space="preserve"> aufgeschrieben sind!{{field-off:bible}} </w:t>
        <w:br/>
        <w:t>[[@BibleTOBIBLE:Lk 10:25]]</w:t>
      </w:r>
      <w:r>
        <w:rPr>
          <w:b/>
        </w:rPr>
        <w:t>25</w:t>
      </w:r>
      <w:r>
        <w:rPr/>
        <w:t xml:space="preserve"> {{field-on:bible}}Und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4776"/>
        <w:t>h</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11:14]]</w:t>
      </w:r>
      <w:r>
        <w:rPr>
          <w:b/>
        </w:rPr>
        <w:t>14</w:t>
      </w:r>
      <w:r>
        <w:rPr/>
        <w:t xml:space="preserve"> {{field-on:bible}}Und er trieb einen taubstummen </w:t>
      </w:r>
      <w:r>
        <w:rPr>
          <w:rStyle w:val="Funotenanker"/>
        </w:rPr>
        <w:footnoteReference w:customMarkFollows="1" w:id="4777"/>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4778"/>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12:35]]</w:t>
      </w:r>
      <w:r>
        <w:rPr>
          <w:b/>
        </w:rPr>
        <w:t>35</w:t>
      </w:r>
      <w:r>
        <w:rPr/>
        <w:t xml:space="preserve"> {{field-on:bible}}Eure Hüfte</w:t>
      </w:r>
      <w:r>
        <w:rPr>
          <w:rStyle w:val="Funotenanker"/>
        </w:rPr>
        <w:footnoteReference w:customMarkFollows="1" w:id="4779"/>
        <w:t>a</w:t>
      </w:r>
      <w:r>
        <w:rPr/>
        <w:t xml:space="preserve"> sei umgürtet</w:t>
      </w:r>
      <w:r>
        <w:rPr>
          <w:rStyle w:val="Funotenanker"/>
        </w:rPr>
        <w:footnoteReference w:customMarkFollows="1" w:id="4780"/>
        <w:t>b</w:t>
      </w:r>
      <w:r>
        <w:rPr/>
        <w:t xml:space="preserve"> und eure Lampen seien brennend</w:t>
      </w:r>
      <w:r>
        <w:rPr>
          <w:rStyle w:val="Funotenanker"/>
        </w:rPr>
        <w:footnoteReference w:customMarkFollows="1" w:id="4781"/>
        <w:t>c</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w:t>
      </w:r>
      <w:r>
        <w:rPr>
          <w:rStyle w:val="Funotenanker"/>
        </w:rPr>
        <w:footnoteReference w:customMarkFollows="1" w:id="4782"/>
        <w:t>d</w:t>
      </w:r>
      <w:r>
        <w:rPr/>
        <w:t xml:space="preserve"> Leute </w:t>
      </w:r>
      <w:r>
        <w:rPr>
          <w:color w:val="808080"/>
        </w:rPr>
        <w:t>(Menschen)</w:t>
      </w:r>
      <w:r>
        <w:rPr/>
        <w:t xml:space="preserve">, die ihren Herrn erwarten </w:t>
      </w:r>
      <w:r>
        <w:rPr>
          <w:color w:val="808080"/>
        </w:rPr>
        <w:t>(auf ihn warten)</w:t>
      </w:r>
      <w:r>
        <w:rPr/>
        <w:t xml:space="preserve">, wann er von der </w:t>
      </w:r>
      <w:r>
        <w:rPr>
          <w:color w:val="808080"/>
        </w:rPr>
        <w:t>(einem)</w:t>
      </w:r>
      <w:r>
        <w:rPr/>
        <w:t xml:space="preserve"> Hochzeit </w:t>
      </w:r>
      <w:r>
        <w:rPr>
          <w:color w:val="808080"/>
        </w:rPr>
        <w:t>(Fest)</w:t>
      </w:r>
      <w:r>
        <w:rPr/>
        <w:t xml:space="preserve"> zurückkehrt </w:t>
      </w:r>
      <w:r>
        <w:rPr>
          <w:color w:val="808080"/>
        </w:rPr>
        <w:t>(zurück kommt)</w:t>
      </w:r>
      <w:r>
        <w:rPr/>
        <w:t xml:space="preserve"> , damit, wenn</w:t>
      </w:r>
      <w:r>
        <w:rPr>
          <w:rStyle w:val="Funotenanker"/>
        </w:rPr>
        <w:footnoteReference w:customMarkFollows="1" w:id="4783"/>
        <w:t>e</w:t>
      </w:r>
      <w:r>
        <w:rPr/>
        <w:t xml:space="preserve"> er kommt und klopft, sie ihm sofort </w:t>
      </w:r>
      <w:r>
        <w:rPr>
          <w:b/>
          <w:color w:val="808080"/>
        </w:rPr>
        <w:t>[</w:t>
      </w:r>
      <w:r>
        <w:rPr/>
        <w:t>die Tür</w:t>
      </w:r>
      <w:r>
        <w:rPr>
          <w:b/>
          <w:color w:val="808080"/>
        </w:rPr>
        <w:t>]</w:t>
      </w:r>
      <w:r>
        <w:rPr/>
        <w:t xml:space="preserve"> öffnen </w:t>
      </w:r>
      <w:r>
        <w:rPr>
          <w:b/>
          <w:color w:val="808080"/>
        </w:rPr>
        <w:t>[</w:t>
      </w:r>
      <w:r>
        <w:rPr/>
        <w:t>können</w:t>
      </w:r>
      <w:r>
        <w:rPr>
          <w:b/>
          <w:color w:val="808080"/>
        </w:rPr>
        <w:t>]</w:t>
      </w:r>
      <w:r>
        <w:rPr/>
        <w:t xml:space="preserve">.{{field-off:bible}} </w:t>
        <w:br/>
        <w:t>[[@BibleTOBIBLE:Lk 12:37]]</w:t>
      </w:r>
      <w:r>
        <w:rPr>
          <w:b/>
        </w:rPr>
        <w:t>37</w:t>
      </w:r>
      <w:r>
        <w:rPr/>
        <w:t xml:space="preserve"> {{field-on:bible}}Glücklich </w:t>
      </w:r>
      <w:r>
        <w:rPr>
          <w:b/>
          <w:color w:val="808080"/>
        </w:rPr>
        <w:t>[</w:t>
      </w:r>
      <w:r>
        <w:rPr/>
        <w:t>sind</w:t>
      </w:r>
      <w:r>
        <w:rPr>
          <w:b/>
          <w:color w:val="808080"/>
        </w:rPr>
        <w:t>]</w:t>
      </w:r>
      <w:r>
        <w:rPr/>
        <w:t xml:space="preserve"> jene Sklaven </w:t>
      </w:r>
      <w:r>
        <w:rPr>
          <w:color w:val="808080"/>
        </w:rPr>
        <w:t>(Knechte, Diener)</w:t>
      </w:r>
      <w:r>
        <w:rPr/>
        <w:t xml:space="preserve">, die der Herr wachend </w:t>
      </w:r>
      <w:r>
        <w:rPr>
          <w:color w:val="808080"/>
        </w:rPr>
        <w:t>(wach, wachsam)</w:t>
      </w:r>
      <w:r>
        <w:rPr/>
        <w:t xml:space="preserve"> </w:t>
      </w:r>
      <w:r>
        <w:rPr>
          <w:rStyle w:val="Funotenanker"/>
        </w:rPr>
        <w:footnoteReference w:customMarkFollows="1" w:id="4784"/>
        <w:t>f</w:t>
      </w:r>
      <w:r>
        <w:rPr/>
        <w:t xml:space="preserve"> findet</w:t>
      </w:r>
      <w:r>
        <w:rPr>
          <w:rStyle w:val="Funotenanker"/>
        </w:rPr>
        <w:footnoteReference w:customMarkFollows="1" w:id="4785"/>
        <w:t>g</w:t>
      </w:r>
      <w:r>
        <w:rPr/>
        <w:t>, wenn er kommt</w:t>
      </w:r>
      <w:r>
        <w:rPr>
          <w:rStyle w:val="Funotenanker"/>
        </w:rPr>
        <w:footnoteReference w:customMarkFollows="1" w:id="4786"/>
        <w:t>h</w:t>
      </w:r>
      <w:r>
        <w:rPr/>
        <w:t>. Amen</w:t>
      </w:r>
      <w:r>
        <w:rPr>
          <w:rStyle w:val="Funotenanker"/>
        </w:rPr>
        <w:footnoteReference w:customMarkFollows="1" w:id="4787"/>
        <w:t>i</w:t>
      </w:r>
      <w:r>
        <w:rPr/>
        <w:t>, ich sage euch:</w:t>
      </w:r>
      <w:r>
        <w:rPr>
          <w:rStyle w:val="Funotenanker"/>
        </w:rPr>
        <w:footnoteReference w:customMarkFollows="1" w:id="4788"/>
        <w:t>j</w:t>
      </w:r>
      <w:r>
        <w:rPr/>
        <w:t xml:space="preserve"> Er wird sich umgürten</w:t>
      </w:r>
      <w:r>
        <w:rPr>
          <w:rStyle w:val="Funotenanker"/>
        </w:rPr>
        <w:footnoteReference w:customMarkFollows="1" w:id="4789"/>
        <w:t>k</w:t>
      </w:r>
      <w:r>
        <w:rPr/>
        <w:t xml:space="preserve"> und sie </w:t>
      </w:r>
      <w:r>
        <w:rPr>
          <w:b/>
          <w:color w:val="808080"/>
        </w:rPr>
        <w:t>[</w:t>
      </w:r>
      <w:r>
        <w:rPr/>
        <w:t>zu Tisch</w:t>
      </w:r>
      <w:r>
        <w:rPr>
          <w:b/>
          <w:color w:val="808080"/>
        </w:rPr>
        <w:t>]</w:t>
      </w:r>
      <w:r>
        <w:rPr/>
        <w:t xml:space="preserve"> hinlegen lassen</w:t>
      </w:r>
      <w:r>
        <w:rPr>
          <w:rStyle w:val="Funotenanker"/>
        </w:rPr>
        <w:footnoteReference w:customMarkFollows="1" w:id="4790"/>
        <w:t>l</w:t>
      </w:r>
      <w:r>
        <w:rPr/>
        <w:t xml:space="preserve"> und herbeikommen</w:t>
      </w:r>
      <w:r>
        <w:rPr>
          <w:rStyle w:val="Funotenanker"/>
        </w:rPr>
        <w:footnoteReference w:customMarkFollows="1" w:id="4791"/>
        <w:t>m</w:t>
      </w:r>
      <w:r>
        <w:rPr/>
        <w:t xml:space="preserve"> und ihnen dienen.{{field-off:bible}} </w:t>
        <w:br/>
        <w:t>[[@BibleTOBIBLE:Lk 12:38]]</w:t>
      </w:r>
      <w:r>
        <w:rPr>
          <w:b/>
        </w:rPr>
        <w:t>38</w:t>
      </w:r>
      <w:r>
        <w:rPr/>
        <w:t xml:space="preserve"> {{field-on:bible}}Und wenn</w:t>
      </w:r>
      <w:r>
        <w:rPr>
          <w:rStyle w:val="Funotenanker"/>
        </w:rPr>
        <w:footnoteReference w:customMarkFollows="1" w:id="4792"/>
        <w:t>n</w:t>
      </w:r>
      <w:r>
        <w:rPr/>
        <w:t xml:space="preserve"> er in der zweiten oder</w:t>
      </w:r>
      <w:r>
        <w:rPr>
          <w:rStyle w:val="Funotenanker"/>
        </w:rPr>
        <w:footnoteReference w:customMarkFollows="1" w:id="4793"/>
        <w:t>o</w:t>
      </w:r>
      <w:r>
        <w:rPr/>
        <w:t xml:space="preserve"> in der dritten Nachtwache</w:t>
      </w:r>
      <w:r>
        <w:rPr>
          <w:rStyle w:val="Funotenanker"/>
        </w:rPr>
        <w:footnoteReference w:customMarkFollows="1" w:id="4794"/>
        <w:t>p</w:t>
      </w:r>
      <w:r>
        <w:rPr/>
        <w:t xml:space="preserve"> kommen und </w:t>
      </w:r>
      <w:r>
        <w:rPr>
          <w:b/>
          <w:color w:val="808080"/>
        </w:rPr>
        <w:t>[</w:t>
      </w:r>
      <w:r>
        <w:rPr/>
        <w:t>sie</w:t>
      </w:r>
      <w:r>
        <w:rPr>
          <w:b/>
          <w:color w:val="808080"/>
        </w:rPr>
        <w:t>]</w:t>
      </w:r>
      <w:r>
        <w:rPr/>
        <w:t xml:space="preserve"> so</w:t>
      </w:r>
      <w:r>
        <w:rPr>
          <w:rStyle w:val="Funotenanker"/>
        </w:rPr>
        <w:footnoteReference w:customMarkFollows="1" w:id="4795"/>
        <w:t>q</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4796"/>
        <w:t>r</w:t>
      </w:r>
      <w:r>
        <w:rPr/>
        <w:t xml:space="preserve"> Hätte</w:t>
      </w:r>
      <w:r>
        <w:rPr>
          <w:rStyle w:val="Funotenanker"/>
        </w:rPr>
        <w:footnoteReference w:customMarkFollows="1" w:id="4797"/>
        <w:t>s</w:t>
      </w:r>
      <w:r>
        <w:rPr/>
        <w:t xml:space="preserve"> der Hausherr gewusst, zu welcher Stunde der Dieb kommt, hätte er den Einbruch</w:t>
      </w:r>
      <w:r>
        <w:rPr>
          <w:rStyle w:val="Funotenanker"/>
        </w:rPr>
        <w:footnoteReference w:customMarkFollows="1" w:id="4798"/>
        <w:t>t</w:t>
      </w:r>
      <w:r>
        <w:rPr/>
        <w:t xml:space="preserve"> in sein Haus verhindert</w:t>
      </w:r>
      <w:r>
        <w:rPr>
          <w:rStyle w:val="Funotenanker"/>
        </w:rPr>
        <w:footnoteReference w:customMarkFollows="1" w:id="4799"/>
        <w:t>u</w:t>
      </w:r>
      <w:r>
        <w:rPr/>
        <w:t xml:space="preserve"> {{field-off:bible}} </w:t>
        <w:br/>
        <w:t>[[@BibleTOBIBLE:Lk 12:40]]</w:t>
      </w:r>
      <w:r>
        <w:rPr>
          <w:b/>
        </w:rPr>
        <w:t>40</w:t>
      </w:r>
      <w:r>
        <w:rPr/>
        <w:t xml:space="preserve"> {{field-on:bible}}Auch ihr macht euch</w:t>
      </w:r>
      <w:r>
        <w:rPr>
          <w:rStyle w:val="Funotenanker"/>
        </w:rPr>
        <w:footnoteReference w:customMarkFollows="1" w:id="4800"/>
        <w:t>v</w:t>
      </w:r>
      <w:r>
        <w:rPr/>
        <w:t xml:space="preserve"> bereit</w:t>
      </w:r>
      <w:r>
        <w:rPr>
          <w:rStyle w:val="Funotenanker"/>
        </w:rPr>
        <w:footnoteReference w:customMarkFollows="1" w:id="4801"/>
        <w:t>w</w:t>
      </w:r>
      <w:r>
        <w:rPr/>
        <w:t>, denn zu einer Stunde, zu der ihr es nicht denkt</w:t>
      </w:r>
      <w:r>
        <w:rPr>
          <w:rStyle w:val="Funotenanker"/>
        </w:rPr>
        <w:footnoteReference w:customMarkFollows="1" w:id="4802"/>
        <w:t>x</w:t>
      </w:r>
      <w:r>
        <w:rPr/>
        <w:t xml:space="preserve"> </w:t>
      </w:r>
      <w:r>
        <w:rPr>
          <w:color w:val="808080"/>
        </w:rPr>
        <w:t>(meint)</w:t>
      </w:r>
      <w:r>
        <w:rPr/>
        <w:t xml:space="preserve">, kommt der Menschensohn.{{field-off:bible}} </w:t>
      </w:r>
    </w:p>
    <w:p>
      <w:pPr>
        <w:pStyle w:val="Berschrift3"/>
        <w:rPr/>
      </w:pPr>
      <w:r>
        <w:rPr/>
        <w:t>[[@BibleTOBIBLE:Lk 13]]Kapitel 13</w:t>
      </w:r>
    </w:p>
    <w:p>
      <w:pPr>
        <w:pStyle w:val="Textkrper"/>
        <w:rPr/>
      </w:pPr>
      <w:r>
        <w:rPr/>
        <w:br/>
        <w:t>[[@BibleTOBIBLE:Lk 13:1]]</w:t>
      </w:r>
      <w:r>
        <w:rPr>
          <w:b/>
        </w:rPr>
        <w:t>1</w:t>
      </w:r>
      <w:r>
        <w:rPr/>
        <w:t xml:space="preserve"> {{field-on:bible}} </w:t>
      </w:r>
      <w:r>
        <w:rPr>
          <w:b/>
          <w:color w:val="808080"/>
        </w:rPr>
        <w:t>[</w:t>
      </w:r>
      <w:r>
        <w:rPr/>
        <w:t>Es</w:t>
      </w:r>
      <w:r>
        <w:rPr>
          <w:b/>
          <w:color w:val="808080"/>
        </w:rPr>
        <w:t>]</w:t>
      </w:r>
      <w:r>
        <w:rPr/>
        <w:t xml:space="preserve"> waren aber einige zum </w:t>
      </w:r>
      <w:r>
        <w:rPr>
          <w:color w:val="808080"/>
        </w:rPr>
        <w:t>(im)</w:t>
      </w:r>
      <w:r>
        <w:rPr/>
        <w:t xml:space="preserve"> gleichen Zeitpunkt anwesend </w:t>
      </w:r>
      <w:r>
        <w:rPr>
          <w:color w:val="808080"/>
        </w:rPr>
        <w:t>(kamen aber einige zum gleichen Zeitpunkt)</w:t>
      </w:r>
      <w:r>
        <w:rPr/>
        <w:t xml:space="preserve">, die ihm über die Galiläer berichteten, deren Blut Pilatus mit ihren Opfern gemischt hatte.{{field-off:bible}} </w:t>
        <w:br/>
        <w:t>[[@BibleTOBIBLE:Lk 13:2]]</w:t>
      </w:r>
      <w:r>
        <w:rPr>
          <w:b/>
        </w:rPr>
        <w:t>2</w:t>
      </w:r>
      <w:r>
        <w:rPr/>
        <w:t xml:space="preserve"> {{field-on:bible}}Und er antwortete und sagte ihnen: Meint ihr, dass diese Galiläer größere Sünder </w:t>
      </w:r>
      <w:r>
        <w:rPr>
          <w:color w:val="808080"/>
        </w:rPr>
        <w:t>(sündiger)</w:t>
      </w:r>
      <w:r>
        <w:rPr/>
        <w:t xml:space="preserve"> waren als alle anderen Galiläer </w:t>
      </w:r>
      <w:r>
        <w:rPr>
          <w:color w:val="808080"/>
        </w:rPr>
        <w:t>(Sünder waren vor allen den Galiläern)</w:t>
      </w:r>
      <w:r>
        <w:rPr/>
        <w:t xml:space="preserve">, weil sie dies </w:t>
      </w:r>
      <w:r>
        <w:rPr>
          <w:color w:val="808080"/>
        </w:rPr>
        <w:t>(diese Dinge)</w:t>
      </w:r>
      <w:r>
        <w:rPr/>
        <w:t xml:space="preserve"> erlitten haben?{{field-off:bible}} </w:t>
        <w:br/>
        <w:t>[[@BibleTOBIBLE:Lk 13:3]]</w:t>
      </w:r>
      <w:r>
        <w:rPr>
          <w:b/>
        </w:rPr>
        <w:t>3</w:t>
      </w:r>
      <w:r>
        <w:rPr/>
        <w:t xml:space="preserve"> {{field-on:bible}}Nein, sage ich euch; aber wenn ihr nicht umkehrt </w:t>
      </w:r>
      <w:r>
        <w:rPr>
          <w:color w:val="808080"/>
        </w:rPr>
        <w:t>(bereut, euren Sinn ändert)</w:t>
      </w:r>
      <w:r>
        <w:rPr/>
        <w:t xml:space="preserve">, werdet ihr alle gleicherweise zugrunde gehen </w:t>
      </w:r>
      <w:r>
        <w:rPr>
          <w:color w:val="808080"/>
        </w:rPr>
        <w:t>(umkommen)</w:t>
      </w:r>
      <w:r>
        <w:rPr/>
        <w:t xml:space="preserve">.{{field-off:bible}} </w:t>
        <w:br/>
        <w:t>[[@BibleTOBIBLE:Lk 13:4]]</w:t>
      </w:r>
      <w:r>
        <w:rPr>
          <w:b/>
        </w:rPr>
        <w:t>4</w:t>
      </w:r>
      <w:r>
        <w:rPr/>
        <w:t xml:space="preserve"> {{field-on:bible}}Oder jene achtzehn, auf die der Turm in Schiloach fiel und sie tötete, meint ihr, dass sie schuldiger waren, als alle die Menschen </w:t>
      </w:r>
      <w:r>
        <w:rPr>
          <w:color w:val="808080"/>
        </w:rPr>
        <w:t>(vor allen den Menschen)</w:t>
      </w:r>
      <w:r>
        <w:rPr/>
        <w:t xml:space="preserve">, die Jerusalem bewohnen?{{field-off:bible}} </w:t>
        <w:br/>
        <w:t>[[@BibleTOBIBLE:Lk 13:5]]</w:t>
      </w:r>
      <w:r>
        <w:rPr>
          <w:b/>
        </w:rPr>
        <w:t>5</w:t>
      </w:r>
      <w:r>
        <w:rPr/>
        <w:t xml:space="preserve"> {{field-on:bible}}Nein, sage ich euch; aber wenn ihr nicht umkehrt </w:t>
      </w:r>
      <w:r>
        <w:rPr>
          <w:color w:val="808080"/>
        </w:rPr>
        <w:t>(bereut, euren Sinn ändert)</w:t>
      </w:r>
      <w:r>
        <w:rPr/>
        <w:t xml:space="preserve">, werdet ihr alle ebenso zugrunde gehen </w:t>
      </w:r>
      <w:r>
        <w:rPr>
          <w:color w:val="808080"/>
        </w:rPr>
        <w:t>(umkommen)</w:t>
      </w:r>
      <w:r>
        <w:rPr/>
        <w:t xml:space="preserve">.{{field-off:bible}} </w:t>
        <w:br/>
        <w:t>[[@BibleTOBIBLE:Lk 13:6]]</w:t>
      </w:r>
      <w:r>
        <w:rPr>
          <w:b/>
        </w:rPr>
        <w:t>6</w:t>
      </w:r>
      <w:r>
        <w:rPr/>
        <w:t xml:space="preserve"> {{field-on:bible}}Er sagte </w:t>
      </w:r>
      <w:r>
        <w:rPr>
          <w:color w:val="808080"/>
        </w:rPr>
        <w:t>(erzählte)</w:t>
      </w:r>
      <w:r>
        <w:rPr/>
        <w:t xml:space="preserve"> aber dieses Gleichnis: Einen Feigenbaum hatte einer in seinem Weinberg gepflanzt </w:t>
      </w:r>
      <w:r>
        <w:rPr>
          <w:color w:val="808080"/>
        </w:rPr>
        <w:t>(der in seinem Weinberg gepflanzt war, pflanzen lassen)</w:t>
      </w:r>
      <w:r>
        <w:rPr/>
        <w:t xml:space="preserve">, und er kam um Frucht an </w:t>
      </w:r>
      <w:r>
        <w:rPr>
          <w:color w:val="808080"/>
        </w:rPr>
        <w:t>(in)</w:t>
      </w:r>
      <w:r>
        <w:rPr/>
        <w:t xml:space="preserve"> ihm zu suchen und er fand keine </w:t>
      </w:r>
      <w:r>
        <w:rPr>
          <w:color w:val="808080"/>
        </w:rPr>
        <w:t>(nicht fand er)</w:t>
      </w:r>
      <w:r>
        <w:rPr/>
        <w:t xml:space="preserve">.{{field-off:bible}} </w:t>
        <w:br/>
        <w:t>[[@BibleTOBIBLE:Lk 13:7]]</w:t>
      </w:r>
      <w:r>
        <w:rPr>
          <w:b/>
        </w:rPr>
        <w:t>7</w:t>
      </w:r>
      <w:r>
        <w:rPr/>
        <w:t xml:space="preserve"> {{field-on:bible}}Er sagte aber zum Winzer: Sieh, drei Jahre schon </w:t>
      </w:r>
      <w:r>
        <w:rPr>
          <w:color w:val="808080"/>
        </w:rPr>
        <w:t>(</w:t>
      </w:r>
      <w:r>
        <w:rPr>
          <w:b/>
          <w:color w:val="808080"/>
        </w:rPr>
        <w:t>[</w:t>
      </w:r>
      <w:r>
        <w:rPr>
          <w:color w:val="808080"/>
        </w:rPr>
        <w:t>sind es</w:t>
      </w:r>
      <w:r>
        <w:rPr>
          <w:b/>
          <w:color w:val="808080"/>
        </w:rPr>
        <w:t>]</w:t>
      </w:r>
      <w:r>
        <w:rPr>
          <w:color w:val="808080"/>
        </w:rPr>
        <w:t xml:space="preserve"> von wann </w:t>
      </w:r>
      <w:r>
        <w:rPr>
          <w:b/>
          <w:color w:val="808080"/>
        </w:rPr>
        <w:t>[</w:t>
      </w:r>
      <w:r>
        <w:rPr>
          <w:color w:val="808080"/>
        </w:rPr>
        <w:t>an</w:t>
      </w:r>
      <w:r>
        <w:rPr>
          <w:b/>
          <w:color w:val="808080"/>
        </w:rPr>
        <w:t>]</w:t>
      </w:r>
      <w:r>
        <w:rPr>
          <w:color w:val="808080"/>
        </w:rPr>
        <w:t xml:space="preserve"> ich)</w:t>
      </w:r>
      <w:r>
        <w:rPr/>
        <w:t xml:space="preserve"> komme ich, um Frucht an </w:t>
      </w:r>
      <w:r>
        <w:rPr>
          <w:color w:val="808080"/>
        </w:rPr>
        <w:t>(in)</w:t>
      </w:r>
      <w:r>
        <w:rPr/>
        <w:t xml:space="preserve"> diesem Feigenbaum zu finden, und ich finde keine </w:t>
      </w:r>
      <w:r>
        <w:rPr>
          <w:color w:val="808080"/>
        </w:rPr>
        <w:t>(nicht finde ich)</w:t>
      </w:r>
      <w:r>
        <w:rPr/>
        <w:t>. Hau ihn also</w:t>
      </w:r>
      <w:r>
        <w:rPr>
          <w:rStyle w:val="Funotenanker"/>
        </w:rPr>
        <w:footnoteReference w:customMarkFollows="1" w:id="4803"/>
        <w:t>a</w:t>
      </w:r>
      <w:r>
        <w:rPr/>
        <w:t xml:space="preserve"> um, wozu entkräftet er auch die Erde </w:t>
      </w:r>
      <w:r>
        <w:rPr>
          <w:color w:val="808080"/>
        </w:rPr>
        <w:t>(saugt er auch die Erde aus)</w:t>
      </w:r>
      <w:r>
        <w:rPr/>
        <w:t xml:space="preserve">?{{field-off:bible}} </w:t>
        <w:br/>
        <w:t>[[@BibleTOBIBLE:Lk 13:8]]</w:t>
      </w:r>
      <w:r>
        <w:rPr>
          <w:b/>
        </w:rPr>
        <w:t>8</w:t>
      </w:r>
      <w:r>
        <w:rPr/>
        <w:t xml:space="preserve"> {{field-on:bible}}Der aber antwortet und sagt ihm: Herr, lass ihn auch </w:t>
      </w:r>
      <w:r>
        <w:rPr>
          <w:color w:val="808080"/>
        </w:rPr>
        <w:t>(noch)</w:t>
      </w:r>
      <w:r>
        <w:rPr/>
        <w:t xml:space="preserve"> dieses Jahr, bis ich um ihn grabe </w:t>
      </w:r>
      <w:r>
        <w:rPr>
          <w:color w:val="808080"/>
        </w:rPr>
        <w:t>(umgrabe)</w:t>
      </w:r>
      <w:r>
        <w:rPr/>
        <w:t xml:space="preserve"> und Mist werfe;{{field-off:bible}} </w:t>
        <w:br/>
        <w:t>[[@BibleTOBIBLE:Lk 13:9]]</w:t>
      </w:r>
      <w:r>
        <w:rPr>
          <w:b/>
        </w:rPr>
        <w:t>9</w:t>
      </w:r>
      <w:r>
        <w:rPr/>
        <w:t xml:space="preserve"> {{field-on:bible}}und wenn er Frucht bringt </w:t>
      </w:r>
      <w:r>
        <w:rPr>
          <w:color w:val="808080"/>
        </w:rPr>
        <w:t>(tut)</w:t>
      </w:r>
      <w:r>
        <w:rPr/>
        <w:t xml:space="preserve"> in Zukunft </w:t>
      </w:r>
      <w:r>
        <w:rPr>
          <w:b/>
          <w:color w:val="808080"/>
        </w:rPr>
        <w:t>[</w:t>
      </w:r>
      <w:r>
        <w:rPr/>
        <w:t>ist es gut</w:t>
      </w:r>
      <w:r>
        <w:rPr>
          <w:b/>
          <w:color w:val="808080"/>
        </w:rPr>
        <w:t>]</w:t>
      </w:r>
      <w:r>
        <w:rPr/>
        <w:t xml:space="preserve"> – wenn aber nicht, wirst </w:t>
      </w:r>
      <w:r>
        <w:rPr>
          <w:color w:val="808080"/>
        </w:rPr>
        <w:t>(kannst, magst)</w:t>
      </w:r>
      <w:r>
        <w:rPr/>
        <w:t xml:space="preserve"> Du ihn umhauen.{{field-off:bible}} </w:t>
      </w:r>
    </w:p>
    <w:p>
      <w:pPr>
        <w:pStyle w:val="Berschrift3"/>
        <w:rPr/>
      </w:pPr>
      <w:r>
        <w:rPr/>
        <w:t>[[@BibleTOBIBLE:Lk 14]]Kapitel 14</w:t>
      </w:r>
    </w:p>
    <w:p>
      <w:pPr>
        <w:pStyle w:val="Textkrper"/>
        <w:rPr/>
      </w:pPr>
      <w:r>
        <w:rPr/>
        <w:br/>
        <w:t>[[@BibleTOBIBLE:Lk 14:16]]</w:t>
      </w:r>
      <w:r>
        <w:rPr>
          <w:b/>
        </w:rPr>
        <w:t>16</w:t>
      </w:r>
      <w:r>
        <w:rPr/>
        <w:t xml:space="preserve"> {{field-on:bible}}Er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4804"/>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4805"/>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{{field-on:bible}}Ein </w:t>
      </w:r>
      <w:r>
        <w:rPr>
          <w:color w:val="808080"/>
        </w:rPr>
        <w:t>(irgendein)</w:t>
      </w:r>
      <w:r>
        <w:rPr/>
        <w:t xml:space="preserve"> </w:t>
      </w:r>
      <w:r>
        <w:rPr>
          <w:rStyle w:val="Funotenanker"/>
        </w:rPr>
        <w:footnoteReference w:customMarkFollows="1" w:id="4806"/>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17]]Kapitel 17</w:t>
      </w:r>
    </w:p>
    <w:p>
      <w:pPr>
        <w:pStyle w:val="Textkrper"/>
        <w:rPr/>
      </w:pPr>
      <w:r>
        <w:rPr/>
        <w:br/>
        <w:t>[[@BibleTOBIBLE:Lk 17:11]]</w:t>
      </w:r>
      <w:r>
        <w:rPr>
          <w:b/>
        </w:rPr>
        <w:t>11</w:t>
      </w:r>
      <w:r>
        <w:rPr/>
        <w:t xml:space="preserve"> {{field-on:bible}}Und es begab sich</w:t>
      </w:r>
      <w:r>
        <w:rPr>
          <w:rStyle w:val="Funotenanker"/>
        </w:rPr>
        <w:footnoteReference w:customMarkFollows="1" w:id="4807"/>
        <w:t>a</w:t>
      </w:r>
      <w:r>
        <w:rPr/>
        <w:t>, während</w:t>
      </w:r>
      <w:r>
        <w:rPr>
          <w:rStyle w:val="Funotenanker"/>
        </w:rPr>
        <w:footnoteReference w:customMarkFollows="1" w:id="4808"/>
        <w:t>b</w:t>
      </w:r>
      <w:r>
        <w:rPr/>
        <w:t xml:space="preserve"> er</w:t>
      </w:r>
      <w:r>
        <w:rPr>
          <w:rStyle w:val="Funotenanker"/>
        </w:rPr>
        <w:footnoteReference w:customMarkFollows="1" w:id="4809"/>
        <w:t>c</w:t>
      </w:r>
      <w:r>
        <w:rPr/>
        <w:t xml:space="preserve"> nach Jerusalem wanderte, da ging er mitten durch</w:t>
      </w:r>
      <w:r>
        <w:rPr>
          <w:rStyle w:val="Funotenanker"/>
        </w:rPr>
        <w:footnoteReference w:customMarkFollows="1" w:id="4810"/>
        <w:t>d</w:t>
      </w:r>
      <w:r>
        <w:rPr/>
        <w:t xml:space="preserve"> Samarien und Galiläa.{{field-off:bible}} </w:t>
        <w:br/>
        <w:t>[[@BibleTOBIBLE:Lk 17:12]]</w:t>
      </w:r>
      <w:r>
        <w:rPr>
          <w:b/>
        </w:rPr>
        <w:t>12</w:t>
      </w:r>
      <w:r>
        <w:rPr/>
        <w:t xml:space="preserve"> {{field-on:bible}}Und als</w:t>
      </w:r>
      <w:r>
        <w:rPr>
          <w:rStyle w:val="Funotenanker"/>
        </w:rPr>
        <w:footnoteReference w:customMarkFollows="1" w:id="4811"/>
        <w:t>e</w:t>
      </w:r>
      <w:r>
        <w:rPr/>
        <w:t xml:space="preserve"> er in ein Dorf kam, begegneten ihm zehn lepröse </w:t>
      </w:r>
      <w:r>
        <w:rPr>
          <w:color w:val="808080"/>
        </w:rPr>
        <w:t>(aussätzige)</w:t>
      </w:r>
      <w:r>
        <w:rPr/>
        <w:t xml:space="preserve"> Männer, die blieben in der Ferne stehen</w:t>
      </w:r>
      <w:r>
        <w:rPr>
          <w:rStyle w:val="Funotenanker"/>
        </w:rPr>
        <w:footnoteReference w:customMarkFollows="1" w:id="4812"/>
        <w:t>f</w:t>
      </w:r>
      <w:r>
        <w:rPr/>
        <w:t xml:space="preserve"> {{field-off:bible}} </w:t>
        <w:br/>
        <w:t>[[@BibleTOBIBLE:Lk 17:13]]</w:t>
      </w:r>
      <w:r>
        <w:rPr>
          <w:b/>
        </w:rPr>
        <w:t>13</w:t>
      </w:r>
      <w:r>
        <w:rPr/>
        <w:t xml:space="preserve"> {{field-on:bible}}und </w:t>
      </w:r>
      <w:r>
        <w:rPr>
          <w:strike/>
          <w:color w:val="808080"/>
        </w:rPr>
        <w:t>{sie}</w:t>
      </w:r>
      <w:r>
        <w:rPr/>
        <w:t xml:space="preserve"> </w:t>
      </w:r>
      <w:r>
        <w:rPr>
          <w:color w:val="808080"/>
        </w:rPr>
        <w:t>(erhoben ihre Stimme =)</w:t>
      </w:r>
      <w:r>
        <w:rPr/>
        <w:t xml:space="preserve"> riefen laut </w:t>
      </w:r>
      <w:r>
        <w:rPr>
          <w:strike/>
          <w:color w:val="808080"/>
        </w:rPr>
        <w:t>{und sprachen}</w:t>
      </w:r>
      <w:r>
        <w:rPr/>
        <w:t xml:space="preserve">: Jesus, Meister, erbarme dich unser!{{field-off:bible}} </w:t>
        <w:br/>
        <w:t>[[@BibleTOBIBLE:Lk 17:14]]</w:t>
      </w:r>
      <w:r>
        <w:rPr>
          <w:b/>
        </w:rPr>
        <w:t>14</w:t>
      </w:r>
      <w:r>
        <w:rPr/>
        <w:t xml:space="preserve"> {{field-on:bible}}Und als er sie sah, sprach er zu ihnen: Geht, zeigt euch den Priestern! Und es begab sich, als</w:t>
      </w:r>
      <w:r>
        <w:rPr>
          <w:rStyle w:val="Funotenanker"/>
        </w:rPr>
        <w:footnoteReference w:customMarkFollows="1" w:id="4813"/>
        <w:t>g</w:t>
      </w:r>
      <w:r>
        <w:rPr/>
        <w:t xml:space="preserve"> sie weggingen, da wurden sie </w:t>
      </w:r>
      <w:r>
        <w:rPr>
          <w:color w:val="808080"/>
        </w:rPr>
        <w:t>(gereinigt, geheilt =)</w:t>
      </w:r>
      <w:r>
        <w:rPr/>
        <w:t xml:space="preserve"> rein </w:t>
      </w:r>
      <w:r>
        <w:rPr>
          <w:color w:val="808080"/>
        </w:rPr>
        <w:t>(heil)</w:t>
      </w:r>
      <w:r>
        <w:rPr/>
        <w:t xml:space="preserve">.{{field-off:bible}} </w:t>
        <w:br/>
        <w:t>[[@BibleTOBIBLE:Lk 17:15]]</w:t>
      </w:r>
      <w:r>
        <w:rPr>
          <w:b/>
        </w:rPr>
        <w:t>15</w:t>
      </w:r>
      <w:r>
        <w:rPr/>
        <w:t xml:space="preserve"> {{field-on:bible}}Einer aber von ihnen, als</w:t>
      </w:r>
      <w:r>
        <w:rPr>
          <w:rStyle w:val="Funotenanker"/>
        </w:rPr>
        <w:footnoteReference w:customMarkFollows="1" w:id="4814"/>
        <w:t>h</w:t>
      </w:r>
      <w:r>
        <w:rPr/>
        <w:t xml:space="preserve"> er sah, dass er geheilt war, kehrte um und</w:t>
      </w:r>
      <w:r>
        <w:rPr>
          <w:rStyle w:val="Funotenanker"/>
        </w:rPr>
        <w:footnoteReference w:customMarkFollows="1" w:id="4815"/>
        <w:t>i</w:t>
      </w:r>
      <w:r>
        <w:rPr/>
        <w:t xml:space="preserve"> lobte Gott mit </w:t>
      </w:r>
      <w:r>
        <w:rPr>
          <w:color w:val="808080"/>
        </w:rPr>
        <w:t>(gewaltiger Stimme =)</w:t>
      </w:r>
      <w:r>
        <w:rPr/>
        <w:t xml:space="preserve"> lautem Schreien,{{field-off:bible}} </w:t>
        <w:br/>
        <w:t>[[@BibleTOBIBLE:Lk 17:16]]</w:t>
      </w:r>
      <w:r>
        <w:rPr>
          <w:b/>
        </w:rPr>
        <w:t>16</w:t>
      </w:r>
      <w:r>
        <w:rPr/>
        <w:t xml:space="preserve"> {{field-on:bible}}und fiel auf sein Angesicht bei seinen Füßen nieder und </w:t>
      </w:r>
      <w:r>
        <w:rPr>
          <w:rStyle w:val="Funotenanker"/>
        </w:rPr>
        <w:footnoteReference w:customMarkFollows="1" w:id="4816"/>
        <w:t>j</w:t>
      </w:r>
      <w:r>
        <w:rPr/>
        <w:t xml:space="preserve"> dankte ihm; und</w:t>
      </w:r>
      <w:r>
        <w:rPr>
          <w:rStyle w:val="Funotenanker"/>
        </w:rPr>
        <w:footnoteReference w:customMarkFollows="1" w:id="4817"/>
        <w:t>k</w:t>
      </w:r>
      <w:r>
        <w:rPr/>
        <w:t xml:space="preserve"> dieser </w:t>
      </w:r>
      <w:r>
        <w:rPr>
          <w:color w:val="808080"/>
        </w:rPr>
        <w:t>(er)</w:t>
      </w:r>
      <w:r>
        <w:rPr/>
        <w:t xml:space="preserve"> war ein Samaritaner.{{field-off:bible}} </w:t>
        <w:br/>
        <w:t>[[@BibleTOBIBLE:Lk 17:17]]</w:t>
      </w:r>
      <w:r>
        <w:rPr>
          <w:b/>
        </w:rPr>
        <w:t>17</w:t>
      </w:r>
      <w:r>
        <w:rPr/>
        <w:t xml:space="preserve"> {{field-on:bible}}Da </w:t>
      </w:r>
      <w:r>
        <w:rPr>
          <w:strike/>
          <w:color w:val="808080"/>
        </w:rPr>
        <w:t>{antwortete aber und}</w:t>
      </w:r>
      <w:r>
        <w:rPr/>
        <w:t xml:space="preserve"> sprach</w:t>
      </w:r>
      <w:r>
        <w:rPr>
          <w:rStyle w:val="Funotenanker"/>
        </w:rPr>
        <w:footnoteReference w:customMarkFollows="1" w:id="4818"/>
        <w:t>l</w:t>
      </w:r>
      <w:r>
        <w:rPr/>
        <w:t xml:space="preserve"> Jesus: Wurden nicht Zehn </w:t>
      </w:r>
      <w:r>
        <w:rPr>
          <w:color w:val="808080"/>
        </w:rPr>
        <w:t>(gereinigt, geheilt =)</w:t>
      </w:r>
      <w:r>
        <w:rPr/>
        <w:t xml:space="preserve"> rein </w:t>
      </w:r>
      <w:r>
        <w:rPr>
          <w:color w:val="808080"/>
        </w:rPr>
        <w:t>(heil)</w:t>
      </w:r>
      <w:r>
        <w:rPr/>
        <w:t xml:space="preserve">? Aber die Neun </w:t>
      </w:r>
      <w:r>
        <w:rPr>
          <w:strike/>
          <w:color w:val="808080"/>
        </w:rPr>
        <w:t>{davon}</w:t>
      </w:r>
      <w:r>
        <w:rPr/>
        <w:t xml:space="preserve"> </w:t>
      </w:r>
      <w:r>
        <w:rPr>
          <w:rStyle w:val="Funotenanker"/>
        </w:rPr>
        <w:footnoteReference w:customMarkFollows="1" w:id="4819"/>
        <w:t>m</w:t>
      </w:r>
      <w:r>
        <w:rPr/>
        <w:t xml:space="preserve">, wo </w:t>
      </w:r>
      <w:r>
        <w:rPr>
          <w:b/>
          <w:color w:val="808080"/>
        </w:rPr>
        <w:t>[</w:t>
      </w:r>
      <w:r>
        <w:rPr/>
        <w:t>sind sie</w:t>
      </w:r>
      <w:r>
        <w:rPr>
          <w:b/>
          <w:color w:val="808080"/>
        </w:rPr>
        <w:t>]</w:t>
      </w:r>
      <w:r>
        <w:rPr/>
        <w:t>?</w:t>
      </w:r>
      <w:r>
        <w:rPr>
          <w:rStyle w:val="Funotenanker"/>
        </w:rPr>
        <w:footnoteReference w:customMarkFollows="1" w:id="4820"/>
        <w:t>n</w:t>
      </w:r>
      <w:r>
        <w:rPr/>
        <w:t xml:space="preserve"> {{field-off:bible}} </w:t>
        <w:br/>
        <w:t>[[@BibleTOBIBLE:Lk 17:18]]</w:t>
      </w:r>
      <w:r>
        <w:rPr>
          <w:b/>
        </w:rPr>
        <w:t>18</w:t>
      </w:r>
      <w:r>
        <w:rPr/>
        <w:t xml:space="preserve"> {{field-on:bible}} </w:t>
      </w:r>
      <w:r>
        <w:rPr>
          <w:color w:val="808080"/>
        </w:rPr>
        <w:t>(Erwiesen sie sich nicht als umkehrend =)</w:t>
      </w:r>
      <w:r>
        <w:rPr/>
        <w:t xml:space="preserve"> Sind sie nicht umgekehrt</w:t>
      </w:r>
      <w:r>
        <w:rPr>
          <w:rStyle w:val="Funotenanker"/>
        </w:rPr>
        <w:footnoteReference w:customMarkFollows="1" w:id="4821"/>
        <w:t>o</w:t>
      </w:r>
      <w:r>
        <w:rPr/>
        <w:t xml:space="preserve">, um Gott Ehre zu geben, </w:t>
      </w:r>
      <w:r>
        <w:rPr>
          <w:color w:val="808080"/>
        </w:rPr>
        <w:t>(außer =)</w:t>
      </w:r>
      <w:r>
        <w:rPr/>
        <w:t xml:space="preserve"> allein </w:t>
      </w:r>
      <w:r>
        <w:rPr>
          <w:color w:val="808080"/>
        </w:rPr>
        <w:t>(nur)</w:t>
      </w:r>
      <w:r>
        <w:rPr/>
        <w:t xml:space="preserve"> dieser Fremde </w:t>
      </w:r>
      <w:r>
        <w:rPr>
          <w:color w:val="808080"/>
        </w:rPr>
        <w:t>(Fremdling)</w:t>
      </w:r>
      <w:r>
        <w:rPr/>
        <w:t xml:space="preserve">?{{field-off:bible}} </w:t>
        <w:br/>
        <w:t>[[@BibleTOBIBLE:Lk 17:19]]</w:t>
      </w:r>
      <w:r>
        <w:rPr>
          <w:b/>
        </w:rPr>
        <w:t>19</w:t>
      </w:r>
      <w:r>
        <w:rPr/>
        <w:t xml:space="preserve"> {{field-on:bible}}Und er sprach zu ihm: Steh auf und</w:t>
      </w:r>
      <w:r>
        <w:rPr>
          <w:rStyle w:val="Funotenanker"/>
        </w:rPr>
        <w:footnoteReference w:customMarkFollows="1" w:id="4822"/>
        <w:t>p</w:t>
      </w:r>
      <w:r>
        <w:rPr/>
        <w:t xml:space="preserve"> geh! Dein Glaube hat dich gerettet.{{field-off:bible}} </w:t>
        <w:br/>
        <w:t>[[@BibleTOBIBLE:Lk 17:20]]</w:t>
      </w:r>
      <w:r>
        <w:rPr>
          <w:b/>
        </w:rPr>
        <w:t>20</w:t>
      </w:r>
      <w:r>
        <w:rPr/>
        <w:t xml:space="preserve"> {{field-on:bible}}Gefragt aber von den Pharisäern: „Wann kommt das Gottesreich </w:t>
      </w:r>
      <w:r>
        <w:rPr>
          <w:rStyle w:val="Funotenanker"/>
        </w:rPr>
        <w:footnoteReference w:customMarkFollows="1" w:id="4823"/>
        <w:t>q</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{{field-on:bible}}Denn wie der Blitz blitzend von einem Ende des Himmels zum anderen aufleuchtet, so wird der Menschensohn sein an seinem Tag.{{field-off:bible}} </w:t>
        <w:br/>
        <w:t>[[@BibleTOBIBLE:Lk 17:26]]</w:t>
      </w:r>
      <w:r>
        <w:rPr>
          <w:b/>
        </w:rPr>
        <w:t>26</w:t>
      </w:r>
      <w:r>
        <w:rPr/>
        <w:t xml:space="preserve"> {{field-on:bible}}Und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{{field-on:bible}}Gemäß dieser Weise ist der Tag wenn </w:t>
      </w:r>
      <w:r>
        <w:rPr>
          <w:color w:val="808080"/>
        </w:rPr>
        <w:t>(an dem)</w:t>
      </w:r>
      <w:r>
        <w:rPr/>
        <w:t xml:space="preserve"> der Menschensohn offenbar werden wird.{{field-off:bible}} </w:t>
        <w:br/>
        <w:t>[[@BibleTOBIBLE:Lk 17:33]]</w:t>
      </w:r>
      <w:r>
        <w:rPr>
          <w:b/>
        </w:rPr>
        <w:t>33</w:t>
      </w:r>
      <w:r>
        <w:rPr/>
        <w:t xml:space="preserve"> {{field-on:bible}}Wer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4824"/>
        <w:t>r</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{{field-on:bible}}Er sprach aber ein Gleichnis zu ihnen über die Notwenigkeit </w:t>
      </w:r>
      <w:r>
        <w:rPr>
          <w:rStyle w:val="Funotenanker"/>
        </w:rPr>
        <w:footnoteReference w:customMarkFollows="1" w:id="4825"/>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4826"/>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4827"/>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4828"/>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4829"/>
        <w:t>e</w:t>
      </w:r>
      <w:r>
        <w:rPr/>
        <w:t>, so will ich ihr Recht verschaffen</w:t>
      </w:r>
      <w:r>
        <w:rPr>
          <w:rStyle w:val="Funotenanker"/>
        </w:rPr>
        <w:footnoteReference w:customMarkFollows="1" w:id="4830"/>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4831"/>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4832"/>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4833"/>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4834"/>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4835"/>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4836"/>
        <w:t>l</w:t>
      </w:r>
      <w:r>
        <w:rPr/>
        <w:t xml:space="preserve"> {{field-off:bible}} </w:t>
        <w:br/>
        <w:t>[[@BibleTOBIBLE:Lk 18:14]]</w:t>
      </w:r>
      <w:r>
        <w:rPr>
          <w:b/>
        </w:rPr>
        <w:t>14</w:t>
      </w:r>
      <w:r>
        <w:rPr/>
        <w:t xml:space="preserve"> {{field-on:bible}}Ich sage euch: Dieser ging gerechtfertigt</w:t>
      </w:r>
      <w:r>
        <w:rPr>
          <w:rStyle w:val="Funotenanker"/>
        </w:rPr>
        <w:footnoteReference w:customMarkFollows="1" w:id="4837"/>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4838"/>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4839"/>
        <w:t>o</w:t>
      </w:r>
      <w:r>
        <w:rPr/>
        <w:t>, soll</w:t>
      </w:r>
      <w:r>
        <w:rPr>
          <w:rStyle w:val="Funotenanker"/>
        </w:rPr>
        <w:footnoteReference w:customMarkFollows="1" w:id="4840"/>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4841"/>
        <w:t>q</w:t>
      </w:r>
      <w:r>
        <w:rPr/>
        <w:t xml:space="preserve"> fragte ihn [Jesus]: „Guter Lehrer</w:t>
      </w:r>
      <w:r>
        <w:rPr>
          <w:rStyle w:val="Funotenanker"/>
        </w:rPr>
        <w:footnoteReference w:customMarkFollows="1" w:id="4842"/>
        <w:t>r</w:t>
      </w:r>
      <w:r>
        <w:rPr/>
        <w:t>, was muss ich machen</w:t>
      </w:r>
      <w:r>
        <w:rPr>
          <w:rStyle w:val="Funotenanker"/>
        </w:rPr>
        <w:footnoteReference w:customMarkFollows="1" w:id="4843"/>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4844"/>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4845"/>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4846"/>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4847"/>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4848"/>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4849"/>
        <w:t>y</w:t>
      </w:r>
      <w:r>
        <w:rPr/>
        <w:t xml:space="preserve">, aufgegeben </w:t>
      </w:r>
      <w:r>
        <w:rPr>
          <w:color w:val="808080"/>
        </w:rPr>
        <w:t>(verlassen)</w:t>
      </w:r>
      <w:r>
        <w:rPr/>
        <w:t xml:space="preserve"> und sind dir nachgefolgt!“{{field-off:bible}} </w:t>
        <w:br/>
        <w:t>[[@BibleTOBIBLE:Lk 18:29]]</w:t>
      </w:r>
      <w:r>
        <w:rPr>
          <w:b/>
        </w:rPr>
        <w:t>29</w:t>
      </w:r>
      <w:r>
        <w:rPr/>
        <w:t xml:space="preserve"> {{field-on:bible}}Aber [Jesus] sprach zu ihnen: „Amen, ich sage euch: Es gibt </w:t>
      </w:r>
      <w:r>
        <w:rPr>
          <w:color w:val="808080"/>
        </w:rPr>
        <w:t>(ist)</w:t>
      </w:r>
      <w:r>
        <w:rPr/>
        <w:t xml:space="preserve"> Niemanden, der Haus, Frau, Geschwister </w:t>
      </w:r>
      <w:r>
        <w:rPr>
          <w:rStyle w:val="Funotenanker"/>
        </w:rPr>
        <w:footnoteReference w:customMarkFollows="1" w:id="4850"/>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4851"/>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4852"/>
        <w:t>ab</w:t>
      </w:r>
      <w:r>
        <w:rPr/>
        <w:t xml:space="preserve">.“{{field-off:bible}} </w:t>
      </w:r>
    </w:p>
    <w:p>
      <w:pPr>
        <w:pStyle w:val="Berschrift3"/>
        <w:rPr/>
      </w:pPr>
      <w:r>
        <w:rPr/>
        <w:t>[[@BibleTOBIBLE:Lk 19]]Kapitel 19</w:t>
      </w:r>
    </w:p>
    <w:p>
      <w:pPr>
        <w:pStyle w:val="Textkrper"/>
        <w:rPr/>
      </w:pPr>
      <w:r>
        <w:rPr/>
        <w:br/>
        <w:t>[[@BibleTOBIBLE:Lk 19:41]]</w:t>
      </w:r>
      <w:r>
        <w:rPr>
          <w:b/>
        </w:rPr>
        <w:t>41</w:t>
      </w:r>
      <w:r>
        <w:rPr/>
        <w:t xml:space="preserve"> {{field-on:bible}}Und als er nahe kam </w:t>
      </w:r>
      <w:r>
        <w:rPr>
          <w:color w:val="808080"/>
        </w:rPr>
        <w:t>(sich näherte)</w:t>
      </w:r>
      <w:r>
        <w:rPr/>
        <w:t xml:space="preserve"> und</w:t>
      </w:r>
      <w:r>
        <w:rPr>
          <w:rStyle w:val="Funotenanker"/>
        </w:rPr>
        <w:footnoteReference w:customMarkFollows="1" w:id="4853"/>
        <w:t>a</w:t>
      </w:r>
      <w:r>
        <w:rPr/>
        <w:t xml:space="preserve"> die Stadt sah, weinte er über sie{{field-off:bible}} </w:t>
        <w:br/>
        <w:t>[[@BibleTOBIBLE:Lk 19:42]]</w:t>
      </w:r>
      <w:r>
        <w:rPr>
          <w:b/>
        </w:rPr>
        <w:t>42</w:t>
      </w:r>
      <w:r>
        <w:rPr/>
        <w:t xml:space="preserve"> {{field-on:bible}}und</w:t>
      </w:r>
      <w:r>
        <w:rPr>
          <w:rStyle w:val="Funotenanker"/>
        </w:rPr>
        <w:footnoteReference w:customMarkFollows="1" w:id="4854"/>
        <w:t>b</w:t>
      </w:r>
      <w:r>
        <w:rPr/>
        <w:t xml:space="preserve"> sprach:</w:t>
      </w:r>
      <w:r>
        <w:rPr>
          <w:rStyle w:val="Funotenanker"/>
        </w:rPr>
        <w:footnoteReference w:customMarkFollows="1" w:id="4855"/>
        <w:t>c</w:t>
      </w:r>
      <w:r>
        <w:rPr/>
        <w:t xml:space="preserve"> Wenn doch auch du an diesem Tag erkannt hättest, was dem Frieden dient</w:t>
      </w:r>
      <w:r>
        <w:rPr>
          <w:rStyle w:val="Funotenanker"/>
        </w:rPr>
        <w:footnoteReference w:customMarkFollows="1" w:id="4856"/>
        <w:t>d</w:t>
      </w:r>
      <w:r>
        <w:rPr/>
        <w:t xml:space="preserve">; nun aber ist es </w:t>
      </w:r>
      <w:r>
        <w:rPr>
          <w:color w:val="808080"/>
        </w:rPr>
        <w:t>(vor deinen Augen =)</w:t>
      </w:r>
      <w:r>
        <w:rPr/>
        <w:t xml:space="preserve"> </w:t>
      </w:r>
      <w:r>
        <w:rPr>
          <w:rStyle w:val="Funotenanker"/>
        </w:rPr>
        <w:footnoteReference w:customMarkFollows="1" w:id="4857"/>
        <w:t>e</w:t>
      </w:r>
      <w:r>
        <w:rPr/>
        <w:t xml:space="preserve"> vor dir verborgen.{{field-off:bible}} </w:t>
        <w:br/>
        <w:t>[[@BibleTOBIBLE:Lk 19:43]]</w:t>
      </w:r>
      <w:r>
        <w:rPr>
          <w:b/>
        </w:rPr>
        <w:t>43</w:t>
      </w:r>
      <w:r>
        <w:rPr/>
        <w:t xml:space="preserve"> {{field-on:bible}}Denn es werden Tage kommen über dich, dann </w:t>
      </w:r>
      <w:r>
        <w:rPr>
          <w:color w:val="808080"/>
        </w:rPr>
        <w:t>(dass)</w:t>
      </w:r>
      <w:r>
        <w:rPr/>
        <w:t xml:space="preserve"> </w:t>
      </w:r>
      <w:r>
        <w:rPr>
          <w:rStyle w:val="Funotenanker"/>
        </w:rPr>
        <w:footnoteReference w:customMarkFollows="1" w:id="4858"/>
        <w:t>f</w:t>
      </w:r>
      <w:r>
        <w:rPr/>
        <w:t xml:space="preserve"> werden deine Feinde einen </w:t>
      </w:r>
      <w:r>
        <w:rPr>
          <w:color w:val="808080"/>
        </w:rPr>
        <w:t>(Palisaden)</w:t>
      </w:r>
      <w:r>
        <w:rPr/>
        <w:t xml:space="preserve">Wall gegen dich aufwerfen und dich von allen Seiten umzingeln,{{field-off:bible}} </w:t>
        <w:br/>
        <w:t>[[@BibleTOBIBLE:Lk 19:44]]</w:t>
      </w:r>
      <w:r>
        <w:rPr>
          <w:b/>
        </w:rPr>
        <w:t>44</w:t>
      </w:r>
      <w:r>
        <w:rPr/>
        <w:t xml:space="preserve"> {{field-on:bible}}und sie werden dich dem Erdboden gleich machen und deine Kinder in dir </w:t>
      </w:r>
      <w:r>
        <w:rPr>
          <w:b/>
          <w:color w:val="808080"/>
        </w:rPr>
        <w:t>[</w:t>
      </w:r>
      <w:r>
        <w:rPr/>
        <w:t>zu Boden strecken</w:t>
      </w:r>
      <w:r>
        <w:rPr>
          <w:b/>
          <w:color w:val="808080"/>
        </w:rPr>
        <w:t>]</w:t>
      </w:r>
      <w:r>
        <w:rPr/>
        <w:t xml:space="preserve"> </w:t>
      </w:r>
      <w:r>
        <w:rPr>
          <w:rStyle w:val="Funotenanker"/>
        </w:rPr>
        <w:footnoteReference w:customMarkFollows="1" w:id="4859"/>
        <w:t>g</w:t>
      </w:r>
      <w:r>
        <w:rPr/>
        <w:t xml:space="preserve">, und sie werden keinen Stein auf dem andern lassen in dir, </w:t>
      </w:r>
      <w:r>
        <w:rPr>
          <w:color w:val="808080"/>
        </w:rPr>
        <w:t>(dafür, dass =)</w:t>
      </w:r>
      <w:r>
        <w:rPr/>
        <w:t xml:space="preserve"> weil du die Zeit </w:t>
      </w:r>
      <w:r>
        <w:rPr>
          <w:color w:val="808080"/>
        </w:rPr>
        <w:t>(den Zeitpunkt)</w:t>
      </w:r>
      <w:r>
        <w:rPr/>
        <w:t xml:space="preserve"> deiner Heimsuchung</w:t>
      </w:r>
      <w:r>
        <w:rPr>
          <w:rStyle w:val="Funotenanker"/>
        </w:rPr>
        <w:footnoteReference w:customMarkFollows="1" w:id="4860"/>
        <w:t>h</w:t>
      </w:r>
      <w:r>
        <w:rPr/>
        <w:t xml:space="preserve"> nicht erkannt hast.{{field-off:bible}} </w:t>
        <w:br/>
        <w:t>[[@BibleTOBIBLE:Lk 19:45]]</w:t>
      </w:r>
      <w:r>
        <w:rPr>
          <w:b/>
        </w:rPr>
        <w:t>45</w:t>
      </w:r>
      <w:r>
        <w:rPr/>
        <w:t xml:space="preserve"> {{field-on:bible}}Und als</w:t>
      </w:r>
      <w:r>
        <w:rPr>
          <w:rStyle w:val="Funotenanker"/>
        </w:rPr>
        <w:footnoteReference w:customMarkFollows="1" w:id="4861"/>
        <w:t>i</w:t>
      </w:r>
      <w:r>
        <w:rPr/>
        <w:t xml:space="preserve"> er in den Tempel hineinkam, fing er an, die Händler auszutreiben{{field-off:bible}} </w:t>
        <w:br/>
        <w:t>[[@BibleTOBIBLE:Lk 19:46]]</w:t>
      </w:r>
      <w:r>
        <w:rPr>
          <w:b/>
        </w:rPr>
        <w:t>46</w:t>
      </w:r>
      <w:r>
        <w:rPr/>
        <w:t xml:space="preserve"> {{field-on:bible}}und</w:t>
      </w:r>
      <w:r>
        <w:rPr>
          <w:rStyle w:val="Funotenanker"/>
        </w:rPr>
        <w:footnoteReference w:customMarkFollows="1" w:id="4862"/>
        <w:t>j</w:t>
      </w:r>
      <w:r>
        <w:rPr/>
        <w:t xml:space="preserve"> sprach: </w:t>
      </w:r>
      <w:r>
        <w:rPr>
          <w:b/>
          <w:color w:val="808080"/>
        </w:rPr>
        <w:t>[</w:t>
      </w:r>
      <w:r>
        <w:rPr/>
        <w:t>Es steht</w:t>
      </w:r>
      <w:r>
        <w:rPr>
          <w:b/>
          <w:color w:val="808080"/>
        </w:rPr>
        <w:t>]</w:t>
      </w:r>
      <w:r>
        <w:rPr/>
        <w:t xml:space="preserve"> geschrieben: </w:t>
        <w:br/>
      </w:r>
      <w:r>
        <w:rPr>
          <w:strike/>
          <w:color w:val="808080"/>
        </w:rPr>
        <w:t>{Und}</w:t>
      </w:r>
      <w:r>
        <w:rPr/>
        <w:t xml:space="preserve"> mein Haus soll sein Haus des Gebets, </w:t>
      </w:r>
      <w:r>
        <w:rPr>
          <w:color w:val="808080"/>
        </w:rPr>
        <w:t>(Jesaja 56,7)</w:t>
      </w:r>
      <w:r>
        <w:rPr/>
        <w:t xml:space="preserve"> </w:t>
        <w:br/>
        <w:t xml:space="preserve">ihr aber habt es zu einer Räuberhöhle gemacht.{{field-off:bible}} </w:t>
        <w:br/>
        <w:t>[[@BibleTOBIBLE:Lk 19:47]]</w:t>
      </w:r>
      <w:r>
        <w:rPr>
          <w:b/>
        </w:rPr>
        <w:t>47</w:t>
      </w:r>
      <w:r>
        <w:rPr/>
        <w:t xml:space="preserve"> {{field-on:bible}}Und er lehrte</w:t>
      </w:r>
      <w:r>
        <w:rPr>
          <w:rStyle w:val="Funotenanker"/>
        </w:rPr>
        <w:footnoteReference w:customMarkFollows="1" w:id="4863"/>
        <w:t>k</w:t>
      </w:r>
      <w:r>
        <w:rPr/>
        <w:t xml:space="preserve"> täglich im Tempel. Die Hohenpriester aber und die Schriftgelehrten suchten, ihn zu töten </w:t>
      </w:r>
      <w:r>
        <w:rPr>
          <w:color w:val="808080"/>
        </w:rPr>
        <w:t>(töten zu lassen)</w:t>
      </w:r>
      <w:r>
        <w:rPr/>
        <w:t xml:space="preserve">, und die Vornehmsten </w:t>
      </w:r>
      <w:r>
        <w:rPr>
          <w:color w:val="808080"/>
        </w:rPr>
        <w:t>(Angesehensten)</w:t>
      </w:r>
      <w:r>
        <w:rPr/>
        <w:t xml:space="preserve"> des Volkes,{{field-off:bible}} </w:t>
        <w:br/>
        <w:t>[[@BibleTOBIBLE:Lk 19:48]]</w:t>
      </w:r>
      <w:r>
        <w:rPr>
          <w:b/>
        </w:rPr>
        <w:t>48</w:t>
      </w:r>
      <w:r>
        <w:rPr/>
        <w:t xml:space="preserve"> {{field-on:bible}}und sie fanden nicht, wie sie es </w:t>
      </w:r>
      <w:r>
        <w:rPr>
          <w:color w:val="808080"/>
        </w:rPr>
        <w:t>(machen =)</w:t>
      </w:r>
      <w:r>
        <w:rPr/>
        <w:t xml:space="preserve"> anstellen sollten, denn das ganze Volk hing an seinen Lippen</w:t>
      </w:r>
      <w:r>
        <w:rPr>
          <w:rStyle w:val="Funotenanker"/>
        </w:rPr>
        <w:footnoteReference w:customMarkFollows="1" w:id="4864"/>
        <w:t>l</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{{field-on:bible}}Und es geschah an einem der Tage, als [Jesus] das Volk im Tempel belehrte und das Evangelium verkündigte</w:t>
      </w:r>
      <w:r>
        <w:rPr>
          <w:rStyle w:val="Funotenanker"/>
        </w:rPr>
        <w:footnoteReference w:customMarkFollows="1" w:id="4865"/>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4866"/>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4867"/>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4868"/>
        <w:t>d</w:t>
      </w:r>
      <w:r>
        <w:rPr/>
        <w:t xml:space="preserve"> euch eine Frage</w:t>
      </w:r>
      <w:r>
        <w:rPr>
          <w:rStyle w:val="Funotenanker"/>
        </w:rPr>
        <w:footnoteReference w:customMarkFollows="1" w:id="4869"/>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4870"/>
        <w:t>f</w:t>
      </w:r>
      <w:r>
        <w:rPr/>
        <w:t xml:space="preserve"> und </w:t>
      </w:r>
      <w:r>
        <w:rPr>
          <w:color w:val="808080"/>
        </w:rPr>
        <w:t>(wobei/indem sie)</w:t>
      </w:r>
      <w:r>
        <w:rPr/>
        <w:t xml:space="preserve"> </w:t>
      </w:r>
      <w:r>
        <w:rPr>
          <w:rStyle w:val="Funotenanker"/>
        </w:rPr>
        <w:footnoteReference w:customMarkFollows="1" w:id="4871"/>
        <w:t>g</w:t>
      </w:r>
      <w:r>
        <w:rPr/>
        <w:t xml:space="preserve"> sprachen</w:t>
      </w:r>
      <w:r>
        <w:rPr>
          <w:rStyle w:val="Funotenanker"/>
        </w:rPr>
        <w:footnoteReference w:customMarkFollows="1" w:id="4872"/>
        <w:t>h</w:t>
      </w:r>
      <w:r>
        <w:rPr/>
        <w:t>: Wenn</w:t>
      </w:r>
      <w:r>
        <w:rPr>
          <w:rStyle w:val="Funotenanker"/>
        </w:rPr>
        <w:footnoteReference w:customMarkFollows="1" w:id="4873"/>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4874"/>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21:20]]</w:t>
      </w:r>
      <w:r>
        <w:rPr>
          <w:b/>
        </w:rPr>
        <w:t>20</w:t>
      </w:r>
      <w:r>
        <w:rPr/>
        <w:t xml:space="preserve"> {{field-on:bible}}Wenn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4875"/>
        <w:t>a</w:t>
      </w:r>
      <w:r>
        <w:rPr/>
        <w:t xml:space="preserve"> fortgehen, und die auf dem Land nicht in die Stadt gehen</w:t>
      </w:r>
      <w:r>
        <w:rPr>
          <w:rStyle w:val="Funotenanker"/>
        </w:rPr>
        <w:footnoteReference w:customMarkFollows="1" w:id="4876"/>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23:33]]</w:t>
      </w:r>
      <w:r>
        <w:rPr>
          <w:b/>
        </w:rPr>
        <w:t>33</w:t>
      </w:r>
      <w:r>
        <w:rPr/>
        <w:t xml:space="preserve"> {{field-on:bible}}Und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4877"/>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4878"/>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4879"/>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4880"/>
        <w:t>d</w:t>
      </w:r>
      <w:r>
        <w:rPr/>
        <w:t>, herrschte ihn an</w:t>
      </w:r>
      <w:r>
        <w:rPr>
          <w:rStyle w:val="Funotenanker"/>
        </w:rPr>
        <w:footnoteReference w:customMarkFollows="1" w:id="4881"/>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4882"/>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4883"/>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4884"/>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24:36]]</w:t>
      </w:r>
      <w:r>
        <w:rPr>
          <w:b/>
        </w:rPr>
        <w:t>36</w:t>
      </w:r>
      <w:r>
        <w:rPr/>
        <w:t xml:space="preserve"> {{field-on:bible}}Während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4885"/>
        <w:t>a</w:t>
      </w:r>
      <w:r>
        <w:rPr/>
        <w:t xml:space="preserve"> und warum steigen Bedenken </w:t>
      </w:r>
      <w:r>
        <w:rPr>
          <w:color w:val="808080"/>
        </w:rPr>
        <w:t>(Zweifel, Gedanken)</w:t>
      </w:r>
      <w:r>
        <w:rPr/>
        <w:t xml:space="preserve"> in eurem Herzen</w:t>
      </w:r>
      <w:r>
        <w:rPr>
          <w:rStyle w:val="Funotenanker"/>
        </w:rPr>
        <w:footnoteReference w:customMarkFollows="1" w:id="4886"/>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4887"/>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4888"/>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4889"/>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4890"/>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4891"/>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4892"/>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4893"/>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4894"/>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4895"/>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4896"/>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4897"/>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br/>
        <w:t>[[@BibleTOBIBLE:Jn 1:19]]</w:t>
      </w:r>
      <w:r>
        <w:rPr>
          <w:b/>
        </w:rPr>
        <w:t>19</w:t>
      </w:r>
      <w:r>
        <w:rPr/>
        <w:t xml:space="preserve"> {{field-on:bible}}Und dieses ist das Zeugnis des Johannes, als die Juden aus Jerusalem Priester und Leviten </w:t>
      </w:r>
      <w:r>
        <w:rPr>
          <w:color w:val="808080"/>
        </w:rPr>
        <w:t>(zu ihm)</w:t>
      </w:r>
      <w:r>
        <w:rPr/>
        <w:t xml:space="preserve"> </w:t>
      </w:r>
      <w:r>
        <w:rPr>
          <w:rStyle w:val="Funotenanker"/>
        </w:rPr>
        <w:footnoteReference w:customMarkFollows="1" w:id="4898"/>
        <w:t>j</w:t>
      </w:r>
      <w:r>
        <w:rPr/>
        <w:t xml:space="preserve"> die sandten, damit sie ihn fragen: „Du, wer bist Du?“{{field-off:bible}} </w:t>
        <w:br/>
        <w:t>[[@BibleTOBIBLE:Jn 1:20]]</w:t>
      </w:r>
      <w:r>
        <w:rPr>
          <w:b/>
        </w:rPr>
        <w:t>20</w:t>
      </w:r>
      <w:r>
        <w:rPr/>
        <w:t xml:space="preserve"> {{field-on:bible}}Und er bekannte und leugnete nicht, und bekannte </w:t>
      </w:r>
      <w:r>
        <w:rPr>
          <w:strike/>
          <w:color w:val="808080"/>
        </w:rPr>
        <w:t>{daß}</w:t>
      </w:r>
      <w:r>
        <w:rPr/>
        <w:t xml:space="preserve">: „Ich bin nicht der Christus.“{{field-off:bible}} </w:t>
        <w:br/>
        <w:t>[[@BibleTOBIBLE:Jn 1:21]]</w:t>
      </w:r>
      <w:r>
        <w:rPr>
          <w:b/>
        </w:rPr>
        <w:t>21</w:t>
      </w:r>
      <w:r>
        <w:rPr/>
        <w:t xml:space="preserve"> {{field-on:bible}}Und sie fragten ihn: „Was also? Bist Du Elija?“ Und er sagt: „</w:t>
      </w:r>
      <w:r>
        <w:rPr>
          <w:b/>
          <w:color w:val="808080"/>
        </w:rPr>
        <w:t>[</w:t>
      </w:r>
      <w:r>
        <w:rPr/>
        <w:t>Der</w:t>
      </w:r>
      <w:r>
        <w:rPr>
          <w:b/>
          <w:color w:val="808080"/>
        </w:rPr>
        <w:t>]</w:t>
      </w:r>
      <w:r>
        <w:rPr/>
        <w:t xml:space="preserve"> bin ich nicht.“ „Bist Du der Prophet?“ Und er antwortete: „Nein.“{{field-off:bible}} </w:t>
        <w:br/>
        <w:t>[[@BibleTOBIBLE:Jn 1:22]]</w:t>
      </w:r>
      <w:r>
        <w:rPr>
          <w:b/>
        </w:rPr>
        <w:t>22</w:t>
      </w:r>
      <w:r>
        <w:rPr/>
        <w:t xml:space="preserve"> {{field-on:bible}}Sie sagten ihm also: „Wer bist Du? Damit wir Antwort geben denen, die uns gesandt haben. Was sagst Du über Dich selbst?“{{field-off:bible}} </w:t>
        <w:br/>
        <w:t>[[@BibleTOBIBLE:Jn 1:23]]</w:t>
      </w:r>
      <w:r>
        <w:rPr>
          <w:b/>
        </w:rPr>
        <w:t>23</w:t>
      </w:r>
      <w:r>
        <w:rPr/>
        <w:t xml:space="preserve"> {{field-on:bible}}Er sagte: „Ich bin eine Stimme, die in der Wüste </w:t>
      </w:r>
      <w:r>
        <w:rPr>
          <w:color w:val="808080"/>
        </w:rPr>
        <w:t>(Einöde)</w:t>
      </w:r>
      <w:r>
        <w:rPr/>
        <w:t xml:space="preserve"> ruft: 'Macht gerade den Weg des Herrn', wie Jesaja der Prophet sagte.“{{field-off:bible}} </w:t>
        <w:br/>
        <w:t>[[@BibleTOBIBLE:Jn 1:24]]</w:t>
      </w:r>
      <w:r>
        <w:rPr>
          <w:b/>
        </w:rPr>
        <w:t>24</w:t>
      </w:r>
      <w:r>
        <w:rPr/>
        <w:t xml:space="preserve"> {{field-on:bible}}Und </w:t>
      </w:r>
      <w:r>
        <w:rPr>
          <w:b/>
          <w:color w:val="808080"/>
        </w:rPr>
        <w:t>[</w:t>
      </w:r>
      <w:r>
        <w:rPr/>
        <w:t>einige</w:t>
      </w:r>
      <w:r>
        <w:rPr>
          <w:b/>
          <w:color w:val="808080"/>
        </w:rPr>
        <w:t>]</w:t>
      </w:r>
      <w:r>
        <w:rPr/>
        <w:t xml:space="preserve"> Abgesandte waren aus </w:t>
      </w:r>
      <w:r>
        <w:rPr>
          <w:color w:val="808080"/>
        </w:rPr>
        <w:t>(von)</w:t>
      </w:r>
      <w:r>
        <w:rPr/>
        <w:t xml:space="preserve"> den Pharisäern.{{field-off:bible}} </w:t>
        <w:br/>
        <w:t>[[@BibleTOBIBLE:Jn 1:25]]</w:t>
      </w:r>
      <w:r>
        <w:rPr>
          <w:b/>
        </w:rPr>
        <w:t>25</w:t>
      </w:r>
      <w:r>
        <w:rPr/>
        <w:t xml:space="preserve"> {{field-on:bible}}Und sie fragten ihn und sagten ihm: „Was also taufst Du, wenn Du nicht der Christus bist, und nicht Elija und nicht der Prophet?“{{field-off:bible}} </w:t>
        <w:br/>
        <w:t>[[@BibleTOBIBLE:Jn 1:26]]</w:t>
      </w:r>
      <w:r>
        <w:rPr>
          <w:b/>
        </w:rPr>
        <w:t>26</w:t>
      </w:r>
      <w:r>
        <w:rPr/>
        <w:t xml:space="preserve"> {{field-on:bible}} </w:t>
      </w:r>
      <w:r>
        <w:rPr>
          <w:strike/>
          <w:color w:val="808080"/>
        </w:rPr>
        <w:t>{Der}</w:t>
      </w:r>
      <w:r>
        <w:rPr/>
        <w:t xml:space="preserve"> Johannes antwortet ihnen sagend: „Ich taufe mit </w:t>
      </w:r>
      <w:r>
        <w:rPr>
          <w:color w:val="808080"/>
        </w:rPr>
        <w:t>(in)</w:t>
      </w:r>
      <w:r>
        <w:rPr/>
        <w:t xml:space="preserve"> Wasser. Unter Euch steht </w:t>
      </w:r>
      <w:r>
        <w:rPr>
          <w:b/>
          <w:color w:val="808080"/>
        </w:rPr>
        <w:t>[</w:t>
      </w:r>
      <w:r>
        <w:rPr/>
        <w:t>der</w:t>
      </w:r>
      <w:r>
        <w:rPr>
          <w:b/>
          <w:color w:val="808080"/>
        </w:rPr>
        <w:t>]</w:t>
      </w:r>
      <w:r>
        <w:rPr/>
        <w:t xml:space="preserve">, den Ihr nicht kennt,{{field-off:bible}} </w:t>
        <w:br/>
        <w:t>[[@BibleTOBIBLE:Jn 1:27]]</w:t>
      </w:r>
      <w:r>
        <w:rPr>
          <w:b/>
        </w:rPr>
        <w:t>27</w:t>
      </w:r>
      <w:r>
        <w:rPr/>
        <w:t xml:space="preserve"> {{field-on:bible}}der nach mir Kommende, dessen Schuhriemen </w:t>
      </w:r>
      <w:r>
        <w:rPr>
          <w:color w:val="808080"/>
        </w:rPr>
        <w:t>(dessen Riemen der Sandale)</w:t>
      </w:r>
      <w:r>
        <w:rPr/>
        <w:t xml:space="preserve"> zu lösen ich nicht wert bin.“{{field-off:bible}} </w:t>
        <w:br/>
        <w:t>[[@BibleTOBIBLE:Jn 1:28]]</w:t>
      </w:r>
      <w:r>
        <w:rPr>
          <w:b/>
        </w:rPr>
        <w:t>28</w:t>
      </w:r>
      <w:r>
        <w:rPr/>
        <w:t xml:space="preserve"> {{field-on:bible}}Dies geschah in Betanien, auf der anderen Seite des Jordan, wo </w:t>
      </w:r>
      <w:r>
        <w:rPr>
          <w:strike/>
          <w:color w:val="808080"/>
        </w:rPr>
        <w:t>{der}</w:t>
      </w:r>
      <w:r>
        <w:rPr/>
        <w:t xml:space="preserve"> Johannes taufte.{{field-off:bible}} </w:t>
        <w:br/>
        <w:t>[[@BibleTOBIBLE:Jn 1:29]]</w:t>
      </w:r>
      <w:r>
        <w:rPr>
          <w:b/>
        </w:rPr>
        <w:t>29</w:t>
      </w:r>
      <w:r>
        <w:rPr/>
        <w:t xml:space="preserve"> {{field-on:bible}}Am nächsten Tag sieht er </w:t>
      </w:r>
      <w:r>
        <w:rPr>
          <w:strike/>
          <w:color w:val="808080"/>
        </w:rPr>
        <w:t>{den}</w:t>
      </w:r>
      <w:r>
        <w:rPr/>
        <w:t xml:space="preserve"> Jesus auf sich zukommen </w:t>
      </w:r>
      <w:r>
        <w:rPr>
          <w:color w:val="808080"/>
        </w:rPr>
        <w:t>(zu ihm kommen)</w:t>
      </w:r>
      <w:r>
        <w:rPr/>
        <w:t xml:space="preserve"> und sagt: „Sieh das Lamm Gottes, das wegnimmt </w:t>
      </w:r>
      <w:r>
        <w:rPr>
          <w:color w:val="808080"/>
        </w:rPr>
        <w:t>(hinwegnimmt, trägt)</w:t>
      </w:r>
      <w:r>
        <w:rPr/>
        <w:t xml:space="preserve"> die Sünde der Welt.{{field-off:bible}} </w:t>
        <w:br/>
        <w:t>[[@BibleTOBIBLE:Jn 1:30]]</w:t>
      </w:r>
      <w:r>
        <w:rPr>
          <w:b/>
        </w:rPr>
        <w:t>30</w:t>
      </w:r>
      <w:r>
        <w:rPr/>
        <w:t xml:space="preserve"> {{field-on:bible}}Dieser ist es, über den ich gesagt habe: 'Nach mir kommt ein Mann, der mir voraus war, weil er vor mir war.'</w:t>
      </w:r>
      <w:r>
        <w:rPr>
          <w:rStyle w:val="Funotenanker"/>
        </w:rPr>
        <w:footnoteReference w:customMarkFollows="1" w:id="4899"/>
        <w:t>k</w:t>
      </w:r>
      <w:r>
        <w:rPr/>
        <w:t xml:space="preserve"> {{field-off:bible}} </w:t>
        <w:br/>
        <w:t>[[@BibleTOBIBLE:Jn 1:31]]</w:t>
      </w:r>
      <w:r>
        <w:rPr>
          <w:b/>
        </w:rPr>
        <w:t>31</w:t>
      </w:r>
      <w:r>
        <w:rPr/>
        <w:t xml:space="preserve"> {{field-on:bible}}Auch ich kannte ihn nicht, aber damit er </w:t>
      </w:r>
      <w:r>
        <w:rPr>
          <w:strike/>
          <w:color w:val="808080"/>
        </w:rPr>
        <w:t>{dem}</w:t>
      </w:r>
      <w:r>
        <w:rPr/>
        <w:t xml:space="preserve"> Israel bekannt </w:t>
      </w:r>
      <w:r>
        <w:rPr>
          <w:color w:val="808080"/>
        </w:rPr>
        <w:t>(offenbart)</w:t>
      </w:r>
      <w:r>
        <w:rPr/>
        <w:t xml:space="preserve"> werde, deshalb bin ich gekommen, mit </w:t>
      </w:r>
      <w:r>
        <w:rPr>
          <w:color w:val="808080"/>
        </w:rPr>
        <w:t>(in)</w:t>
      </w:r>
      <w:r>
        <w:rPr/>
        <w:t xml:space="preserve"> Wasser zu taufen.“{{field-off:bible}} </w:t>
        <w:br/>
        <w:t>[[@BibleTOBIBLE:Jn 1:32]]</w:t>
      </w:r>
      <w:r>
        <w:rPr>
          <w:b/>
        </w:rPr>
        <w:t>32</w:t>
      </w:r>
      <w:r>
        <w:rPr/>
        <w:t xml:space="preserve"> {{field-on:bible}}Und Johannes bezeugte </w:t>
      </w:r>
      <w:r>
        <w:rPr>
          <w:strike/>
          <w:color w:val="808080"/>
        </w:rPr>
        <w:t>{sagend daß}</w:t>
      </w:r>
      <w:r>
        <w:rPr/>
        <w:t xml:space="preserve">: „Ich habe den Geist wie eine Taube aus dem Himmel herabsteigen sehen, und er blieb </w:t>
      </w:r>
      <w:r>
        <w:rPr>
          <w:color w:val="808080"/>
        </w:rPr>
        <w:t>(verweilte)</w:t>
      </w:r>
      <w:r>
        <w:rPr/>
        <w:t xml:space="preserve"> auf ihm.{{field-off:bible}} </w:t>
        <w:br/>
        <w:t>[[@BibleTOBIBLE:Jn 1:33]]</w:t>
      </w:r>
      <w:r>
        <w:rPr>
          <w:b/>
        </w:rPr>
        <w:t>33</w:t>
      </w:r>
      <w:r>
        <w:rPr/>
        <w:t xml:space="preserve"> {{field-on:bible}}Auch ich kannte ihn nicht, aber </w:t>
      </w:r>
      <w:r>
        <w:rPr>
          <w:b/>
          <w:color w:val="808080"/>
        </w:rPr>
        <w:t>[</w:t>
      </w:r>
      <w:r>
        <w:rPr/>
        <w:t>der,</w:t>
      </w:r>
      <w:r>
        <w:rPr>
          <w:b/>
          <w:color w:val="808080"/>
        </w:rPr>
        <w:t>]</w:t>
      </w:r>
      <w:r>
        <w:rPr/>
        <w:t xml:space="preserve"> der mich gesandt hat, mit </w:t>
      </w:r>
      <w:r>
        <w:rPr>
          <w:color w:val="808080"/>
        </w:rPr>
        <w:t>(in)</w:t>
      </w:r>
      <w:r>
        <w:rPr/>
        <w:t xml:space="preserve"> Wasser zu taufen, </w:t>
      </w:r>
      <w:r>
        <w:rPr>
          <w:strike/>
          <w:color w:val="808080"/>
        </w:rPr>
        <w:t>{jener}</w:t>
      </w:r>
      <w:r>
        <w:rPr/>
        <w:t xml:space="preserve"> sagte mir: 'Auf wen immer Du den Geist herabsteigen und verweilen </w:t>
      </w:r>
      <w:r>
        <w:rPr>
          <w:color w:val="808080"/>
        </w:rPr>
        <w:t>(bleiben)</w:t>
      </w:r>
      <w:r>
        <w:rPr/>
        <w:t xml:space="preserve"> siehst, dieser ist der mit </w:t>
      </w:r>
      <w:r>
        <w:rPr>
          <w:color w:val="808080"/>
        </w:rPr>
        <w:t>(in)</w:t>
      </w:r>
      <w:r>
        <w:rPr/>
        <w:t xml:space="preserve"> heiligem Geist Taufende.'{{field-off:bible}} </w:t>
        <w:br/>
        <w:t>[[@BibleTOBIBLE:Jn 1:34]]</w:t>
      </w:r>
      <w:r>
        <w:rPr>
          <w:b/>
        </w:rPr>
        <w:t>34</w:t>
      </w:r>
      <w:r>
        <w:rPr/>
        <w:t xml:space="preserve"> {{field-on:bible}}Und ich habe gesehen und habe bezeugt, daß dieser der Erwählte </w:t>
      </w:r>
      <w:r>
        <w:rPr>
          <w:color w:val="808080"/>
        </w:rPr>
        <w:t>(Sohn)</w:t>
      </w:r>
      <w:r>
        <w:rPr/>
        <w:t xml:space="preserve"> </w:t>
      </w:r>
      <w:r>
        <w:rPr>
          <w:rStyle w:val="Funotenanker"/>
        </w:rPr>
        <w:footnoteReference w:customMarkFollows="1" w:id="4900"/>
        <w:t>l</w:t>
      </w:r>
      <w:r>
        <w:rPr/>
        <w:t xml:space="preserve"> Gottes ist.“{{field-off:bible}} </w:t>
        <w:br/>
        <w:t>[[@BibleTOBIBLE:Jn 1:35]]</w:t>
      </w:r>
      <w:r>
        <w:rPr>
          <w:b/>
        </w:rPr>
        <w:t>35</w:t>
      </w:r>
      <w:r>
        <w:rPr/>
        <w:t xml:space="preserve"> {{field-on:bible}}Am nächsten Tag stand </w:t>
      </w:r>
      <w:r>
        <w:rPr>
          <w:strike/>
          <w:color w:val="808080"/>
        </w:rPr>
        <w:t>{der}</w:t>
      </w:r>
      <w:r>
        <w:rPr/>
        <w:t xml:space="preserve"> Johannes wiederum </w:t>
      </w:r>
      <w:r>
        <w:rPr>
          <w:b/>
          <w:color w:val="808080"/>
        </w:rPr>
        <w:t>[</w:t>
      </w:r>
      <w:r>
        <w:rPr/>
        <w:t>da</w:t>
      </w:r>
      <w:r>
        <w:rPr>
          <w:b/>
          <w:color w:val="808080"/>
        </w:rPr>
        <w:t>]</w:t>
      </w:r>
      <w:r>
        <w:rPr/>
        <w:t xml:space="preserve"> und zwei seiner Jünger,{{field-off:bible}} </w:t>
        <w:br/>
        <w:t>[[@BibleTOBIBLE:Jn 1:36]]</w:t>
      </w:r>
      <w:r>
        <w:rPr>
          <w:b/>
        </w:rPr>
        <w:t>36</w:t>
      </w:r>
      <w:r>
        <w:rPr/>
        <w:t xml:space="preserve"> {{field-on:bible}}und wie er </w:t>
      </w:r>
      <w:r>
        <w:rPr>
          <w:strike/>
          <w:color w:val="808080"/>
        </w:rPr>
        <w:t>{den}</w:t>
      </w:r>
      <w:r>
        <w:rPr/>
        <w:t xml:space="preserve"> Jesus entlanggehen sieht, sagt er: „Sieh das Lamm Gottes.“{{field-off:bible}} </w:t>
        <w:br/>
        <w:t>[[@BibleTOBIBLE:Jn 1:37]]</w:t>
      </w:r>
      <w:r>
        <w:rPr>
          <w:b/>
        </w:rPr>
        <w:t>37</w:t>
      </w:r>
      <w:r>
        <w:rPr/>
        <w:t xml:space="preserve"> {{field-on:bible}}Und seine </w:t>
      </w:r>
      <w:r>
        <w:rPr>
          <w:color w:val="808080"/>
        </w:rPr>
        <w:t>(die)</w:t>
      </w:r>
      <w:r>
        <w:rPr/>
        <w:t xml:space="preserve"> </w:t>
      </w:r>
      <w:r>
        <w:rPr>
          <w:rStyle w:val="Funotenanker"/>
        </w:rPr>
        <w:footnoteReference w:customMarkFollows="1" w:id="4901"/>
        <w:t>m</w:t>
      </w:r>
      <w:r>
        <w:rPr/>
        <w:t xml:space="preserve"> zwei </w:t>
      </w:r>
      <w:r>
        <w:rPr>
          <w:color w:val="808080"/>
        </w:rPr>
        <w:t>(beiden)</w:t>
      </w:r>
      <w:r>
        <w:rPr/>
        <w:t xml:space="preserve"> Jünger hörten ihn sprechen und folgten Jesus.{{field-off:bible}} </w:t>
        <w:br/>
        <w:t>[[@BibleTOBIBLE:Jn 1:38]]</w:t>
      </w:r>
      <w:r>
        <w:rPr>
          <w:b/>
        </w:rPr>
        <w:t>38</w:t>
      </w:r>
      <w:r>
        <w:rPr/>
        <w:t xml:space="preserve"> {{field-on:bible}}Wie sich </w:t>
      </w:r>
      <w:r>
        <w:rPr>
          <w:strike/>
          <w:color w:val="808080"/>
        </w:rPr>
        <w:t>{der}</w:t>
      </w:r>
      <w:r>
        <w:rPr/>
        <w:t xml:space="preserve"> Jesus aber umwended und sieht, daß sie ihm folgen, sagt er ihnen: „Was sucht ihr?“ Die aber sagten ihm: „Rabbi – das heißt übersetzt Lehrer –, wo wohnst Du </w:t>
      </w:r>
      <w:r>
        <w:rPr>
          <w:color w:val="808080"/>
        </w:rPr>
        <w:t>(hältst Du Dich auf)</w:t>
      </w:r>
      <w:r>
        <w:rPr/>
        <w:t xml:space="preserve">?“{{field-off:bible}} </w:t>
        <w:br/>
        <w:t>[[@BibleTOBIBLE:Jn 1:39]]</w:t>
      </w:r>
      <w:r>
        <w:rPr>
          <w:b/>
        </w:rPr>
        <w:t>39</w:t>
      </w:r>
      <w:r>
        <w:rPr/>
        <w:t xml:space="preserve"> {{field-on:bible}}Er sagt ihnen: „Kommt und seht.“ Sie kamen also und sahen, wo er wohnt </w:t>
      </w:r>
      <w:r>
        <w:rPr>
          <w:color w:val="808080"/>
        </w:rPr>
        <w:t>(sich aufhält)</w:t>
      </w:r>
      <w:r>
        <w:rPr/>
        <w:t xml:space="preserve">, und blieben bei ihm jenen Tag </w:t>
      </w:r>
      <w:r>
        <w:rPr>
          <w:color w:val="808080"/>
        </w:rPr>
        <w:t>(hielten sich jenen Tag bei ihm auf)</w:t>
      </w:r>
      <w:r>
        <w:rPr/>
        <w:t xml:space="preserve">. Das war um die </w:t>
      </w:r>
      <w:r>
        <w:rPr>
          <w:color w:val="808080"/>
        </w:rPr>
        <w:t>(ungefähr die)</w:t>
      </w:r>
      <w:r>
        <w:rPr/>
        <w:t xml:space="preserve"> zehnte Stunde.{{field-off:bible}} </w:t>
        <w:br/>
        <w:t>[[@BibleTOBIBLE:Jn 1:40]]</w:t>
      </w:r>
      <w:r>
        <w:rPr>
          <w:b/>
        </w:rPr>
        <w:t>40</w:t>
      </w:r>
      <w:r>
        <w:rPr/>
        <w:t xml:space="preserve"> {{field-on:bible}}Andreas, der Bruder des Simon Petrus, war einer von der beiden, die </w:t>
      </w:r>
      <w:r>
        <w:rPr>
          <w:strike/>
          <w:color w:val="808080"/>
        </w:rPr>
        <w:t>{von}</w:t>
      </w:r>
      <w:r>
        <w:rPr/>
        <w:t xml:space="preserve"> Johannes gehört hatten und [Jesus] </w:t>
      </w:r>
      <w:r>
        <w:rPr>
          <w:strike/>
          <w:color w:val="808080"/>
        </w:rPr>
        <w:t>{ihm}</w:t>
      </w:r>
      <w:r>
        <w:rPr/>
        <w:t xml:space="preserve"> gefolgt waren.{{field-off:bible}} </w:t>
        <w:br/>
        <w:t>[[@BibleTOBIBLE:Jn 1:41]]</w:t>
      </w:r>
      <w:r>
        <w:rPr>
          <w:b/>
        </w:rPr>
        <w:t>41</w:t>
      </w:r>
      <w:r>
        <w:rPr/>
        <w:t xml:space="preserve"> {{field-on:bible}}Dieser findet zuerst den Bruder, den eigenen, Simon und sagt ihm: „Wir haben den Messias – das heißt übersetzt Christus – gefunden.“{{field-off:bible}} </w:t>
        <w:br/>
        <w:t>[[@BibleTOBIBLE:Jn 1:42]]</w:t>
      </w:r>
      <w:r>
        <w:rPr>
          <w:b/>
        </w:rPr>
        <w:t>42</w:t>
      </w:r>
      <w:r>
        <w:rPr/>
        <w:t xml:space="preserve"> {{field-on:bible}}Er führte ihn zu Jesus. Wie er ihn sieht, sagte Jesus: „Du bist Simon, der Sohn </w:t>
      </w:r>
      <w:r>
        <w:rPr>
          <w:b/>
          <w:color w:val="808080"/>
        </w:rPr>
        <w:t>[</w:t>
      </w:r>
      <w:r>
        <w:rPr/>
        <w:t>des</w:t>
      </w:r>
      <w:r>
        <w:rPr>
          <w:b/>
          <w:color w:val="808080"/>
        </w:rPr>
        <w:t>]</w:t>
      </w:r>
      <w:r>
        <w:rPr/>
        <w:t xml:space="preserve"> Johannes; Du wirst Kephas – </w:t>
      </w:r>
      <w:r>
        <w:rPr>
          <w:strike/>
          <w:color w:val="808080"/>
        </w:rPr>
        <w:t>{was}</w:t>
      </w:r>
      <w:r>
        <w:rPr/>
        <w:t xml:space="preserve"> übersetzt </w:t>
      </w:r>
      <w:r>
        <w:rPr>
          <w:strike/>
          <w:color w:val="808080"/>
        </w:rPr>
        <w:t>{wird}</w:t>
      </w:r>
      <w:r>
        <w:rPr/>
        <w:t xml:space="preserve"> Petrus </w:t>
      </w:r>
      <w:r>
        <w:rPr>
          <w:color w:val="808080"/>
        </w:rPr>
        <w:t>(Fels)</w:t>
      </w:r>
      <w:r>
        <w:rPr/>
        <w:t xml:space="preserve"> – genannt werden </w:t>
      </w:r>
      <w:r>
        <w:rPr>
          <w:color w:val="808080"/>
        </w:rPr>
        <w:t>(heißen)</w:t>
      </w:r>
      <w:r>
        <w:rPr/>
        <w:t xml:space="preserve">.“{{field-off:bible}} </w:t>
        <w:br/>
        <w:t>[[@BibleTOBIBLE:Jn 1:43]]</w:t>
      </w:r>
      <w:r>
        <w:rPr>
          <w:b/>
        </w:rPr>
        <w:t>43</w:t>
      </w:r>
      <w:r>
        <w:rPr/>
        <w:t xml:space="preserve"> {{field-on:bible}}Am nächsten Tag wollte er nach Galiäa gehen </w:t>
      </w:r>
      <w:r>
        <w:rPr>
          <w:color w:val="808080"/>
        </w:rPr>
        <w:t>(weggehen)</w:t>
      </w:r>
      <w:r>
        <w:rPr/>
        <w:t xml:space="preserve">. Und er findet Philippus und </w:t>
      </w:r>
      <w:r>
        <w:rPr>
          <w:strike/>
          <w:color w:val="808080"/>
        </w:rPr>
        <w:t>{der}</w:t>
      </w:r>
      <w:r>
        <w:rPr/>
        <w:t xml:space="preserve"> Jesus sagt ihm: „Folge mir.“{{field-off:bible}} </w:t>
        <w:br/>
        <w:t>[[@BibleTOBIBLE:Jn 1:44]]</w:t>
      </w:r>
      <w:r>
        <w:rPr>
          <w:b/>
        </w:rPr>
        <w:t>44</w:t>
      </w:r>
      <w:r>
        <w:rPr/>
        <w:t xml:space="preserve"> {{field-on:bible}} </w:t>
      </w:r>
      <w:r>
        <w:rPr>
          <w:strike/>
          <w:color w:val="808080"/>
        </w:rPr>
        <w:t>{Der}</w:t>
      </w:r>
      <w:r>
        <w:rPr/>
        <w:t xml:space="preserve"> Philippus aber war von Betsaida, aus der Stadt des Andreas und Petrus.{{field-off:bible}} </w:t>
        <w:br/>
        <w:t>[[@BibleTOBIBLE:Jn 1:45]]</w:t>
      </w:r>
      <w:r>
        <w:rPr>
          <w:b/>
        </w:rPr>
        <w:t>45</w:t>
      </w:r>
      <w:r>
        <w:rPr/>
        <w:t xml:space="preserve"> {{field-on:bible}}Philippus findet den Nathanaël und sagt ihm: „Wir haben den gefunden, über den Mose im Gesetz geschrieben hat und die Propheten, Jesus, Sohn des Josef, den von Nazaret.“{{field-off:bible}} </w:t>
        <w:br/>
        <w:t>[[@BibleTOBIBLE:Jn 1:46]]</w:t>
      </w:r>
      <w:r>
        <w:rPr>
          <w:b/>
        </w:rPr>
        <w:t>46</w:t>
      </w:r>
      <w:r>
        <w:rPr/>
        <w:t xml:space="preserve"> {{field-on:bible}}Und Natanaël sagte ihm: „Aus Nazaret kann </w:t>
      </w:r>
      <w:r>
        <w:rPr>
          <w:b/>
          <w:color w:val="808080"/>
        </w:rPr>
        <w:t>[</w:t>
      </w:r>
      <w:r>
        <w:rPr>
          <w:color w:val="808080"/>
        </w:rPr>
        <w:t>(also)</w:t>
      </w:r>
      <w:r>
        <w:rPr>
          <w:b/>
          <w:color w:val="808080"/>
        </w:rPr>
        <w:t>]</w:t>
      </w:r>
      <w:r>
        <w:rPr/>
        <w:t xml:space="preserve"> </w:t>
      </w:r>
      <w:r>
        <w:rPr>
          <w:rStyle w:val="Funotenanker"/>
        </w:rPr>
        <w:footnoteReference w:customMarkFollows="1" w:id="4902"/>
        <w:t>n</w:t>
      </w:r>
      <w:r>
        <w:rPr/>
        <w:t xml:space="preserve"> etwas Gutes sein </w:t>
      </w:r>
      <w:r>
        <w:rPr>
          <w:color w:val="808080"/>
        </w:rPr>
        <w:t>(kommen)</w:t>
      </w:r>
      <w:r>
        <w:rPr/>
        <w:t xml:space="preserve">?“ </w:t>
      </w:r>
      <w:r>
        <w:rPr>
          <w:strike/>
          <w:color w:val="808080"/>
        </w:rPr>
        <w:t>{Der}</w:t>
      </w:r>
      <w:r>
        <w:rPr/>
        <w:t xml:space="preserve"> Philippus sagt ihm: „Komm und sieh.“{{field-off:bible}} </w:t>
        <w:br/>
        <w:t>[[@BibleTOBIBLE:Jn 1:47]]</w:t>
      </w:r>
      <w:r>
        <w:rPr>
          <w:b/>
        </w:rPr>
        <w:t>47</w:t>
      </w:r>
      <w:r>
        <w:rPr/>
        <w:t xml:space="preserve"> {{field-on:bible}} </w:t>
      </w:r>
      <w:r>
        <w:rPr>
          <w:strike/>
          <w:color w:val="808080"/>
        </w:rPr>
        <w:t>{Der}</w:t>
      </w:r>
      <w:r>
        <w:rPr/>
        <w:t xml:space="preserve"> Jesus sah den Nathanaël auf sich zukommen und sagt über ihn: „Sieh, wahrhaftig ein Israelit, in dem keine Hinterlist </w:t>
      </w:r>
      <w:r>
        <w:rPr>
          <w:color w:val="808080"/>
        </w:rPr>
        <w:t>(kein Betrug, nichts Unehrliches, nichts Falsches, keine Falschheit)</w:t>
      </w:r>
      <w:r>
        <w:rPr/>
        <w:t xml:space="preserve"> ist.“{{field-off:bible}} </w:t>
        <w:br/>
        <w:t>[[@BibleTOBIBLE:Jn 1:48]]</w:t>
      </w:r>
      <w:r>
        <w:rPr>
          <w:b/>
        </w:rPr>
        <w:t>48</w:t>
      </w:r>
      <w:r>
        <w:rPr/>
        <w:t xml:space="preserve"> {{field-on:bible}}Nathanaël sagt ihm: „Woher kennst Du mich?“ Jesus antwortete und sagte ihm: „Bevor Dich Philippus rief, habe ich Dich unter dem Feigenbaum gesehen </w:t>
      </w:r>
      <w:r>
        <w:rPr>
          <w:color w:val="808080"/>
        </w:rPr>
        <w:t>(Dich gesehen, wie Du unter dem Feigenbaum warst)</w:t>
      </w:r>
      <w:r>
        <w:rPr/>
        <w:t xml:space="preserve">.“{{field-off:bible}} </w:t>
        <w:br/>
        <w:t>[[@BibleTOBIBLE:Jn 1:49]]</w:t>
      </w:r>
      <w:r>
        <w:rPr>
          <w:b/>
        </w:rPr>
        <w:t>49</w:t>
      </w:r>
      <w:r>
        <w:rPr/>
        <w:t xml:space="preserve"> {{field-on:bible}}Nathanaël antwortete ihm: „Rabbi, Du bist der Sohn </w:t>
      </w:r>
      <w:r>
        <w:rPr>
          <w:strike/>
          <w:color w:val="808080"/>
        </w:rPr>
        <w:t>{des}</w:t>
      </w:r>
      <w:r>
        <w:rPr/>
        <w:t xml:space="preserve"> Gottes, Du bist </w:t>
      </w:r>
      <w:r>
        <w:rPr>
          <w:b/>
          <w:color w:val="808080"/>
        </w:rPr>
        <w:t>[</w:t>
      </w:r>
      <w:r>
        <w:rPr/>
        <w:t>der</w:t>
      </w:r>
      <w:r>
        <w:rPr>
          <w:b/>
          <w:color w:val="808080"/>
        </w:rPr>
        <w:t>]</w:t>
      </w:r>
      <w:r>
        <w:rPr/>
        <w:t xml:space="preserve"> König Israels.“{{field-off:bible}} </w:t>
        <w:br/>
        <w:t>[[@BibleTOBIBLE:Jn 1:50]]</w:t>
      </w:r>
      <w:r>
        <w:rPr>
          <w:b/>
        </w:rPr>
        <w:t>50</w:t>
      </w:r>
      <w:r>
        <w:rPr/>
        <w:t xml:space="preserve"> {{field-on:bible}}Jesus antwortete und sagte ihm: „Weil ich Dir gesagt habe, daß ich Dich unter dem Feigenbaum sah, glaubst Du?</w:t>
      </w:r>
      <w:r>
        <w:rPr>
          <w:rStyle w:val="Funotenanker"/>
        </w:rPr>
        <w:footnoteReference w:customMarkFollows="1" w:id="4903"/>
        <w:t>o</w:t>
      </w:r>
      <w:r>
        <w:rPr/>
        <w:t xml:space="preserve"> Du wirst größere Dinge als diese sehen.“{{field-off:bible}} </w:t>
        <w:br/>
        <w:t>[[@BibleTOBIBLE:Jn 1:51]]</w:t>
      </w:r>
      <w:r>
        <w:rPr>
          <w:b/>
        </w:rPr>
        <w:t>51</w:t>
      </w:r>
      <w:r>
        <w:rPr/>
        <w:t xml:space="preserve"> {{field-on:bible}}Und er sagt ihm: „Amen, Amen, </w:t>
      </w:r>
      <w:r>
        <w:rPr>
          <w:color w:val="808080"/>
        </w:rPr>
        <w:t>(Wahrlich, wahrlich)</w:t>
      </w:r>
      <w:r>
        <w:rPr/>
        <w:t xml:space="preserve"> sage ich Euch: Ihr werdet den Himmel geöffnet </w:t>
      </w:r>
      <w:r>
        <w:rPr>
          <w:color w:val="808080"/>
        </w:rPr>
        <w:t>(offen)</w:t>
      </w:r>
      <w:r>
        <w:rPr/>
        <w:t xml:space="preserve"> sehen und die Engel </w:t>
      </w:r>
      <w:r>
        <w:rPr>
          <w:color w:val="808080"/>
        </w:rPr>
        <w:t>(Boten)</w:t>
      </w:r>
      <w:r>
        <w:rPr/>
        <w:t xml:space="preserve"> Gottes auf den </w:t>
      </w:r>
      <w:r>
        <w:rPr>
          <w:color w:val="808080"/>
        </w:rPr>
        <w:t>(über dem)</w:t>
      </w:r>
      <w:r>
        <w:rPr/>
        <w:t xml:space="preserve"> Sohn des Menschen auf- und niedersteigen.“{{field-off:bible}} </w:t>
      </w:r>
    </w:p>
    <w:p>
      <w:pPr>
        <w:pStyle w:val="Berschrift3"/>
        <w:rPr/>
      </w:pPr>
      <w:r>
        <w:rPr/>
        <w:t>[[@BibleTOBIBLE:Jn 2]]Kapitel 2</w:t>
      </w:r>
    </w:p>
    <w:p>
      <w:pPr>
        <w:pStyle w:val="Textkrper"/>
        <w:rPr/>
      </w:pPr>
      <w:r>
        <w:rPr/>
        <w:br/>
        <w:t>[[@BibleTOBIBLE:Jn 2:1]]</w:t>
      </w:r>
      <w:r>
        <w:rPr>
          <w:b/>
        </w:rPr>
        <w:t>1</w:t>
      </w:r>
      <w:r>
        <w:rPr/>
        <w:t xml:space="preserve"> {{field-on:bible}} </w:t>
      </w:r>
      <w:r>
        <w:rPr>
          <w:rStyle w:val="Funotenanker"/>
        </w:rPr>
        <w:footnoteReference w:customMarkFollows="1" w:id="4904"/>
        <w:t>Status</w:t>
      </w:r>
      <w:r>
        <w:rPr/>
        <w:t xml:space="preserve"> Und am dritten Tag fand eine Hochzeit in </w:t>
      </w:r>
      <w:r>
        <w:rPr>
          <w:color w:val="808080"/>
        </w:rPr>
        <w:t>(zu)</w:t>
      </w:r>
      <w:r>
        <w:rPr/>
        <w:t xml:space="preserve"> Kana in Galiläa </w:t>
      </w:r>
      <w:r>
        <w:rPr>
          <w:color w:val="808080"/>
        </w:rPr>
        <w:t>(im galiläischen Kana)</w:t>
      </w:r>
      <w:r>
        <w:rPr/>
        <w:t xml:space="preserve"> statt, und die Mutter Jesu war dort.{{field-off:bible}} </w:t>
        <w:br/>
        <w:t>[[@BibleTOBIBLE:Jn 2:2]]</w:t>
      </w:r>
      <w:r>
        <w:rPr>
          <w:b/>
        </w:rPr>
        <w:t>2</w:t>
      </w:r>
      <w:r>
        <w:rPr/>
        <w:t xml:space="preserve"> {{field-on:bible}}Aber auch </w:t>
      </w:r>
      <w:r>
        <w:rPr>
          <w:color w:val="808080"/>
        </w:rPr>
        <w:t>(sowohl)</w:t>
      </w:r>
      <w:r>
        <w:rPr/>
        <w:t xml:space="preserve"> </w:t>
      </w:r>
      <w:r>
        <w:rPr>
          <w:strike/>
          <w:color w:val="808080"/>
        </w:rPr>
        <w:t>{der}</w:t>
      </w:r>
      <w:r>
        <w:rPr/>
        <w:t xml:space="preserve"> Jesus und </w:t>
      </w:r>
      <w:r>
        <w:rPr>
          <w:color w:val="808080"/>
        </w:rPr>
        <w:t>(als auch)</w:t>
      </w:r>
      <w:r>
        <w:rPr/>
        <w:t xml:space="preserve"> seine Jünger waren zur Hochzeit eingeladen </w:t>
      </w:r>
      <w:r>
        <w:rPr>
          <w:color w:val="808080"/>
        </w:rPr>
        <w:t>(gerufen)</w:t>
      </w:r>
      <w:r>
        <w:rPr/>
        <w:t xml:space="preserve">.{{field-off:bible}} </w:t>
        <w:br/>
        <w:t>[[@BibleTOBIBLE:Jn 2:3]]</w:t>
      </w:r>
      <w:r>
        <w:rPr>
          <w:b/>
        </w:rPr>
        <w:t>3</w:t>
      </w:r>
      <w:r>
        <w:rPr/>
        <w:t xml:space="preserve"> {{field-on:bible}}Und als der Wein ausgegangen war, sagt die Mutter Jesu zu ihm: „Sie haben keinen Wein.“{{field-off:bible}} </w:t>
        <w:br/>
        <w:t>[[@BibleTOBIBLE:Jn 2:4]]</w:t>
      </w:r>
      <w:r>
        <w:rPr>
          <w:b/>
        </w:rPr>
        <w:t>4</w:t>
      </w:r>
      <w:r>
        <w:rPr/>
        <w:t xml:space="preserve"> {{field-on:bible}}Und </w:t>
      </w:r>
      <w:r>
        <w:rPr>
          <w:strike/>
          <w:color w:val="808080"/>
        </w:rPr>
        <w:t>{der}</w:t>
      </w:r>
      <w:r>
        <w:rPr/>
        <w:t xml:space="preserve"> Jesus sagt ihr: „Welche besondere Beziehung gibt es zwischen Dir und mir, Frau </w:t>
      </w:r>
      <w:r>
        <w:rPr>
          <w:b/>
          <w:color w:val="808080"/>
        </w:rPr>
        <w:t>[</w:t>
      </w:r>
      <w:r>
        <w:rPr/>
        <w:t>, daß Du damit zu mir kommst</w:t>
      </w:r>
      <w:r>
        <w:rPr>
          <w:b/>
          <w:color w:val="808080"/>
        </w:rPr>
        <w:t>]</w:t>
      </w:r>
      <w:r>
        <w:rPr/>
        <w:t>?</w:t>
      </w:r>
      <w:r>
        <w:rPr>
          <w:rStyle w:val="Funotenanker"/>
        </w:rPr>
        <w:footnoteReference w:customMarkFollows="1" w:id="4905"/>
        <w:t>a</w:t>
      </w:r>
      <w:r>
        <w:rPr/>
        <w:t xml:space="preserve"> Meine Stunde ist noch nicht gekommen.“{{field-off:bible}} </w:t>
        <w:br/>
        <w:t>[[@BibleTOBIBLE:Jn 2:5]]</w:t>
      </w:r>
      <w:r>
        <w:rPr>
          <w:b/>
        </w:rPr>
        <w:t>5</w:t>
      </w:r>
      <w:r>
        <w:rPr/>
        <w:t xml:space="preserve"> {{field-on:bible}}Seine Mutter sagt den Dienern: „Was immer er Euch sagt, </w:t>
      </w:r>
      <w:r>
        <w:rPr>
          <w:b/>
          <w:color w:val="808080"/>
        </w:rPr>
        <w:t>[</w:t>
      </w:r>
      <w:r>
        <w:rPr/>
        <w:t>das</w:t>
      </w:r>
      <w:r>
        <w:rPr>
          <w:b/>
          <w:color w:val="808080"/>
        </w:rPr>
        <w:t>]</w:t>
      </w:r>
      <w:r>
        <w:rPr/>
        <w:t xml:space="preserve"> tut.“{{field-off:bible}} </w:t>
        <w:br/>
        <w:t>[[@BibleTOBIBLE:Jn 2:6]]</w:t>
      </w:r>
      <w:r>
        <w:rPr>
          <w:b/>
        </w:rPr>
        <w:t>6</w:t>
      </w:r>
      <w:r>
        <w:rPr/>
        <w:t xml:space="preserve"> {{field-on:bible}}Es standen </w:t>
      </w:r>
      <w:r>
        <w:rPr>
          <w:color w:val="808080"/>
        </w:rPr>
        <w:t>(lagerten)</w:t>
      </w:r>
      <w:r>
        <w:rPr/>
        <w:t xml:space="preserve"> aber dort – zum Zweck der </w:t>
      </w:r>
      <w:r>
        <w:rPr>
          <w:color w:val="808080"/>
        </w:rPr>
        <w:t>(zur)</w:t>
      </w:r>
      <w:r>
        <w:rPr/>
        <w:t xml:space="preserve"> Reinigung </w:t>
      </w:r>
      <w:r>
        <w:rPr>
          <w:color w:val="808080"/>
        </w:rPr>
        <w:t>(für das Reinigungsritual)</w:t>
      </w:r>
      <w:r>
        <w:rPr/>
        <w:t xml:space="preserve"> </w:t>
      </w:r>
      <w:r>
        <w:rPr>
          <w:b/>
          <w:color w:val="808080"/>
        </w:rPr>
        <w:t>[</w:t>
      </w:r>
      <w:r>
        <w:rPr>
          <w:color w:val="808080"/>
        </w:rPr>
        <w:t>(entsprechend dem Brauch)</w:t>
      </w:r>
      <w:r>
        <w:rPr>
          <w:b/>
          <w:color w:val="808080"/>
        </w:rPr>
        <w:t>]</w:t>
      </w:r>
      <w:r>
        <w:rPr/>
        <w:t xml:space="preserve"> der Juden – sechs steinerne Wasserkrüge, die jeder zwei oder drei Maß</w:t>
      </w:r>
      <w:r>
        <w:rPr>
          <w:rStyle w:val="Funotenanker"/>
        </w:rPr>
        <w:footnoteReference w:customMarkFollows="1" w:id="4906"/>
        <w:t>b</w:t>
      </w:r>
      <w:r>
        <w:rPr/>
        <w:t xml:space="preserve"> fassten.{{field-off:bible}} </w:t>
        <w:br/>
        <w:t>[[@BibleTOBIBLE:Jn 2:7]]</w:t>
      </w:r>
      <w:r>
        <w:rPr>
          <w:b/>
        </w:rPr>
        <w:t>7</w:t>
      </w:r>
      <w:r>
        <w:rPr/>
        <w:t xml:space="preserve"> {{field-on:bible}}Jesus sagt ihnen: „Füllt die Wasserkrüge mit Wasser.“ Und sie füllten sie bis oben </w:t>
      </w:r>
      <w:r>
        <w:rPr>
          <w:b/>
          <w:color w:val="808080"/>
        </w:rPr>
        <w:t>[</w:t>
      </w:r>
      <w:r>
        <w:rPr/>
        <w:t>an</w:t>
      </w:r>
      <w:r>
        <w:rPr>
          <w:b/>
          <w:color w:val="808080"/>
        </w:rPr>
        <w:t>]</w:t>
      </w:r>
      <w:r>
        <w:rPr/>
        <w:t xml:space="preserve">.{{field-off:bible}} </w:t>
        <w:br/>
        <w:t>[[@BibleTOBIBLE:Jn 2:8]]</w:t>
      </w:r>
      <w:r>
        <w:rPr>
          <w:b/>
        </w:rPr>
        <w:t>8</w:t>
      </w:r>
      <w:r>
        <w:rPr/>
        <w:t xml:space="preserve"> {{field-on:bible}}Und er sagt ihnen: „Schöpft jetzt und bringt </w:t>
      </w:r>
      <w:r>
        <w:rPr>
          <w:b/>
          <w:color w:val="808080"/>
        </w:rPr>
        <w:t>[</w:t>
      </w:r>
      <w:r>
        <w:rPr/>
        <w:t>das Geschöpfte</w:t>
      </w:r>
      <w:r>
        <w:rPr>
          <w:b/>
          <w:color w:val="808080"/>
        </w:rPr>
        <w:t>]</w:t>
      </w:r>
      <w:r>
        <w:rPr/>
        <w:t xml:space="preserve"> dem Tafelmeister </w:t>
      </w:r>
      <w:r>
        <w:rPr>
          <w:color w:val="808080"/>
        </w:rPr>
        <w:t>(Verantwortlichen für das Festmahl, Vorsitzenden der Festtafel)</w:t>
      </w:r>
      <w:r>
        <w:rPr/>
        <w:t xml:space="preserve">.“ Die aber brachten </w:t>
      </w:r>
      <w:r>
        <w:rPr>
          <w:b/>
          <w:color w:val="808080"/>
        </w:rPr>
        <w:t>[</w:t>
      </w:r>
      <w:r>
        <w:rPr/>
        <w:t>es ihm</w:t>
      </w:r>
      <w:r>
        <w:rPr>
          <w:b/>
          <w:color w:val="808080"/>
        </w:rPr>
        <w:t>]</w:t>
      </w:r>
      <w:r>
        <w:rPr/>
        <w:t xml:space="preserve">.{{field-off:bible}} </w:t>
        <w:br/>
        <w:t>[[@BibleTOBIBLE:Jn 2:9]]</w:t>
      </w:r>
      <w:r>
        <w:rPr>
          <w:b/>
        </w:rPr>
        <w:t>9</w:t>
      </w:r>
      <w:r>
        <w:rPr/>
        <w:t xml:space="preserve"> {{field-on:bible}}Wie aber der Tafelmeister </w:t>
      </w:r>
      <w:r>
        <w:rPr>
          <w:color w:val="808080"/>
        </w:rPr>
        <w:t>(Verantwortliche für das Festmahl, Vorsitzende der Festtafel)</w:t>
      </w:r>
      <w:r>
        <w:rPr/>
        <w:t xml:space="preserve"> das Wasser, das Wein geworden war, kostete, und nicht wußte, woher es war </w:t>
      </w:r>
      <w:r>
        <w:rPr>
          <w:color w:val="808080"/>
        </w:rPr>
        <w:t>(ist)</w:t>
      </w:r>
      <w:r>
        <w:rPr/>
        <w:t xml:space="preserve"> – die Diener aber, die das Wasser geschöpft hatten, wußten </w:t>
      </w:r>
      <w:r>
        <w:rPr>
          <w:b/>
          <w:color w:val="808080"/>
        </w:rPr>
        <w:t>[</w:t>
      </w:r>
      <w:r>
        <w:rPr/>
        <w:t>es</w:t>
      </w:r>
      <w:r>
        <w:rPr>
          <w:b/>
          <w:color w:val="808080"/>
        </w:rPr>
        <w:t>]</w:t>
      </w:r>
      <w:r>
        <w:rPr/>
        <w:t xml:space="preserve"> – ruft der Tafelmeister </w:t>
      </w:r>
      <w:r>
        <w:rPr>
          <w:color w:val="808080"/>
        </w:rPr>
        <w:t>(Verantwortliche für das Festmahl, Vorsitzende der Festtafel)</w:t>
      </w:r>
      <w:r>
        <w:rPr/>
        <w:t xml:space="preserve"> den Bräutigam{{field-off:bible}} </w:t>
        <w:br/>
        <w:t>[[@BibleTOBIBLE:Jn 2:10]]</w:t>
      </w:r>
      <w:r>
        <w:rPr>
          <w:b/>
        </w:rPr>
        <w:t>10</w:t>
      </w:r>
      <w:r>
        <w:rPr/>
        <w:t xml:space="preserve"> {{field-on:bible}}und sagt ihm: „Jeder Mensch serviert zuerst den guten Wein, und wenn sie </w:t>
      </w:r>
      <w:r>
        <w:rPr>
          <w:color w:val="808080"/>
        </w:rPr>
        <w:t>(die Gäste)</w:t>
      </w:r>
      <w:r>
        <w:rPr/>
        <w:t xml:space="preserve"> betrunken sind, den schlechteren. Du aber hast den guten Wein bis jetzt zurückgehalten </w:t>
      </w:r>
      <w:r>
        <w:rPr>
          <w:color w:val="808080"/>
        </w:rPr>
        <w:t>(aufbewahrt)</w:t>
      </w:r>
      <w:r>
        <w:rPr/>
        <w:t xml:space="preserve">.“{{field-off:bible}} </w:t>
        <w:br/>
        <w:t>[[@BibleTOBIBLE:Jn 2:11]]</w:t>
      </w:r>
      <w:r>
        <w:rPr>
          <w:b/>
        </w:rPr>
        <w:t>11</w:t>
      </w:r>
      <w:r>
        <w:rPr/>
        <w:t xml:space="preserve"> {{field-on:bible}}Diesen Anfang der Zeichen machte </w:t>
      </w:r>
      <w:r>
        <w:rPr>
          <w:color w:val="808080"/>
        </w:rPr>
        <w:t>(setzte)</w:t>
      </w:r>
      <w:r>
        <w:rPr/>
        <w:t xml:space="preserve"> </w:t>
      </w:r>
      <w:r>
        <w:rPr>
          <w:strike/>
          <w:color w:val="808080"/>
        </w:rPr>
        <w:t>{der}</w:t>
      </w:r>
      <w:r>
        <w:rPr/>
        <w:t xml:space="preserve"> Jesus in </w:t>
      </w:r>
      <w:r>
        <w:rPr>
          <w:color w:val="808080"/>
        </w:rPr>
        <w:t>(zu)</w:t>
      </w:r>
      <w:r>
        <w:rPr/>
        <w:t xml:space="preserve"> Kana in Galiläa </w:t>
      </w:r>
      <w:r>
        <w:rPr>
          <w:color w:val="808080"/>
        </w:rPr>
        <w:t>(im galiläischen Kana)</w:t>
      </w:r>
      <w:r>
        <w:rPr/>
        <w:t xml:space="preserve"> und er offenbarte seine Herrlichkeit und seine Jünger glaubten an ihn.{{field-off:bible}} </w:t>
        <w:br/>
        <w:t>[[@BibleTOBIBLE:Jn 2:12]]</w:t>
      </w:r>
      <w:r>
        <w:rPr>
          <w:b/>
        </w:rPr>
        <w:t>12</w:t>
      </w:r>
      <w:r>
        <w:rPr/>
        <w:t xml:space="preserve"> {{field-on:bible}}Danach ging er nach Kafarnaum hinab, und </w:t>
      </w:r>
      <w:r>
        <w:rPr>
          <w:b/>
          <w:color w:val="808080"/>
        </w:rPr>
        <w:t>[</w:t>
      </w:r>
      <w:r>
        <w:rPr/>
        <w:t>auch</w:t>
      </w:r>
      <w:r>
        <w:rPr>
          <w:b/>
          <w:color w:val="808080"/>
        </w:rPr>
        <w:t>]</w:t>
      </w:r>
      <w:r>
        <w:rPr/>
        <w:t xml:space="preserve"> seine Mutter und seine Brüder und Jünger, und dort blieben sie einige wenige Tage.{{field-off:bible}} </w:t>
        <w:br/>
        <w:t>[[@BibleTOBIBLE:Jn 2:13]]</w:t>
      </w:r>
      <w:r>
        <w:rPr>
          <w:b/>
        </w:rPr>
        <w:t>13</w:t>
      </w:r>
      <w:r>
        <w:rPr/>
        <w:t xml:space="preserve"> {{field-on:bible}}Und das Pascha </w:t>
      </w:r>
      <w:r>
        <w:rPr>
          <w:color w:val="808080"/>
        </w:rPr>
        <w:t>(Paschafest)</w:t>
      </w:r>
      <w:r>
        <w:rPr/>
        <w:t xml:space="preserve"> der Juden war nahe, und Jesus ging nach Jerusalen hinauf.{{field-off:bible}} </w:t>
        <w:br/>
        <w:t>[[@BibleTOBIBLE:Jn 2:14]]</w:t>
      </w:r>
      <w:r>
        <w:rPr>
          <w:b/>
        </w:rPr>
        <w:t>14</w:t>
      </w:r>
      <w:r>
        <w:rPr/>
        <w:t xml:space="preserve"> {{field-on:bible}}Und er fand im Tempel die Verkäufer von Rindern und Schafen und Tauben und die Geldwechsler dasitzen.{{field-off:bible}} </w:t>
        <w:br/>
        <w:t>[[@BibleTOBIBLE:Jn 2:15]]</w:t>
      </w:r>
      <w:r>
        <w:rPr>
          <w:b/>
        </w:rPr>
        <w:t>15</w:t>
      </w:r>
      <w:r>
        <w:rPr/>
        <w:t xml:space="preserve"> {{field-on:bible}}Und er machte eine Peitsche aus Stricken und warf alle</w:t>
      </w:r>
      <w:r>
        <w:rPr>
          <w:rStyle w:val="Funotenanker"/>
        </w:rPr>
        <w:footnoteReference w:customMarkFollows="1" w:id="4907"/>
        <w:t>c</w:t>
      </w:r>
      <w:r>
        <w:rPr/>
        <w:t xml:space="preserve"> aus dem Tempel heraus, und auch </w:t>
      </w:r>
      <w:r>
        <w:rPr>
          <w:color w:val="808080"/>
        </w:rPr>
        <w:t>(ebenso)</w:t>
      </w:r>
      <w:r>
        <w:rPr/>
        <w:t xml:space="preserve"> </w:t>
      </w:r>
      <w:r>
        <w:rPr>
          <w:color w:val="808080"/>
        </w:rPr>
        <w:t>(sowohl)</w:t>
      </w:r>
      <w:r>
        <w:rPr/>
        <w:t xml:space="preserve"> die Schafe und </w:t>
      </w:r>
      <w:r>
        <w:rPr>
          <w:color w:val="808080"/>
        </w:rPr>
        <w:t>(wie)</w:t>
      </w:r>
      <w:r>
        <w:rPr/>
        <w:t xml:space="preserve"> die Rinder, und das Wechselgeld der Geldwechsler schüttete er aus </w:t>
      </w:r>
      <w:r>
        <w:rPr>
          <w:color w:val="808080"/>
        </w:rPr>
        <w:t>(auf den Boden)</w:t>
      </w:r>
      <w:r>
        <w:rPr/>
        <w:t xml:space="preserve"> und die Tische warf er um.{{field-off:bible}} </w:t>
        <w:br/>
        <w:t>[[@BibleTOBIBLE:Jn 2:16]]</w:t>
      </w:r>
      <w:r>
        <w:rPr>
          <w:b/>
        </w:rPr>
        <w:t>16</w:t>
      </w:r>
      <w:r>
        <w:rPr/>
        <w:t xml:space="preserve"> {{field-on:bible}}Und denen, die die Tauben verkauften, sagte er: „Tragt </w:t>
      </w:r>
      <w:r>
        <w:rPr>
          <w:color w:val="808080"/>
        </w:rPr>
        <w:t>(bringt)</w:t>
      </w:r>
      <w:r>
        <w:rPr/>
        <w:t xml:space="preserve"> diese Dinge von hier weg, macht das Haus meines Vater nicht zu einem Kaufhaus </w:t>
      </w:r>
      <w:r>
        <w:rPr>
          <w:color w:val="808080"/>
        </w:rPr>
        <w:t>(Haus eines Handelsplatzes)</w:t>
      </w:r>
      <w:r>
        <w:rPr/>
        <w:t xml:space="preserve">.“{{field-off:bible}} </w:t>
        <w:br/>
        <w:t>[[@BibleTOBIBLE:Jn 2:17]]</w:t>
      </w:r>
      <w:r>
        <w:rPr>
          <w:b/>
        </w:rPr>
        <w:t>17</w:t>
      </w:r>
      <w:r>
        <w:rPr/>
        <w:t xml:space="preserve"> {{field-on:bible}}Seine Jünger erinnerten sich, daß geschrieben ist </w:t>
      </w:r>
      <w:r>
        <w:rPr>
          <w:color w:val="808080"/>
        </w:rPr>
        <w:t>(steht)</w:t>
      </w:r>
      <w:r>
        <w:rPr/>
        <w:t>: „Der Eifer für Dein Haus wird mich verzehren.“</w:t>
      </w:r>
      <w:r>
        <w:rPr>
          <w:rStyle w:val="Funotenanker"/>
        </w:rPr>
        <w:footnoteReference w:customMarkFollows="1" w:id="4908"/>
        <w:t>d</w:t>
      </w:r>
      <w:r>
        <w:rPr/>
        <w:t xml:space="preserve"> {{field-off:bible}} </w:t>
        <w:br/>
        <w:t>[[@BibleTOBIBLE:Jn 2:18]]</w:t>
      </w:r>
      <w:r>
        <w:rPr>
          <w:b/>
        </w:rPr>
        <w:t>18</w:t>
      </w:r>
      <w:r>
        <w:rPr/>
        <w:t xml:space="preserve"> {{field-on:bible}}Die Juden also antworteten und sagten ihm: „Welches Zeichen zeigst Du uns, da Du solche Dinge tust </w:t>
      </w:r>
      <w:r>
        <w:rPr>
          <w:color w:val="808080"/>
        </w:rPr>
        <w:t>(das bestätigt, daß Du berechtigt bist, solche Dinge zu tun)</w:t>
      </w:r>
      <w:r>
        <w:rPr/>
        <w:t xml:space="preserve">?“{{field-off:bible}} </w:t>
        <w:br/>
        <w:t>[[@BibleTOBIBLE:Jn 2:19]]</w:t>
      </w:r>
      <w:r>
        <w:rPr>
          <w:b/>
        </w:rPr>
        <w:t>19</w:t>
      </w:r>
      <w:r>
        <w:rPr/>
        <w:t xml:space="preserve"> {{field-on:bible}}Jesus antwortete und sagte ihnen: „Zerstört </w:t>
      </w:r>
      <w:r>
        <w:rPr>
          <w:color w:val="808080"/>
        </w:rPr>
        <w:t>(löst)</w:t>
      </w:r>
      <w:r>
        <w:rPr/>
        <w:t xml:space="preserve"> diesen Tempel und in drei Tagen werde ich ihn </w:t>
      </w:r>
      <w:r>
        <w:rPr>
          <w:color w:val="808080"/>
        </w:rPr>
        <w:t>(wieder)</w:t>
      </w:r>
      <w:r>
        <w:rPr/>
        <w:t xml:space="preserve"> aufrichten.“{{field-off:bible}} </w:t>
        <w:br/>
        <w:t>[[@BibleTOBIBLE:Jn 2:20]]</w:t>
      </w:r>
      <w:r>
        <w:rPr>
          <w:b/>
        </w:rPr>
        <w:t>20</w:t>
      </w:r>
      <w:r>
        <w:rPr/>
        <w:t xml:space="preserve"> {{field-on:bible}}Sagten also die Juden: „</w:t>
      </w:r>
      <w:r>
        <w:rPr>
          <w:b/>
          <w:color w:val="808080"/>
        </w:rPr>
        <w:t>[</w:t>
      </w:r>
      <w:r>
        <w:rPr/>
        <w:t>In</w:t>
      </w:r>
      <w:r>
        <w:rPr>
          <w:b/>
          <w:color w:val="808080"/>
        </w:rPr>
        <w:t>]</w:t>
      </w:r>
      <w:r>
        <w:rPr/>
        <w:t xml:space="preserve"> sechsundvierzig Jahren wurde dieser Tempel erbaut, und Du wirst </w:t>
      </w:r>
      <w:r>
        <w:rPr>
          <w:color w:val="808080"/>
        </w:rPr>
        <w:t>(willst)</w:t>
      </w:r>
      <w:r>
        <w:rPr/>
        <w:t xml:space="preserve"> ihn in drei Tagen aufrichten </w:t>
      </w:r>
      <w:r>
        <w:rPr>
          <w:color w:val="808080"/>
        </w:rPr>
        <w:t>(wiederaufrichten, wiedererrichten)</w:t>
      </w:r>
      <w:r>
        <w:rPr/>
        <w:t xml:space="preserve">?“{{field-off:bible}} </w:t>
        <w:br/>
        <w:t>[[@BibleTOBIBLE:Jn 2:21]]</w:t>
      </w:r>
      <w:r>
        <w:rPr>
          <w:b/>
        </w:rPr>
        <w:t>21</w:t>
      </w:r>
      <w:r>
        <w:rPr/>
        <w:t xml:space="preserve"> {{field-on:bible}}Jener aber sprach über den Tempel seines Körpers.{{field-off:bible}} </w:t>
        <w:br/>
        <w:t>[[@BibleTOBIBLE:Jn 2:22]]</w:t>
      </w:r>
      <w:r>
        <w:rPr>
          <w:b/>
        </w:rPr>
        <w:t>22</w:t>
      </w:r>
      <w:r>
        <w:rPr/>
        <w:t xml:space="preserve"> {{field-on:bible}}Als er also von </w:t>
      </w:r>
      <w:r>
        <w:rPr>
          <w:color w:val="808080"/>
        </w:rPr>
        <w:t>(aus)</w:t>
      </w:r>
      <w:r>
        <w:rPr/>
        <w:t xml:space="preserve"> den Toten auferweckt worden </w:t>
      </w:r>
      <w:r>
        <w:rPr>
          <w:color w:val="808080"/>
        </w:rPr>
        <w:t>(erstanden, auferstanden)</w:t>
      </w:r>
      <w:r>
        <w:rPr/>
        <w:t xml:space="preserve"> war, erinnerten sich seine Jünger, daß er dieses gesagt hatte, und sie glaubten der Schrift und dem Wort, das Jesus gesagt hatte.{{field-off:bible}} </w:t>
        <w:br/>
        <w:t>[[@BibleTOBIBLE:Jn 2:23]]</w:t>
      </w:r>
      <w:r>
        <w:rPr>
          <w:b/>
        </w:rPr>
        <w:t>23</w:t>
      </w:r>
      <w:r>
        <w:rPr/>
        <w:t xml:space="preserve"> {{field-on:bible}}Als er aber in Jerusalem während des Paschas </w:t>
      </w:r>
      <w:r>
        <w:rPr>
          <w:color w:val="808080"/>
        </w:rPr>
        <w:t>(Paschafestes)</w:t>
      </w:r>
      <w:r>
        <w:rPr/>
        <w:t xml:space="preserve">, während des Festes war, kamen viele zum Glauben </w:t>
      </w:r>
      <w:r>
        <w:rPr>
          <w:color w:val="808080"/>
        </w:rPr>
        <w:t>(glaubten viele)</w:t>
      </w:r>
      <w:r>
        <w:rPr/>
        <w:t xml:space="preserve"> an seinen Namen, da sie die Zeichen sahen, die er tat.{{field-off:bible}} </w:t>
        <w:br/>
        <w:t>[[@BibleTOBIBLE:Jn 2:24]]</w:t>
      </w:r>
      <w:r>
        <w:rPr>
          <w:b/>
        </w:rPr>
        <w:t>24</w:t>
      </w:r>
      <w:r>
        <w:rPr/>
        <w:t xml:space="preserve"> {{field-on:bible}}Jesus selbst aber vertraute sich ihnen nicht an, da er alle kannte{{field-off:bible}} </w:t>
        <w:br/>
        <w:t>[[@BibleTOBIBLE:Jn 2:25]]</w:t>
      </w:r>
      <w:r>
        <w:rPr>
          <w:b/>
        </w:rPr>
        <w:t>25</w:t>
      </w:r>
      <w:r>
        <w:rPr/>
        <w:t xml:space="preserve"> {{field-on:bible}}und weil er es nicht nötig hatte, daß einer Zeugnis gebe über den Menschen, selbst nämlich wußte </w:t>
      </w:r>
      <w:r>
        <w:rPr>
          <w:color w:val="808080"/>
        </w:rPr>
        <w:t>(erkannte)</w:t>
      </w:r>
      <w:r>
        <w:rPr/>
        <w:t xml:space="preserve"> er, was in dem Menschen war.{{field-off:bible}}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4909"/>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br/>
        <w:t>[[@BibleTOBIBLE:Jn 3:18]]</w:t>
      </w:r>
      <w:r>
        <w:rPr>
          <w:b/>
        </w:rPr>
        <w:t>18</w:t>
      </w:r>
      <w:r>
        <w:rPr/>
        <w:t xml:space="preserve"> {{field-on:bible}}Wer an ihn glaubt, wird nicht gerichtet. Wer aber nicht glaubt, ist schon gerichtet, weil er nicht an den Namen des einzig geborenen </w:t>
      </w:r>
      <w:r>
        <w:rPr>
          <w:color w:val="808080"/>
        </w:rPr>
        <w:t>(eingeborenen)</w:t>
      </w:r>
      <w:r>
        <w:rPr/>
        <w:t xml:space="preserve"> Sohnes Gottes geglaubt hat.{{field-off:bible}} </w:t>
        <w:br/>
        <w:t>[[@BibleTOBIBLE:Jn 3:19]]</w:t>
      </w:r>
      <w:r>
        <w:rPr>
          <w:b/>
        </w:rPr>
        <w:t>19</w:t>
      </w:r>
      <w:r>
        <w:rPr/>
        <w:t xml:space="preserve"> {{field-on:bible}}Dies aber ist das Urteil </w:t>
      </w:r>
      <w:r>
        <w:rPr>
          <w:color w:val="808080"/>
        </w:rPr>
        <w:t>(das Gericht)</w:t>
      </w:r>
      <w:r>
        <w:rPr/>
        <w:t xml:space="preserve">, daß das Licht in die Welt kam und die Menschen die Dunkelheit </w:t>
      </w:r>
      <w:r>
        <w:rPr>
          <w:color w:val="808080"/>
        </w:rPr>
        <w:t>(Finsternis)</w:t>
      </w:r>
      <w:r>
        <w:rPr/>
        <w:t xml:space="preserve"> mehr liebten als das Licht – ihre Werke waren nämlich böse </w:t>
      </w:r>
      <w:r>
        <w:rPr>
          <w:color w:val="808080"/>
        </w:rPr>
        <w:t>(schlecht)</w:t>
      </w:r>
      <w:r>
        <w:rPr/>
        <w:t xml:space="preserve">.{{field-off:bible}} </w:t>
        <w:br/>
        <w:t>[[@BibleTOBIBLE:Jn 3:20]]</w:t>
      </w:r>
      <w:r>
        <w:rPr>
          <w:b/>
        </w:rPr>
        <w:t>20</w:t>
      </w:r>
      <w:r>
        <w:rPr/>
        <w:t xml:space="preserve"> {{field-on:bible}}Jeder nämlich, der das Schlechte tut </w:t>
      </w:r>
      <w:r>
        <w:rPr>
          <w:color w:val="808080"/>
        </w:rPr>
        <w:t>(zu tun pflegt)</w:t>
      </w:r>
      <w:r>
        <w:rPr/>
        <w:t xml:space="preserve">, haßt das Licht und kommt nicht zum Licht, damit seine Werke nicht bloßgestellt </w:t>
      </w:r>
      <w:r>
        <w:rPr>
          <w:color w:val="808080"/>
        </w:rPr>
        <w:t>(öffentlich gemacht und gerügt/verurteilt)</w:t>
      </w:r>
      <w:r>
        <w:rPr/>
        <w:t xml:space="preserve"> werden.{{field-off:bible}} </w:t>
        <w:br/>
        <w:t>[[@BibleTOBIBLE:Jn 3:21]]</w:t>
      </w:r>
      <w:r>
        <w:rPr>
          <w:b/>
        </w:rPr>
        <w:t>21</w:t>
      </w:r>
      <w:r>
        <w:rPr/>
        <w:t xml:space="preserve"> {{field-on:bible}}Wer aber die Wahrheit tut, kommt zum Licht, damit seine Taten offenbar </w:t>
      </w:r>
      <w:r>
        <w:rPr>
          <w:color w:val="808080"/>
        </w:rPr>
        <w:t>(sichtbar, bekannt)</w:t>
      </w:r>
      <w:r>
        <w:rPr/>
        <w:t xml:space="preserve"> werden, </w:t>
      </w:r>
      <w:r>
        <w:rPr>
          <w:b/>
          <w:color w:val="808080"/>
        </w:rPr>
        <w:t>[</w:t>
      </w:r>
      <w:r>
        <w:rPr/>
        <w:t>und offenbar wird,</w:t>
      </w:r>
      <w:r>
        <w:rPr>
          <w:b/>
          <w:color w:val="808080"/>
        </w:rPr>
        <w:t>]</w:t>
      </w:r>
      <w:r>
        <w:rPr/>
        <w:t xml:space="preserve"> daß sie in Gott </w:t>
      </w:r>
      <w:r>
        <w:rPr>
          <w:color w:val="808080"/>
        </w:rPr>
        <w:t>(mit Gottes Hilfe, nach Gottes Willen)</w:t>
      </w:r>
      <w:r>
        <w:rPr/>
        <w:t xml:space="preserve"> getan </w:t>
      </w:r>
      <w:r>
        <w:rPr>
          <w:color w:val="808080"/>
        </w:rPr>
        <w:t>(vollbracht, gewirkt)</w:t>
      </w:r>
      <w:r>
        <w:rPr/>
        <w:t xml:space="preserve"> sind.{{field-off:bible}} </w:t>
        <w:br/>
        <w:t>[[@BibleTOBIBLE:Jn 3:22]]</w:t>
      </w:r>
      <w:r>
        <w:rPr>
          <w:b/>
        </w:rPr>
        <w:t>22</w:t>
      </w:r>
      <w:r>
        <w:rPr/>
        <w:t xml:space="preserve"> {{field-on:bible}}Danach kamen </w:t>
      </w:r>
      <w:r>
        <w:rPr>
          <w:strike/>
          <w:color w:val="808080"/>
        </w:rPr>
        <w:t>{der}</w:t>
      </w:r>
      <w:r>
        <w:rPr/>
        <w:t xml:space="preserve"> Jesus und seine Jünger in das Land Judäa, und dort verweilte er mit ihnen und taufte.{{field-off:bible}} </w:t>
        <w:br/>
        <w:t>[[@BibleTOBIBLE:Jn 3:23]]</w:t>
      </w:r>
      <w:r>
        <w:rPr>
          <w:b/>
        </w:rPr>
        <w:t>23</w:t>
      </w:r>
      <w:r>
        <w:rPr/>
        <w:t xml:space="preserve"> {{field-on:bible}}Aber auch </w:t>
      </w:r>
      <w:r>
        <w:rPr>
          <w:strike/>
          <w:color w:val="808080"/>
        </w:rPr>
        <w:t>{der}</w:t>
      </w:r>
      <w:r>
        <w:rPr/>
        <w:t xml:space="preserve"> Johannes taufte </w:t>
      </w:r>
      <w:r>
        <w:rPr>
          <w:b/>
          <w:color w:val="808080"/>
        </w:rPr>
        <w:t>[</w:t>
      </w:r>
      <w:r>
        <w:rPr/>
        <w:t>damals</w:t>
      </w:r>
      <w:r>
        <w:rPr>
          <w:b/>
          <w:color w:val="808080"/>
        </w:rPr>
        <w:t>]</w:t>
      </w:r>
      <w:r>
        <w:rPr/>
        <w:t xml:space="preserve"> in Änon nahe Salims, weil es dort viel Wasser gab, und Leute kamen </w:t>
      </w:r>
      <w:r>
        <w:rPr>
          <w:color w:val="808080"/>
        </w:rPr>
        <w:t>(hinzu)</w:t>
      </w:r>
      <w:r>
        <w:rPr/>
        <w:t xml:space="preserve"> und ließen sich taufen </w:t>
      </w:r>
      <w:r>
        <w:rPr>
          <w:color w:val="808080"/>
        </w:rPr>
        <w:t>(wurden getauft)</w:t>
      </w:r>
      <w:r>
        <w:rPr/>
        <w:t xml:space="preserve">.{{field-off:bible}} </w:t>
        <w:br/>
        <w:t>[[@BibleTOBIBLE:Jn 3:24]]</w:t>
      </w:r>
      <w:r>
        <w:rPr>
          <w:b/>
        </w:rPr>
        <w:t>24</w:t>
      </w:r>
      <w:r>
        <w:rPr/>
        <w:t xml:space="preserve"> {{field-on:bible}}Johannes war </w:t>
      </w:r>
      <w:r>
        <w:rPr>
          <w:color w:val="808080"/>
        </w:rPr>
        <w:t>(lag)</w:t>
      </w:r>
      <w:r>
        <w:rPr/>
        <w:t xml:space="preserve"> nämlich noch nicht ins </w:t>
      </w:r>
      <w:r>
        <w:rPr>
          <w:color w:val="808080"/>
        </w:rPr>
        <w:t>(im)</w:t>
      </w:r>
      <w:r>
        <w:rPr/>
        <w:t xml:space="preserve"> Gefängniss geworfen </w:t>
      </w:r>
      <w:r>
        <w:rPr>
          <w:color w:val="808080"/>
        </w:rPr>
        <w:t>(worden)</w:t>
      </w:r>
      <w:r>
        <w:rPr/>
        <w:t xml:space="preserve">.{{field-off:bible}} </w:t>
        <w:br/>
        <w:t>[[@BibleTOBIBLE:Jn 3:25]]</w:t>
      </w:r>
      <w:r>
        <w:rPr>
          <w:b/>
        </w:rPr>
        <w:t>25</w:t>
      </w:r>
      <w:r>
        <w:rPr/>
        <w:t xml:space="preserve"> {{field-on:bible}}Es kam also zu einer Diskussion </w:t>
      </w:r>
      <w:r>
        <w:rPr>
          <w:color w:val="808080"/>
        </w:rPr>
        <w:t>(einer Auseinandersetzung, einem Wortgefecht)</w:t>
      </w:r>
      <w:r>
        <w:rPr/>
        <w:t xml:space="preserve"> ausgehend von </w:t>
      </w:r>
      <w:r>
        <w:rPr>
          <w:color w:val="808080"/>
        </w:rPr>
        <w:t>(unter, zwischen)</w:t>
      </w:r>
      <w:r>
        <w:rPr/>
        <w:t xml:space="preserve"> den Jüngern </w:t>
      </w:r>
      <w:r>
        <w:rPr>
          <w:color w:val="808080"/>
        </w:rPr>
        <w:t>(einigen der Jünger)</w:t>
      </w:r>
      <w:r>
        <w:rPr/>
        <w:t xml:space="preserve"> </w:t>
      </w:r>
      <w:r>
        <w:rPr>
          <w:b/>
          <w:color w:val="808080"/>
        </w:rPr>
        <w:t>[</w:t>
      </w:r>
      <w:r>
        <w:rPr/>
        <w:t>des</w:t>
      </w:r>
      <w:r>
        <w:rPr>
          <w:b/>
          <w:color w:val="808080"/>
        </w:rPr>
        <w:t>]</w:t>
      </w:r>
      <w:r>
        <w:rPr/>
        <w:t xml:space="preserve"> Johannes und </w:t>
      </w:r>
      <w:r>
        <w:rPr>
          <w:color w:val="808080"/>
        </w:rPr>
        <w:t>(mit)</w:t>
      </w:r>
      <w:r>
        <w:rPr/>
        <w:t xml:space="preserve"> einem Juden über die Frage der </w:t>
      </w:r>
      <w:r>
        <w:rPr>
          <w:color w:val="808080"/>
        </w:rPr>
        <w:t>(über die)</w:t>
      </w:r>
      <w:r>
        <w:rPr/>
        <w:t xml:space="preserve"> Reinigung.{{field-off:bible}} </w:t>
        <w:br/>
        <w:t>[[@BibleTOBIBLE:Jn 3:26]]</w:t>
      </w:r>
      <w:r>
        <w:rPr>
          <w:b/>
        </w:rPr>
        <w:t>26</w:t>
      </w:r>
      <w:r>
        <w:rPr/>
        <w:t xml:space="preserve"> {{field-on:bible}}Und sie kamen zu </w:t>
      </w:r>
      <w:r>
        <w:rPr>
          <w:strike/>
          <w:color w:val="808080"/>
        </w:rPr>
        <w:t>{dem}</w:t>
      </w:r>
      <w:r>
        <w:rPr/>
        <w:t xml:space="preserve"> Johannes und sagten ihm: „Rabbi, der </w:t>
      </w:r>
      <w:r>
        <w:rPr>
          <w:b/>
          <w:color w:val="808080"/>
        </w:rPr>
        <w:t>[</w:t>
      </w:r>
      <w:r>
        <w:rPr/>
        <w:t>Mann</w:t>
      </w:r>
      <w:r>
        <w:rPr>
          <w:b/>
          <w:color w:val="808080"/>
        </w:rPr>
        <w:t>]</w:t>
      </w:r>
      <w:r>
        <w:rPr/>
        <w:t xml:space="preserve">, der mit Dir auf der anderen Seite des Jordans war, über </w:t>
      </w:r>
      <w:r>
        <w:rPr>
          <w:color w:val="808080"/>
        </w:rPr>
        <w:t>(für)</w:t>
      </w:r>
      <w:r>
        <w:rPr/>
        <w:t xml:space="preserve"> den Du Zeugnis gegeben hast, sieh, dieser tauft und alle kommen zu ihm.“{{field-off:bible}} </w:t>
        <w:br/>
        <w:t>[[@BibleTOBIBLE:Jn 3:27]]</w:t>
      </w:r>
      <w:r>
        <w:rPr>
          <w:b/>
        </w:rPr>
        <w:t>27</w:t>
      </w:r>
      <w:r>
        <w:rPr/>
        <w:t xml:space="preserve"> {{field-on:bible}}Johannes antwortete und sagte: „Ein Mensch kann </w:t>
      </w:r>
      <w:r>
        <w:rPr>
          <w:b/>
          <w:color w:val="808080"/>
        </w:rPr>
        <w:t>[</w:t>
      </w:r>
      <w:r>
        <w:rPr/>
        <w:t>sich</w:t>
      </w:r>
      <w:r>
        <w:rPr>
          <w:b/>
          <w:color w:val="808080"/>
        </w:rPr>
        <w:t>]</w:t>
      </w:r>
      <w:r>
        <w:rPr/>
        <w:t xml:space="preserve"> nichts </w:t>
      </w:r>
      <w:r>
        <w:rPr>
          <w:color w:val="808080"/>
        </w:rPr>
        <w:t>(nicht einmal eine einzige Sache)</w:t>
      </w:r>
      <w:r>
        <w:rPr/>
        <w:t xml:space="preserve"> nehmen, wenn es </w:t>
      </w:r>
      <w:r>
        <w:rPr>
          <w:color w:val="808080"/>
        </w:rPr>
        <w:t>(sie)</w:t>
      </w:r>
      <w:r>
        <w:rPr/>
        <w:t xml:space="preserve"> ihm nicht aus dem </w:t>
      </w:r>
      <w:r>
        <w:rPr>
          <w:color w:val="808080"/>
        </w:rPr>
        <w:t>(vom)</w:t>
      </w:r>
      <w:r>
        <w:rPr/>
        <w:t xml:space="preserve"> Himmel gegeben ist </w:t>
      </w:r>
      <w:r>
        <w:rPr>
          <w:color w:val="808080"/>
        </w:rPr>
        <w:t>(wird)</w:t>
      </w:r>
      <w:r>
        <w:rPr/>
        <w:t xml:space="preserve">.{{field-off:bible}} </w:t>
        <w:br/>
        <w:t>[[@BibleTOBIBLE:Jn 3:28]]</w:t>
      </w:r>
      <w:r>
        <w:rPr>
          <w:b/>
        </w:rPr>
        <w:t>28</w:t>
      </w:r>
      <w:r>
        <w:rPr/>
        <w:t xml:space="preserve"> {{field-on:bible}}Ihr selbst seid meine Zeugen </w:t>
      </w:r>
      <w:r>
        <w:rPr>
          <w:color w:val="808080"/>
        </w:rPr>
        <w:t>(bezeugt mir)</w:t>
      </w:r>
      <w:r>
        <w:rPr/>
        <w:t xml:space="preserve">, daß ich gesagt habe: »Nicht bin ich der Christus </w:t>
      </w:r>
      <w:r>
        <w:rPr>
          <w:color w:val="808080"/>
        </w:rPr>
        <w:t>(Messias)</w:t>
      </w:r>
      <w:r>
        <w:rPr/>
        <w:t xml:space="preserve">, sondern </w:t>
      </w:r>
      <w:r>
        <w:rPr>
          <w:strike/>
          <w:color w:val="808080"/>
        </w:rPr>
        <w:t>{daß}</w:t>
      </w:r>
      <w:r>
        <w:rPr/>
        <w:t xml:space="preserve"> ein Bote </w:t>
      </w:r>
      <w:r>
        <w:rPr>
          <w:color w:val="808080"/>
        </w:rPr>
        <w:t>(Gesandter)</w:t>
      </w:r>
      <w:r>
        <w:rPr/>
        <w:t xml:space="preserve"> bin ich vor ihm </w:t>
      </w:r>
      <w:r>
        <w:rPr>
          <w:color w:val="808080"/>
        </w:rPr>
        <w:t>(jenem)</w:t>
      </w:r>
      <w:r>
        <w:rPr/>
        <w:t xml:space="preserve">.«{{field-off:bible}} </w:t>
        <w:br/>
        <w:t>[[@BibleTOBIBLE:Jn 3:29]]</w:t>
      </w:r>
      <w:r>
        <w:rPr>
          <w:b/>
        </w:rPr>
        <w:t>29</w:t>
      </w:r>
      <w:r>
        <w:rPr/>
        <w:t xml:space="preserve"> {{field-on:bible}}Wer die Braut hat, </w:t>
      </w:r>
      <w:r>
        <w:rPr>
          <w:b/>
          <w:color w:val="808080"/>
        </w:rPr>
        <w:t>[</w:t>
      </w:r>
      <w:r>
        <w:rPr/>
        <w:t>der</w:t>
      </w:r>
      <w:r>
        <w:rPr>
          <w:b/>
          <w:color w:val="808080"/>
        </w:rPr>
        <w:t>]</w:t>
      </w:r>
      <w:r>
        <w:rPr/>
        <w:t xml:space="preserve"> ist der Bräutigam. Der Freund des Bräutigams aber, der dabeisteht </w:t>
      </w:r>
      <w:r>
        <w:rPr>
          <w:color w:val="808080"/>
        </w:rPr>
        <w:t>(steht)</w:t>
      </w:r>
      <w:r>
        <w:rPr/>
        <w:t xml:space="preserve"> und ihn hört, freut sich mit Freude wegen der Stimme des Bräutigams. Diese meine Freude ist also jetzt erfüllt </w:t>
      </w:r>
      <w:r>
        <w:rPr>
          <w:color w:val="808080"/>
        </w:rPr>
        <w:t>(vervollständigt)</w:t>
      </w:r>
      <w:r>
        <w:rPr/>
        <w:t xml:space="preserve">.{{field-off:bible}} </w:t>
        <w:br/>
        <w:t>[[@BibleTOBIBLE:Jn 3:30]]</w:t>
      </w:r>
      <w:r>
        <w:rPr>
          <w:b/>
        </w:rPr>
        <w:t>30</w:t>
      </w:r>
      <w:r>
        <w:rPr/>
        <w:t xml:space="preserve"> {{field-on:bible}}Jener muß wachsen, ich aber kleiner werden </w:t>
      </w:r>
      <w:r>
        <w:rPr>
          <w:color w:val="808080"/>
        </w:rPr>
        <w:t>(abnehmen)</w:t>
      </w:r>
      <w:r>
        <w:rPr/>
        <w:t>.“</w:t>
      </w:r>
      <w:r>
        <w:rPr>
          <w:rStyle w:val="Funotenanker"/>
        </w:rPr>
        <w:footnoteReference w:customMarkFollows="1" w:id="4910"/>
        <w:t>a</w:t>
      </w:r>
      <w:r>
        <w:rPr/>
        <w:t xml:space="preserve"> {{field-off:bible}} </w:t>
        <w:br/>
        <w:t>[[@BibleTOBIBLE:Jn 3:31]]</w:t>
      </w:r>
      <w:r>
        <w:rPr>
          <w:b/>
        </w:rPr>
        <w:t>31</w:t>
      </w:r>
      <w:r>
        <w:rPr/>
        <w:t xml:space="preserve"> {{field-on:bible}}Wer von oben kommt, steht </w:t>
      </w:r>
      <w:r>
        <w:rPr>
          <w:color w:val="808080"/>
        </w:rPr>
        <w:t>(ist)</w:t>
      </w:r>
      <w:r>
        <w:rPr/>
        <w:t xml:space="preserve"> über allen. Wer aus der Erde </w:t>
      </w:r>
      <w:r>
        <w:rPr>
          <w:color w:val="808080"/>
        </w:rPr>
        <w:t>(irdisch)</w:t>
      </w:r>
      <w:r>
        <w:rPr/>
        <w:t xml:space="preserve"> ist, ist aus der Erde </w:t>
      </w:r>
      <w:r>
        <w:rPr>
          <w:color w:val="808080"/>
        </w:rPr>
        <w:t>(irdisch)</w:t>
      </w:r>
      <w:r>
        <w:rPr/>
        <w:t xml:space="preserve"> und spricht aus der Erde </w:t>
      </w:r>
      <w:r>
        <w:rPr>
          <w:color w:val="808080"/>
        </w:rPr>
        <w:t>(so spricht er auch, spricht irdisch)</w:t>
      </w:r>
      <w:r>
        <w:rPr/>
        <w:t xml:space="preserve">. Wer aus dem Himmel kommt, steht </w:t>
      </w:r>
      <w:r>
        <w:rPr>
          <w:color w:val="808080"/>
        </w:rPr>
        <w:t>(ist)</w:t>
      </w:r>
      <w:r>
        <w:rPr/>
        <w:t xml:space="preserve"> über allen.{{field-off:bible}} </w:t>
        <w:br/>
        <w:t>[[@BibleTOBIBLE:Jn 3:32]]</w:t>
      </w:r>
      <w:r>
        <w:rPr>
          <w:b/>
        </w:rPr>
        <w:t>32</w:t>
      </w:r>
      <w:r>
        <w:rPr/>
        <w:t xml:space="preserve"> {{field-on:bible}}Was er gesehen und gehört hat, dieses bezeugt er, und keiner nimmt sein Zeugnis an.{{field-off:bible}} </w:t>
        <w:br/>
        <w:t>[[@BibleTOBIBLE:Jn 3:33]]</w:t>
      </w:r>
      <w:r>
        <w:rPr>
          <w:b/>
        </w:rPr>
        <w:t>33</w:t>
      </w:r>
      <w:r>
        <w:rPr/>
        <w:t xml:space="preserve"> {{field-on:bible}}Wer sein Zeugnis annimmt, </w:t>
      </w:r>
      <w:r>
        <w:rPr>
          <w:b/>
          <w:color w:val="808080"/>
        </w:rPr>
        <w:t>[</w:t>
      </w:r>
      <w:r>
        <w:rPr/>
        <w:t>der</w:t>
      </w:r>
      <w:r>
        <w:rPr>
          <w:b/>
          <w:color w:val="808080"/>
        </w:rPr>
        <w:t>]</w:t>
      </w:r>
      <w:r>
        <w:rPr/>
        <w:t xml:space="preserve"> </w:t>
      </w:r>
      <w:r>
        <w:rPr>
          <w:color w:val="808080"/>
        </w:rPr>
        <w:t>(hat)</w:t>
      </w:r>
      <w:r>
        <w:rPr/>
        <w:t xml:space="preserve"> besiegelt </w:t>
      </w:r>
      <w:r>
        <w:rPr>
          <w:color w:val="808080"/>
        </w:rPr>
        <w:t>(bestätigt, beglaubigt)</w:t>
      </w:r>
      <w:r>
        <w:rPr/>
        <w:t xml:space="preserve">, daß Gott wahrhaftig ist.{{field-off:bible}} </w:t>
        <w:br/>
        <w:t>[[@BibleTOBIBLE:Jn 3:34]]</w:t>
      </w:r>
      <w:r>
        <w:rPr>
          <w:b/>
        </w:rPr>
        <w:t>34</w:t>
      </w:r>
      <w:r>
        <w:rPr/>
        <w:t xml:space="preserve"> {{field-on:bible}}Der nämlich, den Gott gesandt hat, </w:t>
      </w:r>
      <w:r>
        <w:rPr>
          <w:b/>
          <w:color w:val="808080"/>
        </w:rPr>
        <w:t>[</w:t>
      </w:r>
      <w:r>
        <w:rPr/>
        <w:t>der</w:t>
      </w:r>
      <w:r>
        <w:rPr>
          <w:b/>
          <w:color w:val="808080"/>
        </w:rPr>
        <w:t>]</w:t>
      </w:r>
      <w:r>
        <w:rPr/>
        <w:t xml:space="preserve"> spricht die Worte Gottes, denn er</w:t>
      </w:r>
      <w:r>
        <w:rPr>
          <w:rStyle w:val="Funotenanker"/>
        </w:rPr>
        <w:footnoteReference w:customMarkFollows="1" w:id="4911"/>
        <w:t>b</w:t>
      </w:r>
      <w:r>
        <w:rPr/>
        <w:t xml:space="preserve"> gibt den Geist nicht spärlich.{{field-off:bible}} </w:t>
        <w:br/>
        <w:t>[[@BibleTOBIBLE:Jn 3:35]]</w:t>
      </w:r>
      <w:r>
        <w:rPr>
          <w:b/>
        </w:rPr>
        <w:t>35</w:t>
      </w:r>
      <w:r>
        <w:rPr/>
        <w:t xml:space="preserve"> {{field-on:bible}}Der Vater liebt den Sohn, und alles </w:t>
      </w:r>
      <w:r>
        <w:rPr>
          <w:color w:val="808080"/>
        </w:rPr>
        <w:t>(alle Dinge)</w:t>
      </w:r>
      <w:r>
        <w:rPr/>
        <w:t xml:space="preserve"> hat er in seine Hand gegeben.{{field-off:bible}} </w:t>
        <w:br/>
        <w:t>[[@BibleTOBIBLE:Jn 3:36]]</w:t>
      </w:r>
      <w:r>
        <w:rPr>
          <w:b/>
        </w:rPr>
        <w:t>36</w:t>
      </w:r>
      <w:r>
        <w:rPr/>
        <w:t xml:space="preserve"> {{field-on:bible}}Wer an den Sohn glaubt, hat ewiges Leben. Wer aber dem Sohn nicht gehorcht, wird </w:t>
      </w:r>
      <w:r>
        <w:rPr>
          <w:b/>
          <w:color w:val="808080"/>
        </w:rPr>
        <w:t>[</w:t>
      </w:r>
      <w:r>
        <w:rPr/>
        <w:t>das</w:t>
      </w:r>
      <w:r>
        <w:rPr>
          <w:b/>
          <w:color w:val="808080"/>
        </w:rPr>
        <w:t>]</w:t>
      </w:r>
      <w:r>
        <w:rPr/>
        <w:t xml:space="preserve"> Leben nicht sehen, sondern der Zorn Gottes bleibt auf ihm.{{field-off:bible}}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4912"/>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4913"/>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4914"/>
        <w:t>Status</w:t>
      </w:r>
      <w:r>
        <w:rPr/>
        <w:t xml:space="preserve"> Danach </w:t>
      </w:r>
      <w:r>
        <w:rPr>
          <w:color w:val="808080"/>
        </w:rPr>
        <w:t>(Nach diesen Dingen)</w:t>
      </w:r>
      <w:r>
        <w:rPr/>
        <w:t xml:space="preserve"> war </w:t>
      </w:r>
      <w:r>
        <w:rPr>
          <w:color w:val="808080"/>
        </w:rPr>
        <w:t>(gab es)</w:t>
      </w:r>
      <w:r>
        <w:rPr/>
        <w:t xml:space="preserve"> </w:t>
      </w:r>
      <w:r>
        <w:rPr>
          <w:color w:val="808080"/>
        </w:rPr>
        <w:t>(fand)</w:t>
      </w:r>
      <w:r>
        <w:rPr/>
        <w:t xml:space="preserve"> ein Fest der Juden </w:t>
      </w:r>
      <w:r>
        <w:rPr>
          <w:color w:val="808080"/>
        </w:rPr>
        <w:t>(statt)</w:t>
      </w:r>
      <w:r>
        <w:rPr/>
        <w:t xml:space="preserve"> und Jesus ging </w:t>
      </w:r>
      <w:r>
        <w:rPr>
          <w:color w:val="808080"/>
        </w:rPr>
        <w:t>(stieg)</w:t>
      </w:r>
      <w:r>
        <w:rPr/>
        <w:t xml:space="preserve"> nach Jerusalem hinauf.{{field-off:bible}} </w:t>
        <w:br/>
        <w:t>[[@BibleTOBIBLE:Jn 5:2]]</w:t>
      </w:r>
      <w:r>
        <w:rPr>
          <w:b/>
        </w:rPr>
        <w:t>2</w:t>
      </w:r>
      <w:r>
        <w:rPr/>
        <w:t xml:space="preserve"> {{field-on:bible}}Es gibt aber in Jerusalem beim Schafstor</w:t>
      </w:r>
      <w:r>
        <w:rPr>
          <w:rStyle w:val="Funotenanker"/>
        </w:rPr>
        <w:footnoteReference w:customMarkFollows="1" w:id="4915"/>
        <w:t>a</w:t>
      </w:r>
      <w:r>
        <w:rPr/>
        <w:t xml:space="preserve"> einen Teich, der auf hebräisch </w:t>
      </w:r>
      <w:r>
        <w:rPr>
          <w:color w:val="808080"/>
        </w:rPr>
        <w:t>(auch)</w:t>
      </w:r>
      <w:r>
        <w:rPr/>
        <w:t xml:space="preserve"> Betzata</w:t>
      </w:r>
      <w:r>
        <w:rPr>
          <w:rStyle w:val="Funotenanker"/>
        </w:rPr>
        <w:footnoteReference w:customMarkFollows="1" w:id="4916"/>
        <w:t>b</w:t>
      </w:r>
      <w:r>
        <w:rPr/>
        <w:t xml:space="preserve"> heißt </w:t>
      </w:r>
      <w:r>
        <w:rPr>
          <w:color w:val="808080"/>
        </w:rPr>
        <w:t>(genannt wird)</w:t>
      </w:r>
      <w:r>
        <w:rPr/>
        <w:t xml:space="preserve"> und der fünf Säulenhallen hat.{{field-off:bible}} </w:t>
        <w:br/>
        <w:t>[[@BibleTOBIBLE:Jn 5:3]]</w:t>
      </w:r>
      <w:r>
        <w:rPr>
          <w:b/>
        </w:rPr>
        <w:t>3</w:t>
      </w:r>
      <w:r>
        <w:rPr/>
        <w:t xml:space="preserve"> {{field-on:bible}}In diesen lag eine Menge der Kranken, Blinden, Lahmen, Vertrockneten </w:t>
      </w:r>
      <w:r>
        <w:rPr>
          <w:color w:val="808080"/>
        </w:rPr>
        <w:t>(Dürren, an Auszehrung Leidenden, Verkrüppelten)</w:t>
      </w:r>
      <w:r>
        <w:rPr/>
        <w:t xml:space="preserve">.{{field-off:bible}} </w:t>
        <w:br/>
        <w:t>[[@BibleTOBIBLE:Jn 5:4]]</w:t>
      </w:r>
      <w:r>
        <w:rPr>
          <w:b/>
        </w:rPr>
        <w:t>4</w:t>
      </w:r>
      <w:r>
        <w:rPr/>
        <w:t xml:space="preserve"> {{field-on:bible}} </w:t>
      </w:r>
      <w:r>
        <w:rPr>
          <w:rStyle w:val="Funotenanker"/>
        </w:rPr>
        <w:footnoteReference w:customMarkFollows="1" w:id="4917"/>
        <w:t>c</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5:7]]</w:t>
      </w:r>
      <w:r>
        <w:rPr>
          <w:b/>
        </w:rPr>
        <w:t>7</w:t>
      </w:r>
      <w:r>
        <w:rPr/>
        <w:t xml:space="preserve"> {{field-on:bible}}Der Kranke antwortete ihm: Herr, ich habe keinen Menschen, der </w:t>
      </w:r>
      <w:r>
        <w:rPr>
          <w:color w:val="808080"/>
        </w:rPr>
        <w:t>(daß er)</w:t>
      </w:r>
      <w:r>
        <w:rPr/>
        <w:t xml:space="preserve"> mich in den Teich hinabläßt </w:t>
      </w:r>
      <w:r>
        <w:rPr>
          <w:color w:val="808080"/>
        </w:rPr>
        <w:t>(bringt, wirft; hinablasse, bringe, werfe)</w:t>
      </w:r>
      <w:r>
        <w:rPr/>
        <w:t xml:space="preserve">, wenn das Wasser aufgewühlt </w:t>
      </w:r>
      <w:r>
        <w:rPr>
          <w:color w:val="808080"/>
        </w:rPr>
        <w:t>(bewegt)</w:t>
      </w:r>
      <w:r>
        <w:rPr/>
        <w:t xml:space="preserve"> wird. Während aber ich selbst hingehe </w:t>
      </w:r>
      <w:r>
        <w:rPr>
          <w:color w:val="808080"/>
        </w:rPr>
        <w:t>(komme)</w:t>
      </w:r>
      <w:r>
        <w:rPr/>
        <w:t xml:space="preserve">, steigt ein anderer vor mir hinab.{{field-off:bible}}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br/>
        <w:t>[[@BibleTOBIBLE:Jn 5:10]]</w:t>
      </w:r>
      <w:r>
        <w:rPr>
          <w:b/>
        </w:rPr>
        <w:t>10</w:t>
      </w:r>
      <w:r>
        <w:rPr/>
        <w:t xml:space="preserve"> {{field-on:bible}}Die Juden sagten also dem Geheilten: Es ist Sabbat, und Dir ist nicht erlaubt, Deine Bahre </w:t>
      </w:r>
      <w:r>
        <w:rPr>
          <w:color w:val="808080"/>
        </w:rPr>
        <w:t>(Matte, Dein Bett)</w:t>
      </w:r>
      <w:r>
        <w:rPr/>
        <w:t xml:space="preserve"> zu tragen </w:t>
      </w:r>
      <w:r>
        <w:rPr>
          <w:color w:val="808080"/>
        </w:rPr>
        <w:t>(aufzuheben, zu nehmen)</w:t>
      </w:r>
      <w:r>
        <w:rPr/>
        <w:t xml:space="preserve">.{{field-off:bible}} </w:t>
        <w:br/>
        <w:t>[[@BibleTOBIBLE:Jn 5:11]]</w:t>
      </w:r>
      <w:r>
        <w:rPr>
          <w:b/>
        </w:rPr>
        <w:t>11</w:t>
      </w:r>
      <w:r>
        <w:rPr/>
        <w:t xml:space="preserve"> {{field-on:bible}}Der </w:t>
      </w:r>
      <w:r>
        <w:rPr>
          <w:color w:val="808080"/>
        </w:rPr>
        <w:t>(Er)</w:t>
      </w:r>
      <w:r>
        <w:rPr/>
        <w:t xml:space="preserve"> aber antwortete ihnen: </w:t>
      </w:r>
      <w:r>
        <w:rPr>
          <w:b/>
          <w:color w:val="808080"/>
        </w:rPr>
        <w:t>[</w:t>
      </w:r>
      <w:r>
        <w:rPr/>
        <w:t xml:space="preserve">Der </w:t>
      </w:r>
      <w:r>
        <w:rPr>
          <w:color w:val="808080"/>
        </w:rPr>
        <w:t>(Er)</w:t>
      </w:r>
      <w:r>
        <w:rPr/>
        <w:t>,</w:t>
      </w:r>
      <w:r>
        <w:rPr>
          <w:b/>
          <w:color w:val="808080"/>
        </w:rPr>
        <w:t>]</w:t>
      </w:r>
      <w:r>
        <w:rPr/>
        <w:t xml:space="preserve"> der mich gesund gemacht hat, der </w:t>
      </w:r>
      <w:r>
        <w:rPr>
          <w:color w:val="808080"/>
        </w:rPr>
        <w:t>(er, jener)</w:t>
      </w:r>
      <w:r>
        <w:rPr/>
        <w:t xml:space="preserve"> hat mir gesagt: Nimm </w:t>
      </w:r>
      <w:r>
        <w:rPr>
          <w:color w:val="808080"/>
        </w:rPr>
        <w:t>(trage, hebe)</w:t>
      </w:r>
      <w:r>
        <w:rPr/>
        <w:t xml:space="preserve"> Deine Bahre </w:t>
      </w:r>
      <w:r>
        <w:rPr>
          <w:color w:val="808080"/>
        </w:rPr>
        <w:t>(Matte, Dein Bett; auf)</w:t>
      </w:r>
      <w:r>
        <w:rPr/>
        <w:t xml:space="preserve"> und geh </w:t>
      </w:r>
      <w:r>
        <w:rPr>
          <w:color w:val="808080"/>
        </w:rPr>
        <w:t>(umher)</w:t>
      </w:r>
      <w:r>
        <w:rPr/>
        <w:t xml:space="preserve">.{{field-off:bible}} </w:t>
        <w:br/>
        <w:t>[[@BibleTOBIBLE:Jn 5:12]]</w:t>
      </w:r>
      <w:r>
        <w:rPr>
          <w:b/>
        </w:rPr>
        <w:t>12</w:t>
      </w:r>
      <w:r>
        <w:rPr/>
        <w:t xml:space="preserve"> {{field-on:bible}}Sie fragten ihn: Wer ist der Mensch, der Dir sagte: Nimm </w:t>
      </w:r>
      <w:r>
        <w:rPr>
          <w:color w:val="808080"/>
        </w:rPr>
        <w:t>(hebe auf, trage)</w:t>
      </w:r>
      <w:r>
        <w:rPr/>
        <w:t xml:space="preserve"> und geh </w:t>
      </w:r>
      <w:r>
        <w:rPr>
          <w:color w:val="808080"/>
        </w:rPr>
        <w:t>(umher)</w:t>
      </w:r>
      <w:r>
        <w:rPr/>
        <w:t xml:space="preserve">?{{field-off:bible}} </w:t>
        <w:br/>
        <w:t>[[@BibleTOBIBLE:Jn 5:13]]</w:t>
      </w:r>
      <w:r>
        <w:rPr>
          <w:b/>
        </w:rPr>
        <w:t>13</w:t>
      </w:r>
      <w:r>
        <w:rPr/>
        <w:t xml:space="preserve"> {{field-on:bible}}Der Geheilte aber wußte nicht, wer er </w:t>
      </w:r>
      <w:r>
        <w:rPr>
          <w:color w:val="808080"/>
        </w:rPr>
        <w:t>(es)</w:t>
      </w:r>
      <w:r>
        <w:rPr/>
        <w:t xml:space="preserve"> ist </w:t>
      </w:r>
      <w:r>
        <w:rPr>
          <w:color w:val="808080"/>
        </w:rPr>
        <w:t>(war)</w:t>
      </w:r>
      <w:r>
        <w:rPr/>
        <w:t xml:space="preserve">, denn </w:t>
      </w:r>
      <w:r>
        <w:rPr>
          <w:strike/>
          <w:color w:val="808080"/>
        </w:rPr>
        <w:t>{der}</w:t>
      </w:r>
      <w:r>
        <w:rPr/>
        <w:t xml:space="preserve"> Jesus hatte sich zurückgezogen </w:t>
      </w:r>
      <w:r>
        <w:rPr>
          <w:color w:val="808080"/>
        </w:rPr>
        <w:t>(entfernt, war entwichen)</w:t>
      </w:r>
      <w:r>
        <w:rPr/>
        <w:t xml:space="preserve">, da eine große Menge an dem Ort war.{{field-off:bible}} </w:t>
        <w:br/>
        <w:t>[[@BibleTOBIBLE:Jn 5:14]]</w:t>
      </w:r>
      <w:r>
        <w:rPr>
          <w:b/>
        </w:rPr>
        <w:t>14</w:t>
      </w:r>
      <w:r>
        <w:rPr/>
        <w:t xml:space="preserve"> {{field-on:bible}}Danach </w:t>
      </w:r>
      <w:r>
        <w:rPr>
          <w:color w:val="808080"/>
        </w:rPr>
        <w:t>(Nach diesen Dingen)</w:t>
      </w:r>
      <w:r>
        <w:rPr/>
        <w:t xml:space="preserve"> fand Jesus ihn im Tempel und sagte ihm: Sieh, gesund bist Du geworden; sündige nicht mehr, damit Dir nicht Schlimmeres geschieht.{{field-off:bible}} </w:t>
        <w:br/>
        <w:t>[[@BibleTOBIBLE:Jn 5:15]]</w:t>
      </w:r>
      <w:r>
        <w:rPr>
          <w:b/>
        </w:rPr>
        <w:t>15</w:t>
      </w:r>
      <w:r>
        <w:rPr/>
        <w:t xml:space="preserve"> {{field-on:bible}}Der Mann </w:t>
      </w:r>
      <w:r>
        <w:rPr>
          <w:color w:val="808080"/>
        </w:rPr>
        <w:t>(Mensch)</w:t>
      </w:r>
      <w:r>
        <w:rPr/>
        <w:t xml:space="preserve"> ging weg und berichtete </w:t>
      </w:r>
      <w:r>
        <w:rPr>
          <w:color w:val="808080"/>
        </w:rPr>
        <w:t>(meldete)</w:t>
      </w:r>
      <w:r>
        <w:rPr/>
        <w:t xml:space="preserve"> den Juden, daß Jesus es </w:t>
      </w:r>
      <w:r>
        <w:rPr>
          <w:color w:val="808080"/>
        </w:rPr>
        <w:t>(der)</w:t>
      </w:r>
      <w:r>
        <w:rPr/>
        <w:t xml:space="preserve"> ist, der ihn gesund machte </w:t>
      </w:r>
      <w:r>
        <w:rPr>
          <w:color w:val="808080"/>
        </w:rPr>
        <w:t>(gemacht hatte)</w:t>
      </w:r>
      <w:r>
        <w:rPr/>
        <w:t xml:space="preserve">.{{field-off:bible}} </w:t>
        <w:br/>
        <w:t>[[@BibleTOBIBLE:Jn 5:16]]</w:t>
      </w:r>
      <w:r>
        <w:rPr>
          <w:b/>
        </w:rPr>
        <w:t>16</w:t>
      </w:r>
      <w:r>
        <w:rPr/>
        <w:t xml:space="preserve"> {{field-on:bible}}Und deshalb verfolgten die Juden den Jesus, weil er das </w:t>
      </w:r>
      <w:r>
        <w:rPr>
          <w:color w:val="808080"/>
        </w:rPr>
        <w:t>(dies, diese Dinge)</w:t>
      </w:r>
      <w:r>
        <w:rPr/>
        <w:t xml:space="preserve"> an einem Sabbat gemacht hatte </w:t>
      </w:r>
      <w:r>
        <w:rPr>
          <w:color w:val="808080"/>
        </w:rPr>
        <w:t>(machte)</w:t>
      </w:r>
      <w:r>
        <w:rPr/>
        <w:t xml:space="preserve">.{{field-off:bible}} </w:t>
        <w:br/>
        <w:t>[[@BibleTOBIBLE:Jn 5:17]]</w:t>
      </w:r>
      <w:r>
        <w:rPr>
          <w:b/>
        </w:rPr>
        <w:t>17</w:t>
      </w:r>
      <w:r>
        <w:rPr/>
        <w:t xml:space="preserve"> {{field-on:bible}}Er </w:t>
      </w:r>
      <w:r>
        <w:rPr>
          <w:color w:val="808080"/>
        </w:rPr>
        <w:t>(Der)</w:t>
      </w:r>
      <w:r>
        <w:rPr/>
        <w:t xml:space="preserve"> </w:t>
      </w:r>
      <w:r>
        <w:rPr>
          <w:rStyle w:val="Funotenanker"/>
        </w:rPr>
        <w:footnoteReference w:customMarkFollows="1" w:id="4918"/>
        <w:t>d</w:t>
      </w:r>
      <w:r>
        <w:rPr/>
        <w:t xml:space="preserve"> antwortete ihnen: Mein Vater arbeitet </w:t>
      </w:r>
      <w:r>
        <w:rPr>
          <w:color w:val="808080"/>
        </w:rPr>
        <w:t>(wirkt)</w:t>
      </w:r>
      <w:r>
        <w:rPr/>
        <w:t xml:space="preserve"> bis jetzt und auch Ich arbeite </w:t>
      </w:r>
      <w:r>
        <w:rPr>
          <w:color w:val="808080"/>
        </w:rPr>
        <w:t>(wirke)</w:t>
      </w:r>
      <w:r>
        <w:rPr/>
        <w:t xml:space="preserve">.{{field-off:bible}} </w:t>
        <w:br/>
        <w:t>[[@BibleTOBIBLE:Jn 5:18]]</w:t>
      </w:r>
      <w:r>
        <w:rPr>
          <w:b/>
        </w:rPr>
        <w:t>18</w:t>
      </w:r>
      <w:r>
        <w:rPr/>
        <w:t xml:space="preserve"> {{field-on:bible}}Deshalb also suchten </w:t>
      </w:r>
      <w:r>
        <w:rPr>
          <w:color w:val="808080"/>
        </w:rPr>
        <w:t>(versuchten)</w:t>
      </w:r>
      <w:r>
        <w:rPr/>
        <w:t xml:space="preserve"> die Juden </w:t>
      </w:r>
      <w:r>
        <w:rPr>
          <w:b/>
          <w:color w:val="808080"/>
        </w:rPr>
        <w:t>[</w:t>
      </w:r>
      <w:r>
        <w:rPr/>
        <w:t>noch</w:t>
      </w:r>
      <w:r>
        <w:rPr>
          <w:b/>
          <w:color w:val="808080"/>
        </w:rPr>
        <w:t>]</w:t>
      </w:r>
      <w:r>
        <w:rPr/>
        <w:t xml:space="preserve"> mehr, ihn zu töten, weil er nicht allein den Sabbat brach, sondern auch </w:t>
      </w:r>
      <w:r>
        <w:rPr>
          <w:strike/>
          <w:color w:val="808080"/>
        </w:rPr>
        <w:t>{den}</w:t>
      </w:r>
      <w:r>
        <w:rPr/>
        <w:t xml:space="preserve"> Gott den eigenen Vater nannte </w:t>
      </w:r>
      <w:r>
        <w:rPr>
          <w:color w:val="808080"/>
        </w:rPr>
        <w:t>(sagte, Gott sei sein eigener Vater)</w:t>
      </w:r>
      <w:r>
        <w:rPr/>
        <w:t xml:space="preserve"> und sich selbst </w:t>
      </w:r>
      <w:r>
        <w:rPr>
          <w:b/>
          <w:color w:val="808080"/>
        </w:rPr>
        <w:t>[</w:t>
      </w:r>
      <w:r>
        <w:rPr/>
        <w:t>so</w:t>
      </w:r>
      <w:r>
        <w:rPr>
          <w:b/>
          <w:color w:val="808080"/>
        </w:rPr>
        <w:t>]</w:t>
      </w:r>
      <w:r>
        <w:rPr/>
        <w:t xml:space="preserve"> </w:t>
      </w:r>
      <w:r>
        <w:rPr>
          <w:strike/>
          <w:color w:val="808080"/>
        </w:rPr>
        <w:t>{dem}</w:t>
      </w:r>
      <w:r>
        <w:rPr/>
        <w:t xml:space="preserve"> Gott gleich machte.{{field-off:bible}} </w:t>
        <w:br/>
        <w:t>[[@BibleTOBIBLE:Jn 5:19]]</w:t>
      </w:r>
      <w:r>
        <w:rPr>
          <w:b/>
        </w:rPr>
        <w:t>19</w:t>
      </w:r>
      <w:r>
        <w:rPr/>
        <w:t xml:space="preserve"> {{field-on:bible}} </w:t>
      </w:r>
      <w:r>
        <w:rPr>
          <w:strike/>
          <w:color w:val="808080"/>
        </w:rPr>
        <w:t>{Der}</w:t>
      </w:r>
      <w:r>
        <w:rPr/>
        <w:t xml:space="preserve"> Jesus antwortete also und sagte ihnen: Amen, Amen, </w:t>
      </w:r>
      <w:r>
        <w:rPr>
          <w:color w:val="808080"/>
        </w:rPr>
        <w:t>(Wahrlich, wahrlich,)</w:t>
      </w:r>
      <w:r>
        <w:rPr/>
        <w:t xml:space="preserve"> ich sage Euch, der Sohn kann nichts von sich aus tun, wenn er nicht den Vater etwas tun sieht. Was </w:t>
      </w:r>
      <w:r>
        <w:rPr>
          <w:color w:val="808080"/>
        </w:rPr>
        <w:t>(welche Dinge)</w:t>
      </w:r>
      <w:r>
        <w:rPr/>
        <w:t xml:space="preserve"> immer nämlich jener tut, das </w:t>
      </w:r>
      <w:r>
        <w:rPr>
          <w:color w:val="808080"/>
        </w:rPr>
        <w:t>(diese Dinge)</w:t>
      </w:r>
      <w:r>
        <w:rPr/>
        <w:t xml:space="preserve"> tut gleicherweise auch der Sohn.{{field-off:bible}} </w:t>
        <w:br/>
        <w:t>[[@BibleTOBIBLE:Jn 5:20]]</w:t>
      </w:r>
      <w:r>
        <w:rPr>
          <w:b/>
        </w:rPr>
        <w:t>20</w:t>
      </w:r>
      <w:r>
        <w:rPr/>
        <w:t xml:space="preserve"> {{field-on:bible}}Der Vater nämlich liebt den Sohn und zeigt ihm alles </w:t>
      </w:r>
      <w:r>
        <w:rPr>
          <w:color w:val="808080"/>
        </w:rPr>
        <w:t>(alle Dinge)</w:t>
      </w:r>
      <w:r>
        <w:rPr/>
        <w:t xml:space="preserve">, was </w:t>
      </w:r>
      <w:r>
        <w:rPr>
          <w:color w:val="808080"/>
        </w:rPr>
        <w:t>(die)</w:t>
      </w:r>
      <w:r>
        <w:rPr/>
        <w:t xml:space="preserve"> er selbst tut, und größere Werke als dies </w:t>
      </w:r>
      <w:r>
        <w:rPr>
          <w:color w:val="808080"/>
        </w:rPr>
        <w:t>(diese)</w:t>
      </w:r>
      <w:r>
        <w:rPr/>
        <w:t xml:space="preserve"> wird er ihm zeigen, damit ihr Euch wundert </w:t>
      </w:r>
      <w:r>
        <w:rPr>
          <w:color w:val="808080"/>
        </w:rPr>
        <w:t>(staunt)</w:t>
      </w:r>
      <w:r>
        <w:rPr/>
        <w:t xml:space="preserve">.{{field-off:bible}} </w:t>
        <w:br/>
        <w:t>[[@BibleTOBIBLE:Jn 5:21]]</w:t>
      </w:r>
      <w:r>
        <w:rPr>
          <w:b/>
        </w:rPr>
        <w:t>21</w:t>
      </w:r>
      <w:r>
        <w:rPr/>
        <w:t xml:space="preserve"> {{field-on:bible}}Wie nämlich der Vater die Toten auferweckt </w:t>
      </w:r>
      <w:r>
        <w:rPr>
          <w:color w:val="808080"/>
        </w:rPr>
        <w:t>(erweckt, aufweckt)</w:t>
      </w:r>
      <w:r>
        <w:rPr/>
        <w:t xml:space="preserve"> und lebendig macht, so macht auch der Sohn die lebendig, die er will.{{field-off:bible}} </w:t>
        <w:br/>
        <w:t>[[@BibleTOBIBLE:Jn 5:22]]</w:t>
      </w:r>
      <w:r>
        <w:rPr>
          <w:b/>
        </w:rPr>
        <w:t>22</w:t>
      </w:r>
      <w:r>
        <w:rPr/>
        <w:t xml:space="preserve"> {{field-on:bible}}Und nicht nämlich richtet </w:t>
      </w:r>
      <w:r>
        <w:rPr>
          <w:color w:val="808080"/>
        </w:rPr>
        <w:t>(verurteilt)</w:t>
      </w:r>
      <w:r>
        <w:rPr/>
        <w:t xml:space="preserve"> der Vater irgend jemanden, sondern er gab das ganze Gericht dem Sohn,{{field-off:bible}} </w:t>
        <w:br/>
        <w:t>[[@BibleTOBIBLE:Jn 5:23]]</w:t>
      </w:r>
      <w:r>
        <w:rPr>
          <w:b/>
        </w:rPr>
        <w:t>23</w:t>
      </w:r>
      <w:r>
        <w:rPr/>
        <w:t xml:space="preserve"> {{field-on:bible}}damit alle den Sohn ehren, wie sie den Vater ehren. Wer den Sohn nicht ehrt, ehrt den Vater nicht, der ihn gesandt hat.{{field-off:bible}} </w:t>
        <w:br/>
        <w:t>[[@BibleTOBIBLE:Jn 5:24]]</w:t>
      </w:r>
      <w:r>
        <w:rPr>
          <w:b/>
        </w:rPr>
        <w:t>24</w:t>
      </w:r>
      <w:r>
        <w:rPr/>
        <w:t xml:space="preserve"> {{field-on:bible}}Amen, Amen </w:t>
      </w:r>
      <w:r>
        <w:rPr>
          <w:color w:val="808080"/>
        </w:rPr>
        <w:t>(Wahrlich, wahrlich)</w:t>
      </w:r>
      <w:r>
        <w:rPr/>
        <w:t xml:space="preserve">, ich sage Euch: </w:t>
      </w:r>
      <w:r>
        <w:rPr>
          <w:strike/>
          <w:color w:val="808080"/>
        </w:rPr>
        <w:t>{daß}</w:t>
      </w:r>
      <w:r>
        <w:rPr/>
        <w:t xml:space="preserve"> Wer mein Wort hört und dem glaubt </w:t>
      </w:r>
      <w:r>
        <w:rPr>
          <w:color w:val="808080"/>
        </w:rPr>
        <w:t>(vertraut)</w:t>
      </w:r>
      <w:r>
        <w:rPr/>
        <w:t xml:space="preserve">, der mich gesandt hat, hat ewiges Leben und kommt nicht ins </w:t>
      </w:r>
      <w:r>
        <w:rPr>
          <w:color w:val="808080"/>
        </w:rPr>
        <w:t>(in ein)</w:t>
      </w:r>
      <w:r>
        <w:rPr/>
        <w:t xml:space="preserve"> Gericht, sondern ist aus dem Tod in das Leben hinübergegangen.{{field-off:bible}} </w:t>
        <w:br/>
        <w:t>[[@BibleTOBIBLE:Jn 5:25]]</w:t>
      </w:r>
      <w:r>
        <w:rPr>
          <w:b/>
        </w:rPr>
        <w:t>25</w:t>
      </w:r>
      <w:r>
        <w:rPr/>
        <w:t xml:space="preserve"> {{field-on:bible}}Amen, Amen </w:t>
      </w:r>
      <w:r>
        <w:rPr>
          <w:color w:val="808080"/>
        </w:rPr>
        <w:t>(Wahrlich, wahrlich)</w:t>
      </w:r>
      <w:r>
        <w:rPr/>
        <w:t xml:space="preserve">, ich sage Euch: </w:t>
      </w:r>
      <w:r>
        <w:rPr>
          <w:strike/>
          <w:color w:val="808080"/>
        </w:rPr>
        <w:t>{daß}</w:t>
      </w:r>
      <w:r>
        <w:rPr/>
        <w:t xml:space="preserve"> Die Stunde kommt und ist jetzt </w:t>
      </w:r>
      <w:r>
        <w:rPr>
          <w:b/>
          <w:color w:val="808080"/>
        </w:rPr>
        <w:t>[</w:t>
      </w:r>
      <w:r>
        <w:rPr/>
        <w:t>da</w:t>
      </w:r>
      <w:r>
        <w:rPr>
          <w:b/>
          <w:color w:val="808080"/>
        </w:rPr>
        <w:t>]</w:t>
      </w:r>
      <w:r>
        <w:rPr/>
        <w:t xml:space="preserve">, wenn die Toten die Stimme des Sohnes Gottes hören werden und diejenigen, die hören, werden leben.{{field-off:bible}} </w:t>
        <w:br/>
        <w:t>[[@BibleTOBIBLE:Jn 5:26]]</w:t>
      </w:r>
      <w:r>
        <w:rPr>
          <w:b/>
        </w:rPr>
        <w:t>26</w:t>
      </w:r>
      <w:r>
        <w:rPr/>
        <w:t xml:space="preserve"> {{field-on:bible}}Wie nämlich der Vater das Leben in sich selbst hat, so auch gab er dem Sohn, Leben in sich selbst zu haben.{{field-off:bible}} </w:t>
        <w:br/>
        <w:t>[[@BibleTOBIBLE:Jn 5:27]]</w:t>
      </w:r>
      <w:r>
        <w:rPr>
          <w:b/>
        </w:rPr>
        <w:t>27</w:t>
      </w:r>
      <w:r>
        <w:rPr/>
        <w:t xml:space="preserve"> {{field-on:bible}}Und er gab ihm Vollmacht, zu richten </w:t>
      </w:r>
      <w:r>
        <w:rPr>
          <w:color w:val="808080"/>
        </w:rPr>
        <w:t>(zu urteilen, Gericht zu halten)</w:t>
      </w:r>
      <w:r>
        <w:rPr/>
        <w:t xml:space="preserve">, weil er Menschensohn </w:t>
      </w:r>
      <w:r>
        <w:rPr>
          <w:color w:val="808080"/>
        </w:rPr>
        <w:t>(Sohn eines Menschen, ein Menschensohn)</w:t>
      </w:r>
      <w:r>
        <w:rPr/>
        <w:t xml:space="preserve"> ist.{{field-off:bible}} </w:t>
        <w:br/>
        <w:t>[[@BibleTOBIBLE:Jn 5:28]]</w:t>
      </w:r>
      <w:r>
        <w:rPr>
          <w:b/>
        </w:rPr>
        <w:t>28</w:t>
      </w:r>
      <w:r>
        <w:rPr/>
        <w:t xml:space="preserve"> {{field-on:bible}} </w:t>
      </w:r>
      <w:r>
        <w:rPr>
          <w:color w:val="808080"/>
        </w:rPr>
        <w:t>(Ihr)</w:t>
      </w:r>
      <w:r>
        <w:rPr/>
        <w:t xml:space="preserve"> Wundert Euch </w:t>
      </w:r>
      <w:r>
        <w:rPr>
          <w:color w:val="808080"/>
        </w:rPr>
        <w:t>(Staunt, Ihr Staunt)</w:t>
      </w:r>
      <w:r>
        <w:rPr/>
        <w:t xml:space="preserve"> nicht darüber, daß </w:t>
      </w:r>
      <w:r>
        <w:rPr>
          <w:color w:val="808080"/>
        </w:rPr>
        <w:t>(denn)</w:t>
      </w:r>
      <w:r>
        <w:rPr/>
        <w:t xml:space="preserve"> eine Stunde kommt, in der alle, die in den Gräbern </w:t>
      </w:r>
      <w:r>
        <w:rPr>
          <w:b/>
          <w:color w:val="808080"/>
        </w:rPr>
        <w:t>[</w:t>
      </w:r>
      <w:r>
        <w:rPr/>
        <w:t>sind</w:t>
      </w:r>
      <w:r>
        <w:rPr>
          <w:b/>
          <w:color w:val="808080"/>
        </w:rPr>
        <w:t>]</w:t>
      </w:r>
      <w:r>
        <w:rPr/>
        <w:t xml:space="preserve"> seine Stimme hören werden{{field-off:bible}} </w:t>
        <w:br/>
        <w:t>[[@BibleTOBIBLE:Jn 5:29]]</w:t>
      </w:r>
      <w:r>
        <w:rPr>
          <w:b/>
        </w:rPr>
        <w:t>29</w:t>
      </w:r>
      <w:r>
        <w:rPr/>
        <w:t xml:space="preserve"> {{field-on:bible}}und herausgehen werden: diejenigen, die das Gute getan haben, hin zu einer Auferstehung des Lebens, diejenigen aber, die das Schlechte </w:t>
      </w:r>
      <w:r>
        <w:rPr>
          <w:color w:val="808080"/>
        </w:rPr>
        <w:t>(die schlechten Dinge)</w:t>
      </w:r>
      <w:r>
        <w:rPr/>
        <w:t xml:space="preserve"> zu tun pflegten </w:t>
      </w:r>
      <w:r>
        <w:rPr>
          <w:color w:val="808080"/>
        </w:rPr>
        <w:t>(getan haben)</w:t>
      </w:r>
      <w:r>
        <w:rPr/>
        <w:t>, zu einer Auferstehung des Gerichts.</w:t>
      </w:r>
      <w:r>
        <w:rPr>
          <w:color w:val="808080"/>
        </w:rPr>
        <w:t>(?)</w:t>
      </w:r>
      <w:r>
        <w:rPr/>
        <w:t xml:space="preserve"> {{field-off:bible}} </w:t>
        <w:br/>
        <w:t>[[@BibleTOBIBLE:Jn 5:30]]</w:t>
      </w:r>
      <w:r>
        <w:rPr>
          <w:b/>
        </w:rPr>
        <w:t>30</w:t>
      </w:r>
      <w:r>
        <w:rPr/>
        <w:t xml:space="preserve"> {{field-on:bible}}Von mir aus kann ich nichts tun. Wie ich </w:t>
      </w:r>
      <w:r>
        <w:rPr>
          <w:b/>
          <w:color w:val="808080"/>
        </w:rPr>
        <w:t>[</w:t>
      </w:r>
      <w:r>
        <w:rPr/>
        <w:t>es</w:t>
      </w:r>
      <w:r>
        <w:rPr>
          <w:b/>
          <w:color w:val="808080"/>
        </w:rPr>
        <w:t>]</w:t>
      </w:r>
      <w:r>
        <w:rPr/>
        <w:t xml:space="preserve"> höre, </w:t>
      </w:r>
      <w:r>
        <w:rPr>
          <w:b/>
          <w:color w:val="808080"/>
        </w:rPr>
        <w:t>[</w:t>
      </w:r>
      <w:r>
        <w:rPr/>
        <w:t>so</w:t>
      </w:r>
      <w:r>
        <w:rPr>
          <w:b/>
          <w:color w:val="808080"/>
        </w:rPr>
        <w:t>]</w:t>
      </w:r>
      <w:r>
        <w:rPr/>
        <w:t xml:space="preserve"> richte </w:t>
      </w:r>
      <w:r>
        <w:rPr>
          <w:color w:val="808080"/>
        </w:rPr>
        <w:t>(urteile)</w:t>
      </w:r>
      <w:r>
        <w:rPr/>
        <w:t xml:space="preserve"> ich und mein Urteil </w:t>
      </w:r>
      <w:r>
        <w:rPr>
          <w:color w:val="808080"/>
        </w:rPr>
        <w:t>(Gericht)</w:t>
      </w:r>
      <w:r>
        <w:rPr/>
        <w:t xml:space="preserve"> ist gerecht, weil ich nicht meinen Willen suche, sondern den Willen dessen, der mich gesandt hat.{{field-off:bible}} </w:t>
        <w:br/>
        <w:t>[[@BibleTOBIBLE:Jn 5:31]]</w:t>
      </w:r>
      <w:r>
        <w:rPr>
          <w:b/>
        </w:rPr>
        <w:t>31</w:t>
      </w:r>
      <w:r>
        <w:rPr/>
        <w:t xml:space="preserve"> {{field-on:bible}}Wenn ich Zeugnis ablege über </w:t>
      </w:r>
      <w:r>
        <w:rPr>
          <w:color w:val="808080"/>
        </w:rPr>
        <w:t>(für)</w:t>
      </w:r>
      <w:r>
        <w:rPr/>
        <w:t xml:space="preserve"> mich, ist mein Zeugnis nicht wahr </w:t>
      </w:r>
      <w:r>
        <w:rPr>
          <w:color w:val="808080"/>
        </w:rPr>
        <w:t>(wahrhaftig, echt, gültig)</w:t>
      </w:r>
      <w:r>
        <w:rPr/>
        <w:t xml:space="preserve">.{{field-off:bible}} </w:t>
        <w:br/>
        <w:t>[[@BibleTOBIBLE:Jn 5:32]]</w:t>
      </w:r>
      <w:r>
        <w:rPr>
          <w:b/>
        </w:rPr>
        <w:t>32</w:t>
      </w:r>
      <w:r>
        <w:rPr/>
        <w:t xml:space="preserve"> {{field-on:bible}}Ein anderer ist es </w:t>
      </w:r>
      <w:r>
        <w:rPr>
          <w:color w:val="808080"/>
        </w:rPr>
        <w:t>(derjenige)</w:t>
      </w:r>
      <w:r>
        <w:rPr/>
        <w:t xml:space="preserve">, der Zeugnis über </w:t>
      </w:r>
      <w:r>
        <w:rPr>
          <w:color w:val="808080"/>
        </w:rPr>
        <w:t>(für)</w:t>
      </w:r>
      <w:r>
        <w:rPr/>
        <w:t xml:space="preserve"> mich ablegt, und ich weiß, daß das Zeugnis, das er über </w:t>
      </w:r>
      <w:r>
        <w:rPr>
          <w:color w:val="808080"/>
        </w:rPr>
        <w:t>(für)</w:t>
      </w:r>
      <w:r>
        <w:rPr/>
        <w:t xml:space="preserve"> mich ablegt </w:t>
      </w:r>
      <w:r>
        <w:rPr>
          <w:color w:val="808080"/>
        </w:rPr>
        <w:t>(bezeugt)</w:t>
      </w:r>
      <w:r>
        <w:rPr/>
        <w:t xml:space="preserve">, wahr </w:t>
      </w:r>
      <w:r>
        <w:rPr>
          <w:color w:val="808080"/>
        </w:rPr>
        <w:t>(wahrhaftig, echt)</w:t>
      </w:r>
      <w:r>
        <w:rPr/>
        <w:t xml:space="preserve"> ist.{{field-off:bible}} </w:t>
        <w:br/>
        <w:t>[[@BibleTOBIBLE:Jn 5:33]]</w:t>
      </w:r>
      <w:r>
        <w:rPr>
          <w:b/>
        </w:rPr>
        <w:t>33</w:t>
      </w:r>
      <w:r>
        <w:rPr/>
        <w:t xml:space="preserve"> {{field-on:bible}}Ihr habt zu Johannes gesandt, und er hat Zeugnis abgelegt für die Wahrheit.{{field-off:bible}} </w:t>
        <w:br/>
        <w:t>[[@BibleTOBIBLE:Jn 5:34]]</w:t>
      </w:r>
      <w:r>
        <w:rPr>
          <w:b/>
        </w:rPr>
        <w:t>34</w:t>
      </w:r>
      <w:r>
        <w:rPr/>
        <w:t xml:space="preserve"> {{field-on:bible}}Ich aber nehme von einem Menschen das Zeugnis nicht an, sondern ich sage das </w:t>
      </w:r>
      <w:r>
        <w:rPr>
          <w:color w:val="808080"/>
        </w:rPr>
        <w:t>(diese Dinge)</w:t>
      </w:r>
      <w:r>
        <w:rPr/>
        <w:t xml:space="preserve">, damit ihr gerettet werdet.{{field-off:bible}} </w:t>
        <w:br/>
        <w:t>[[@BibleTOBIBLE:Jn 5:35]]</w:t>
      </w:r>
      <w:r>
        <w:rPr>
          <w:b/>
        </w:rPr>
        <w:t>35</w:t>
      </w:r>
      <w:r>
        <w:rPr/>
        <w:t xml:space="preserve"> {{field-on:bible}}Jener war die Lampe, die brennt </w:t>
      </w:r>
      <w:r>
        <w:rPr>
          <w:color w:val="808080"/>
        </w:rPr>
        <w:t>(brannte, angezündet wird, verbrennt, verbrannte)</w:t>
      </w:r>
      <w:r>
        <w:rPr/>
        <w:t xml:space="preserve"> und leuchtet </w:t>
      </w:r>
      <w:r>
        <w:rPr>
          <w:color w:val="808080"/>
        </w:rPr>
        <w:t>(scheint, schien, leuchtete)</w:t>
      </w:r>
      <w:r>
        <w:rPr/>
        <w:t xml:space="preserve">, Ihr aber wolltet Euch für eine </w:t>
      </w:r>
      <w:r>
        <w:rPr>
          <w:color w:val="808080"/>
        </w:rPr>
        <w:t>(zu einer)</w:t>
      </w:r>
      <w:r>
        <w:rPr/>
        <w:t xml:space="preserve"> Stunde in seinem Licht erfreuen.{{field-off:bible}} </w:t>
        <w:br/>
        <w:t>[[@BibleTOBIBLE:Jn 5:36]]</w:t>
      </w:r>
      <w:r>
        <w:rPr>
          <w:b/>
        </w:rPr>
        <w:t>36</w:t>
      </w:r>
      <w:r>
        <w:rPr/>
        <w:t xml:space="preserve"> {{field-on:bible}}Ich aber habe ein </w:t>
      </w:r>
      <w:r>
        <w:rPr>
          <w:color w:val="808080"/>
        </w:rPr>
        <w:t>(das)</w:t>
      </w:r>
      <w:r>
        <w:rPr/>
        <w:t xml:space="preserve"> Zeugnis, </w:t>
      </w:r>
      <w:r>
        <w:rPr>
          <w:b/>
          <w:color w:val="808080"/>
        </w:rPr>
        <w:t>[</w:t>
      </w:r>
      <w:r>
        <w:rPr/>
        <w:t>das</w:t>
      </w:r>
      <w:r>
        <w:rPr>
          <w:b/>
          <w:color w:val="808080"/>
        </w:rPr>
        <w:t>]</w:t>
      </w:r>
      <w:r>
        <w:rPr/>
        <w:t xml:space="preserve"> größer </w:t>
      </w:r>
      <w:r>
        <w:rPr>
          <w:b/>
          <w:color w:val="808080"/>
        </w:rPr>
        <w:t>[</w:t>
      </w:r>
      <w:r>
        <w:rPr/>
        <w:t>ist</w:t>
      </w:r>
      <w:r>
        <w:rPr>
          <w:b/>
          <w:color w:val="808080"/>
        </w:rPr>
        <w:t>]</w:t>
      </w:r>
      <w:r>
        <w:rPr/>
        <w:t xml:space="preserve"> als das des Johannes. Die Werke nämlich, die mir der Vater gab, damit ich sie vollende </w:t>
      </w:r>
      <w:r>
        <w:rPr>
          <w:color w:val="808080"/>
        </w:rPr>
        <w:t>(verwirkliche, vollbringe)</w:t>
      </w:r>
      <w:r>
        <w:rPr/>
        <w:t xml:space="preserve">, diese Werke selbst, die ich tue, bezeugen </w:t>
      </w:r>
      <w:r>
        <w:rPr>
          <w:color w:val="808080"/>
        </w:rPr>
        <w:t>(legen Zeugnis ab)</w:t>
      </w:r>
      <w:r>
        <w:rPr/>
        <w:t xml:space="preserve"> über </w:t>
      </w:r>
      <w:r>
        <w:rPr>
          <w:color w:val="808080"/>
        </w:rPr>
        <w:t>(für)</w:t>
      </w:r>
      <w:r>
        <w:rPr/>
        <w:t xml:space="preserve"> mich, daß der Vater mich gesandt hat.{{field-off:bible}} </w:t>
        <w:br/>
        <w:t>[[@BibleTOBIBLE:Jn 5:37]]</w:t>
      </w:r>
      <w:r>
        <w:rPr>
          <w:b/>
        </w:rPr>
        <w:t>37</w:t>
      </w:r>
      <w:r>
        <w:rPr/>
        <w:t xml:space="preserve"> {{field-on:bible}}Und der Vater, der mich gesandt hat, jener hat Zeugnis abgelegt für </w:t>
      </w:r>
      <w:r>
        <w:rPr>
          <w:color w:val="808080"/>
        </w:rPr>
        <w:t>(über)</w:t>
      </w:r>
      <w:r>
        <w:rPr/>
        <w:t xml:space="preserve"> mich. Und Ihr habt weder jemals seine Stimme gehört noch seine Gestalt </w:t>
      </w:r>
      <w:r>
        <w:rPr>
          <w:color w:val="808080"/>
        </w:rPr>
        <w:t>(seine Erscheinung, seinen Anblick, seine Form)</w:t>
      </w:r>
      <w:r>
        <w:rPr/>
        <w:t xml:space="preserve"> gesehen{{field-off:bible}} </w:t>
        <w:br/>
        <w:t>[[@BibleTOBIBLE:Jn 5:38]]</w:t>
      </w:r>
      <w:r>
        <w:rPr>
          <w:b/>
        </w:rPr>
        <w:t>38</w:t>
      </w:r>
      <w:r>
        <w:rPr/>
        <w:t xml:space="preserve"> {{field-on:bible}}und sein Wort habt Ihr nicht dauerhaft </w:t>
      </w:r>
      <w:r>
        <w:rPr>
          <w:color w:val="808080"/>
        </w:rPr>
        <w:t>(bleibend)</w:t>
      </w:r>
      <w:r>
        <w:rPr/>
        <w:t xml:space="preserve"> in Euch </w:t>
      </w:r>
      <w:r>
        <w:rPr>
          <w:color w:val="808080"/>
        </w:rPr>
        <w:t>(wohnen)</w:t>
      </w:r>
      <w:r>
        <w:rPr/>
        <w:t xml:space="preserve">, weil Ihr dem, den er </w:t>
      </w:r>
      <w:r>
        <w:rPr>
          <w:color w:val="808080"/>
        </w:rPr>
        <w:t>(jener)</w:t>
      </w:r>
      <w:r>
        <w:rPr/>
        <w:t xml:space="preserve"> gesand hat, nicht glaubt.{{field-off:bible}} </w:t>
        <w:br/>
        <w:t>[[@BibleTOBIBLE:Jn 5:39]]</w:t>
      </w:r>
      <w:r>
        <w:rPr>
          <w:b/>
        </w:rPr>
        <w:t>39</w:t>
      </w:r>
      <w:r>
        <w:rPr/>
        <w:t xml:space="preserve"> {{field-on:bible}}Ihr erforscht </w:t>
      </w:r>
      <w:r>
        <w:rPr>
          <w:color w:val="808080"/>
        </w:rPr>
        <w:t>(durchforscht)</w:t>
      </w:r>
      <w:r>
        <w:rPr/>
        <w:t xml:space="preserve"> die Schriften, weil Ihr meint, in ihnen ewiges Leben zu haben. Und jene sind es, die Zeugnis ablegen über </w:t>
      </w:r>
      <w:r>
        <w:rPr>
          <w:color w:val="808080"/>
        </w:rPr>
        <w:t>(für)</w:t>
      </w:r>
      <w:r>
        <w:rPr/>
        <w:t xml:space="preserve"> mich.{{field-off:bible}} </w:t>
        <w:br/>
        <w:t>[[@BibleTOBIBLE:Jn 5:40]]</w:t>
      </w:r>
      <w:r>
        <w:rPr>
          <w:b/>
        </w:rPr>
        <w:t>40</w:t>
      </w:r>
      <w:r>
        <w:rPr/>
        <w:t xml:space="preserve"> {{field-on:bible}}Und Ihr wollt nicht zu mir kommen, um </w:t>
      </w:r>
      <w:r>
        <w:rPr>
          <w:color w:val="808080"/>
        </w:rPr>
        <w:t>(damit Ihr)</w:t>
      </w:r>
      <w:r>
        <w:rPr/>
        <w:t xml:space="preserve"> Leben zu haben </w:t>
      </w:r>
      <w:r>
        <w:rPr>
          <w:color w:val="808080"/>
        </w:rPr>
        <w:t>(habt)</w:t>
      </w:r>
      <w:r>
        <w:rPr/>
        <w:t xml:space="preserve">.{{field-off:bible}} </w:t>
        <w:br/>
        <w:t>[[@BibleTOBIBLE:Jn 5:41]]</w:t>
      </w:r>
      <w:r>
        <w:rPr>
          <w:b/>
        </w:rPr>
        <w:t>41</w:t>
      </w:r>
      <w:r>
        <w:rPr/>
        <w:t xml:space="preserve"> {{field-on:bible}}Anerkennung </w:t>
      </w:r>
      <w:r>
        <w:rPr>
          <w:color w:val="808080"/>
        </w:rPr>
        <w:t>(Preis, Ruhm, Ehre)</w:t>
      </w:r>
      <w:r>
        <w:rPr/>
        <w:t xml:space="preserve"> von Menschen nehme ich nicht an,{{field-off:bible}} </w:t>
        <w:br/>
        <w:t>[[@BibleTOBIBLE:Jn 5:42]]</w:t>
      </w:r>
      <w:r>
        <w:rPr>
          <w:b/>
        </w:rPr>
        <w:t>42</w:t>
      </w:r>
      <w:r>
        <w:rPr/>
        <w:t xml:space="preserve"> {{field-on:bible}}aber ich habe </w:t>
      </w:r>
      <w:r>
        <w:rPr>
          <w:strike/>
          <w:color w:val="808080"/>
        </w:rPr>
        <w:t>{Euch}</w:t>
      </w:r>
      <w:r>
        <w:rPr/>
        <w:t xml:space="preserve"> erkannt </w:t>
      </w:r>
      <w:r>
        <w:rPr>
          <w:color w:val="808080"/>
        </w:rPr>
        <w:t>(Euch durchschaut, kenne Euch)</w:t>
      </w:r>
      <w:r>
        <w:rPr/>
        <w:t xml:space="preserve">, daß Ihr die Liebe Gottes nicht in Euch habt.{{field-off:bible}} </w:t>
        <w:br/>
        <w:t>[[@BibleTOBIBLE:Jn 5:43]]</w:t>
      </w:r>
      <w:r>
        <w:rPr>
          <w:b/>
        </w:rPr>
        <w:t>43</w:t>
      </w:r>
      <w:r>
        <w:rPr/>
        <w:t xml:space="preserve"> {{field-on:bible}}Ich bin im Namen meines Vaters gekommen, und ihr nehmt mich nicht an. Wenn ein anderer kommt im eigenen Namen, </w:t>
      </w:r>
      <w:r>
        <w:rPr>
          <w:b/>
          <w:color w:val="808080"/>
        </w:rPr>
        <w:t>[</w:t>
      </w:r>
      <w:r>
        <w:rPr/>
        <w:t>dann</w:t>
      </w:r>
      <w:r>
        <w:rPr>
          <w:b/>
          <w:color w:val="808080"/>
        </w:rPr>
        <w:t>]</w:t>
      </w:r>
      <w:r>
        <w:rPr/>
        <w:t xml:space="preserve"> werdet Ihr jenen annehmen.{{field-off:bible}} </w:t>
        <w:br/>
        <w:t>[[@BibleTOBIBLE:Jn 5:44]]</w:t>
      </w:r>
      <w:r>
        <w:rPr>
          <w:b/>
        </w:rPr>
        <w:t>44</w:t>
      </w:r>
      <w:r>
        <w:rPr/>
        <w:t xml:space="preserve"> {{field-on:bible}}Wie könnt Ihr glauben </w:t>
      </w:r>
      <w:r>
        <w:rPr>
          <w:color w:val="808080"/>
        </w:rPr>
        <w:t>(zum Glauben kommen)</w:t>
      </w:r>
      <w:r>
        <w:rPr/>
        <w:t xml:space="preserve">, wenn Ihr Anerkennung </w:t>
      </w:r>
      <w:r>
        <w:rPr>
          <w:color w:val="808080"/>
        </w:rPr>
        <w:t>(Preis, Ruhm, Ehre)</w:t>
      </w:r>
      <w:r>
        <w:rPr/>
        <w:t xml:space="preserve"> von einander annehmt, und die Anerkennung </w:t>
      </w:r>
      <w:r>
        <w:rPr>
          <w:color w:val="808080"/>
        </w:rPr>
        <w:t>(den Preis, Ruhm, die Ehre)</w:t>
      </w:r>
      <w:r>
        <w:rPr/>
        <w:t xml:space="preserve"> von dem einzigen </w:t>
      </w:r>
      <w:r>
        <w:rPr>
          <w:color w:val="808080"/>
        </w:rPr>
        <w:t>(einen)</w:t>
      </w:r>
      <w:r>
        <w:rPr/>
        <w:t xml:space="preserve"> Gott nicht sucht?{{field-off:bible}} </w:t>
        <w:br/>
        <w:t>[[@BibleTOBIBLE:Jn 5:45]]</w:t>
      </w:r>
      <w:r>
        <w:rPr>
          <w:b/>
        </w:rPr>
        <w:t>45</w:t>
      </w:r>
      <w:r>
        <w:rPr/>
        <w:t xml:space="preserve"> {{field-on:bible}}Denkt </w:t>
      </w:r>
      <w:r>
        <w:rPr>
          <w:color w:val="808080"/>
        </w:rPr>
        <w:t>(Glaubt)</w:t>
      </w:r>
      <w:r>
        <w:rPr/>
        <w:t xml:space="preserve"> nicht, daß ich Euch beim Vater anklagen werde. Derjenige, der Euch anklagt ist Mose, auf den Ihr hofft.{{field-off:bible}} </w:t>
        <w:br/>
        <w:t>[[@BibleTOBIBLE:Jn 5:46]]</w:t>
      </w:r>
      <w:r>
        <w:rPr>
          <w:b/>
        </w:rPr>
        <w:t>46</w:t>
      </w:r>
      <w:r>
        <w:rPr/>
        <w:t xml:space="preserve"> {{field-on:bible}}Wenn Ihr nämlich Mose glauben würdet, würdet Ihr auch mir glauben. Über mich nämlich hat jener geschrieben.{{field-off:bible}} </w:t>
        <w:br/>
        <w:t>[[@BibleTOBIBLE:Jn 5:47]]</w:t>
      </w:r>
      <w:r>
        <w:rPr>
          <w:b/>
        </w:rPr>
        <w:t>47</w:t>
      </w:r>
      <w:r>
        <w:rPr/>
        <w:t xml:space="preserve"> {{field-on:bible}}Wenn Ihr aber seinen Schriften </w:t>
      </w:r>
      <w:r>
        <w:rPr>
          <w:color w:val="808080"/>
        </w:rPr>
        <w:t>(den Schriften jenes)</w:t>
      </w:r>
      <w:r>
        <w:rPr/>
        <w:t xml:space="preserve"> nicht glaubt, wie werdet Ihr meinen Worten glauben?{{field-off:bible}}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4919"/>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4920"/>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4921"/>
        <w:t>b</w:t>
      </w:r>
      <w:r>
        <w:rPr/>
        <w:t xml:space="preserve"> und sieht</w:t>
      </w:r>
      <w:r>
        <w:rPr>
          <w:rStyle w:val="Funotenanker"/>
        </w:rPr>
        <w:footnoteReference w:customMarkFollows="1" w:id="4922"/>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4923"/>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4924"/>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Junge, der hat fünf Gerstenbrote und zwei Fische, aber das</w:t>
      </w:r>
      <w:r>
        <w:rPr>
          <w:rStyle w:val="Funotenanker"/>
        </w:rPr>
        <w:footnoteReference w:customMarkFollows="1" w:id="4925"/>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4926"/>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4927"/>
        <w:t>h</w:t>
      </w:r>
      <w:r>
        <w:rPr/>
        <w:t xml:space="preserve"> Brocken, damit nichts</w:t>
      </w:r>
      <w:r>
        <w:rPr>
          <w:rStyle w:val="Funotenanker"/>
        </w:rPr>
        <w:footnoteReference w:customMarkFollows="1" w:id="4928"/>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4929"/>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4930"/>
        <w:t>k</w:t>
      </w:r>
      <w:r>
        <w:rPr/>
        <w:t>, das er getan hatte, sagten sie:</w:t>
      </w:r>
      <w:r>
        <w:rPr>
          <w:rStyle w:val="Funotenanker"/>
        </w:rPr>
        <w:footnoteReference w:customMarkFollows="1" w:id="4931"/>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4932"/>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4933"/>
        <w:t>n</w:t>
      </w:r>
      <w:r>
        <w:rPr/>
        <w:t xml:space="preserve"> ein Boot </w:t>
      </w:r>
      <w:r>
        <w:rPr>
          <w:color w:val="808080"/>
        </w:rPr>
        <w:t>(Kahn)</w:t>
      </w:r>
      <w:r>
        <w:rPr/>
        <w:t xml:space="preserve"> </w:t>
      </w:r>
      <w:r>
        <w:rPr>
          <w:rStyle w:val="Funotenanker"/>
        </w:rPr>
        <w:footnoteReference w:customMarkFollows="1" w:id="4934"/>
        <w:t>o</w:t>
      </w:r>
      <w:r>
        <w:rPr/>
        <w:t xml:space="preserve"> und fuhren über das Meer nach Kapernaum. Und die Dunkelheit war schon hereingebrochen</w:t>
      </w:r>
      <w:r>
        <w:rPr>
          <w:rStyle w:val="Funotenanker"/>
        </w:rPr>
        <w:footnoteReference w:customMarkFollows="1" w:id="4935"/>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4936"/>
        <w:t>q</w:t>
      </w:r>
      <w:r>
        <w:rPr/>
        <w:t xml:space="preserve"> Wind erregt.{{field-off:bible}} </w:t>
        <w:br/>
        <w:t>[[@BibleTOBIBLE:Jn 6:19]]</w:t>
      </w:r>
      <w:r>
        <w:rPr>
          <w:b/>
        </w:rPr>
        <w:t>19</w:t>
      </w:r>
      <w:r>
        <w:rPr/>
        <w:t xml:space="preserve"> {{field-on:bible}}Nachdem sie</w:t>
      </w:r>
      <w:r>
        <w:rPr>
          <w:rStyle w:val="Funotenanker"/>
        </w:rPr>
        <w:footnoteReference w:customMarkFollows="1" w:id="4937"/>
        <w:t>r</w:t>
      </w:r>
      <w:r>
        <w:rPr/>
        <w:t xml:space="preserve"> also 25 oder 30 Stadien</w:t>
      </w:r>
      <w:r>
        <w:rPr>
          <w:rStyle w:val="Funotenanker"/>
        </w:rPr>
        <w:footnoteReference w:customMarkFollows="1" w:id="4938"/>
        <w:t>s</w:t>
      </w:r>
      <w:r>
        <w:rPr/>
        <w:t xml:space="preserve"> gerudert waren, sehen sie Jesus, wie er auf dem Meer geht</w:t>
      </w:r>
      <w:r>
        <w:rPr>
          <w:rStyle w:val="Funotenanker"/>
        </w:rPr>
        <w:footnoteReference w:customMarkFollows="1" w:id="4939"/>
        <w:t>t</w:t>
      </w:r>
      <w:r>
        <w:rPr/>
        <w:t xml:space="preserve"> und nahe ans Schiff kommt</w:t>
      </w:r>
      <w:r>
        <w:rPr>
          <w:rStyle w:val="Funotenanker"/>
        </w:rPr>
        <w:footnoteReference w:customMarkFollows="1" w:id="4940"/>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6:22]]</w:t>
      </w:r>
      <w:r>
        <w:rPr>
          <w:b/>
        </w:rPr>
        <w:t>22</w:t>
      </w:r>
      <w:r>
        <w:rPr/>
        <w:t xml:space="preserve"> {{field-on:bible}}Am nächsten Tag merkte </w:t>
      </w:r>
      <w:r>
        <w:rPr>
          <w:color w:val="808080"/>
        </w:rPr>
        <w:t>(realisierte, erkannte, sah)</w:t>
      </w:r>
      <w:r>
        <w:rPr/>
        <w:t xml:space="preserve"> </w:t>
      </w:r>
      <w:r>
        <w:rPr>
          <w:rStyle w:val="Funotenanker"/>
        </w:rPr>
        <w:footnoteReference w:customMarkFollows="1" w:id="4941"/>
        <w:t>v</w:t>
      </w:r>
      <w:r>
        <w:rPr/>
        <w:t xml:space="preserve"> die Menge, die </w:t>
      </w:r>
      <w:r>
        <w:rPr>
          <w:b/>
          <w:color w:val="808080"/>
        </w:rPr>
        <w:t>[</w:t>
      </w:r>
      <w:r>
        <w:rPr>
          <w:color w:val="808080"/>
        </w:rPr>
        <w:t>(noch)</w:t>
      </w:r>
      <w:r>
        <w:rPr>
          <w:b/>
          <w:color w:val="808080"/>
        </w:rPr>
        <w:t>]</w:t>
      </w:r>
      <w:r>
        <w:rPr/>
        <w:t xml:space="preserve"> auf der anderen Seite des Sees geblieben war </w:t>
      </w:r>
      <w:r>
        <w:rPr>
          <w:color w:val="808080"/>
        </w:rPr>
        <w:t>(stand)</w:t>
      </w:r>
      <w:r>
        <w:rPr/>
        <w:t xml:space="preserve"> </w:t>
      </w:r>
      <w:r>
        <w:rPr>
          <w:rStyle w:val="Funotenanker"/>
        </w:rPr>
        <w:footnoteReference w:customMarkFollows="1" w:id="4942"/>
        <w:t>w</w:t>
      </w:r>
      <w:r>
        <w:rPr/>
        <w:t xml:space="preserve">, daß dort kein anderes Boot </w:t>
      </w:r>
      <w:r>
        <w:rPr>
          <w:b/>
          <w:color w:val="808080"/>
        </w:rPr>
        <w:t>[</w:t>
      </w:r>
      <w:r>
        <w:rPr/>
        <w:t>gewesen</w:t>
      </w:r>
      <w:r>
        <w:rPr>
          <w:b/>
          <w:color w:val="808080"/>
        </w:rPr>
        <w:t>]</w:t>
      </w:r>
      <w:r>
        <w:rPr/>
        <w:t xml:space="preserve"> war</w:t>
      </w:r>
      <w:r>
        <w:rPr>
          <w:rStyle w:val="Funotenanker"/>
        </w:rPr>
        <w:footnoteReference w:customMarkFollows="1" w:id="4943"/>
        <w:t>x</w:t>
      </w:r>
      <w:r>
        <w:rPr/>
        <w:t xml:space="preserve">, außer einem, und daß Jesus nicht mit seinen Jüngern in das Boot eingestiegen war, sondern daß die Jünger alleine weggefahren waren.{{field-off:bible}} </w:t>
        <w:br/>
        <w:t>[[@BibleTOBIBLE:Jn 6:23]]</w:t>
      </w:r>
      <w:r>
        <w:rPr>
          <w:b/>
        </w:rPr>
        <w:t>23</w:t>
      </w:r>
      <w:r>
        <w:rPr/>
        <w:t xml:space="preserve"> {{field-on:bible}}Von Tiberias her kamen andere Boote in die Nähe des Ortes, wo sie das Brot aßen </w:t>
      </w:r>
      <w:r>
        <w:rPr>
          <w:color w:val="808080"/>
        </w:rPr>
        <w:t>(gegessen hatten)</w:t>
      </w:r>
      <w:r>
        <w:rPr/>
        <w:t xml:space="preserve">, nachdem der Herr das Dankgebet gesprochen </w:t>
      </w:r>
      <w:r>
        <w:rPr>
          <w:color w:val="808080"/>
        </w:rPr>
        <w:t>(dankgesagt, gedankt)</w:t>
      </w:r>
      <w:r>
        <w:rPr/>
        <w:t xml:space="preserve"> hatte.{{field-off:bible}} </w:t>
        <w:br/>
        <w:t>[[@BibleTOBIBLE:Jn 6:24]]</w:t>
      </w:r>
      <w:r>
        <w:rPr>
          <w:b/>
        </w:rPr>
        <w:t>24</w:t>
      </w:r>
      <w:r>
        <w:rPr/>
        <w:t xml:space="preserve"> {{field-on:bible}}Als die Menge also sah, daß Jesus nicht dort ist und auch seine Jünger nicht, stiegen sie in die Boote und kamen nach Kafarnaum und suchten Jesus </w:t>
      </w:r>
      <w:r>
        <w:rPr>
          <w:color w:val="808080"/>
        </w:rPr>
        <w:t>(um Jesus zu suchen)</w:t>
      </w:r>
      <w:r>
        <w:rPr/>
        <w:t xml:space="preserve">.{{field-off:bible}} </w:t>
        <w:br/>
        <w:t>[[@BibleTOBIBLE:Jn 6:25]]</w:t>
      </w:r>
      <w:r>
        <w:rPr>
          <w:b/>
        </w:rPr>
        <w:t>25</w:t>
      </w:r>
      <w:r>
        <w:rPr/>
        <w:t xml:space="preserve"> {{field-on:bible}}Und wie sie ihn auf der anderen Seite des Sees fanden, sagten sie ihm: Rabbi, wann bist du hierher gekommen?{{field-off:bible}} </w:t>
        <w:br/>
        <w:t>[[@BibleTOBIBLE:Jn 6:26]]</w:t>
      </w:r>
      <w:r>
        <w:rPr>
          <w:b/>
        </w:rPr>
        <w:t>26</w:t>
      </w:r>
      <w:r>
        <w:rPr/>
        <w:t xml:space="preserve"> {{field-on:bible}} </w:t>
      </w:r>
      <w:r>
        <w:rPr>
          <w:strike/>
          <w:color w:val="808080"/>
        </w:rPr>
        <w:t>{Der}</w:t>
      </w:r>
      <w:r>
        <w:rPr/>
        <w:t xml:space="preserve"> Jesus antwortet ihnen und sagte: Amen, Amen </w:t>
      </w:r>
      <w:r>
        <w:rPr>
          <w:color w:val="808080"/>
        </w:rPr>
        <w:t>(Wahrlich, wahrlich)</w:t>
      </w:r>
      <w:r>
        <w:rPr/>
        <w:t xml:space="preserve">, ich sage Euch, Ihr sucht mich nicht, weil Ihr Zeichen gesehen habt, sondern weil Ihr von den Broten gegessen habt und satt geworden seid.{{field-off:bible}} </w:t>
        <w:br/>
        <w:t>[[@BibleTOBIBLE:Jn 6:27]]</w:t>
      </w:r>
      <w:r>
        <w:rPr>
          <w:b/>
        </w:rPr>
        <w:t>27</w:t>
      </w:r>
      <w:r>
        <w:rPr/>
        <w:t xml:space="preserve"> {{field-on:bible}}Arbeitet </w:t>
      </w:r>
      <w:r>
        <w:rPr>
          <w:color w:val="808080"/>
        </w:rPr>
        <w:t>(Bemüht Euch)</w:t>
      </w:r>
      <w:r>
        <w:rPr/>
        <w:t xml:space="preserve"> nicht für </w:t>
      </w:r>
      <w:r>
        <w:rPr>
          <w:color w:val="808080"/>
        </w:rPr>
        <w:t>(um)</w:t>
      </w:r>
      <w:r>
        <w:rPr/>
        <w:t xml:space="preserve"> die Nahrung, die vergeht, aber für </w:t>
      </w:r>
      <w:r>
        <w:rPr>
          <w:color w:val="808080"/>
        </w:rPr>
        <w:t>(um)</w:t>
      </w:r>
      <w:r>
        <w:rPr/>
        <w:t xml:space="preserve"> die Nahrung, die bis in das ewige Leben vorhält </w:t>
      </w:r>
      <w:r>
        <w:rPr>
          <w:color w:val="808080"/>
        </w:rPr>
        <w:t>(ausreicht, bleibt)</w:t>
      </w:r>
      <w:r>
        <w:rPr/>
        <w:t xml:space="preserve"> und die der Sohn des Menschen </w:t>
      </w:r>
      <w:r>
        <w:rPr>
          <w:color w:val="808080"/>
        </w:rPr>
        <w:t>(der Menschensohn)</w:t>
      </w:r>
      <w:r>
        <w:rPr/>
        <w:t xml:space="preserve"> Euch geben wird. Diesen nämlich hat der Vater, Gott bestätigt </w:t>
      </w:r>
      <w:r>
        <w:rPr>
          <w:color w:val="808080"/>
        </w:rPr>
        <w:t>(besiegelt)</w:t>
      </w:r>
      <w:r>
        <w:rPr/>
        <w:t xml:space="preserve">.{{field-off:bible}} </w:t>
        <w:br/>
        <w:t>[[@BibleTOBIBLE:Jn 6:28]]</w:t>
      </w:r>
      <w:r>
        <w:rPr>
          <w:b/>
        </w:rPr>
        <w:t>28</w:t>
      </w:r>
      <w:r>
        <w:rPr/>
        <w:t xml:space="preserve"> {{field-on:bible}}Sie sagten also zu ihm: Was sollen wir tun, damit wir für </w:t>
      </w:r>
      <w:r>
        <w:rPr>
          <w:color w:val="808080"/>
        </w:rPr>
        <w:t>(uns um)</w:t>
      </w:r>
      <w:r>
        <w:rPr/>
        <w:t xml:space="preserve"> die Werke Gottes arbeiten </w:t>
      </w:r>
      <w:r>
        <w:rPr>
          <w:color w:val="808080"/>
        </w:rPr>
        <w:t>(bemühen, die Werke Gottes tun)</w:t>
      </w:r>
      <w:r>
        <w:rPr/>
        <w:t xml:space="preserve">?{{field-off:bible}} </w:t>
        <w:br/>
        <w:t>[[@BibleTOBIBLE:Jn 6:29]]</w:t>
      </w:r>
      <w:r>
        <w:rPr>
          <w:b/>
        </w:rPr>
        <w:t>29</w:t>
      </w:r>
      <w:r>
        <w:rPr/>
        <w:t xml:space="preserve"> {{field-on:bible}} </w:t>
      </w:r>
      <w:r>
        <w:rPr>
          <w:strike/>
          <w:color w:val="808080"/>
        </w:rPr>
        <w:t>{Der}</w:t>
      </w:r>
      <w:r>
        <w:rPr/>
        <w:t xml:space="preserve"> Jesus antwortete und sagte ihnen: Dieses ist das Werk Gottes</w:t>
      </w:r>
      <w:r>
        <w:rPr>
          <w:rStyle w:val="Funotenanker"/>
        </w:rPr>
        <w:footnoteReference w:customMarkFollows="1" w:id="4944"/>
        <w:t>y</w:t>
      </w:r>
      <w:r>
        <w:rPr/>
        <w:t xml:space="preserve">, daß Ihr an den glaubt, den er </w:t>
      </w:r>
      <w:r>
        <w:rPr>
          <w:color w:val="808080"/>
        </w:rPr>
        <w:t>(jener)</w:t>
      </w:r>
      <w:r>
        <w:rPr/>
        <w:t xml:space="preserve"> gesandt hat.{{field-off:bible}}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w:t>
      </w:r>
      <w:r>
        <w:rPr>
          <w:b/>
          <w:color w:val="808080"/>
        </w:rPr>
        <w:t>[</w:t>
      </w:r>
      <w:r>
        <w:rPr/>
        <w:t>es</w:t>
      </w:r>
      <w:r>
        <w:rPr>
          <w:b/>
          <w:color w:val="808080"/>
        </w:rPr>
        <w:t>]</w:t>
      </w:r>
      <w:r>
        <w:rPr/>
        <w:t xml:space="preserve"> sehen und dir glauben? Was bewirkst </w:t>
      </w:r>
      <w:r>
        <w:rPr>
          <w:color w:val="808080"/>
        </w:rPr>
        <w:t>(tust, 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4945"/>
        <w:t>z</w:t>
      </w:r>
      <w:r>
        <w:rPr/>
        <w:t xml:space="preserve"> und das der Welt das Leben gibt </w:t>
      </w:r>
      <w:r>
        <w:rPr>
          <w:rStyle w:val="Funotenanker"/>
        </w:rPr>
        <w:footnoteReference w:customMarkFollows="1" w:id="4946"/>
        <w:t>aa</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4947"/>
        <w:t>ab</w:t>
      </w:r>
      <w:r>
        <w:rPr/>
        <w:t xml:space="preserve">, wird gewiss nicht hungern, und wer an mich glaubt, wird gewiss niemals dürsten!{{field-off:bible}} </w:t>
        <w:br/>
        <w:t>[[@BibleTOBIBLE:Jn 6:36]]</w:t>
      </w:r>
      <w:r>
        <w:rPr>
          <w:b/>
        </w:rPr>
        <w:t>36</w:t>
      </w:r>
      <w:r>
        <w:rPr/>
        <w:t xml:space="preserve"> {{field-on:bible}}Aber ich habe Euch gesagt: </w:t>
      </w:r>
      <w:r>
        <w:rPr>
          <w:color w:val="808080"/>
        </w:rPr>
        <w:t>(daß)</w:t>
      </w:r>
      <w:r>
        <w:rPr/>
        <w:t xml:space="preserve"> Und Ihr habt mich gesehen und doch glaubt Ihr nicht.{{field-off:bible}} </w:t>
        <w:br/>
        <w:t>[[@BibleTOBIBLE:Jn 6:37]]</w:t>
      </w:r>
      <w:r>
        <w:rPr>
          <w:b/>
        </w:rPr>
        <w:t>37</w:t>
      </w:r>
      <w:r>
        <w:rPr/>
        <w:t xml:space="preserve"> {{field-on:bible}}Alles, was mir der Vater gibt, wird zu mir kommen, und wer zu mir kommt, </w:t>
      </w:r>
      <w:r>
        <w:rPr>
          <w:b/>
          <w:color w:val="808080"/>
        </w:rPr>
        <w:t>[</w:t>
      </w:r>
      <w:r>
        <w:rPr/>
        <w:t>den</w:t>
      </w:r>
      <w:r>
        <w:rPr>
          <w:b/>
          <w:color w:val="808080"/>
        </w:rPr>
        <w:t>]</w:t>
      </w:r>
      <w:r>
        <w:rPr/>
        <w:t xml:space="preserve"> werde ich sicher nicht wegschicken </w:t>
      </w:r>
      <w:r>
        <w:rPr>
          <w:color w:val="808080"/>
        </w:rPr>
        <w:t>(herauswerfen)</w:t>
      </w:r>
      <w:r>
        <w:rPr/>
        <w:t xml:space="preserve">.{{field-off:bible}} </w:t>
        <w:br/>
        <w:t>[[@BibleTOBIBLE:Jn 6:38]]</w:t>
      </w:r>
      <w:r>
        <w:rPr>
          <w:b/>
        </w:rPr>
        <w:t>38</w:t>
      </w:r>
      <w:r>
        <w:rPr/>
        <w:t xml:space="preserve"> {{field-on:bible}}Denn ich bin vom Himmel heruntergestiegen </w:t>
      </w:r>
      <w:r>
        <w:rPr>
          <w:color w:val="808080"/>
        </w:rPr>
        <w:t>(heruntergekommen)</w:t>
      </w:r>
      <w:r>
        <w:rPr/>
        <w:t xml:space="preserve">, nicht damit ich meinen Willen verwirkliche </w:t>
      </w:r>
      <w:r>
        <w:rPr>
          <w:color w:val="808080"/>
        </w:rPr>
        <w:t>(tue)</w:t>
      </w:r>
      <w:r>
        <w:rPr/>
        <w:t xml:space="preserve">, sondern den Willen dessen, der mich gesandt hat.{{field-off:bible}} </w:t>
        <w:br/>
        <w:t>[[@BibleTOBIBLE:Jn 6:39]]</w:t>
      </w:r>
      <w:r>
        <w:rPr>
          <w:b/>
        </w:rPr>
        <w:t>39</w:t>
      </w:r>
      <w:r>
        <w:rPr/>
        <w:t xml:space="preserve"> {{field-on:bible}}Dieses aber ist der Wille, dessen, der mich gesandt hat, daß ich nichts von allem, was er mir gegeben hat, verliere </w:t>
      </w:r>
      <w:r>
        <w:rPr>
          <w:color w:val="808080"/>
        </w:rPr>
        <w:t>(vernichte)</w:t>
      </w:r>
      <w:r>
        <w:rPr/>
        <w:t xml:space="preserve">, sondern daß ich es auferwecke am letzten Tag.{{field-off:bible}} </w:t>
        <w:br/>
        <w:t>[[@BibleTOBIBLE:Jn 6:40]]</w:t>
      </w:r>
      <w:r>
        <w:rPr>
          <w:b/>
        </w:rPr>
        <w:t>40</w:t>
      </w:r>
      <w:r>
        <w:rPr/>
        <w:t xml:space="preserve"> {{field-on:bible}}Dieses nämlich ist der Wille meines Vaters, daß jeder, der den Sohn sieht und an ihn glaubt, ewiges Leben habe – und ich werde ihn auferwecken am letzten Tag.{{field-off:bible}} </w:t>
        <w:br/>
        <w:t>[[@BibleTOBIBLE:Jn 6:41]]</w:t>
      </w:r>
      <w:r>
        <w:rPr>
          <w:b/>
        </w:rPr>
        <w:t>41</w:t>
      </w:r>
      <w:r>
        <w:rPr/>
        <w:t xml:space="preserve"> {{field-on:bible}} </w:t>
      </w:r>
      <w:r>
        <w:rPr>
          <w:b/>
          <w:color w:val="808080"/>
        </w:rPr>
        <w:t>[</w:t>
      </w:r>
      <w:r>
        <w:rPr/>
        <w:t>Es</w:t>
      </w:r>
      <w:r>
        <w:rPr>
          <w:b/>
          <w:color w:val="808080"/>
        </w:rPr>
        <w:t>]</w:t>
      </w:r>
      <w:r>
        <w:rPr/>
        <w:t xml:space="preserve"> murrten also die Juden über ihn, weil er gesagt hatte: Ich bin das Brot, das vom </w:t>
      </w:r>
      <w:r>
        <w:rPr>
          <w:color w:val="808080"/>
        </w:rPr>
        <w:t>(aus dem)</w:t>
      </w:r>
      <w:r>
        <w:rPr/>
        <w:t xml:space="preserve"> Himmel heruntergestiegen </w:t>
      </w:r>
      <w:r>
        <w:rPr>
          <w:color w:val="808080"/>
        </w:rPr>
        <w:t>(heruntergekommen)</w:t>
      </w:r>
      <w:r>
        <w:rPr/>
        <w:t xml:space="preserve"> ist,{{field-off:bible}} </w:t>
        <w:br/>
        <w:t>[[@BibleTOBIBLE:Jn 6:42]]</w:t>
      </w:r>
      <w:r>
        <w:rPr>
          <w:b/>
        </w:rPr>
        <w:t>42</w:t>
      </w:r>
      <w:r>
        <w:rPr/>
        <w:t xml:space="preserve"> {{field-on:bible}}und sie sagten: Ist dieser nicht Jesus, der Sohn Josefs, dessen Vater und Mutter wir kennen? Wie sagt er nun: </w:t>
      </w:r>
      <w:r>
        <w:rPr>
          <w:strike/>
          <w:color w:val="808080"/>
        </w:rPr>
        <w:t>{daß}</w:t>
      </w:r>
      <w:r>
        <w:rPr/>
        <w:t xml:space="preserve"> Vom </w:t>
      </w:r>
      <w:r>
        <w:rPr>
          <w:color w:val="808080"/>
        </w:rPr>
        <w:t>(aus dem)</w:t>
      </w:r>
      <w:r>
        <w:rPr/>
        <w:t xml:space="preserve"> Himmel bin ich heruntergestiegen </w:t>
      </w:r>
      <w:r>
        <w:rPr>
          <w:color w:val="808080"/>
        </w:rPr>
        <w:t>(herabgestiegen)</w:t>
      </w:r>
      <w:r>
        <w:rPr/>
        <w:t xml:space="preserve">?{{field-off:bible}} </w:t>
        <w:br/>
        <w:t>[[@BibleTOBIBLE:Jn 6:43]]</w:t>
      </w:r>
      <w:r>
        <w:rPr>
          <w:b/>
        </w:rPr>
        <w:t>43</w:t>
      </w:r>
      <w:r>
        <w:rPr/>
        <w:t xml:space="preserve"> {{field-on:bible}}Jesus antwortete und sagte ihnen: Murrt nicht untereinander </w:t>
      </w:r>
      <w:r>
        <w:rPr>
          <w:color w:val="808080"/>
        </w:rPr>
        <w:t>(miteinander)</w:t>
      </w:r>
      <w:r>
        <w:rPr/>
        <w:t xml:space="preserve">.{{field-off:bible}} </w:t>
        <w:br/>
        <w:t>[[@BibleTOBIBLE:Jn 6:44]]</w:t>
      </w:r>
      <w:r>
        <w:rPr>
          <w:b/>
        </w:rPr>
        <w:t>44</w:t>
      </w:r>
      <w:r>
        <w:rPr/>
        <w:t xml:space="preserve"> {{field-on:bible}}Keiner kann zu mir kommen, wenn nicht der Vater, der mich gesandt hat, ihn heranzieht </w:t>
      </w:r>
      <w:r>
        <w:rPr>
          <w:color w:val="808080"/>
        </w:rPr>
        <w:t>(zieht)</w:t>
      </w:r>
      <w:r>
        <w:rPr/>
        <w:t xml:space="preserve"> – und ich werde ihn auferwecken am letzten Tag.{{field-off:bible}} </w:t>
        <w:br/>
        <w:t>[[@BibleTOBIBLE:Jn 6:45]]</w:t>
      </w:r>
      <w:r>
        <w:rPr>
          <w:b/>
        </w:rPr>
        <w:t>45</w:t>
      </w:r>
      <w:r>
        <w:rPr/>
        <w:t xml:space="preserve"> {{field-on:bible}}Es steht </w:t>
      </w:r>
      <w:r>
        <w:rPr>
          <w:color w:val="808080"/>
        </w:rPr>
        <w:t>(ist)</w:t>
      </w:r>
      <w:r>
        <w:rPr/>
        <w:t xml:space="preserve"> geschrieben in den Propheten: Und alle werden von Gott belehrt </w:t>
      </w:r>
      <w:r>
        <w:rPr>
          <w:color w:val="808080"/>
        </w:rPr>
        <w:t>(Gottes Gelehrte)</w:t>
      </w:r>
      <w:r>
        <w:rPr/>
        <w:t xml:space="preserve"> sein: Jeder der vom Vater gehört und gelernt hat </w:t>
      </w:r>
      <w:r>
        <w:rPr>
          <w:color w:val="808080"/>
        </w:rPr>
        <w:t>(hört und lernt)</w:t>
      </w:r>
      <w:r>
        <w:rPr/>
        <w:t xml:space="preserve">, kommt zu mir.{{field-off:bible}} </w:t>
        <w:br/>
        <w:t>[[@BibleTOBIBLE:Jn 6:46]]</w:t>
      </w:r>
      <w:r>
        <w:rPr>
          <w:b/>
        </w:rPr>
        <w:t>46</w:t>
      </w:r>
      <w:r>
        <w:rPr/>
        <w:t xml:space="preserve"> {{field-on:bible}}Nicht, daß einer den Vater gesehen hat, außer dem, der von Gott ist – dieser hat den Vater gesehen.{{field-off:bible}} </w:t>
        <w:br/>
        <w:t>[[@BibleTOBIBLE:Jn 6:47]]</w:t>
      </w:r>
      <w:r>
        <w:rPr>
          <w:b/>
        </w:rPr>
        <w:t>47</w:t>
      </w:r>
      <w:r>
        <w:rPr/>
        <w:t xml:space="preserve"> {{field-on:bible}}Amen, Amen </w:t>
      </w:r>
      <w:r>
        <w:rPr>
          <w:color w:val="808080"/>
        </w:rPr>
        <w:t>(Wahrlich, wahrlich)</w:t>
      </w:r>
      <w:r>
        <w:rPr/>
        <w:t xml:space="preserve">, ich sage Euch, wer glaubt, hat ewiges Leben.{{field-off:bible}} </w:t>
        <w:br/>
        <w:t>[[@BibleTOBIBLE:Jn 6:48]]</w:t>
      </w:r>
      <w:r>
        <w:rPr>
          <w:b/>
        </w:rPr>
        <w:t>48</w:t>
      </w:r>
      <w:r>
        <w:rPr/>
        <w:t xml:space="preserve"> {{field-on:bible}}Ich bin das Brot des Lebens.{{field-off:bible}} </w:t>
        <w:br/>
        <w:t>[[@BibleTOBIBLE:Jn 6:49]]</w:t>
      </w:r>
      <w:r>
        <w:rPr>
          <w:b/>
        </w:rPr>
        <w:t>49</w:t>
      </w:r>
      <w:r>
        <w:rPr/>
        <w:t xml:space="preserve"> {{field-on:bible}}Eure Väter haben in der Wüste das Manna gegessen und sind gestorben.{{field-off:bible}} </w:t>
        <w:br/>
        <w:t>[[@BibleTOBIBLE:Jn 6:50]]</w:t>
      </w:r>
      <w:r>
        <w:rPr>
          <w:b/>
        </w:rPr>
        <w:t>50</w:t>
      </w:r>
      <w:r>
        <w:rPr/>
        <w:t xml:space="preserve"> {{field-on:bible}}Dieses ist das Brot, das vom </w:t>
      </w:r>
      <w:r>
        <w:rPr>
          <w:color w:val="808080"/>
        </w:rPr>
        <w:t>(aus dem)</w:t>
      </w:r>
      <w:r>
        <w:rPr/>
        <w:t xml:space="preserve"> Himmel herabkommt, damit man </w:t>
      </w:r>
      <w:r>
        <w:rPr>
          <w:color w:val="808080"/>
        </w:rPr>
        <w:t>(einer)</w:t>
      </w:r>
      <w:r>
        <w:rPr/>
        <w:t xml:space="preserve"> von ihm ißt und nicht stirbt.{{field-off:bible}} </w:t>
        <w:br/>
        <w:t>[[@BibleTOBIBLE:Jn 6:51]]</w:t>
      </w:r>
      <w:r>
        <w:rPr>
          <w:b/>
        </w:rPr>
        <w:t>51</w:t>
      </w:r>
      <w:r>
        <w:rPr/>
        <w:t xml:space="preserve"> {{field-on:bible}}Ich bin das Brot, das lebendige, das vom </w:t>
      </w:r>
      <w:r>
        <w:rPr>
          <w:color w:val="808080"/>
        </w:rPr>
        <w:t>(aus dem)</w:t>
      </w:r>
      <w:r>
        <w:rPr/>
        <w:t xml:space="preserve"> Himmel herabgekommen ist: Wenn einer von diesem Brot ißt, wird er in </w:t>
      </w:r>
      <w:r>
        <w:rPr>
          <w:strike/>
          <w:color w:val="808080"/>
        </w:rPr>
        <w:t>{die}</w:t>
      </w:r>
      <w:r>
        <w:rPr/>
        <w:t xml:space="preserve"> Ewigkeit leben – und das Brot aber, das ich geben werde, ist mein Fleisch für das Leben der Welt.{{field-off:bible}} </w:t>
        <w:br/>
        <w:t>[[@BibleTOBIBLE:Jn 6:52]]</w:t>
      </w:r>
      <w:r>
        <w:rPr>
          <w:b/>
        </w:rPr>
        <w:t>52</w:t>
      </w:r>
      <w:r>
        <w:rPr/>
        <w:t xml:space="preserve"> {{field-on:bible}} </w:t>
      </w:r>
      <w:r>
        <w:rPr>
          <w:b/>
          <w:color w:val="808080"/>
        </w:rPr>
        <w:t>[</w:t>
      </w:r>
      <w:r>
        <w:rPr/>
        <w:t>Es</w:t>
      </w:r>
      <w:r>
        <w:rPr>
          <w:b/>
          <w:color w:val="808080"/>
        </w:rPr>
        <w:t>]</w:t>
      </w:r>
      <w:r>
        <w:rPr/>
        <w:t xml:space="preserve"> stritten also die Juden untereinander und sagten: Wie kann dieser uns das Fleisch zu essen geben?{{field-off:bible}} </w:t>
        <w:br/>
        <w:t>[[@BibleTOBIBLE:Jn 6:53]]</w:t>
      </w:r>
      <w:r>
        <w:rPr>
          <w:b/>
        </w:rPr>
        <w:t>53</w:t>
      </w:r>
      <w:r>
        <w:rPr/>
        <w:t xml:space="preserve"> {{field-on:bible}} </w:t>
      </w:r>
      <w:r>
        <w:rPr>
          <w:strike/>
          <w:color w:val="808080"/>
        </w:rPr>
        <w:t>{Der}</w:t>
      </w:r>
      <w:r>
        <w:rPr/>
        <w:t xml:space="preserve"> Jesus sagte also zu ihnen: Amen, Amen </w:t>
      </w:r>
      <w:r>
        <w:rPr>
          <w:color w:val="808080"/>
        </w:rPr>
        <w:t>(Wahrlich, wahrlich)</w:t>
      </w:r>
      <w:r>
        <w:rPr/>
        <w:t xml:space="preserve">, ich sage Euch, wenn Ihr nicht das Fleisch des Menschensohns </w:t>
      </w:r>
      <w:r>
        <w:rPr>
          <w:color w:val="808080"/>
        </w:rPr>
        <w:t>(des Sohns des Menschen)</w:t>
      </w:r>
      <w:r>
        <w:rPr/>
        <w:t xml:space="preserve"> eßt und sein Blut drinkt, habt Ihr kein Leben in Euch.{{field-off:bible}} </w:t>
        <w:br/>
        <w:t>[[@BibleTOBIBLE:Jn 6:54]]</w:t>
      </w:r>
      <w:r>
        <w:rPr>
          <w:b/>
        </w:rPr>
        <w:t>54</w:t>
      </w:r>
      <w:r>
        <w:rPr/>
        <w:t xml:space="preserve"> {{field-on:bible}}Wer mein Fleisch verzehrt </w:t>
      </w:r>
      <w:r>
        <w:rPr>
          <w:color w:val="808080"/>
        </w:rPr>
        <w:t>(ißt)</w:t>
      </w:r>
      <w:r>
        <w:rPr/>
        <w:t xml:space="preserve"> und mein Blut drinkt, hat ewige Leben und ich werde ihn am letzten Tag auferwecken </w:t>
      </w:r>
      <w:r>
        <w:rPr>
          <w:color w:val="808080"/>
        </w:rPr>
        <w:t>(aufwecken)</w:t>
      </w:r>
      <w:r>
        <w:rPr/>
        <w:t xml:space="preserve">.{{field-off:bible}}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4948"/>
        <w:t>ac</w:t>
      </w:r>
      <w:r>
        <w:rPr/>
        <w:t xml:space="preserve"> und mein Blut trinkt</w:t>
      </w:r>
      <w:r>
        <w:rPr>
          <w:rStyle w:val="Funotenanker"/>
        </w:rPr>
        <w:footnoteReference w:customMarkFollows="1" w:id="4949"/>
        <w:t>ad</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4950"/>
        <w:t>ae</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4951"/>
        <w:t>af</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4952"/>
        <w:t>ag</w:t>
      </w:r>
      <w:r>
        <w:rPr/>
        <w:t>, und welcher der ist, der ihn verriet</w:t>
      </w:r>
      <w:r>
        <w:rPr>
          <w:rStyle w:val="Funotenanker"/>
        </w:rPr>
        <w:footnoteReference w:customMarkFollows="1" w:id="4953"/>
        <w:t>ah</w:t>
      </w:r>
      <w:r>
        <w:rPr/>
        <w:t xml:space="preserve"> {{field-off:bible}} </w:t>
        <w:br/>
        <w:t>[[@BibleTOBIBLE:Jn 6:65]]</w:t>
      </w:r>
      <w:r>
        <w:rPr>
          <w:b/>
        </w:rPr>
        <w:t>65</w:t>
      </w:r>
      <w:r>
        <w:rPr/>
        <w:t xml:space="preserve"> {{field-on:bible}}Und er sprach: Darum habe ich euch gesagt, dass keiner zu mir kommen kann, wenn es ihm nicht gegeben wäre vom Vater.{{field-off:bible}} </w:t>
        <w:br/>
        <w:t>[[@BibleTOBIBLE:Jn 6:66]]</w:t>
      </w:r>
      <w:r>
        <w:rPr>
          <w:b/>
        </w:rPr>
        <w:t>66</w:t>
      </w:r>
      <w:r>
        <w:rPr/>
        <w:t xml:space="preserve"> {{field-on:bible}}Aus diesem Grund </w:t>
      </w:r>
      <w:r>
        <w:rPr>
          <w:color w:val="808080"/>
        </w:rPr>
        <w:t>(Von da an)</w:t>
      </w:r>
      <w:r>
        <w:rPr/>
        <w:t xml:space="preserve"> zogen sich viele seiner Jünger zurück und folgten ihm </w:t>
      </w:r>
      <w:r>
        <w:rPr>
          <w:color w:val="808080"/>
        </w:rPr>
        <w:t>(begleiteten ihn)</w:t>
      </w:r>
      <w:r>
        <w:rPr/>
        <w:t xml:space="preserve"> nicht mehr </w:t>
      </w:r>
      <w:r>
        <w:rPr>
          <w:color w:val="808080"/>
        </w:rPr>
        <w:t>(zogen nicht mehr mit ihm umher)</w:t>
      </w:r>
      <w:r>
        <w:rPr/>
        <w:t xml:space="preserve">.{{field-off:bible}} </w:t>
        <w:br/>
        <w:t>[[@BibleTOBIBLE:Jn 6:67]]</w:t>
      </w:r>
      <w:r>
        <w:rPr>
          <w:b/>
        </w:rPr>
        <w:t>67</w:t>
      </w:r>
      <w:r>
        <w:rPr/>
        <w:t xml:space="preserve"> {{field-on:bible}}Jesus sagte also zu den Zwölf: „Wollt </w:t>
      </w:r>
      <w:r>
        <w:rPr>
          <w:color w:val="808080"/>
        </w:rPr>
        <w:t>(vielleicht, etwa)</w:t>
      </w:r>
      <w:r>
        <w:rPr/>
        <w:t xml:space="preserve"> auch ihr weggehen?“{{field-off:bible}} </w:t>
        <w:br/>
        <w:t>[[@BibleTOBIBLE:Jn 6:68]]</w:t>
      </w:r>
      <w:r>
        <w:rPr>
          <w:b/>
        </w:rPr>
        <w:t>68</w:t>
      </w:r>
      <w:r>
        <w:rPr/>
        <w:t xml:space="preserve"> {{field-on:bible}}Simon Petrus antwortete ihm: „Herr, zu wem sollen wir gehen? Du hast Worte ewigen Lebens,{{field-off:bible}} </w:t>
        <w:br/>
        <w:t>[[@BibleTOBIBLE:Jn 6:69]]</w:t>
      </w:r>
      <w:r>
        <w:rPr>
          <w:b/>
        </w:rPr>
        <w:t>69</w:t>
      </w:r>
      <w:r>
        <w:rPr/>
        <w:t xml:space="preserve"> {{field-on:bible}}und wir glauben </w:t>
      </w:r>
      <w:r>
        <w:rPr>
          <w:color w:val="808080"/>
        </w:rPr>
        <w:t>(haben geglaubt)</w:t>
      </w:r>
      <w:r>
        <w:rPr/>
        <w:t xml:space="preserve"> und wissen </w:t>
      </w:r>
      <w:r>
        <w:rPr>
          <w:color w:val="808080"/>
        </w:rPr>
        <w:t>(haben erkannt)</w:t>
      </w:r>
      <w:r>
        <w:rPr/>
        <w:t xml:space="preserve">, daß Du der Heilige Gottes bist.“{{field-off:bible}} </w:t>
        <w:br/>
        <w:t>[[@BibleTOBIBLE:Jn 6:70]]</w:t>
      </w:r>
      <w:r>
        <w:rPr>
          <w:b/>
        </w:rPr>
        <w:t>70</w:t>
      </w:r>
      <w:r>
        <w:rPr/>
        <w:t xml:space="preserve"> {{field-on:bible}}Jesus antwortete ihnen: „Habe nicht ich Euch, die Zwölf, erwählt </w:t>
      </w:r>
      <w:r>
        <w:rPr>
          <w:color w:val="808080"/>
        </w:rPr>
        <w:t>(ausgewählt)</w:t>
      </w:r>
      <w:r>
        <w:rPr/>
        <w:t xml:space="preserve">? Und </w:t>
      </w:r>
      <w:r>
        <w:rPr>
          <w:b/>
          <w:color w:val="808080"/>
        </w:rPr>
        <w:t>[</w:t>
      </w:r>
      <w:r>
        <w:rPr/>
        <w:t>doch</w:t>
      </w:r>
      <w:r>
        <w:rPr>
          <w:b/>
          <w:color w:val="808080"/>
        </w:rPr>
        <w:t>]</w:t>
      </w:r>
      <w:r>
        <w:rPr/>
        <w:t xml:space="preserve"> ist einer von Euch ist ein Teufel </w:t>
      </w:r>
      <w:r>
        <w:rPr>
          <w:color w:val="808080"/>
        </w:rPr>
        <w:t>(Satan, Verleumdner)</w:t>
      </w:r>
      <w:r>
        <w:rPr/>
        <w:t xml:space="preserve">.“{{field-off:bible}} </w:t>
        <w:br/>
        <w:t>[[@BibleTOBIBLE:Jn 6:71]]</w:t>
      </w:r>
      <w:r>
        <w:rPr>
          <w:b/>
        </w:rPr>
        <w:t>71</w:t>
      </w:r>
      <w:r>
        <w:rPr/>
        <w:t xml:space="preserve"> {{field-on:bible}}Er meinte aber den Judas </w:t>
      </w:r>
      <w:r>
        <w:rPr>
          <w:b/>
          <w:color w:val="808080"/>
        </w:rPr>
        <w:t>[</w:t>
      </w:r>
      <w:r>
        <w:rPr/>
        <w:t>, den Sohn</w:t>
      </w:r>
      <w:r>
        <w:rPr>
          <w:b/>
          <w:color w:val="808080"/>
        </w:rPr>
        <w:t>]</w:t>
      </w:r>
      <w:r>
        <w:rPr/>
        <w:t xml:space="preserve"> des Simon Iskariot. Dieser war nämlich im Begriff, ihn auszuliefern </w:t>
      </w:r>
      <w:r>
        <w:rPr>
          <w:color w:val="808080"/>
        </w:rPr>
        <w:t>(zu veraten)</w:t>
      </w:r>
      <w:r>
        <w:rPr/>
        <w:t xml:space="preserve">, einer von den Zwölf.{{field-off:bible}}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4954"/>
        <w:t>Status</w:t>
      </w:r>
      <w:r>
        <w:rPr/>
        <w:t xml:space="preserve"> Und danach </w:t>
      </w:r>
      <w:r>
        <w:rPr>
          <w:color w:val="808080"/>
        </w:rPr>
        <w:t>(nach diesen Dingen)</w:t>
      </w:r>
      <w:r>
        <w:rPr/>
        <w:t xml:space="preserve"> zog </w:t>
      </w:r>
      <w:r>
        <w:rPr>
          <w:strike/>
          <w:color w:val="808080"/>
        </w:rPr>
        <w:t>{der}</w:t>
      </w:r>
      <w:r>
        <w:rPr/>
        <w:t xml:space="preserve"> Jesus in </w:t>
      </w:r>
      <w:r>
        <w:rPr>
          <w:strike/>
          <w:color w:val="808080"/>
        </w:rPr>
        <w:t>{dem}</w:t>
      </w:r>
      <w:r>
        <w:rPr/>
        <w:t xml:space="preserve"> Galiläa umher. Er wollte nämlich nicht in </w:t>
      </w:r>
      <w:r>
        <w:rPr>
          <w:strike/>
          <w:color w:val="808080"/>
        </w:rPr>
        <w:t>{dem}</w:t>
      </w:r>
      <w:r>
        <w:rPr/>
        <w:t xml:space="preserve"> Judäa umherziehen, weil die Juden versuchten </w:t>
      </w:r>
      <w:r>
        <w:rPr>
          <w:color w:val="808080"/>
        </w:rPr>
        <w:t>(suchten)</w:t>
      </w:r>
      <w:r>
        <w:rPr/>
        <w:t xml:space="preserve">, ihn zu töten.{{field-off:bible}} </w:t>
        <w:br/>
        <w:t>[[@BibleTOBIBLE:Jn 7:2]]</w:t>
      </w:r>
      <w:r>
        <w:rPr>
          <w:b/>
        </w:rPr>
        <w:t>2</w:t>
      </w:r>
      <w:r>
        <w:rPr/>
        <w:t xml:space="preserve"> {{field-on:bible}}Es war aber nahe das Fest der Juden, das Laubhüttenfest.{{field-off:bible}} </w:t>
        <w:br/>
        <w:t>[[@BibleTOBIBLE:Jn 7:3]]</w:t>
      </w:r>
      <w:r>
        <w:rPr>
          <w:b/>
        </w:rPr>
        <w:t>3</w:t>
      </w:r>
      <w:r>
        <w:rPr/>
        <w:t xml:space="preserve"> {{field-on:bible}} </w:t>
      </w:r>
      <w:r>
        <w:rPr>
          <w:b/>
          <w:color w:val="808080"/>
        </w:rPr>
        <w:t>[</w:t>
      </w:r>
      <w:r>
        <w:rPr/>
        <w:t>Es</w:t>
      </w:r>
      <w:r>
        <w:rPr>
          <w:b/>
          <w:color w:val="808080"/>
        </w:rPr>
        <w:t>]</w:t>
      </w:r>
      <w:r>
        <w:rPr/>
        <w:t xml:space="preserve"> sagten also zu ihm seine Brüder: Geh weg von hier und geh </w:t>
      </w:r>
      <w:r>
        <w:rPr>
          <w:color w:val="808080"/>
        </w:rPr>
        <w:t>(weg)</w:t>
      </w:r>
      <w:r>
        <w:rPr/>
        <w:t xml:space="preserve"> nach Judäa, damit auch Deine Jünger Deine Werke sehen </w:t>
      </w:r>
      <w:r>
        <w:rPr>
          <w:color w:val="808080"/>
        </w:rPr>
        <w:t>(werden)</w:t>
      </w:r>
      <w:r>
        <w:rPr/>
        <w:t xml:space="preserve">, die Du tust.{{field-off:bible}} </w:t>
        <w:br/>
        <w:t>[[@BibleTOBIBLE:Jn 7:4]]</w:t>
      </w:r>
      <w:r>
        <w:rPr>
          <w:b/>
        </w:rPr>
        <w:t>4</w:t>
      </w:r>
      <w:r>
        <w:rPr/>
        <w:t xml:space="preserve"> {{field-on:bible}}Keiner nämlich tut etwas im Geheimen </w:t>
      </w:r>
      <w:r>
        <w:rPr>
          <w:color w:val="808080"/>
        </w:rPr>
        <w:t>(Verborgenen)</w:t>
      </w:r>
      <w:r>
        <w:rPr/>
        <w:t xml:space="preserve">, und versucht </w:t>
      </w:r>
      <w:r>
        <w:rPr>
          <w:color w:val="808080"/>
        </w:rPr>
        <w:t>(sucht)</w:t>
      </w:r>
      <w:r>
        <w:rPr/>
        <w:t xml:space="preserve"> selbst </w:t>
      </w:r>
      <w:r>
        <w:rPr>
          <w:b/>
          <w:color w:val="808080"/>
        </w:rPr>
        <w:t>[</w:t>
      </w:r>
      <w:r>
        <w:rPr/>
        <w:t>dabei gleichzeitig</w:t>
      </w:r>
      <w:r>
        <w:rPr>
          <w:b/>
          <w:color w:val="808080"/>
        </w:rPr>
        <w:t>]</w:t>
      </w:r>
      <w:r>
        <w:rPr/>
        <w:t xml:space="preserve"> öffentlich bekannt zu sein. Wenn Du dies </w:t>
      </w:r>
      <w:r>
        <w:rPr>
          <w:color w:val="808080"/>
        </w:rPr>
        <w:t>(diese Dinge)</w:t>
      </w:r>
      <w:r>
        <w:rPr/>
        <w:t xml:space="preserve"> tust, zeige Dich der Welt.{{field-off:bible}} </w:t>
        <w:br/>
        <w:t>[[@BibleTOBIBLE:Jn 7:5]]</w:t>
      </w:r>
      <w:r>
        <w:rPr>
          <w:b/>
        </w:rPr>
        <w:t>5</w:t>
      </w:r>
      <w:r>
        <w:rPr/>
        <w:t xml:space="preserve"> {{field-on:bible}}Nicht einmal </w:t>
      </w:r>
      <w:r>
        <w:rPr>
          <w:color w:val="808080"/>
        </w:rPr>
        <w:t>(Auch)</w:t>
      </w:r>
      <w:r>
        <w:rPr/>
        <w:t xml:space="preserve"> seine Brüder nämlich glaubten </w:t>
      </w:r>
      <w:r>
        <w:rPr>
          <w:color w:val="808080"/>
        </w:rPr>
        <w:t>(nicht)</w:t>
      </w:r>
      <w:r>
        <w:rPr/>
        <w:t xml:space="preserve"> an ihn.{{field-off:bible}} </w:t>
        <w:br/>
        <w:t>[[@BibleTOBIBLE:Jn 7:6]]</w:t>
      </w:r>
      <w:r>
        <w:rPr>
          <w:b/>
        </w:rPr>
        <w:t>6</w:t>
      </w:r>
      <w:r>
        <w:rPr/>
        <w:t xml:space="preserve"> {{field-on:bible}} </w:t>
      </w:r>
      <w:r>
        <w:rPr>
          <w:strike/>
          <w:color w:val="808080"/>
        </w:rPr>
        <w:t>{Der}</w:t>
      </w:r>
      <w:r>
        <w:rPr/>
        <w:t xml:space="preserve"> Jesus sagt ihnen also: Meine Zeit ist noch nicht da, aber Eure Zeit ist immer bereit.{{field-off:bible}} </w:t>
        <w:br/>
        <w:t>[[@BibleTOBIBLE:Jn 7:7]]</w:t>
      </w:r>
      <w:r>
        <w:rPr>
          <w:b/>
        </w:rPr>
        <w:t>7</w:t>
      </w:r>
      <w:r>
        <w:rPr/>
        <w:t xml:space="preserve"> {{field-on:bible}}Euch kann die Welt nicht hassen, mich aber haßt sie, weil ich über sie </w:t>
      </w:r>
      <w:r>
        <w:rPr>
          <w:color w:val="808080"/>
        </w:rPr>
        <w:t>(von ihr)</w:t>
      </w:r>
      <w:r>
        <w:rPr/>
        <w:t xml:space="preserve"> bezeuge, daß ihre Werke schlecht </w:t>
      </w:r>
      <w:r>
        <w:rPr>
          <w:color w:val="808080"/>
        </w:rPr>
        <w:t>(böse)</w:t>
      </w:r>
      <w:r>
        <w:rPr/>
        <w:t xml:space="preserve"> sind.{{field-off:bible}} </w:t>
        <w:br/>
        <w:t>[[@BibleTOBIBLE:Jn 7:8]]</w:t>
      </w:r>
      <w:r>
        <w:rPr>
          <w:b/>
        </w:rPr>
        <w:t>8</w:t>
      </w:r>
      <w:r>
        <w:rPr/>
        <w:t xml:space="preserve"> {{field-on:bible}}Geht Ihr zum Fest hinauf! Ich gehe nicht</w:t>
      </w:r>
      <w:r>
        <w:rPr>
          <w:rStyle w:val="Funotenanker"/>
        </w:rPr>
        <w:footnoteReference w:customMarkFollows="1" w:id="4955"/>
        <w:t>a</w:t>
      </w:r>
      <w:r>
        <w:rPr/>
        <w:t xml:space="preserve">zu diesem Fest hinauf, weil meine Zeit noch nicht erfüllt ist.{{field-off:bible}} </w:t>
        <w:br/>
        <w:t>[[@BibleTOBIBLE:Jn 7:9]]</w:t>
      </w:r>
      <w:r>
        <w:rPr>
          <w:b/>
        </w:rPr>
        <w:t>9</w:t>
      </w:r>
      <w:r>
        <w:rPr/>
        <w:t xml:space="preserve"> {{field-on:bible}}Nachdem er dies gesagt hatte, blieb er in </w:t>
      </w:r>
      <w:r>
        <w:rPr>
          <w:strike/>
          <w:color w:val="808080"/>
        </w:rPr>
        <w:t>{dem}</w:t>
      </w:r>
      <w:r>
        <w:rPr/>
        <w:t xml:space="preserve"> Galiläa.{{field-off:bible}} </w:t>
        <w:br/>
        <w:t>[[@BibleTOBIBLE:Jn 7:10]]</w:t>
      </w:r>
      <w:r>
        <w:rPr>
          <w:b/>
        </w:rPr>
        <w:t>10</w:t>
      </w:r>
      <w:r>
        <w:rPr/>
        <w:t xml:space="preserve"> {{field-on:bible}}Als aber seine Brüder zum Fest hinaufgegangen waren, da ging auch er hinauf - nicht öffentlich, sondern wie im Geheimen.{{field-off:bible}} </w:t>
        <w:br/>
        <w:t>[[@BibleTOBIBLE:Jn 7:11]]</w:t>
      </w:r>
      <w:r>
        <w:rPr>
          <w:b/>
        </w:rPr>
        <w:t>11</w:t>
      </w:r>
      <w:r>
        <w:rPr/>
        <w:t xml:space="preserve"> {{field-on:bible}}Die Juden also suchten ihn auf dem Fest und sagten: Wo ist er </w:t>
      </w:r>
      <w:r>
        <w:rPr>
          <w:color w:val="808080"/>
        </w:rPr>
        <w:t>(jener)</w:t>
      </w:r>
      <w:r>
        <w:rPr/>
        <w:t xml:space="preserve">?{{field-off:bible}} </w:t>
        <w:br/>
        <w:t>[[@BibleTOBIBLE:Jn 7:12]]</w:t>
      </w:r>
      <w:r>
        <w:rPr>
          <w:b/>
        </w:rPr>
        <w:t>12</w:t>
      </w:r>
      <w:r>
        <w:rPr/>
        <w:t xml:space="preserve"> {{field-on:bible}}Und es gab </w:t>
      </w:r>
      <w:r>
        <w:rPr>
          <w:color w:val="808080"/>
        </w:rPr>
        <w:t>(war)</w:t>
      </w:r>
      <w:r>
        <w:rPr/>
        <w:t xml:space="preserve"> viel Gerede </w:t>
      </w:r>
      <w:r>
        <w:rPr>
          <w:color w:val="808080"/>
        </w:rPr>
        <w:t>(Murren)</w:t>
      </w:r>
      <w:r>
        <w:rPr/>
        <w:t xml:space="preserve"> über ihn unter den Massen </w:t>
      </w:r>
      <w:r>
        <w:rPr>
          <w:color w:val="808080"/>
        </w:rPr>
        <w:t>(Mengen Menschenmengen, Menschenmassen)</w:t>
      </w:r>
      <w:r>
        <w:rPr/>
        <w:t xml:space="preserve">. Die einen sagten: </w:t>
      </w:r>
      <w:r>
        <w:rPr>
          <w:strike/>
          <w:color w:val="808080"/>
        </w:rPr>
        <w:t>{daß}</w:t>
      </w:r>
      <w:r>
        <w:rPr/>
        <w:t xml:space="preserve"> Er ist gut. Andere sagten: Nein, sondern er führt </w:t>
      </w:r>
      <w:r>
        <w:rPr>
          <w:color w:val="808080"/>
        </w:rPr>
        <w:t>(verführt)</w:t>
      </w:r>
      <w:r>
        <w:rPr/>
        <w:t xml:space="preserve"> die Masse </w:t>
      </w:r>
      <w:r>
        <w:rPr>
          <w:color w:val="808080"/>
        </w:rPr>
        <w:t>(Menge)</w:t>
      </w:r>
      <w:r>
        <w:rPr/>
        <w:t xml:space="preserve"> in die Irre.{{field-off:bible}} </w:t>
        <w:br/>
        <w:t>[[@BibleTOBIBLE:Jn 7:13]]</w:t>
      </w:r>
      <w:r>
        <w:rPr>
          <w:b/>
        </w:rPr>
        <w:t>13</w:t>
      </w:r>
      <w:r>
        <w:rPr/>
        <w:t xml:space="preserve"> {{field-on:bible}}Keiner jedoch sprach offen </w:t>
      </w:r>
      <w:r>
        <w:rPr>
          <w:color w:val="808080"/>
        </w:rPr>
        <w:t>(mit Offenheit, Freimut, öffentlich)</w:t>
      </w:r>
      <w:r>
        <w:rPr/>
        <w:t xml:space="preserve"> über ihn wegen der </w:t>
      </w:r>
      <w:r>
        <w:rPr>
          <w:color w:val="808080"/>
        </w:rPr>
        <w:t>(aus)</w:t>
      </w:r>
      <w:r>
        <w:rPr/>
        <w:t xml:space="preserve"> Furcht der </w:t>
      </w:r>
      <w:r>
        <w:rPr>
          <w:color w:val="808080"/>
        </w:rPr>
        <w:t>(vor den)</w:t>
      </w:r>
      <w:r>
        <w:rPr/>
        <w:t xml:space="preserve"> Juden.{{field-off:bible}} </w:t>
        <w:br/>
        <w:t>[[@BibleTOBIBLE:Jn 7:14]]</w:t>
      </w:r>
      <w:r>
        <w:rPr>
          <w:b/>
        </w:rPr>
        <w:t>14</w:t>
      </w:r>
      <w:r>
        <w:rPr/>
        <w:t xml:space="preserve"> {{field-on:bible}}Als aber das Fest schon halb vorbei war, </w:t>
      </w:r>
      <w:r>
        <w:rPr>
          <w:color w:val="808080"/>
        </w:rPr>
        <w:t>(Zur Mitte des Festes aber)</w:t>
      </w:r>
      <w:r>
        <w:rPr/>
        <w:t xml:space="preserve"> ging Jesus in den Tempel hinauf und lehrte.{{field-off:bible}} </w:t>
        <w:br/>
        <w:t>[[@BibleTOBIBLE:Jn 7:15]]</w:t>
      </w:r>
      <w:r>
        <w:rPr>
          <w:b/>
        </w:rPr>
        <w:t>15</w:t>
      </w:r>
      <w:r>
        <w:rPr/>
        <w:t xml:space="preserve"> {{field-on:bible}}Die Juden wunderten sich also und sagten: Wie kennt dieser </w:t>
      </w:r>
      <w:r>
        <w:rPr>
          <w:b/>
          <w:color w:val="808080"/>
        </w:rPr>
        <w:t>[</w:t>
      </w:r>
      <w:r>
        <w:rPr>
          <w:color w:val="808080"/>
        </w:rPr>
        <w:t>(die)</w:t>
      </w:r>
      <w:r>
        <w:rPr>
          <w:b/>
          <w:color w:val="808080"/>
        </w:rPr>
        <w:t>]</w:t>
      </w:r>
      <w:r>
        <w:rPr/>
        <w:t xml:space="preserve"> Schriften ohne Ausbildung </w:t>
      </w:r>
      <w:r>
        <w:rPr>
          <w:color w:val="808080"/>
        </w:rPr>
        <w:t>(gelernt zu haben)</w:t>
      </w:r>
      <w:r>
        <w:rPr/>
        <w:t xml:space="preserve">?{{field-off:bible}} </w:t>
        <w:br/>
        <w:t>[[@BibleTOBIBLE:Jn 7:16]]</w:t>
      </w:r>
      <w:r>
        <w:rPr>
          <w:b/>
        </w:rPr>
        <w:t>16</w:t>
      </w:r>
      <w:r>
        <w:rPr/>
        <w:t xml:space="preserve"> {{field-on:bible}}Jesus also antwortete ihnen und sagte: Meine Lehre ist nicht </w:t>
      </w:r>
      <w:r>
        <w:rPr>
          <w:b/>
          <w:color w:val="808080"/>
        </w:rPr>
        <w:t>[</w:t>
      </w:r>
      <w:r>
        <w:rPr/>
        <w:t>die</w:t>
      </w:r>
      <w:r>
        <w:rPr>
          <w:b/>
          <w:color w:val="808080"/>
        </w:rPr>
        <w:t>]</w:t>
      </w:r>
      <w:r>
        <w:rPr/>
        <w:t xml:space="preserve"> meine, sondern </w:t>
      </w:r>
      <w:r>
        <w:rPr>
          <w:b/>
          <w:color w:val="808080"/>
        </w:rPr>
        <w:t>[</w:t>
      </w:r>
      <w:r>
        <w:rPr/>
        <w:t>die</w:t>
      </w:r>
      <w:r>
        <w:rPr>
          <w:b/>
          <w:color w:val="808080"/>
        </w:rPr>
        <w:t>]</w:t>
      </w:r>
      <w:r>
        <w:rPr/>
        <w:t xml:space="preserve"> dessen, der mich gesandt hat.{{field-off:bible}} </w:t>
        <w:br/>
        <w:t>[[@BibleTOBIBLE:Jn 7:17]]</w:t>
      </w:r>
      <w:r>
        <w:rPr>
          <w:b/>
        </w:rPr>
        <w:t>17</w:t>
      </w:r>
      <w:r>
        <w:rPr/>
        <w:t xml:space="preserve"> {{field-on:bible}}Wenn einer seinen Willen</w:t>
      </w:r>
      <w:r>
        <w:rPr>
          <w:rStyle w:val="Funotenanker"/>
        </w:rPr>
        <w:footnoteReference w:customMarkFollows="1" w:id="4956"/>
        <w:t>b</w:t>
      </w:r>
      <w:r>
        <w:rPr/>
        <w:t xml:space="preserve"> tun will, wird er erkennen, ob die Lehre von Gott ist oder ob ich von mir </w:t>
      </w:r>
      <w:r>
        <w:rPr>
          <w:b/>
          <w:color w:val="808080"/>
        </w:rPr>
        <w:t>[</w:t>
      </w:r>
      <w:r>
        <w:rPr/>
        <w:t>aus</w:t>
      </w:r>
      <w:r>
        <w:rPr>
          <w:b/>
          <w:color w:val="808080"/>
        </w:rPr>
        <w:t>]</w:t>
      </w:r>
      <w:r>
        <w:rPr/>
        <w:t xml:space="preserve"> spreche.{{field-off:bible}} </w:t>
        <w:br/>
        <w:t>[[@BibleTOBIBLE:Jn 7:18]]</w:t>
      </w:r>
      <w:r>
        <w:rPr>
          <w:b/>
        </w:rPr>
        <w:t>18</w:t>
      </w:r>
      <w:r>
        <w:rPr/>
        <w:t xml:space="preserve"> {{field-on:bible}} </w:t>
      </w:r>
      <w:r>
        <w:rPr>
          <w:b/>
          <w:color w:val="808080"/>
        </w:rPr>
        <w:t>[</w:t>
      </w:r>
      <w:r>
        <w:rPr/>
        <w:t>Derjenige,</w:t>
      </w:r>
      <w:r>
        <w:rPr>
          <w:b/>
          <w:color w:val="808080"/>
        </w:rPr>
        <w:t>]</w:t>
      </w:r>
      <w:r>
        <w:rPr/>
        <w:t xml:space="preserve"> der </w:t>
      </w:r>
      <w:r>
        <w:rPr>
          <w:color w:val="808080"/>
        </w:rPr>
        <w:t>(Wer)</w:t>
      </w:r>
      <w:r>
        <w:rPr/>
        <w:t xml:space="preserve"> von sich aus spricht, sucht die eigene Ehre </w:t>
      </w:r>
      <w:r>
        <w:rPr>
          <w:color w:val="808080"/>
        </w:rPr>
        <w:t>(den eigenen Ruhm, Preis)</w:t>
      </w:r>
      <w:r>
        <w:rPr/>
        <w:t xml:space="preserve">. </w:t>
      </w:r>
      <w:r>
        <w:rPr>
          <w:b/>
          <w:color w:val="808080"/>
        </w:rPr>
        <w:t>[</w:t>
      </w:r>
      <w:r>
        <w:rPr/>
        <w:t>Derjenige</w:t>
      </w:r>
      <w:r>
        <w:rPr>
          <w:b/>
          <w:color w:val="808080"/>
        </w:rPr>
        <w:t>]</w:t>
      </w:r>
      <w:r>
        <w:rPr/>
        <w:t xml:space="preserve"> aber, der </w:t>
      </w:r>
      <w:r>
        <w:rPr>
          <w:color w:val="808080"/>
        </w:rPr>
        <w:t>(Wer aber)</w:t>
      </w:r>
      <w:r>
        <w:rPr/>
        <w:t xml:space="preserve"> die Ehre dessen sucht, der ihn gesandt hat, der </w:t>
      </w:r>
      <w:r>
        <w:rPr>
          <w:color w:val="808080"/>
        </w:rPr>
        <w:t>(dieser)</w:t>
      </w:r>
      <w:r>
        <w:rPr/>
        <w:t xml:space="preserve"> ist wahrhaftig und Unrecht </w:t>
      </w:r>
      <w:r>
        <w:rPr>
          <w:color w:val="808080"/>
        </w:rPr>
        <w:t>(Ungerechtigkeit, Sünde)</w:t>
      </w:r>
      <w:r>
        <w:rPr/>
        <w:t xml:space="preserve"> ist nicht in ihm.{{field-off:bible}} </w:t>
        <w:br/>
        <w:t>[[@BibleTOBIBLE:Jn 7:19]]</w:t>
      </w:r>
      <w:r>
        <w:rPr>
          <w:b/>
        </w:rPr>
        <w:t>19</w:t>
      </w:r>
      <w:r>
        <w:rPr/>
        <w:t xml:space="preserve"> {{field-on:bible}}Hat nicht Mose Euch das Gesetz gegeben? Und keiner von Euch tut </w:t>
      </w:r>
      <w:r>
        <w:rPr>
          <w:color w:val="808080"/>
        </w:rPr>
        <w:t>(erfüllt)</w:t>
      </w:r>
      <w:r>
        <w:rPr/>
        <w:t xml:space="preserve"> das Gesetz. Warum versucht </w:t>
      </w:r>
      <w:r>
        <w:rPr>
          <w:color w:val="808080"/>
        </w:rPr>
        <w:t>(sucht)</w:t>
      </w:r>
      <w:r>
        <w:rPr/>
        <w:t xml:space="preserve"> Ihr mich zu töten?{{field-off:bible}} </w:t>
        <w:br/>
        <w:t>[[@BibleTOBIBLE:Jn 7:20]]</w:t>
      </w:r>
      <w:r>
        <w:rPr>
          <w:b/>
        </w:rPr>
        <w:t>20</w:t>
      </w:r>
      <w:r>
        <w:rPr/>
        <w:t xml:space="preserve"> {{field-on:bible}}Die Menge antwortete: Du hast einen Dämon </w:t>
      </w:r>
      <w:r>
        <w:rPr>
          <w:color w:val="808080"/>
        </w:rPr>
        <w:t>(bist besessen)</w:t>
      </w:r>
      <w:r>
        <w:rPr/>
        <w:t xml:space="preserve">. Wer versucht </w:t>
      </w:r>
      <w:r>
        <w:rPr>
          <w:color w:val="808080"/>
        </w:rPr>
        <w:t>(sucht)</w:t>
      </w:r>
      <w:r>
        <w:rPr/>
        <w:t xml:space="preserve"> Dich zu töten?{{field-off:bible}} </w:t>
        <w:br/>
        <w:t>[[@BibleTOBIBLE:Jn 7:21]]</w:t>
      </w:r>
      <w:r>
        <w:rPr>
          <w:b/>
        </w:rPr>
        <w:t>21</w:t>
      </w:r>
      <w:r>
        <w:rPr/>
        <w:t xml:space="preserve"> {{field-on:bible}}Jesus antwortete und sagte ihnen: Ein Werk habe ich getan und ihr alle wundert Euch.{{field-off:bible}} </w:t>
        <w:br/>
        <w:t>[[@BibleTOBIBLE:Jn 7:22]]</w:t>
      </w:r>
      <w:r>
        <w:rPr>
          <w:b/>
        </w:rPr>
        <w:t>22</w:t>
      </w:r>
      <w:r>
        <w:rPr/>
        <w:t xml:space="preserve"> {{field-on:bible}}Deshalb hat Mose Euch die Beschneidung gegeben - nicht, daß </w:t>
      </w:r>
      <w:r>
        <w:rPr>
          <w:b/>
          <w:color w:val="808080"/>
        </w:rPr>
        <w:t>[</w:t>
      </w:r>
      <w:r>
        <w:rPr/>
        <w:t>sie</w:t>
      </w:r>
      <w:r>
        <w:rPr>
          <w:b/>
          <w:color w:val="808080"/>
        </w:rPr>
        <w:t>]</w:t>
      </w:r>
      <w:r>
        <w:rPr/>
        <w:t xml:space="preserve"> auf Mose zurückgeht </w:t>
      </w:r>
      <w:r>
        <w:rPr>
          <w:color w:val="808080"/>
        </w:rPr>
        <w:t>(aus dem Mose ist)</w:t>
      </w:r>
      <w:r>
        <w:rPr/>
        <w:t xml:space="preserve">, sie stammt </w:t>
      </w:r>
      <w:r>
        <w:rPr>
          <w:color w:val="808080"/>
        </w:rPr>
        <w:t>(ist)</w:t>
      </w:r>
      <w:r>
        <w:rPr/>
        <w:t xml:space="preserve"> vielmehr </w:t>
      </w:r>
      <w:r>
        <w:rPr>
          <w:color w:val="808080"/>
        </w:rPr>
        <w:t>(aber)</w:t>
      </w:r>
      <w:r>
        <w:rPr/>
        <w:t xml:space="preserve"> von den Vätern - und </w:t>
      </w:r>
      <w:r>
        <w:rPr>
          <w:b/>
          <w:color w:val="808080"/>
        </w:rPr>
        <w:t>[</w:t>
      </w:r>
      <w:r>
        <w:rPr/>
        <w:t>auch</w:t>
      </w:r>
      <w:r>
        <w:rPr>
          <w:b/>
          <w:color w:val="808080"/>
        </w:rPr>
        <w:t>]</w:t>
      </w:r>
      <w:r>
        <w:rPr/>
        <w:t xml:space="preserve"> an einem Sabbat beschneidet Ihr einen Menschen.{{field-off:bible}} </w:t>
        <w:br/>
        <w:t>[[@BibleTOBIBLE:Jn 7:23]]</w:t>
      </w:r>
      <w:r>
        <w:rPr>
          <w:b/>
        </w:rPr>
        <w:t>23</w:t>
      </w:r>
      <w:r>
        <w:rPr/>
        <w:t xml:space="preserve"> {{field-on:bible}}Wenn ein Mensch </w:t>
      </w:r>
      <w:r>
        <w:rPr>
          <w:b/>
          <w:color w:val="808080"/>
        </w:rPr>
        <w:t>[</w:t>
      </w:r>
      <w:r>
        <w:rPr/>
        <w:t>auch</w:t>
      </w:r>
      <w:r>
        <w:rPr>
          <w:b/>
          <w:color w:val="808080"/>
        </w:rPr>
        <w:t>]</w:t>
      </w:r>
      <w:r>
        <w:rPr/>
        <w:t xml:space="preserve"> an einem Sabbat beschnitten wird </w:t>
      </w:r>
      <w:r>
        <w:rPr>
          <w:color w:val="808080"/>
        </w:rPr>
        <w:t>(eine Beschneidung erhält)</w:t>
      </w:r>
      <w:r>
        <w:rPr/>
        <w:t xml:space="preserve">, damit das Gesetz des Mose nicht gebrochen </w:t>
      </w:r>
      <w:r>
        <w:rPr>
          <w:color w:val="808080"/>
        </w:rPr>
        <w:t>(aufgehoben, gelöst)</w:t>
      </w:r>
      <w:r>
        <w:rPr/>
        <w:t xml:space="preserve"> wird, seid Ihr </w:t>
      </w:r>
      <w:r>
        <w:rPr>
          <w:b/>
          <w:color w:val="808080"/>
        </w:rPr>
        <w:t>[</w:t>
      </w:r>
      <w:r>
        <w:rPr/>
        <w:t>trotzdem</w:t>
      </w:r>
      <w:r>
        <w:rPr>
          <w:b/>
          <w:color w:val="808080"/>
        </w:rPr>
        <w:t>]</w:t>
      </w:r>
      <w:r>
        <w:rPr/>
        <w:t xml:space="preserve"> verärgert über mich, weil ich einen ganzen Menschen an einem Sabbat gesund gemacht habe?{{field-off:bible}} </w:t>
        <w:br/>
        <w:t>[[@BibleTOBIBLE:Jn 7:24]]</w:t>
      </w:r>
      <w:r>
        <w:rPr>
          <w:b/>
        </w:rPr>
        <w:t>24</w:t>
      </w:r>
      <w:r>
        <w:rPr/>
        <w:t xml:space="preserve"> {{field-on:bible}}Urteilt nicht nach dem Anschein </w:t>
      </w:r>
      <w:r>
        <w:rPr>
          <w:color w:val="808080"/>
        </w:rPr>
        <w:t>(Aussehen, Blick)</w:t>
      </w:r>
      <w:r>
        <w:rPr/>
        <w:t xml:space="preserve">, sondern urteilt </w:t>
      </w:r>
      <w:r>
        <w:rPr>
          <w:color w:val="808080"/>
        </w:rPr>
        <w:t>(fällt)</w:t>
      </w:r>
      <w:r>
        <w:rPr/>
        <w:t xml:space="preserve"> das </w:t>
      </w:r>
      <w:r>
        <w:rPr>
          <w:color w:val="808080"/>
        </w:rPr>
        <w:t>(ein)</w:t>
      </w:r>
      <w:r>
        <w:rPr/>
        <w:t xml:space="preserve"> gerechte </w:t>
      </w:r>
      <w:r>
        <w:rPr>
          <w:color w:val="808080"/>
        </w:rPr>
        <w:t>(gerechtes)</w:t>
      </w:r>
      <w:r>
        <w:rPr/>
        <w:t xml:space="preserve"> Urteil.{{field-off:bible}} </w:t>
        <w:br/>
        <w:t>[[@BibleTOBIBLE:Jn 7:25]]</w:t>
      </w:r>
      <w:r>
        <w:rPr>
          <w:b/>
        </w:rPr>
        <w:t>25</w:t>
      </w:r>
      <w:r>
        <w:rPr/>
        <w:t xml:space="preserve"> {{field-on:bible}}Sagten also einige der </w:t>
      </w:r>
      <w:r>
        <w:rPr>
          <w:color w:val="808080"/>
        </w:rPr>
        <w:t>(aus den)</w:t>
      </w:r>
      <w:r>
        <w:rPr/>
        <w:t xml:space="preserve"> Jerusalemer </w:t>
      </w:r>
      <w:r>
        <w:rPr>
          <w:color w:val="808080"/>
        </w:rPr>
        <w:t>(Jerusalemern)</w:t>
      </w:r>
      <w:r>
        <w:rPr/>
        <w:t xml:space="preserve">: Ist dieser nicht der, den sie versuchen </w:t>
      </w:r>
      <w:r>
        <w:rPr>
          <w:color w:val="808080"/>
        </w:rPr>
        <w:t>(suchen)</w:t>
      </w:r>
      <w:r>
        <w:rPr/>
        <w:t xml:space="preserve"> zu töten?{{field-off:bible}} </w:t>
        <w:br/>
        <w:t>[[@BibleTOBIBLE:Jn 7:26]]</w:t>
      </w:r>
      <w:r>
        <w:rPr>
          <w:b/>
        </w:rPr>
        <w:t>26</w:t>
      </w:r>
      <w:r>
        <w:rPr/>
        <w:t xml:space="preserve"> {{field-on:bible}}Und sieh, offen </w:t>
      </w:r>
      <w:r>
        <w:rPr>
          <w:color w:val="808080"/>
        </w:rPr>
        <w:t>(öffentlich, mit Offenheit, Freimut)</w:t>
      </w:r>
      <w:r>
        <w:rPr/>
        <w:t xml:space="preserve"> redet er und sie sagen ihm nichts. Haben etwa die Führer wirklich erkannt, daß dieser der Christus ist?{{field-off:bible}} </w:t>
        <w:br/>
        <w:t>[[@BibleTOBIBLE:Jn 7:27]]</w:t>
      </w:r>
      <w:r>
        <w:rPr>
          <w:b/>
        </w:rPr>
        <w:t>27</w:t>
      </w:r>
      <w:r>
        <w:rPr/>
        <w:t xml:space="preserve"> {{field-on:bible}}Aber diesen kennen </w:t>
      </w:r>
      <w:r>
        <w:rPr>
          <w:color w:val="808080"/>
        </w:rPr>
        <w:t>(von diesem wissen)</w:t>
      </w:r>
      <w:r>
        <w:rPr/>
        <w:t xml:space="preserve"> wir, woher er ist </w:t>
      </w:r>
      <w:r>
        <w:rPr>
          <w:color w:val="808080"/>
        </w:rPr>
        <w:t>(kommt)</w:t>
      </w:r>
      <w:r>
        <w:rPr/>
        <w:t xml:space="preserve">. Wenn aber der Christus kommt, weiß keiner, woher er ist </w:t>
      </w:r>
      <w:r>
        <w:rPr>
          <w:color w:val="808080"/>
        </w:rPr>
        <w:t>(kommt)</w:t>
      </w:r>
      <w:r>
        <w:rPr/>
        <w:t xml:space="preserve">.{{field-off:bible}} </w:t>
        <w:br/>
        <w:t>[[@BibleTOBIBLE:Jn 7:28]]</w:t>
      </w:r>
      <w:r>
        <w:rPr>
          <w:b/>
        </w:rPr>
        <w:t>28</w:t>
      </w:r>
      <w:r>
        <w:rPr/>
        <w:t xml:space="preserve"> {{field-on:bible}}Jesus also rief </w:t>
      </w:r>
      <w:r>
        <w:rPr>
          <w:color w:val="808080"/>
        </w:rPr>
        <w:t>(schrie)</w:t>
      </w:r>
      <w:r>
        <w:rPr/>
        <w:t xml:space="preserve"> im Tempel, indem er lehrte und sagte: Und mich kennt ihr und wißt, woher ich bin! Und von mir selbst aus bin ich nicht gekommen, aber </w:t>
      </w:r>
      <w:r>
        <w:rPr>
          <w:b/>
          <w:color w:val="808080"/>
        </w:rPr>
        <w:t>[</w:t>
      </w:r>
      <w:r>
        <w:rPr/>
        <w:t>der,</w:t>
      </w:r>
      <w:r>
        <w:rPr>
          <w:b/>
          <w:color w:val="808080"/>
        </w:rPr>
        <w:t>]</w:t>
      </w:r>
      <w:r>
        <w:rPr/>
        <w:t xml:space="preserve"> der mich gesandt hat und den Ihr nicht kennt, ist wahrhaftig.{{field-off:bible}} </w:t>
        <w:br/>
        <w:t>[[@BibleTOBIBLE:Jn 7:29]]</w:t>
      </w:r>
      <w:r>
        <w:rPr>
          <w:b/>
        </w:rPr>
        <w:t>29</w:t>
      </w:r>
      <w:r>
        <w:rPr/>
        <w:t xml:space="preserve"> {{field-on:bible}}Ich kenne ihn, denn von ihm bin ich und er </w:t>
      </w:r>
      <w:r>
        <w:rPr>
          <w:color w:val="808080"/>
        </w:rPr>
        <w:t>(jener)</w:t>
      </w:r>
      <w:r>
        <w:rPr/>
        <w:t xml:space="preserve"> hat mich gesandt.{{field-off:bible}} </w:t>
        <w:br/>
        <w:t>[[@BibleTOBIBLE:Jn 7:30]]</w:t>
      </w:r>
      <w:r>
        <w:rPr>
          <w:b/>
        </w:rPr>
        <w:t>30</w:t>
      </w:r>
      <w:r>
        <w:rPr/>
        <w:t xml:space="preserve"> {{field-on:bible}}Sie versuchten </w:t>
      </w:r>
      <w:r>
        <w:rPr>
          <w:color w:val="808080"/>
        </w:rPr>
        <w:t>(suchten)</w:t>
      </w:r>
      <w:r>
        <w:rPr/>
        <w:t xml:space="preserve"> also, ihn zu verhaften </w:t>
      </w:r>
      <w:r>
        <w:rPr>
          <w:color w:val="808080"/>
        </w:rPr>
        <w:t>(ergreifen, festzunehmen)</w:t>
      </w:r>
      <w:r>
        <w:rPr/>
        <w:t xml:space="preserve">, und keiner legte Hand an ihn, denn seine Stunde war noch nicht gekommen.{{field-off:bible}} </w:t>
        <w:br/>
        <w:t>[[@BibleTOBIBLE:Jn 7:31]]</w:t>
      </w:r>
      <w:r>
        <w:rPr>
          <w:b/>
        </w:rPr>
        <w:t>31</w:t>
      </w:r>
      <w:r>
        <w:rPr/>
        <w:t xml:space="preserve"> {{field-on:bible}}Aus der Menge aber glaubten </w:t>
      </w:r>
      <w:r>
        <w:rPr>
          <w:color w:val="808080"/>
        </w:rPr>
        <w:t>(kamen)</w:t>
      </w:r>
      <w:r>
        <w:rPr/>
        <w:t xml:space="preserve"> viele </w:t>
      </w:r>
      <w:r>
        <w:rPr>
          <w:color w:val="808080"/>
        </w:rPr>
        <w:t>(zum Glauben)</w:t>
      </w:r>
      <w:r>
        <w:rPr/>
        <w:t xml:space="preserve"> an ihn und sagten: Wird der Christus </w:t>
      </w:r>
      <w:r>
        <w:rPr>
          <w:color w:val="808080"/>
        </w:rPr>
        <w:t>(Messias)</w:t>
      </w:r>
      <w:r>
        <w:rPr/>
        <w:t xml:space="preserve">, wenn er kommt, etwa größere Zeichen tun </w:t>
      </w:r>
      <w:r>
        <w:rPr>
          <w:color w:val="808080"/>
        </w:rPr>
        <w:t>(verwirklichen)</w:t>
      </w:r>
      <w:r>
        <w:rPr/>
        <w:t xml:space="preserve"> als dieser getan </w:t>
      </w:r>
      <w:r>
        <w:rPr>
          <w:color w:val="808080"/>
        </w:rPr>
        <w:t>(verwirklicht)</w:t>
      </w:r>
      <w:r>
        <w:rPr/>
        <w:t xml:space="preserve"> hat?{{field-off:bible}} </w:t>
        <w:br/>
        <w:t>[[@BibleTOBIBLE:Jn 7:32]]</w:t>
      </w:r>
      <w:r>
        <w:rPr>
          <w:b/>
        </w:rPr>
        <w:t>32</w:t>
      </w:r>
      <w:r>
        <w:rPr/>
        <w:t xml:space="preserve"> {{field-on:bible}} </w:t>
      </w:r>
      <w:r>
        <w:rPr>
          <w:b/>
          <w:color w:val="808080"/>
        </w:rPr>
        <w:t>[</w:t>
      </w:r>
      <w:r>
        <w:rPr/>
        <w:t>Es</w:t>
      </w:r>
      <w:r>
        <w:rPr>
          <w:b/>
          <w:color w:val="808080"/>
        </w:rPr>
        <w:t>]</w:t>
      </w:r>
      <w:r>
        <w:rPr/>
        <w:t xml:space="preserve"> hörten also die Pharisäer die Menge diese Dinge über ihn reden </w:t>
      </w:r>
      <w:r>
        <w:rPr>
          <w:color w:val="808080"/>
        </w:rPr>
        <w:t>(tuscheln, murren)</w:t>
      </w:r>
      <w:r>
        <w:rPr/>
        <w:t xml:space="preserve"> und die Hohenpriester und die Pharisäer schickten Diener </w:t>
      </w:r>
      <w:r>
        <w:rPr>
          <w:color w:val="808080"/>
        </w:rPr>
        <w:t>(Gerichtsdiener)</w:t>
      </w:r>
      <w:r>
        <w:rPr/>
        <w:t xml:space="preserve">, damit sie ihn verhaften </w:t>
      </w:r>
      <w:r>
        <w:rPr>
          <w:color w:val="808080"/>
        </w:rPr>
        <w:t>(festnehmen, ergreifen)</w:t>
      </w:r>
      <w:r>
        <w:rPr/>
        <w:t xml:space="preserve">.{{field-off:bible}} </w:t>
        <w:br/>
        <w:t>[[@BibleTOBIBLE:Jn 7:33]]</w:t>
      </w:r>
      <w:r>
        <w:rPr>
          <w:b/>
        </w:rPr>
        <w:t>33</w:t>
      </w:r>
      <w:r>
        <w:rPr/>
        <w:t xml:space="preserve"> {{field-on:bible}} </w:t>
      </w:r>
      <w:r>
        <w:rPr>
          <w:strike/>
          <w:color w:val="808080"/>
        </w:rPr>
        <w:t>{Der}</w:t>
      </w:r>
      <w:r>
        <w:rPr/>
        <w:t xml:space="preserve"> Jesus also sagte: </w:t>
      </w:r>
      <w:r>
        <w:rPr>
          <w:b/>
          <w:color w:val="808080"/>
        </w:rPr>
        <w:t>[</w:t>
      </w:r>
      <w:r>
        <w:rPr/>
        <w:t>Nur</w:t>
      </w:r>
      <w:r>
        <w:rPr>
          <w:b/>
          <w:color w:val="808080"/>
        </w:rPr>
        <w:t>]</w:t>
      </w:r>
      <w:r>
        <w:rPr/>
        <w:t xml:space="preserve"> noch eine kleine Zeit bin ich bei </w:t>
      </w:r>
      <w:r>
        <w:rPr>
          <w:color w:val="808080"/>
        </w:rPr>
        <w:t>(mit)</w:t>
      </w:r>
      <w:r>
        <w:rPr/>
        <w:t xml:space="preserve"> Euch und </w:t>
      </w:r>
      <w:r>
        <w:rPr>
          <w:b/>
          <w:color w:val="808080"/>
        </w:rPr>
        <w:t>[</w:t>
      </w:r>
      <w:r>
        <w:rPr/>
        <w:t>dann</w:t>
      </w:r>
      <w:r>
        <w:rPr>
          <w:b/>
          <w:color w:val="808080"/>
        </w:rPr>
        <w:t>]</w:t>
      </w:r>
      <w:r>
        <w:rPr/>
        <w:t xml:space="preserve"> gehe ich zu dem, der mich gesandt hat.{{field-off:bible}} </w:t>
        <w:br/>
        <w:t>[[@BibleTOBIBLE:Jn 7:34]]</w:t>
      </w:r>
      <w:r>
        <w:rPr>
          <w:b/>
        </w:rPr>
        <w:t>34</w:t>
      </w:r>
      <w:r>
        <w:rPr/>
        <w:t xml:space="preserve"> {{field-on:bible}}Ihr werdet mich suchen und</w:t>
      </w:r>
      <w:r>
        <w:rPr>
          <w:rStyle w:val="Funotenanker"/>
        </w:rPr>
        <w:footnoteReference w:customMarkFollows="1" w:id="4957"/>
        <w:t>c</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7:35]]</w:t>
      </w:r>
      <w:r>
        <w:rPr>
          <w:b/>
        </w:rPr>
        <w:t>35</w:t>
      </w:r>
      <w:r>
        <w:rPr/>
        <w:t xml:space="preserve"> {{field-on:bible}} </w:t>
      </w:r>
      <w:r>
        <w:rPr>
          <w:b/>
          <w:color w:val="808080"/>
        </w:rPr>
        <w:t>[</w:t>
      </w:r>
      <w:r>
        <w:rPr/>
        <w:t>Es</w:t>
      </w:r>
      <w:r>
        <w:rPr>
          <w:b/>
          <w:color w:val="808080"/>
        </w:rPr>
        <w:t>]</w:t>
      </w:r>
      <w:r>
        <w:rPr/>
        <w:t xml:space="preserve"> sagten also die Juden zueinander: Wohin will </w:t>
      </w:r>
      <w:r>
        <w:rPr>
          <w:color w:val="808080"/>
        </w:rPr>
        <w:t>(ist; hat)</w:t>
      </w:r>
      <w:r>
        <w:rPr/>
        <w:t xml:space="preserve"> dieser </w:t>
      </w:r>
      <w:r>
        <w:rPr>
          <w:color w:val="808080"/>
        </w:rPr>
        <w:t>(im Begriff zu; vor zu)</w:t>
      </w:r>
      <w:r>
        <w:rPr/>
        <w:t xml:space="preserve"> gehen, sodaß </w:t>
      </w:r>
      <w:r>
        <w:rPr>
          <w:color w:val="808080"/>
        </w:rPr>
        <w:t>(daß)</w:t>
      </w:r>
      <w:r>
        <w:rPr/>
        <w:t xml:space="preserve"> wir ihn nicht finden werden? Will </w:t>
      </w:r>
      <w:r>
        <w:rPr>
          <w:color w:val="808080"/>
        </w:rPr>
        <w:t>(Ist; Hat)</w:t>
      </w:r>
      <w:r>
        <w:rPr/>
        <w:t xml:space="preserve"> er etwa </w:t>
      </w:r>
      <w:r>
        <w:rPr>
          <w:color w:val="808080"/>
        </w:rPr>
        <w:t>(vielleicht)</w:t>
      </w:r>
      <w:r>
        <w:rPr/>
        <w:t xml:space="preserve"> </w:t>
      </w:r>
      <w:r>
        <w:rPr>
          <w:color w:val="808080"/>
        </w:rPr>
        <w:t>(im Begriff; vor)</w:t>
      </w:r>
      <w:r>
        <w:rPr/>
        <w:t xml:space="preserve"> in die Diaspora</w:t>
      </w:r>
      <w:r>
        <w:rPr>
          <w:rStyle w:val="Funotenanker"/>
        </w:rPr>
        <w:footnoteReference w:customMarkFollows="1" w:id="4958"/>
        <w:t>d</w:t>
      </w:r>
      <w:r>
        <w:rPr/>
        <w:t xml:space="preserve"> der Griechen</w:t>
      </w:r>
      <w:r>
        <w:rPr>
          <w:rStyle w:val="Funotenanker"/>
        </w:rPr>
        <w:footnoteReference w:customMarkFollows="1" w:id="4959"/>
        <w:t>e</w:t>
      </w:r>
      <w:r>
        <w:rPr/>
        <w:t xml:space="preserve"> </w:t>
      </w:r>
      <w:r>
        <w:rPr>
          <w:color w:val="808080"/>
        </w:rPr>
        <w:t>(zu)</w:t>
      </w:r>
      <w:r>
        <w:rPr/>
        <w:t xml:space="preserve"> gehen und die Griechen</w:t>
      </w:r>
      <w:r>
        <w:rPr>
          <w:rStyle w:val="Funotenanker"/>
        </w:rPr>
        <w:footnoteReference w:customMarkFollows="1" w:id="4960"/>
        <w:t>f</w:t>
      </w:r>
      <w:r>
        <w:rPr/>
        <w:t xml:space="preserve"> </w:t>
      </w:r>
      <w:r>
        <w:rPr>
          <w:color w:val="808080"/>
        </w:rPr>
        <w:t>(zu)</w:t>
      </w:r>
      <w:r>
        <w:rPr/>
        <w:t xml:space="preserve"> lehren?{{field-off:bible}} </w:t>
        <w:br/>
        <w:t>[[@BibleTOBIBLE:Jn 7:36]]</w:t>
      </w:r>
      <w:r>
        <w:rPr>
          <w:b/>
        </w:rPr>
        <w:t>36</w:t>
      </w:r>
      <w:r>
        <w:rPr/>
        <w:t xml:space="preserve"> {{field-on:bible}}Was bedeutet </w:t>
      </w:r>
      <w:r>
        <w:rPr>
          <w:color w:val="808080"/>
        </w:rPr>
        <w:t>(ist)</w:t>
      </w:r>
      <w:r>
        <w:rPr/>
        <w:t xml:space="preserve"> dieses Wort, das er gesagt hat: Ihr werdet mich suchen und </w:t>
      </w:r>
      <w:r>
        <w:rPr>
          <w:rStyle w:val="Funotenanker"/>
        </w:rPr>
        <w:footnoteReference w:customMarkFollows="1" w:id="4961"/>
        <w:t>g</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7:37]]</w:t>
      </w:r>
      <w:r>
        <w:rPr>
          <w:b/>
        </w:rPr>
        <w:t>37</w:t>
      </w:r>
      <w:r>
        <w:rPr/>
        <w:t xml:space="preserve"> {{field-on:bible}}Am letzten Tag aber, dem großen des Festes stand </w:t>
      </w:r>
      <w:r>
        <w:rPr>
          <w:strike/>
          <w:color w:val="808080"/>
        </w:rPr>
        <w:t>{der}</w:t>
      </w:r>
      <w:r>
        <w:rPr/>
        <w:t xml:space="preserve"> Jesus auf </w:t>
      </w:r>
      <w:r>
        <w:rPr>
          <w:color w:val="808080"/>
        </w:rPr>
        <w:t>(da)</w:t>
      </w:r>
      <w:r>
        <w:rPr/>
        <w:t xml:space="preserve"> und rief </w:t>
      </w:r>
      <w:r>
        <w:rPr>
          <w:color w:val="808080"/>
        </w:rPr>
        <w:t>(schrie)</w:t>
      </w:r>
      <w:r>
        <w:rPr/>
        <w:t xml:space="preserve"> und sagte: Wenn einer Durst hat, komme er zu mir und trinke!{{field-off:bible}} </w:t>
        <w:br/>
        <w:t>[[@BibleTOBIBLE:Jn 7:38]]</w:t>
      </w:r>
      <w:r>
        <w:rPr>
          <w:b/>
        </w:rPr>
        <w:t>38</w:t>
      </w:r>
      <w:r>
        <w:rPr/>
        <w:t xml:space="preserve"> {{field-on:bible}}Wer an mich glaubt – wie die Schrift gesagt hat: Flüsse lebendigen Wassers werden aus seinem Innersten </w:t>
      </w:r>
      <w:r>
        <w:rPr>
          <w:color w:val="808080"/>
        </w:rPr>
        <w:t>(Leib, seiner Leibeshöhle)</w:t>
      </w:r>
      <w:r>
        <w:rPr/>
        <w:t xml:space="preserve"> fließen</w:t>
      </w:r>
      <w:r>
        <w:rPr>
          <w:rStyle w:val="Funotenanker"/>
        </w:rPr>
        <w:footnoteReference w:customMarkFollows="1" w:id="4962"/>
        <w:t>h</w:t>
      </w:r>
      <w:r>
        <w:rPr/>
        <w:t xml:space="preserve">.{{field-off:bible}} </w:t>
        <w:br/>
        <w:t>[[@BibleTOBIBLE:Jn 7:39]]</w:t>
      </w:r>
      <w:r>
        <w:rPr>
          <w:b/>
        </w:rPr>
        <w:t>39</w:t>
      </w:r>
      <w:r>
        <w:rPr/>
        <w:t xml:space="preserve"> {{field-on:bible}}Dieses aber sagte er über den Geist, den die Glaubenden im Begriff waren, zu empfangen </w:t>
      </w:r>
      <w:r>
        <w:rPr>
          <w:color w:val="808080"/>
        </w:rPr>
        <w:t>(empfangen sollten)</w:t>
      </w:r>
      <w:r>
        <w:rPr/>
        <w:t xml:space="preserve">. Es gab </w:t>
      </w:r>
      <w:r>
        <w:rPr>
          <w:color w:val="808080"/>
        </w:rPr>
        <w:t>(war)</w:t>
      </w:r>
      <w:r>
        <w:rPr/>
        <w:t xml:space="preserve"> nämlich noch keinen </w:t>
      </w:r>
      <w:r>
        <w:rPr>
          <w:color w:val="808080"/>
        </w:rPr>
        <w:t>(kein)</w:t>
      </w:r>
      <w:r>
        <w:rPr/>
        <w:t xml:space="preserve"> Geist </w:t>
      </w:r>
      <w:r>
        <w:rPr>
          <w:b/>
          <w:color w:val="808080"/>
        </w:rPr>
        <w:t>[</w:t>
      </w:r>
      <w:r>
        <w:rPr>
          <w:color w:val="808080"/>
        </w:rPr>
        <w:t>(da)</w:t>
      </w:r>
      <w:r>
        <w:rPr>
          <w:b/>
          <w:color w:val="808080"/>
        </w:rPr>
        <w:t>]</w:t>
      </w:r>
      <w:r>
        <w:rPr/>
        <w:t xml:space="preserve"> </w:t>
      </w:r>
      <w:r>
        <w:rPr>
          <w:rStyle w:val="Funotenanker"/>
        </w:rPr>
        <w:footnoteReference w:customMarkFollows="1" w:id="4963"/>
        <w:t>i</w:t>
      </w:r>
      <w:r>
        <w:rPr/>
        <w:t xml:space="preserve">, weil Jesus noch nicht verherrlicht war.{{field-off:bible}} </w:t>
        <w:br/>
        <w:t>[[@BibleTOBIBLE:Jn 7:40]]</w:t>
      </w:r>
      <w:r>
        <w:rPr>
          <w:b/>
        </w:rPr>
        <w:t>40</w:t>
      </w:r>
      <w:r>
        <w:rPr/>
        <w:t xml:space="preserve"> {{field-on:bible}} </w:t>
      </w:r>
      <w:r>
        <w:rPr>
          <w:b/>
          <w:color w:val="808080"/>
        </w:rPr>
        <w:t>[</w:t>
      </w:r>
      <w:r>
        <w:rPr/>
        <w:t>Einige</w:t>
      </w:r>
      <w:r>
        <w:rPr>
          <w:b/>
          <w:color w:val="808080"/>
        </w:rPr>
        <w:t>]</w:t>
      </w:r>
      <w:r>
        <w:rPr/>
        <w:t xml:space="preserve"> aus der Menge also, die </w:t>
      </w:r>
      <w:r>
        <w:rPr>
          <w:color w:val="808080"/>
        </w:rPr>
        <w:t>(als sie)</w:t>
      </w:r>
      <w:r>
        <w:rPr/>
        <w:t xml:space="preserve"> diese Worte hörten, sagten: Dieser ist wirklich </w:t>
      </w:r>
      <w:r>
        <w:rPr>
          <w:color w:val="808080"/>
        </w:rPr>
        <w:t>(tatsächlich, wahrhaftig)</w:t>
      </w:r>
      <w:r>
        <w:rPr/>
        <w:t xml:space="preserve"> der Prophet.{{field-off:bible}} </w:t>
        <w:br/>
        <w:t>[[@BibleTOBIBLE:Jn 7:41]]</w:t>
      </w:r>
      <w:r>
        <w:rPr>
          <w:b/>
        </w:rPr>
        <w:t>41</w:t>
      </w:r>
      <w:r>
        <w:rPr/>
        <w:t xml:space="preserve"> {{field-on:bible}}Andere sagten: Dieser ist der Christus </w:t>
      </w:r>
      <w:r>
        <w:rPr>
          <w:color w:val="808080"/>
        </w:rPr>
        <w:t>(der Messias)</w:t>
      </w:r>
      <w:r>
        <w:rPr/>
        <w:t xml:space="preserve">. Wieder andere </w:t>
      </w:r>
      <w:r>
        <w:rPr>
          <w:color w:val="808080"/>
        </w:rPr>
        <w:t>(Die)</w:t>
      </w:r>
      <w:r>
        <w:rPr/>
        <w:t xml:space="preserve"> aber sagten: Kommt der Christus </w:t>
      </w:r>
      <w:r>
        <w:rPr>
          <w:color w:val="808080"/>
        </w:rPr>
        <w:t>(Messias)</w:t>
      </w:r>
      <w:r>
        <w:rPr/>
        <w:t xml:space="preserve"> etwa aus Galiläa?{{field-off:bible}} </w:t>
        <w:br/>
        <w:t>[[@BibleTOBIBLE:Jn 7:42]]</w:t>
      </w:r>
      <w:r>
        <w:rPr>
          <w:b/>
        </w:rPr>
        <w:t>42</w:t>
      </w:r>
      <w:r>
        <w:rPr/>
        <w:t xml:space="preserve"> {{field-on:bible}}Hat </w:t>
      </w:r>
      <w:r>
        <w:rPr>
          <w:color w:val="808080"/>
        </w:rPr>
        <w:t>(Sagt)</w:t>
      </w:r>
      <w:r>
        <w:rPr/>
        <w:t xml:space="preserve"> nicht die Schrift gesagt, daß der Christus </w:t>
      </w:r>
      <w:r>
        <w:rPr>
          <w:color w:val="808080"/>
        </w:rPr>
        <w:t>(Messias)</w:t>
      </w:r>
      <w:r>
        <w:rPr/>
        <w:t xml:space="preserve"> aus der Nachkommenschaft </w:t>
      </w:r>
      <w:r>
        <w:rPr>
          <w:color w:val="808080"/>
        </w:rPr>
        <w:t>(dem Samen)</w:t>
      </w:r>
      <w:r>
        <w:rPr/>
        <w:t xml:space="preserve"> Davids und aus </w:t>
      </w:r>
      <w:r>
        <w:rPr>
          <w:color w:val="808080"/>
        </w:rPr>
        <w:t>(von)</w:t>
      </w:r>
      <w:r>
        <w:rPr/>
        <w:t xml:space="preserve"> Bethlehem, dem Dorf, wo David war, kommt?{{field-off:bible}} </w:t>
        <w:br/>
        <w:t>[[@BibleTOBIBLE:Jn 7:43]]</w:t>
      </w:r>
      <w:r>
        <w:rPr>
          <w:b/>
        </w:rPr>
        <w:t>43</w:t>
      </w:r>
      <w:r>
        <w:rPr/>
        <w:t xml:space="preserve"> {{field-on:bible}}Eine Spaltung </w:t>
      </w:r>
      <w:r>
        <w:rPr>
          <w:color w:val="808080"/>
        </w:rPr>
        <w:t>(Meinungsverschiedenheit)</w:t>
      </w:r>
      <w:r>
        <w:rPr/>
        <w:t xml:space="preserve"> also entstand </w:t>
      </w:r>
      <w:r>
        <w:rPr>
          <w:color w:val="808080"/>
        </w:rPr>
        <w:t>(gab es, war)</w:t>
      </w:r>
      <w:r>
        <w:rPr/>
        <w:t xml:space="preserve"> in der Menge wegen ihm.{{field-off:bible}} </w:t>
        <w:br/>
        <w:t>[[@BibleTOBIBLE:Jn 7:44]]</w:t>
      </w:r>
      <w:r>
        <w:rPr>
          <w:b/>
        </w:rPr>
        <w:t>44</w:t>
      </w:r>
      <w:r>
        <w:rPr/>
        <w:t xml:space="preserve"> {{field-on:bible}}Einige aber von </w:t>
      </w:r>
      <w:r>
        <w:rPr>
          <w:color w:val="808080"/>
        </w:rPr>
        <w:t>(aus)</w:t>
      </w:r>
      <w:r>
        <w:rPr/>
        <w:t xml:space="preserve"> ihnen wollten ihn verhaften </w:t>
      </w:r>
      <w:r>
        <w:rPr>
          <w:color w:val="808080"/>
        </w:rPr>
        <w:t>(festnehmen, ergreifen)</w:t>
      </w:r>
      <w:r>
        <w:rPr/>
        <w:t xml:space="preserve">, aber keiner legte Hand </w:t>
      </w:r>
      <w:r>
        <w:rPr>
          <w:color w:val="808080"/>
        </w:rPr>
        <w:t>(die Hände)</w:t>
      </w:r>
      <w:r>
        <w:rPr/>
        <w:t xml:space="preserve"> an </w:t>
      </w:r>
      <w:r>
        <w:rPr>
          <w:color w:val="808080"/>
        </w:rPr>
        <w:t>(auf)</w:t>
      </w:r>
      <w:r>
        <w:rPr/>
        <w:t xml:space="preserve"> ihn.{{field-off:bible}} </w:t>
        <w:br/>
        <w:t>[[@BibleTOBIBLE:Jn 7:45]]</w:t>
      </w:r>
      <w:r>
        <w:rPr>
          <w:b/>
        </w:rPr>
        <w:t>45</w:t>
      </w:r>
      <w:r>
        <w:rPr/>
        <w:t xml:space="preserve"> {{field-on:bible}} </w:t>
      </w:r>
      <w:r>
        <w:rPr>
          <w:b/>
          <w:color w:val="808080"/>
        </w:rPr>
        <w:t>[</w:t>
      </w:r>
      <w:r>
        <w:rPr/>
        <w:t>Es</w:t>
      </w:r>
      <w:r>
        <w:rPr>
          <w:b/>
          <w:color w:val="808080"/>
        </w:rPr>
        <w:t>]</w:t>
      </w:r>
      <w:r>
        <w:rPr/>
        <w:t xml:space="preserve"> kamen also die Diener </w:t>
      </w:r>
      <w:r>
        <w:rPr>
          <w:color w:val="808080"/>
        </w:rPr>
        <w:t>(Gerichtsdiener)</w:t>
      </w:r>
      <w:r>
        <w:rPr/>
        <w:t xml:space="preserve"> zu den Hohenpriestern und Pharisäern, und </w:t>
      </w:r>
      <w:r>
        <w:rPr>
          <w:b/>
          <w:color w:val="808080"/>
        </w:rPr>
        <w:t>[</w:t>
      </w:r>
      <w:r>
        <w:rPr/>
        <w:t>es</w:t>
      </w:r>
      <w:r>
        <w:rPr>
          <w:b/>
          <w:color w:val="808080"/>
        </w:rPr>
        <w:t>]</w:t>
      </w:r>
      <w:r>
        <w:rPr/>
        <w:t xml:space="preserve"> sagten </w:t>
      </w:r>
      <w:r>
        <w:rPr>
          <w:b/>
          <w:color w:val="808080"/>
        </w:rPr>
        <w:t>[</w:t>
      </w:r>
      <w:r>
        <w:rPr/>
        <w:t>zu</w:t>
      </w:r>
      <w:r>
        <w:rPr>
          <w:b/>
          <w:color w:val="808080"/>
        </w:rPr>
        <w:t>]</w:t>
      </w:r>
      <w:r>
        <w:rPr/>
        <w:t xml:space="preserve"> ihnen die letzteren </w:t>
      </w:r>
      <w:r>
        <w:rPr>
          <w:color w:val="808080"/>
        </w:rPr>
        <w:t>(jene)</w:t>
      </w:r>
      <w:r>
        <w:rPr/>
        <w:t xml:space="preserve">: Weshalb habt ihr ihn nicht gebracht?{{field-off:bible}} </w:t>
        <w:br/>
        <w:t>[[@BibleTOBIBLE:Jn 7:46]]</w:t>
      </w:r>
      <w:r>
        <w:rPr>
          <w:b/>
        </w:rPr>
        <w:t>46</w:t>
      </w:r>
      <w:r>
        <w:rPr/>
        <w:t xml:space="preserve"> {{field-on:bible}}Die Diener </w:t>
      </w:r>
      <w:r>
        <w:rPr>
          <w:color w:val="808080"/>
        </w:rPr>
        <w:t>(Gerichtsdiener)</w:t>
      </w:r>
      <w:r>
        <w:rPr/>
        <w:t xml:space="preserve"> antworteten: Niemals hat ein Mensch so gesprochen.{{field-off:bible}} </w:t>
        <w:br/>
        <w:t>[[@BibleTOBIBLE:Jn 7:47]]</w:t>
      </w:r>
      <w:r>
        <w:rPr>
          <w:b/>
        </w:rPr>
        <w:t>47</w:t>
      </w:r>
      <w:r>
        <w:rPr/>
        <w:t xml:space="preserve"> {{field-on:bible}}Die Pharisäer also antworteten ihnen: Seid etwa auch ihr getäuscht </w:t>
      </w:r>
      <w:r>
        <w:rPr>
          <w:color w:val="808080"/>
        </w:rPr>
        <w:t>(in die Irre geführt, verführt)</w:t>
      </w:r>
      <w:r>
        <w:rPr/>
        <w:t xml:space="preserve"> worden?{{field-off:bible}} </w:t>
        <w:br/>
        <w:t>[[@BibleTOBIBLE:Jn 7:48]]</w:t>
      </w:r>
      <w:r>
        <w:rPr>
          <w:b/>
        </w:rPr>
        <w:t>48</w:t>
      </w:r>
      <w:r>
        <w:rPr/>
        <w:t xml:space="preserve"> {{field-on:bible}}Ist etwa einer der </w:t>
      </w:r>
      <w:r>
        <w:rPr>
          <w:color w:val="808080"/>
        </w:rPr>
        <w:t>(aus den)</w:t>
      </w:r>
      <w:r>
        <w:rPr/>
        <w:t xml:space="preserve"> Führer </w:t>
      </w:r>
      <w:r>
        <w:rPr>
          <w:color w:val="808080"/>
        </w:rPr>
        <w:t>(Führern)</w:t>
      </w:r>
      <w:r>
        <w:rPr/>
        <w:t xml:space="preserve"> zum Glauben an ihn gekommen oder einer der </w:t>
      </w:r>
      <w:r>
        <w:rPr>
          <w:color w:val="808080"/>
        </w:rPr>
        <w:t>(aus den)</w:t>
      </w:r>
      <w:r>
        <w:rPr/>
        <w:t xml:space="preserve"> Pharisäer </w:t>
      </w:r>
      <w:r>
        <w:rPr>
          <w:color w:val="808080"/>
        </w:rPr>
        <w:t>(Pharisäern)</w:t>
      </w:r>
      <w:r>
        <w:rPr/>
        <w:t xml:space="preserve">?{{field-off:bible}} </w:t>
        <w:br/>
        <w:t>[[@BibleTOBIBLE:Jn 7:49]]</w:t>
      </w:r>
      <w:r>
        <w:rPr>
          <w:b/>
        </w:rPr>
        <w:t>49</w:t>
      </w:r>
      <w:r>
        <w:rPr/>
        <w:t xml:space="preserve"> {{field-on:bible}}Aber diese Menge, die das Gesetz nicht kennt – verflucht sind sie.{{field-off:bible}} </w:t>
        <w:br/>
        <w:t>[[@BibleTOBIBLE:Jn 7:50]]</w:t>
      </w:r>
      <w:r>
        <w:rPr>
          <w:b/>
        </w:rPr>
        <w:t>50</w:t>
      </w:r>
      <w:r>
        <w:rPr/>
        <w:t xml:space="preserve"> {{field-on:bible}}Nikodemus, der früher </w:t>
      </w:r>
      <w:r>
        <w:rPr>
          <w:b/>
          <w:color w:val="808080"/>
        </w:rPr>
        <w:t>[</w:t>
      </w:r>
      <w:r>
        <w:rPr/>
        <w:t>einmal</w:t>
      </w:r>
      <w:r>
        <w:rPr>
          <w:b/>
          <w:color w:val="808080"/>
        </w:rPr>
        <w:t>]</w:t>
      </w:r>
      <w:r>
        <w:rPr/>
        <w:t xml:space="preserve"> zu ihm gekommen war und einer von ihnen war, sagt zu ihnen:{{field-off:bible}} </w:t>
        <w:br/>
        <w:t>[[@BibleTOBIBLE:Jn 7:51]]</w:t>
      </w:r>
      <w:r>
        <w:rPr>
          <w:b/>
        </w:rPr>
        <w:t>51</w:t>
      </w:r>
      <w:r>
        <w:rPr/>
        <w:t xml:space="preserve"> {{field-on:bible}}Verurteilt etwa unser Gesetz den Menschen, wenn es nicht zuerst von ihm hört und weiß </w:t>
      </w:r>
      <w:r>
        <w:rPr>
          <w:color w:val="808080"/>
        </w:rPr>
        <w:t>(erkennt, versteht)</w:t>
      </w:r>
      <w:r>
        <w:rPr/>
        <w:t xml:space="preserve">, was er tut?{{field-off:bible}} </w:t>
        <w:br/>
        <w:t>[[@BibleTOBIBLE:Jn 7:52]]</w:t>
      </w:r>
      <w:r>
        <w:rPr>
          <w:b/>
        </w:rPr>
        <w:t>52</w:t>
      </w:r>
      <w:r>
        <w:rPr/>
        <w:t xml:space="preserve"> {{field-on:bible}}Sie antworteten und sagten ihm: Bist vielleicht </w:t>
      </w:r>
      <w:r>
        <w:rPr>
          <w:color w:val="808080"/>
        </w:rPr>
        <w:t>(etwa)</w:t>
      </w:r>
      <w:r>
        <w:rPr/>
        <w:t xml:space="preserve"> auch Du aus </w:t>
      </w:r>
      <w:r>
        <w:rPr>
          <w:strike/>
          <w:color w:val="808080"/>
        </w:rPr>
        <w:t>{dem}</w:t>
      </w:r>
      <w:r>
        <w:rPr/>
        <w:t xml:space="preserve"> Galiläa? Forsche nach und sieh, daß aus </w:t>
      </w:r>
      <w:r>
        <w:rPr>
          <w:strike/>
          <w:color w:val="808080"/>
        </w:rPr>
        <w:t>{dem}</w:t>
      </w:r>
      <w:r>
        <w:rPr/>
        <w:t xml:space="preserve"> Galiäa kein Prophet kommt </w:t>
      </w:r>
      <w:r>
        <w:rPr>
          <w:color w:val="808080"/>
        </w:rPr>
        <w:t>(aufsteht)</w:t>
      </w:r>
      <w:r>
        <w:rPr/>
        <w:t>!</w:t>
      </w:r>
      <w:r>
        <w:rPr>
          <w:rStyle w:val="Funotenanker"/>
        </w:rPr>
        <w:footnoteReference w:customMarkFollows="1" w:id="4964"/>
        <w:t>j</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4965"/>
        <w:t>Status</w:t>
      </w:r>
      <w:r>
        <w:rPr/>
        <w:t xml:space="preserve"> </w:t>
      </w:r>
      <w:r>
        <w:rPr>
          <w:rStyle w:val="Funotenanker"/>
        </w:rPr>
        <w:footnoteReference w:customMarkFollows="1" w:id="4966"/>
        <w:t>a</w:t>
      </w:r>
      <w:r>
        <w:rPr/>
        <w:t xml:space="preserve">Wiederum also sprach Jesus zu ihnen sagend: Ich bin das Licht der Welt. Wer mir folgt </w:t>
      </w:r>
      <w:r>
        <w:rPr>
          <w:color w:val="808080"/>
        </w:rPr>
        <w:t>(nachfolgt)</w:t>
      </w:r>
      <w:r>
        <w:rPr/>
        <w:t xml:space="preserve">, wandelt nicht in der Finsternis </w:t>
      </w:r>
      <w:r>
        <w:rPr>
          <w:color w:val="808080"/>
        </w:rPr>
        <w:t>(Dunkelheit)</w:t>
      </w:r>
      <w:r>
        <w:rPr/>
        <w:t xml:space="preserve">, sondern wird das Licht des Lebens haben.{{field-off:bible}} </w:t>
        <w:br/>
        <w:t>[[@BibleTOBIBLE:Jn 8:13]]</w:t>
      </w:r>
      <w:r>
        <w:rPr>
          <w:b/>
        </w:rPr>
        <w:t>13</w:t>
      </w:r>
      <w:r>
        <w:rPr/>
        <w:t xml:space="preserve"> {{field-on:bible}} </w:t>
      </w:r>
      <w:r>
        <w:rPr>
          <w:b/>
          <w:color w:val="808080"/>
        </w:rPr>
        <w:t>[</w:t>
      </w:r>
      <w:r>
        <w:rPr/>
        <w:t>Es</w:t>
      </w:r>
      <w:r>
        <w:rPr>
          <w:b/>
          <w:color w:val="808080"/>
        </w:rPr>
        <w:t>]</w:t>
      </w:r>
      <w:r>
        <w:rPr/>
        <w:t xml:space="preserve"> sagten ihm also die Pharisäer: Du legst Zeugnis ab </w:t>
      </w:r>
      <w:r>
        <w:rPr>
          <w:color w:val="808080"/>
        </w:rPr>
        <w:t>(bezeugst)</w:t>
      </w:r>
      <w:r>
        <w:rPr/>
        <w:t xml:space="preserve"> über </w:t>
      </w:r>
      <w:r>
        <w:rPr>
          <w:color w:val="808080"/>
        </w:rPr>
        <w:t>(für)</w:t>
      </w:r>
      <w:r>
        <w:rPr/>
        <w:t xml:space="preserve"> Dich selbst. Dein Zeugnis ist nicht wahr </w:t>
      </w:r>
      <w:r>
        <w:rPr>
          <w:color w:val="808080"/>
        </w:rPr>
        <w:t>(wahrhaftig)</w:t>
      </w:r>
      <w:r>
        <w:rPr/>
        <w:t xml:space="preserve">.{{field-off:bible}} </w:t>
        <w:br/>
        <w:t>[[@BibleTOBIBLE:Jn 8:14]]</w:t>
      </w:r>
      <w:r>
        <w:rPr>
          <w:b/>
        </w:rPr>
        <w:t>14</w:t>
      </w:r>
      <w:r>
        <w:rPr/>
        <w:t xml:space="preserve"> {{field-on:bible}}Jesus antwortete und sagte ihnen: Auch wenn ich Zeugnis ablege </w:t>
      </w:r>
      <w:r>
        <w:rPr>
          <w:color w:val="808080"/>
        </w:rPr>
        <w:t>(bezeuge)</w:t>
      </w:r>
      <w:r>
        <w:rPr/>
        <w:t xml:space="preserve"> über </w:t>
      </w:r>
      <w:r>
        <w:rPr>
          <w:color w:val="808080"/>
        </w:rPr>
        <w:t>(für)</w:t>
      </w:r>
      <w:r>
        <w:rPr/>
        <w:t xml:space="preserve"> mich selbst, ist mein Zeugnis wahr </w:t>
      </w:r>
      <w:r>
        <w:rPr>
          <w:color w:val="808080"/>
        </w:rPr>
        <w:t>(wahrhaftig)</w:t>
      </w:r>
      <w:r>
        <w:rPr/>
        <w:t xml:space="preserve">, weil ich weiß, woher ich gekommen bin und wohin ich gehe </w:t>
      </w:r>
      <w:r>
        <w:rPr>
          <w:color w:val="808080"/>
        </w:rPr>
        <w:t>(weggehe)</w:t>
      </w:r>
      <w:r>
        <w:rPr/>
        <w:t xml:space="preserve">. Ihr aber wißt nicht, woher ich komme und wohin ich gehe </w:t>
      </w:r>
      <w:r>
        <w:rPr>
          <w:color w:val="808080"/>
        </w:rPr>
        <w:t>(weggehe)</w:t>
      </w:r>
      <w:r>
        <w:rPr/>
        <w:t xml:space="preserve">.{{field-off:bible}} </w:t>
        <w:br/>
        <w:t>[[@BibleTOBIBLE:Jn 8:15]]</w:t>
      </w:r>
      <w:r>
        <w:rPr>
          <w:b/>
        </w:rPr>
        <w:t>15</w:t>
      </w:r>
      <w:r>
        <w:rPr/>
        <w:t xml:space="preserve"> {{field-on:bible}}Ihr richtet </w:t>
      </w:r>
      <w:r>
        <w:rPr>
          <w:color w:val="808080"/>
        </w:rPr>
        <w:t>(urteilt, verurteilt)</w:t>
      </w:r>
      <w:r>
        <w:rPr/>
        <w:t xml:space="preserve"> nach dem Fleisch, ich richte </w:t>
      </w:r>
      <w:r>
        <w:rPr>
          <w:color w:val="808080"/>
        </w:rPr>
        <w:t>(beurteile, verurteile)</w:t>
      </w:r>
      <w:r>
        <w:rPr/>
        <w:t xml:space="preserve"> niemanden.{{field-off:bible}} </w:t>
        <w:br/>
        <w:t>[[@BibleTOBIBLE:Jn 8:16]]</w:t>
      </w:r>
      <w:r>
        <w:rPr>
          <w:b/>
        </w:rPr>
        <w:t>16</w:t>
      </w:r>
      <w:r>
        <w:rPr/>
        <w:t xml:space="preserve"> {{field-on:bible}}Und wenn ich aber </w:t>
      </w:r>
      <w:r>
        <w:rPr>
          <w:b/>
          <w:color w:val="808080"/>
        </w:rPr>
        <w:t>[</w:t>
      </w:r>
      <w:r>
        <w:rPr/>
        <w:t>doch</w:t>
      </w:r>
      <w:r>
        <w:rPr>
          <w:b/>
          <w:color w:val="808080"/>
        </w:rPr>
        <w:t>]</w:t>
      </w:r>
      <w:r>
        <w:rPr/>
        <w:t xml:space="preserve"> richte </w:t>
      </w:r>
      <w:r>
        <w:rPr>
          <w:color w:val="808080"/>
        </w:rPr>
        <w:t>(urteile, verurteile)</w:t>
      </w:r>
      <w:r>
        <w:rPr/>
        <w:t xml:space="preserve">, ist mein Urteil wahr </w:t>
      </w:r>
      <w:r>
        <w:rPr>
          <w:color w:val="808080"/>
        </w:rPr>
        <w:t>(wahrhaftig)</w:t>
      </w:r>
      <w:r>
        <w:rPr/>
        <w:t>, weil ich nicht allein bin, sondern ich und der Vater, der mich gesandt hat</w:t>
      </w:r>
      <w:r>
        <w:rPr>
          <w:b/>
          <w:color w:val="808080"/>
        </w:rPr>
        <w:t>[</w:t>
      </w:r>
      <w:r>
        <w:rPr/>
        <w:t>, zusammen sind</w:t>
      </w:r>
      <w:r>
        <w:rPr>
          <w:b/>
          <w:color w:val="808080"/>
        </w:rPr>
        <w:t>]</w:t>
      </w:r>
      <w:r>
        <w:rPr/>
        <w:t xml:space="preserve">.{{field-off:bible}} </w:t>
        <w:br/>
        <w:t>[[@BibleTOBIBLE:Jn 8:17]]</w:t>
      </w:r>
      <w:r>
        <w:rPr>
          <w:b/>
        </w:rPr>
        <w:t>17</w:t>
      </w:r>
      <w:r>
        <w:rPr/>
        <w:t xml:space="preserve"> {{field-on:bible}}Und im Gesetz aber, dem Euren, steht </w:t>
      </w:r>
      <w:r>
        <w:rPr>
          <w:color w:val="808080"/>
        </w:rPr>
        <w:t>(ist)</w:t>
      </w:r>
      <w:r>
        <w:rPr/>
        <w:t xml:space="preserve"> geschrieben, dass das Zeugnis von zwei Menschen wahr </w:t>
      </w:r>
      <w:r>
        <w:rPr>
          <w:color w:val="808080"/>
        </w:rPr>
        <w:t>(wahrhaftig)</w:t>
      </w:r>
      <w:r>
        <w:rPr/>
        <w:t xml:space="preserve"> ist.{{field-off:bible}} </w:t>
        <w:br/>
        <w:t>[[@BibleTOBIBLE:Jn 8:18]]</w:t>
      </w:r>
      <w:r>
        <w:rPr>
          <w:b/>
        </w:rPr>
        <w:t>18</w:t>
      </w:r>
      <w:r>
        <w:rPr/>
        <w:t xml:space="preserve"> {{field-on:bible}}Ich bin der, der über </w:t>
      </w:r>
      <w:r>
        <w:rPr>
          <w:color w:val="808080"/>
        </w:rPr>
        <w:t>(für)</w:t>
      </w:r>
      <w:r>
        <w:rPr/>
        <w:t xml:space="preserve"> mich selbst Zeugnis ablegt </w:t>
      </w:r>
      <w:r>
        <w:rPr>
          <w:color w:val="808080"/>
        </w:rPr>
        <w:t>(bezeugt)</w:t>
      </w:r>
      <w:r>
        <w:rPr/>
        <w:t xml:space="preserve"> und es legt Zeugnis </w:t>
      </w:r>
      <w:r>
        <w:rPr>
          <w:color w:val="808080"/>
        </w:rPr>
        <w:t>(bezeugt)</w:t>
      </w:r>
      <w:r>
        <w:rPr/>
        <w:t xml:space="preserve"> über </w:t>
      </w:r>
      <w:r>
        <w:rPr>
          <w:color w:val="808080"/>
        </w:rPr>
        <w:t>(für)</w:t>
      </w:r>
      <w:r>
        <w:rPr/>
        <w:t xml:space="preserve"> mich ab der Vater, der mich gesandt hat.{{field-off:bible}} </w:t>
        <w:br/>
        <w:t>[[@BibleTOBIBLE:Jn 8:19]]</w:t>
      </w:r>
      <w:r>
        <w:rPr>
          <w:b/>
        </w:rPr>
        <w:t>19</w:t>
      </w:r>
      <w:r>
        <w:rPr/>
        <w:t xml:space="preserve"> {{field-on:bible}}Sie sagten ihm also: Wo ist Dein Vater? Jesus antwortete: Weder mich kennt Ihr, noch meinen Vater. Wenn Ihr mich kennen würdet, würdet Ihr auch meinen Vater kennen.{{field-off:bible}} </w:t>
        <w:br/>
        <w:t>[[@BibleTOBIBLE:Jn 8:20]]</w:t>
      </w:r>
      <w:r>
        <w:rPr>
          <w:b/>
        </w:rPr>
        <w:t>20</w:t>
      </w:r>
      <w:r>
        <w:rPr/>
        <w:t xml:space="preserve"> {{field-on:bible}}Diese Worte aber sagte er in </w:t>
      </w:r>
      <w:r>
        <w:rPr>
          <w:color w:val="808080"/>
        </w:rPr>
        <w:t>(bei)</w:t>
      </w:r>
      <w:r>
        <w:rPr/>
        <w:t xml:space="preserve"> der Schatzkammer</w:t>
      </w:r>
      <w:r>
        <w:rPr>
          <w:rStyle w:val="Funotenanker"/>
        </w:rPr>
        <w:footnoteReference w:customMarkFollows="1" w:id="4967"/>
        <w:t>b</w:t>
      </w:r>
      <w:r>
        <w:rPr/>
        <w:t xml:space="preserve">, als er im Tempel lehrte. Und keiner ergriff ihn </w:t>
      </w:r>
      <w:r>
        <w:rPr>
          <w:color w:val="808080"/>
        </w:rPr>
        <w:t>(nahm ihn fest)</w:t>
      </w:r>
      <w:r>
        <w:rPr/>
        <w:t xml:space="preserve">, weil seine Stunde noch nicht gekommen war.{{field-off:bible}} </w:t>
        <w:br/>
        <w:t>[[@BibleTOBIBLE:Jn 8:21]]</w:t>
      </w:r>
      <w:r>
        <w:rPr>
          <w:b/>
        </w:rPr>
        <w:t>21</w:t>
      </w:r>
      <w:r>
        <w:rPr/>
        <w:t xml:space="preserve"> {{field-on:bible}}Er</w:t>
      </w:r>
      <w:r>
        <w:rPr>
          <w:rStyle w:val="Funotenanker"/>
        </w:rPr>
        <w:footnoteReference w:customMarkFollows="1" w:id="4968"/>
        <w:t>c</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4969"/>
        <w:t>d</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4970"/>
        <w:t>e</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4971"/>
        <w:t>f</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4972"/>
        <w:t>g</w:t>
      </w:r>
      <w:r>
        <w:rPr/>
        <w:t xml:space="preserve"> „Zunächst das, was</w:t>
      </w:r>
      <w:r>
        <w:rPr>
          <w:rStyle w:val="Funotenanker"/>
        </w:rPr>
        <w:footnoteReference w:customMarkFollows="1" w:id="4973"/>
        <w:t>h</w:t>
      </w:r>
      <w:r>
        <w:rPr/>
        <w:t xml:space="preserve"> ich euch auch sage.</w:t>
      </w:r>
      <w:r>
        <w:rPr>
          <w:rStyle w:val="Funotenanker"/>
        </w:rPr>
        <w:footnoteReference w:customMarkFollows="1" w:id="4974"/>
        <w:t>i</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4975"/>
        <w:t>j</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4976"/>
        <w:t>k</w:t>
      </w:r>
      <w:r>
        <w:rPr/>
        <w:t xml:space="preserve"> sprach.{{field-off:bible}} </w:t>
        <w:br/>
        <w:t>[[@BibleTOBIBLE:Jn 8:28]]</w:t>
      </w:r>
      <w:r>
        <w:rPr>
          <w:b/>
        </w:rPr>
        <w:t>28</w:t>
      </w:r>
      <w:r>
        <w:rPr/>
        <w:t xml:space="preserve"> {{field-on:bible}}Sprach daher Jesus zu ihnen</w:t>
      </w:r>
      <w:r>
        <w:rPr>
          <w:rStyle w:val="Funotenanker"/>
        </w:rPr>
        <w:footnoteReference w:customMarkFollows="1" w:id="4977"/>
        <w:t>l</w:t>
      </w:r>
      <w:r>
        <w:rPr/>
        <w:t>: „Wenn ihr den Menschensohn erhöhen</w:t>
      </w:r>
      <w:r>
        <w:rPr>
          <w:rStyle w:val="Funotenanker"/>
        </w:rPr>
        <w:footnoteReference w:customMarkFollows="1" w:id="4978"/>
        <w:t>m</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4979"/>
        <w:t>n</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4980"/>
        <w:t>o</w:t>
      </w:r>
      <w:r>
        <w:rPr/>
        <w:t xml:space="preserve">, glaubten viele an ihn.{{field-off:bible}} </w:t>
        <w:br/>
        <w:t>[[@BibleTOBIBLE:Jn 8:31]]</w:t>
      </w:r>
      <w:r>
        <w:rPr>
          <w:b/>
        </w:rPr>
        <w:t>31</w:t>
      </w:r>
      <w:r>
        <w:rPr/>
        <w:t xml:space="preserve"> {{field-on:bible}} </w:t>
      </w:r>
      <w:r>
        <w:rPr>
          <w:b/>
          <w:color w:val="808080"/>
        </w:rPr>
        <w:t>[</w:t>
      </w:r>
      <w:r>
        <w:rPr/>
        <w:t>Es</w:t>
      </w:r>
      <w:r>
        <w:rPr>
          <w:b/>
          <w:color w:val="808080"/>
        </w:rPr>
        <w:t>]</w:t>
      </w:r>
      <w:r>
        <w:rPr/>
        <w:t xml:space="preserve"> sagte also </w:t>
      </w:r>
      <w:r>
        <w:rPr>
          <w:strike/>
          <w:color w:val="808080"/>
        </w:rPr>
        <w:t>{der}</w:t>
      </w:r>
      <w:r>
        <w:rPr/>
        <w:t xml:space="preserve"> Jesus zu den Juden, die an ihn glaubten: Wenn Ihr in meinem Wort bleibt, seid Ihr wirklich </w:t>
      </w:r>
      <w:r>
        <w:rPr>
          <w:color w:val="808080"/>
        </w:rPr>
        <w:t>(wahrhaftig)</w:t>
      </w:r>
      <w:r>
        <w:rPr/>
        <w:t xml:space="preserve"> meine Jünger{{field-off:bible}} </w:t>
        <w:br/>
        <w:t>[[@BibleTOBIBLE:Jn 8:32]]</w:t>
      </w:r>
      <w:r>
        <w:rPr>
          <w:b/>
        </w:rPr>
        <w:t>32</w:t>
      </w:r>
      <w:r>
        <w:rPr/>
        <w:t xml:space="preserve"> {{field-on:bible}}und Ihr werdet die Wahrheit erkennen und die Wahrheit wird Euch befreien </w:t>
      </w:r>
      <w:r>
        <w:rPr>
          <w:color w:val="808080"/>
        </w:rPr>
        <w:t>(frei machen)</w:t>
      </w:r>
      <w:r>
        <w:rPr/>
        <w:t xml:space="preserve">.{{field-off:bible}} </w:t>
        <w:br/>
        <w:t>[[@BibleTOBIBLE:Jn 8:33]]</w:t>
      </w:r>
      <w:r>
        <w:rPr>
          <w:b/>
        </w:rPr>
        <w:t>33</w:t>
      </w:r>
      <w:r>
        <w:rPr/>
        <w:t xml:space="preserve"> {{field-on:bible}}Sie antworteten ihm: Wir sind Nachfahren </w:t>
      </w:r>
      <w:r>
        <w:rPr>
          <w:color w:val="808080"/>
        </w:rPr>
        <w:t>(Same)</w:t>
      </w:r>
      <w:r>
        <w:rPr/>
        <w:t xml:space="preserve"> Abrahams und wir haben </w:t>
      </w:r>
      <w:r>
        <w:rPr>
          <w:b/>
          <w:color w:val="808080"/>
        </w:rPr>
        <w:t>[</w:t>
      </w:r>
      <w:r>
        <w:rPr/>
        <w:t>noch</w:t>
      </w:r>
      <w:r>
        <w:rPr>
          <w:b/>
          <w:color w:val="808080"/>
        </w:rPr>
        <w:t>]</w:t>
      </w:r>
      <w:r>
        <w:rPr/>
        <w:t xml:space="preserve"> nie jemanden </w:t>
      </w:r>
      <w:r>
        <w:rPr>
          <w:color w:val="808080"/>
        </w:rPr>
        <w:t>(niemandem jemals)</w:t>
      </w:r>
      <w:r>
        <w:rPr/>
        <w:t xml:space="preserve"> </w:t>
      </w:r>
      <w:r>
        <w:rPr>
          <w:color w:val="808080"/>
        </w:rPr>
        <w:t>(als Sklaven)</w:t>
      </w:r>
      <w:r>
        <w:rPr/>
        <w:t xml:space="preserve"> gedient. Wieso </w:t>
      </w:r>
      <w:r>
        <w:rPr>
          <w:color w:val="808080"/>
        </w:rPr>
        <w:t>(Wie)</w:t>
      </w:r>
      <w:r>
        <w:rPr/>
        <w:t xml:space="preserve"> sagst Du </w:t>
      </w:r>
      <w:r>
        <w:rPr>
          <w:color w:val="808080"/>
        </w:rPr>
        <w:t>(kannst Du sagen)</w:t>
      </w:r>
      <w:r>
        <w:rPr/>
        <w:t xml:space="preserve">: </w:t>
      </w:r>
      <w:r>
        <w:rPr>
          <w:strike/>
          <w:color w:val="808080"/>
        </w:rPr>
        <w:t>{Daß}</w:t>
      </w:r>
      <w:r>
        <w:rPr/>
        <w:t xml:space="preserve"> Ihr werdet frei </w:t>
      </w:r>
      <w:r>
        <w:rPr>
          <w:color w:val="808080"/>
        </w:rPr>
        <w:t>(Freie)</w:t>
      </w:r>
      <w:r>
        <w:rPr/>
        <w:t xml:space="preserve"> sein </w:t>
      </w:r>
      <w:r>
        <w:rPr>
          <w:color w:val="808080"/>
        </w:rPr>
        <w:t>(werden)</w:t>
      </w:r>
      <w:r>
        <w:rPr/>
        <w:t xml:space="preserve">?{{field-off:bible}} </w:t>
        <w:br/>
        <w:t>[[@BibleTOBIBLE:Jn 8:34]]</w:t>
      </w:r>
      <w:r>
        <w:rPr>
          <w:b/>
        </w:rPr>
        <w:t>34</w:t>
      </w:r>
      <w:r>
        <w:rPr/>
        <w:t xml:space="preserve"> {{field-on:bible}} </w:t>
      </w:r>
      <w:r>
        <w:rPr>
          <w:b/>
          <w:color w:val="808080"/>
        </w:rPr>
        <w:t>[</w:t>
      </w:r>
      <w:r>
        <w:rPr/>
        <w:t>Es</w:t>
      </w:r>
      <w:r>
        <w:rPr>
          <w:b/>
          <w:color w:val="808080"/>
        </w:rPr>
        <w:t>]</w:t>
      </w:r>
      <w:r>
        <w:rPr/>
        <w:t xml:space="preserve"> antwortete ihnen </w:t>
      </w:r>
      <w:r>
        <w:rPr>
          <w:strike/>
          <w:color w:val="808080"/>
        </w:rPr>
        <w:t>{der}</w:t>
      </w:r>
      <w:r>
        <w:rPr/>
        <w:t xml:space="preserve"> Jesus: Amen, Amen </w:t>
      </w:r>
      <w:r>
        <w:rPr>
          <w:color w:val="808080"/>
        </w:rPr>
        <w:t>(Wahrlich, wahrlich)</w:t>
      </w:r>
      <w:r>
        <w:rPr/>
        <w:t xml:space="preserve">, ich sage Euch: </w:t>
      </w:r>
      <w:r>
        <w:rPr>
          <w:strike/>
          <w:color w:val="808080"/>
        </w:rPr>
        <w:t>{Daß}</w:t>
      </w:r>
      <w:r>
        <w:rPr/>
        <w:t xml:space="preserve"> Jeder, der die Sünde tut </w:t>
      </w:r>
      <w:r>
        <w:rPr>
          <w:color w:val="808080"/>
        </w:rPr>
        <w:t>(sündigt)</w:t>
      </w:r>
      <w:r>
        <w:rPr/>
        <w:t xml:space="preserve">, ist Sklave </w:t>
      </w:r>
      <w:r>
        <w:rPr>
          <w:color w:val="808080"/>
        </w:rPr>
        <w:t>(Diener, Knecht)</w:t>
      </w:r>
      <w:r>
        <w:rPr/>
        <w:t xml:space="preserve"> der Sünde.{{field-off:bible}} </w:t>
        <w:br/>
        <w:t>[[@BibleTOBIBLE:Jn 8:35]]</w:t>
      </w:r>
      <w:r>
        <w:rPr>
          <w:b/>
        </w:rPr>
        <w:t>35</w:t>
      </w:r>
      <w:r>
        <w:rPr/>
        <w:t xml:space="preserve"> {{field-on:bible}}Der Sklave </w:t>
      </w:r>
      <w:r>
        <w:rPr>
          <w:color w:val="808080"/>
        </w:rPr>
        <w:t>(Diener, Knecht)</w:t>
      </w:r>
      <w:r>
        <w:rPr/>
        <w:t xml:space="preserve"> aber bleibt nicht für immer </w:t>
      </w:r>
      <w:r>
        <w:rPr>
          <w:color w:val="808080"/>
        </w:rPr>
        <w:t>(ewig; in die Ewigkeit)</w:t>
      </w:r>
      <w:r>
        <w:rPr/>
        <w:t xml:space="preserve"> im Haus. Der Sohn bleibt für immer </w:t>
      </w:r>
      <w:r>
        <w:rPr>
          <w:color w:val="808080"/>
        </w:rPr>
        <w:t>(ewig; in die Ewigkeit)</w:t>
      </w:r>
      <w:r>
        <w:rPr/>
        <w:t xml:space="preserve">.{{field-off:bible}} </w:t>
        <w:br/>
        <w:t>[[@BibleTOBIBLE:Jn 8:36]]</w:t>
      </w:r>
      <w:r>
        <w:rPr>
          <w:b/>
        </w:rPr>
        <w:t>36</w:t>
      </w:r>
      <w:r>
        <w:rPr/>
        <w:t xml:space="preserve"> {{field-on:bible}}Wenn also der Sohn Euch befreit </w:t>
      </w:r>
      <w:r>
        <w:rPr>
          <w:color w:val="808080"/>
        </w:rPr>
        <w:t>(frei macht)</w:t>
      </w:r>
      <w:r>
        <w:rPr/>
        <w:t xml:space="preserve">, werdet Ihr wirklich frei </w:t>
      </w:r>
      <w:r>
        <w:rPr>
          <w:color w:val="808080"/>
        </w:rPr>
        <w:t>(Freie)</w:t>
      </w:r>
      <w:r>
        <w:rPr/>
        <w:t xml:space="preserve"> sein.{{field-off:bible}} </w:t>
        <w:br/>
        <w:t>[[@BibleTOBIBLE:Jn 8:37]]</w:t>
      </w:r>
      <w:r>
        <w:rPr>
          <w:b/>
        </w:rPr>
        <w:t>37</w:t>
      </w:r>
      <w:r>
        <w:rPr/>
        <w:t xml:space="preserve"> {{field-on:bible}}Ich weiß, dass Ihr Nachkommen </w:t>
      </w:r>
      <w:r>
        <w:rPr>
          <w:color w:val="808080"/>
        </w:rPr>
        <w:t>(Samen)</w:t>
      </w:r>
      <w:r>
        <w:rPr/>
        <w:t xml:space="preserve"> Abrahams seid. Aber Ihr versucht </w:t>
      </w:r>
      <w:r>
        <w:rPr>
          <w:color w:val="808080"/>
        </w:rPr>
        <w:t>(sucht)</w:t>
      </w:r>
      <w:r>
        <w:rPr/>
        <w:t xml:space="preserve"> mich zu töten, weil mein Wort in Euch keinen Raum findet </w:t>
      </w:r>
      <w:r>
        <w:rPr>
          <w:color w:val="808080"/>
        </w:rPr>
        <w:t>(hat)</w:t>
      </w:r>
      <w:r>
        <w:rPr/>
        <w:t xml:space="preserve">.{{field-off:bible}} </w:t>
        <w:br/>
        <w:t>[[@BibleTOBIBLE:Jn 8:38]]</w:t>
      </w:r>
      <w:r>
        <w:rPr>
          <w:b/>
        </w:rPr>
        <w:t>38</w:t>
      </w:r>
      <w:r>
        <w:rPr/>
        <w:t xml:space="preserve"> {{field-on:bible}}Was ich beim Vater gesehen habe, sage ich. Und Ihr also </w:t>
      </w:r>
      <w:r>
        <w:rPr>
          <w:color w:val="808080"/>
        </w:rPr>
        <w:t>(tut)</w:t>
      </w:r>
      <w:r>
        <w:rPr/>
        <w:t>, was Ihr vom Vater gehört habt, tut!</w:t>
      </w:r>
      <w:r>
        <w:rPr>
          <w:color w:val="808080"/>
        </w:rPr>
        <w:t>(.)</w:t>
      </w:r>
      <w:r>
        <w:rPr/>
        <w:t xml:space="preserve"> </w:t>
      </w:r>
      <w:r>
        <w:rPr>
          <w:rStyle w:val="Funotenanker"/>
        </w:rPr>
        <w:footnoteReference w:customMarkFollows="1" w:id="4981"/>
        <w:t>p</w:t>
      </w:r>
      <w:r>
        <w:rPr/>
        <w:t xml:space="preserve"> {{field-off:bible}} </w:t>
        <w:br/>
        <w:t>[[@BibleTOBIBLE:Jn 8:39]]</w:t>
      </w:r>
      <w:r>
        <w:rPr>
          <w:b/>
        </w:rPr>
        <w:t>39</w:t>
      </w:r>
      <w:r>
        <w:rPr/>
        <w:t xml:space="preserve"> {{field-on:bible}}Sie antworteten ihm: unser Vater ist Abraham. </w:t>
      </w:r>
      <w:r>
        <w:rPr>
          <w:strike/>
          <w:color w:val="808080"/>
        </w:rPr>
        <w:t>{Der}</w:t>
      </w:r>
      <w:r>
        <w:rPr/>
        <w:t xml:space="preserve"> Jesus sagt ihnen: Wenn Ihr Kinder </w:t>
      </w:r>
      <w:r>
        <w:rPr>
          <w:strike/>
          <w:color w:val="808080"/>
        </w:rPr>
        <w:t>{des}</w:t>
      </w:r>
      <w:r>
        <w:rPr/>
        <w:t xml:space="preserve"> Abrahams seid </w:t>
      </w:r>
      <w:r>
        <w:rPr>
          <w:color w:val="808080"/>
        </w:rPr>
        <w:t>(wäret)</w:t>
      </w:r>
      <w:r>
        <w:rPr/>
        <w:t xml:space="preserve">, würdet ihr die Werke </w:t>
      </w:r>
      <w:r>
        <w:rPr>
          <w:strike/>
          <w:color w:val="808080"/>
        </w:rPr>
        <w:t>{des}</w:t>
      </w:r>
      <w:r>
        <w:rPr/>
        <w:t xml:space="preserve"> Abrahams tun</w:t>
      </w:r>
      <w:r>
        <w:rPr>
          <w:rStyle w:val="Funotenanker"/>
        </w:rPr>
        <w:footnoteReference w:customMarkFollows="1" w:id="4982"/>
        <w:t>q</w:t>
      </w:r>
      <w:r>
        <w:rPr/>
        <w:t xml:space="preserve">.{{field-off:bible}} </w:t>
        <w:br/>
        <w:t>[[@BibleTOBIBLE:Jn 8:40]]</w:t>
      </w:r>
      <w:r>
        <w:rPr>
          <w:b/>
        </w:rPr>
        <w:t>40</w:t>
      </w:r>
      <w:r>
        <w:rPr/>
        <w:t xml:space="preserve"> {{field-on:bible}}Jetzt aber versucht </w:t>
      </w:r>
      <w:r>
        <w:rPr>
          <w:color w:val="808080"/>
        </w:rPr>
        <w:t>(sucht)</w:t>
      </w:r>
      <w:r>
        <w:rPr/>
        <w:t xml:space="preserve"> Ihr mich zu töten, einen Menschen, der ich Euch die Wahrheit gesagt habe, die ich von Gott gehört habe. Das </w:t>
      </w:r>
      <w:r>
        <w:rPr>
          <w:color w:val="808080"/>
        </w:rPr>
        <w:t>(Dieses)</w:t>
      </w:r>
      <w:r>
        <w:rPr/>
        <w:t xml:space="preserve"> hat Abraham nicht getan.{{field-off:bible}} </w:t>
        <w:br/>
        <w:t>[[@BibleTOBIBLE:Jn 8:41]]</w:t>
      </w:r>
      <w:r>
        <w:rPr>
          <w:b/>
        </w:rPr>
        <w:t>41</w:t>
      </w:r>
      <w:r>
        <w:rPr/>
        <w:t xml:space="preserve"> {{field-on:bible}}Ihr tut die Werke Eures Vaters. Sie sagten ihm also</w:t>
      </w:r>
      <w:r>
        <w:rPr>
          <w:rStyle w:val="Funotenanker"/>
        </w:rPr>
        <w:footnoteReference w:customMarkFollows="1" w:id="4983"/>
        <w:t>r</w:t>
      </w:r>
      <w:r>
        <w:rPr/>
        <w:t xml:space="preserve">: Wir sind nicht aus Unzucht geboren </w:t>
      </w:r>
      <w:r>
        <w:rPr>
          <w:color w:val="808080"/>
        </w:rPr>
        <w:t>(gezeugt)</w:t>
      </w:r>
      <w:r>
        <w:rPr/>
        <w:t xml:space="preserve">, einen Vater haben wir, Gott.{{field-off:bible}} </w:t>
        <w:br/>
        <w:t>[[@BibleTOBIBLE:Jn 8:42]]</w:t>
      </w:r>
      <w:r>
        <w:rPr>
          <w:b/>
        </w:rPr>
        <w:t>42</w:t>
      </w:r>
      <w:r>
        <w:rPr/>
        <w:t xml:space="preserve"> {{field-on:bible}}Sagte Ihnen </w:t>
      </w:r>
      <w:r>
        <w:rPr>
          <w:strike/>
          <w:color w:val="808080"/>
        </w:rPr>
        <w:t>{der}</w:t>
      </w:r>
      <w:r>
        <w:rPr/>
        <w:t xml:space="preserve"> Jesus: Wenn Gott Euer Vater wäre, würdet Ihr mich lieben; ich nämlich bin aus Gott hervorgegangen </w:t>
      </w:r>
      <w:r>
        <w:rPr>
          <w:color w:val="808080"/>
        </w:rPr>
        <w:t>(ausgegangen, herausgegangen)</w:t>
      </w:r>
      <w:r>
        <w:rPr/>
        <w:t xml:space="preserve"> und gekommen. Nicht nämlich von mir </w:t>
      </w:r>
      <w:r>
        <w:rPr>
          <w:color w:val="808080"/>
        </w:rPr>
        <w:t>(aus)</w:t>
      </w:r>
      <w:r>
        <w:rPr/>
        <w:t xml:space="preserve"> bin ich gekommen, sondern jener hat mich gesandt.{{field-off:bible}} </w:t>
        <w:br/>
        <w:t>[[@BibleTOBIBLE:Jn 8:43]]</w:t>
      </w:r>
      <w:r>
        <w:rPr>
          <w:b/>
        </w:rPr>
        <w:t>43</w:t>
      </w:r>
      <w:r>
        <w:rPr/>
        <w:t xml:space="preserve"> {{field-on:bible}}Weshalb erkennt Ihr meine Rede nicht? Weil Ihr mein Wort nicht hören könnt.{{field-off:bible}} </w:t>
        <w:br/>
        <w:t>[[@BibleTOBIBLE:Jn 8:44]]</w:t>
      </w:r>
      <w:r>
        <w:rPr>
          <w:b/>
        </w:rPr>
        <w:t>44</w:t>
      </w:r>
      <w:r>
        <w:rPr/>
        <w:t xml:space="preserve"> {{field-on:bible}}Ihr seid aus dem </w:t>
      </w:r>
      <w:r>
        <w:rPr>
          <w:color w:val="808080"/>
        </w:rPr>
        <w:t>(vom)</w:t>
      </w:r>
      <w:r>
        <w:rPr/>
        <w:t xml:space="preserve"> Vater, dem Teufel, </w:t>
      </w:r>
      <w:r>
        <w:rPr>
          <w:color w:val="808080"/>
        </w:rPr>
        <w:t>(des Teufels)</w:t>
      </w:r>
      <w:r>
        <w:rPr/>
        <w:t xml:space="preserve"> und die Begierden Eures Vaters wollt ihr tun </w:t>
      </w:r>
      <w:r>
        <w:rPr>
          <w:color w:val="808080"/>
        </w:rPr>
        <w:t>(in die Tat umsetzen)</w:t>
      </w:r>
      <w:r>
        <w:rPr/>
        <w:t xml:space="preserve">. Jener war ein Mörder </w:t>
      </w:r>
      <w:r>
        <w:rPr>
          <w:color w:val="808080"/>
        </w:rPr>
        <w:t>(Menschenmörder)</w:t>
      </w:r>
      <w:r>
        <w:rPr/>
        <w:t xml:space="preserve"> von Anfang an, und in der Wahrheit stand er nicht, weil Wahrheit in ihm nicht ist. Wenn er die Lüge spricht, spricht er aus dem Eigenen </w:t>
      </w:r>
      <w:r>
        <w:rPr>
          <w:color w:val="808080"/>
        </w:rPr>
        <w:t>(aus den eigenen Dingen)</w:t>
      </w:r>
      <w:r>
        <w:rPr/>
        <w:t xml:space="preserve">, weil er ein Lügner ist und ihr </w:t>
      </w:r>
      <w:r>
        <w:rPr>
          <w:color w:val="808080"/>
        </w:rPr>
        <w:t>(sein)</w:t>
      </w:r>
      <w:r>
        <w:rPr/>
        <w:t xml:space="preserve"> </w:t>
      </w:r>
      <w:r>
        <w:rPr>
          <w:rStyle w:val="Funotenanker"/>
        </w:rPr>
        <w:footnoteReference w:customMarkFollows="1" w:id="4984"/>
        <w:t>s</w:t>
      </w:r>
      <w:r>
        <w:rPr/>
        <w:t xml:space="preserve"> Vater.{{field-off:bible}} </w:t>
        <w:br/>
        <w:t>[[@BibleTOBIBLE:Jn 8:45]]</w:t>
      </w:r>
      <w:r>
        <w:rPr>
          <w:b/>
        </w:rPr>
        <w:t>45</w:t>
      </w:r>
      <w:r>
        <w:rPr/>
        <w:t xml:space="preserve"> {{field-on:bible}}Ich aber: Weil ich die Wahrheit sage, glaubt Ihr mir nicht.{{field-off:bible}} </w:t>
        <w:br/>
        <w:t>[[@BibleTOBIBLE:Jn 8:46]]</w:t>
      </w:r>
      <w:r>
        <w:rPr>
          <w:b/>
        </w:rPr>
        <w:t>46</w:t>
      </w:r>
      <w:r>
        <w:rPr/>
        <w:t xml:space="preserve"> {{field-on:bible}}Wer von </w:t>
      </w:r>
      <w:r>
        <w:rPr>
          <w:color w:val="808080"/>
        </w:rPr>
        <w:t>(aus)</w:t>
      </w:r>
      <w:r>
        <w:rPr/>
        <w:t xml:space="preserve"> Euch überführt mich einer Sünde? Wenn ich Wahrheit spreche </w:t>
      </w:r>
      <w:r>
        <w:rPr>
          <w:color w:val="808080"/>
        </w:rPr>
        <w:t>(</w:t>
      </w:r>
      <w:r>
        <w:rPr>
          <w:b/>
          <w:color w:val="808080"/>
        </w:rPr>
        <w:t>[</w:t>
      </w:r>
      <w:r>
        <w:rPr>
          <w:color w:val="808080"/>
        </w:rPr>
        <w:t>die</w:t>
      </w:r>
      <w:r>
        <w:rPr>
          <w:b/>
          <w:color w:val="808080"/>
        </w:rPr>
        <w:t>]</w:t>
      </w:r>
      <w:r>
        <w:rPr>
          <w:color w:val="808080"/>
        </w:rPr>
        <w:t xml:space="preserve"> Wahrheit sage)</w:t>
      </w:r>
      <w:r>
        <w:rPr/>
        <w:t xml:space="preserve">, weshalb glaubt Ihr mir nicht?{{field-off:bible}} </w:t>
        <w:br/>
        <w:t>[[@BibleTOBIBLE:Jn 8:47]]</w:t>
      </w:r>
      <w:r>
        <w:rPr>
          <w:b/>
        </w:rPr>
        <w:t>47</w:t>
      </w:r>
      <w:r>
        <w:rPr/>
        <w:t xml:space="preserve"> {{field-on:bible}}Wer aus Gott ist, hört die Worte Gottes: Deshalb hört Ihr nicht, weil Ihr aus Gott nicht seid.{{field-off:bible}} </w:t>
        <w:br/>
        <w:t>[[@BibleTOBIBLE:Jn 8:48]]</w:t>
      </w:r>
      <w:r>
        <w:rPr>
          <w:b/>
        </w:rPr>
        <w:t>48</w:t>
      </w:r>
      <w:r>
        <w:rPr/>
        <w:t xml:space="preserve"> {{field-on:bible}} </w:t>
      </w:r>
      <w:r>
        <w:rPr>
          <w:b/>
          <w:color w:val="808080"/>
        </w:rPr>
        <w:t>[</w:t>
      </w:r>
      <w:r>
        <w:rPr/>
        <w:t>Es</w:t>
      </w:r>
      <w:r>
        <w:rPr>
          <w:b/>
          <w:color w:val="808080"/>
        </w:rPr>
        <w:t>]</w:t>
      </w:r>
      <w:r>
        <w:rPr/>
        <w:t xml:space="preserve"> antworteten die Juden und sagten ihm: Sagen wir nicht schön </w:t>
      </w:r>
      <w:r>
        <w:rPr>
          <w:color w:val="808080"/>
        </w:rPr>
        <w:t>(zu recht)</w:t>
      </w:r>
      <w:r>
        <w:rPr/>
        <w:t xml:space="preserve">, dass Du ein Samariter bist und einen Dämon hast </w:t>
      </w:r>
      <w:r>
        <w:rPr>
          <w:color w:val="808080"/>
        </w:rPr>
        <w:t>(besessen bist)</w:t>
      </w:r>
      <w:r>
        <w:rPr/>
        <w:t xml:space="preserve">?{{field-off:bible}} </w:t>
        <w:br/>
        <w:t>[[@BibleTOBIBLE:Jn 8:49]]</w:t>
      </w:r>
      <w:r>
        <w:rPr>
          <w:b/>
        </w:rPr>
        <w:t>49</w:t>
      </w:r>
      <w:r>
        <w:rPr/>
        <w:t xml:space="preserve"> {{field-on:bible}} </w:t>
      </w:r>
      <w:r>
        <w:rPr>
          <w:b/>
          <w:color w:val="808080"/>
        </w:rPr>
        <w:t>[</w:t>
      </w:r>
      <w:r>
        <w:rPr/>
        <w:t>Es</w:t>
      </w:r>
      <w:r>
        <w:rPr>
          <w:b/>
          <w:color w:val="808080"/>
        </w:rPr>
        <w:t>]</w:t>
      </w:r>
      <w:r>
        <w:rPr/>
        <w:t xml:space="preserve"> antwortete Jesus: Ich habe keinen Dämon </w:t>
      </w:r>
      <w:r>
        <w:rPr>
          <w:color w:val="808080"/>
        </w:rPr>
        <w:t>(bin nicht besessen)</w:t>
      </w:r>
      <w:r>
        <w:rPr/>
        <w:t xml:space="preserve">, aber ich ehre meinen Vater und Ihr ehrt mich nicht </w:t>
      </w:r>
      <w:r>
        <w:rPr>
          <w:color w:val="808080"/>
        </w:rPr>
        <w:t>(verachtet mich)</w:t>
      </w:r>
      <w:r>
        <w:rPr/>
        <w:t xml:space="preserve">.{{field-off:bible}} </w:t>
        <w:br/>
        <w:t>[[@BibleTOBIBLE:Jn 8:50]]</w:t>
      </w:r>
      <w:r>
        <w:rPr>
          <w:b/>
        </w:rPr>
        <w:t>50</w:t>
      </w:r>
      <w:r>
        <w:rPr/>
        <w:t xml:space="preserve"> {{field-on:bible}}Ich aber suche nicht meine Ehre </w:t>
      </w:r>
      <w:r>
        <w:rPr>
          <w:color w:val="808080"/>
        </w:rPr>
        <w:t>(Herrlichkeit, mein Ansehen)</w:t>
      </w:r>
      <w:r>
        <w:rPr/>
        <w:t xml:space="preserve">: Es gibt einen </w:t>
      </w:r>
      <w:r>
        <w:rPr>
          <w:color w:val="808080"/>
        </w:rPr>
        <w:t>(den)</w:t>
      </w:r>
      <w:r>
        <w:rPr/>
        <w:t xml:space="preserve">, der sucht und richtet </w:t>
      </w:r>
      <w:r>
        <w:rPr>
          <w:color w:val="808080"/>
        </w:rPr>
        <w:t>(urteilt)</w:t>
      </w:r>
      <w:r>
        <w:rPr/>
        <w:t xml:space="preserve">.{{field-off:bible}} </w:t>
        <w:br/>
        <w:t>[[@BibleTOBIBLE:Jn 8:51]]</w:t>
      </w:r>
      <w:r>
        <w:rPr>
          <w:b/>
        </w:rPr>
        <w:t>51</w:t>
      </w:r>
      <w:r>
        <w:rPr/>
        <w:t xml:space="preserve"> {{field-on:bible}}Amen, Amen </w:t>
      </w:r>
      <w:r>
        <w:rPr>
          <w:color w:val="808080"/>
        </w:rPr>
        <w:t>(Wahrlich, wahrlich)</w:t>
      </w:r>
      <w:r>
        <w:rPr/>
        <w:t xml:space="preserve">, ich sage Euch, wenn einer </w:t>
      </w:r>
      <w:r>
        <w:rPr>
          <w:color w:val="808080"/>
        </w:rPr>
        <w:t>(jemand)</w:t>
      </w:r>
      <w:r>
        <w:rPr/>
        <w:t xml:space="preserve"> mein Wort bewahrt </w:t>
      </w:r>
      <w:r>
        <w:rPr>
          <w:color w:val="808080"/>
        </w:rPr>
        <w:t>(hält)</w:t>
      </w:r>
      <w:r>
        <w:rPr/>
        <w:t xml:space="preserve">, wird er </w:t>
      </w:r>
      <w:r>
        <w:rPr>
          <w:b/>
          <w:color w:val="808080"/>
        </w:rPr>
        <w:t>[</w:t>
      </w:r>
      <w:r>
        <w:rPr/>
        <w:t>den</w:t>
      </w:r>
      <w:r>
        <w:rPr>
          <w:b/>
          <w:color w:val="808080"/>
        </w:rPr>
        <w:t>]</w:t>
      </w:r>
      <w:r>
        <w:rPr/>
        <w:t xml:space="preserve"> Tod in Ewigkeit nicht schauen.{{field-off:bible}} </w:t>
        <w:br/>
        <w:t>[[@BibleTOBIBLE:Jn 8:52]]</w:t>
      </w:r>
      <w:r>
        <w:rPr>
          <w:b/>
        </w:rPr>
        <w:t>52</w:t>
      </w:r>
      <w:r>
        <w:rPr/>
        <w:t xml:space="preserve"> {{field-on:bible}}Sagten ihm also</w:t>
      </w:r>
      <w:r>
        <w:rPr>
          <w:rStyle w:val="Funotenanker"/>
        </w:rPr>
        <w:footnoteReference w:customMarkFollows="1" w:id="4985"/>
        <w:t>t</w:t>
      </w:r>
      <w:r>
        <w:rPr/>
        <w:t xml:space="preserve"> die Juden: Jetzt wissen wir </w:t>
      </w:r>
      <w:r>
        <w:rPr>
          <w:color w:val="808080"/>
        </w:rPr>
        <w:t>(haben wir erkannt)</w:t>
      </w:r>
      <w:r>
        <w:rPr/>
        <w:t xml:space="preserve">, dass Du einen Dämon hast </w:t>
      </w:r>
      <w:r>
        <w:rPr>
          <w:color w:val="808080"/>
        </w:rPr>
        <w:t>(besessen bist)</w:t>
      </w:r>
      <w:r>
        <w:rPr/>
        <w:t xml:space="preserve">. Abraham ist gestorben und die Propheten, und Du sagst: Wenn einer mein Wort bewahrt </w:t>
      </w:r>
      <w:r>
        <w:rPr>
          <w:color w:val="808080"/>
        </w:rPr>
        <w:t>(hält)</w:t>
      </w:r>
      <w:r>
        <w:rPr/>
        <w:t xml:space="preserve">, wird er </w:t>
      </w:r>
      <w:r>
        <w:rPr>
          <w:b/>
          <w:color w:val="808080"/>
        </w:rPr>
        <w:t>[</w:t>
      </w:r>
      <w:r>
        <w:rPr/>
        <w:t>den</w:t>
      </w:r>
      <w:r>
        <w:rPr>
          <w:b/>
          <w:color w:val="808080"/>
        </w:rPr>
        <w:t>]</w:t>
      </w:r>
      <w:r>
        <w:rPr/>
        <w:t xml:space="preserve"> Tod in Ewigkeit nicht erfahren </w:t>
      </w:r>
      <w:r>
        <w:rPr>
          <w:color w:val="808080"/>
        </w:rPr>
        <w:t>(kosten)</w:t>
      </w:r>
      <w:r>
        <w:rPr/>
        <w:t xml:space="preserve">.{{field-off:bible}} </w:t>
        <w:br/>
        <w:t>[[@BibleTOBIBLE:Jn 8:53]]</w:t>
      </w:r>
      <w:r>
        <w:rPr>
          <w:b/>
        </w:rPr>
        <w:t>53</w:t>
      </w:r>
      <w:r>
        <w:rPr/>
        <w:t xml:space="preserve"> {{field-on:bible}}Bist Du etwa größer als unser Vater Abraham, der gestorben ist? Auch die Propheten starben: Wen </w:t>
      </w:r>
      <w:r>
        <w:rPr>
          <w:color w:val="808080"/>
        </w:rPr>
        <w:t>(Zu wem, Zu was)</w:t>
      </w:r>
      <w:r>
        <w:rPr/>
        <w:t xml:space="preserve"> machst Du Dich selbst?{{field-off:bible}} </w:t>
        <w:br/>
        <w:t>[[@BibleTOBIBLE:Jn 8:54]]</w:t>
      </w:r>
      <w:r>
        <w:rPr>
          <w:b/>
        </w:rPr>
        <w:t>54</w:t>
      </w:r>
      <w:r>
        <w:rPr/>
        <w:t xml:space="preserve"> {{field-on:bible}}Jesus antwortete: Wenn ich mich selbst preise </w:t>
      </w:r>
      <w:r>
        <w:rPr>
          <w:color w:val="808080"/>
        </w:rPr>
        <w:t>(ehre, verherrliche)</w:t>
      </w:r>
      <w:r>
        <w:rPr/>
        <w:t xml:space="preserve">, ist mein Preis </w:t>
      </w:r>
      <w:r>
        <w:rPr>
          <w:color w:val="808080"/>
        </w:rPr>
        <w:t>(meine Ehre, Herrlichkeit)</w:t>
      </w:r>
      <w:r>
        <w:rPr/>
        <w:t xml:space="preserve"> nichts. Es ist mein Vater, der mich preist </w:t>
      </w:r>
      <w:r>
        <w:rPr>
          <w:color w:val="808080"/>
        </w:rPr>
        <w:t>(ehrt, verherrlicht)</w:t>
      </w:r>
      <w:r>
        <w:rPr/>
        <w:t xml:space="preserve">, von dem Ihr sagt, daß er Euer Gott ist,{{field-off:bible}} </w:t>
        <w:br/>
        <w:t>[[@BibleTOBIBLE:Jn 8:55]]</w:t>
      </w:r>
      <w:r>
        <w:rPr>
          <w:b/>
        </w:rPr>
        <w:t>55</w:t>
      </w:r>
      <w:r>
        <w:rPr/>
        <w:t xml:space="preserve"> {{field-on:bible}}– und Ihr kennt </w:t>
      </w:r>
      <w:r>
        <w:rPr>
          <w:color w:val="808080"/>
        </w:rPr>
        <w:t>(habt)</w:t>
      </w:r>
      <w:r>
        <w:rPr/>
        <w:t xml:space="preserve"> ihn nicht </w:t>
      </w:r>
      <w:r>
        <w:rPr>
          <w:color w:val="808080"/>
        </w:rPr>
        <w:t>(erkannt)</w:t>
      </w:r>
      <w:r>
        <w:rPr/>
        <w:t xml:space="preserve">, ich aber kenne ihn. Und wenn ich sagen würde, daß ich ihn nicht kenne, wäre </w:t>
      </w:r>
      <w:r>
        <w:rPr>
          <w:color w:val="808080"/>
        </w:rPr>
        <w:t>(werde)</w:t>
      </w:r>
      <w:r>
        <w:rPr/>
        <w:t xml:space="preserve"> ich gleich Euch </w:t>
      </w:r>
      <w:r>
        <w:rPr>
          <w:color w:val="808080"/>
        </w:rPr>
        <w:t>(ähnlich wie Ihr)</w:t>
      </w:r>
      <w:r>
        <w:rPr/>
        <w:t xml:space="preserve"> ein Lügner </w:t>
      </w:r>
      <w:r>
        <w:rPr>
          <w:color w:val="808080"/>
        </w:rPr>
        <w:t>(sein)</w:t>
      </w:r>
      <w:r>
        <w:rPr/>
        <w:t xml:space="preserve">. Aber ich kenne ihn und sein Wort bewahre </w:t>
      </w:r>
      <w:r>
        <w:rPr>
          <w:color w:val="808080"/>
        </w:rPr>
        <w:t>(halte)</w:t>
      </w:r>
      <w:r>
        <w:rPr/>
        <w:t xml:space="preserve"> ich.{{field-off:bible}} </w:t>
        <w:br/>
        <w:t>[[@BibleTOBIBLE:Jn 8:56]]</w:t>
      </w:r>
      <w:r>
        <w:rPr>
          <w:b/>
        </w:rPr>
        <w:t>56</w:t>
      </w:r>
      <w:r>
        <w:rPr/>
        <w:t xml:space="preserve"> {{field-on:bible}}Abraham, Euer Vater, jubelte, weil </w:t>
      </w:r>
      <w:r>
        <w:rPr>
          <w:color w:val="808080"/>
        </w:rPr>
        <w:t>(dass)</w:t>
      </w:r>
      <w:r>
        <w:rPr/>
        <w:t xml:space="preserve"> er meinen Tag sehen sollte, und er sah </w:t>
      </w:r>
      <w:r>
        <w:rPr>
          <w:b/>
          <w:color w:val="808080"/>
        </w:rPr>
        <w:t>[</w:t>
      </w:r>
      <w:r>
        <w:rPr/>
        <w:t>ihn</w:t>
      </w:r>
      <w:r>
        <w:rPr>
          <w:b/>
          <w:color w:val="808080"/>
        </w:rPr>
        <w:t>]</w:t>
      </w:r>
      <w:r>
        <w:rPr/>
        <w:t xml:space="preserve"> und freute sich.{{field-off:bible}} </w:t>
        <w:br/>
        <w:t>[[@BibleTOBIBLE:Jn 8:57]]</w:t>
      </w:r>
      <w:r>
        <w:rPr>
          <w:b/>
        </w:rPr>
        <w:t>57</w:t>
      </w:r>
      <w:r>
        <w:rPr/>
        <w:t xml:space="preserve"> {{field-on:bible}} </w:t>
      </w:r>
      <w:r>
        <w:rPr>
          <w:b/>
          <w:color w:val="808080"/>
        </w:rPr>
        <w:t>[</w:t>
      </w:r>
      <w:r>
        <w:rPr/>
        <w:t>Es</w:t>
      </w:r>
      <w:r>
        <w:rPr>
          <w:b/>
          <w:color w:val="808080"/>
        </w:rPr>
        <w:t>]</w:t>
      </w:r>
      <w:r>
        <w:rPr/>
        <w:t xml:space="preserve"> sagten also die Juden zu ihm: Fünfzig Jahre hast Du noch nicht </w:t>
      </w:r>
      <w:r>
        <w:rPr>
          <w:color w:val="808080"/>
        </w:rPr>
        <w:t>(Du bist noch keine fünfzig alt)</w:t>
      </w:r>
      <w:r>
        <w:rPr/>
        <w:t xml:space="preserve"> und Abraham hast Du gesehen?{{field-off:bible}} </w:t>
        <w:br/>
        <w:t>[[@BibleTOBIBLE:Jn 8:58]]</w:t>
      </w:r>
      <w:r>
        <w:rPr>
          <w:b/>
        </w:rPr>
        <w:t>58</w:t>
      </w:r>
      <w:r>
        <w:rPr/>
        <w:t xml:space="preserve"> {{field-on:bible}}Sagte ihnen Jesus: Amen, Amen </w:t>
      </w:r>
      <w:r>
        <w:rPr>
          <w:color w:val="808080"/>
        </w:rPr>
        <w:t>(Wahrlich, wahrlich)</w:t>
      </w:r>
      <w:r>
        <w:rPr/>
        <w:t xml:space="preserve">, ich sage Euch, bevor Abraham geworden ist </w:t>
      </w:r>
      <w:r>
        <w:rPr>
          <w:color w:val="808080"/>
        </w:rPr>
        <w:t>(wurde)</w:t>
      </w:r>
      <w:r>
        <w:rPr/>
        <w:t xml:space="preserve">, bin ich.{{field-off:bible}} </w:t>
        <w:br/>
        <w:t>[[@BibleTOBIBLE:Jn 8:59]]</w:t>
      </w:r>
      <w:r>
        <w:rPr>
          <w:b/>
        </w:rPr>
        <w:t>59</w:t>
      </w:r>
      <w:r>
        <w:rPr/>
        <w:t xml:space="preserve"> {{field-on:bible}}Sie hoben also Steine auf, um </w:t>
      </w:r>
      <w:r>
        <w:rPr>
          <w:b/>
          <w:color w:val="808080"/>
        </w:rPr>
        <w:t>[</w:t>
      </w:r>
      <w:r>
        <w:rPr/>
        <w:t>sie</w:t>
      </w:r>
      <w:r>
        <w:rPr>
          <w:b/>
          <w:color w:val="808080"/>
        </w:rPr>
        <w:t>]</w:t>
      </w:r>
      <w:r>
        <w:rPr/>
        <w:t xml:space="preserve"> auf ihn zu werfen. Jesus aber verbarg sich und ging aus dem Tempel </w:t>
      </w:r>
      <w:r>
        <w:rPr>
          <w:color w:val="808080"/>
        </w:rPr>
        <w:t>(Heiligtum)</w:t>
      </w:r>
      <w:r>
        <w:rPr/>
        <w:t xml:space="preserve"> heraus.{{field-off:bible}}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4986"/>
        <w:t>Status</w:t>
      </w:r>
      <w:r>
        <w:rPr/>
        <w:t xml:space="preserve"> Und im Vorbeigehen </w:t>
      </w:r>
      <w:r>
        <w:rPr>
          <w:color w:val="808080"/>
        </w:rPr>
        <w:t>(beim Weitergehen)</w:t>
      </w:r>
      <w:r>
        <w:rPr/>
        <w:t xml:space="preserve"> </w:t>
      </w:r>
      <w:r>
        <w:rPr>
          <w:rStyle w:val="Funotenanker"/>
        </w:rPr>
        <w:footnoteReference w:customMarkFollows="1" w:id="4987"/>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4988"/>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4989"/>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4990"/>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4991"/>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4992"/>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4993"/>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4994"/>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4995"/>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4996"/>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4997"/>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4998"/>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4999"/>
        <w:t>m</w:t>
      </w:r>
      <w:r>
        <w:rPr/>
        <w:t>?“ Er sagte</w:t>
      </w:r>
      <w:r>
        <w:rPr>
          <w:rStyle w:val="Funotenanker"/>
        </w:rPr>
        <w:footnoteReference w:customMarkFollows="1" w:id="5000"/>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5001"/>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5002"/>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5003"/>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5004"/>
        <w:t>r</w:t>
      </w:r>
      <w:r>
        <w:rPr/>
        <w:t xml:space="preserve">, bis sie </w:t>
      </w:r>
      <w:r>
        <w:rPr>
          <w:strike/>
          <w:color w:val="808080"/>
        </w:rPr>
        <w:t>{seine}</w:t>
      </w:r>
      <w:r>
        <w:rPr/>
        <w:t xml:space="preserve"> die Eltern des Geheilten</w:t>
      </w:r>
      <w:r>
        <w:rPr>
          <w:rStyle w:val="Funotenanker"/>
        </w:rPr>
        <w:footnoteReference w:customMarkFollows="1" w:id="5005"/>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5006"/>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5007"/>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5008"/>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5009"/>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5010"/>
        <w:t>x</w:t>
      </w:r>
      <w:r>
        <w:rPr/>
        <w:t xml:space="preserve">: »Ob er sündig ist, weiß ich nicht! Eines weiß ich: dass ich, der blind war </w:t>
      </w:r>
      <w:r>
        <w:rPr>
          <w:color w:val="808080"/>
        </w:rPr>
        <w:t>(als Blinder)</w:t>
      </w:r>
      <w:r>
        <w:rPr/>
        <w:t>,</w:t>
      </w:r>
      <w:r>
        <w:rPr>
          <w:rStyle w:val="Funotenanker"/>
        </w:rPr>
        <w:footnoteReference w:customMarkFollows="1" w:id="5011"/>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5012"/>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5013"/>
        <w:t>aa</w:t>
      </w:r>
      <w:r>
        <w:rPr/>
        <w:t xml:space="preserve">: »Das ist ja merkwürdig </w:t>
      </w:r>
      <w:r>
        <w:rPr>
          <w:color w:val="808080"/>
        </w:rPr>
        <w:t>(seltsam, erstaunlich)</w:t>
      </w:r>
      <w:r>
        <w:rPr/>
        <w:t>,</w:t>
      </w:r>
      <w:r>
        <w:rPr>
          <w:rStyle w:val="Funotenanker"/>
        </w:rPr>
        <w:footnoteReference w:customMarkFollows="1" w:id="5014"/>
        <w:t>ab</w:t>
      </w:r>
      <w:r>
        <w:rPr/>
        <w:t xml:space="preserve"> dass ihr nicht wisst, woher er ist, obwohl </w:t>
      </w:r>
      <w:r>
        <w:rPr>
          <w:color w:val="808080"/>
        </w:rPr>
        <w:t>(und)</w:t>
      </w:r>
      <w:r>
        <w:rPr/>
        <w:t xml:space="preserve"> </w:t>
      </w:r>
      <w:r>
        <w:rPr>
          <w:rStyle w:val="Funotenanker"/>
        </w:rPr>
        <w:footnoteReference w:customMarkFollows="1" w:id="5015"/>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5016"/>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5017"/>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5018"/>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5019"/>
        <w:t>ag</w:t>
      </w:r>
      <w:r>
        <w:rPr/>
        <w:t>: »Und wer ist es, Herr, damit ich an ihn glauben kann</w:t>
      </w:r>
      <w:r>
        <w:rPr>
          <w:rStyle w:val="Funotenanker"/>
        </w:rPr>
        <w:footnoteReference w:customMarkFollows="1" w:id="5020"/>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5021"/>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5022"/>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5023"/>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5024"/>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5025"/>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5026"/>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5027"/>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10:17]]</w:t>
      </w:r>
      <w:r>
        <w:rPr>
          <w:b/>
        </w:rPr>
        <w:t>17</w:t>
      </w:r>
      <w:r>
        <w:rPr/>
        <w:t xml:space="preserve"> {{field-on:bible}}Deshalb liebt mich der Vater, weil ich mein Leben einsetze </w:t>
      </w:r>
      <w:r>
        <w:rPr>
          <w:color w:val="808080"/>
        </w:rPr>
        <w:t>(hingebe)</w:t>
      </w:r>
      <w:r>
        <w:rPr/>
        <w:t xml:space="preserve">, um es wieder zu nehmen.{{field-off:bible}} </w:t>
        <w:br/>
        <w:t>[[@BibleTOBIBLE:Jn 10:18]]</w:t>
      </w:r>
      <w:r>
        <w:rPr>
          <w:b/>
        </w:rPr>
        <w:t>18</w:t>
      </w:r>
      <w:r>
        <w:rPr/>
        <w:t xml:space="preserve"> {{field-on:bible}}Keiner nimmt es von mir </w:t>
      </w:r>
      <w:r>
        <w:rPr>
          <w:color w:val="808080"/>
        </w:rPr>
        <w:t>(weg)</w:t>
      </w:r>
      <w:r>
        <w:rPr/>
        <w:t xml:space="preserve">, sondern ich setze </w:t>
      </w:r>
      <w:r>
        <w:rPr>
          <w:color w:val="808080"/>
        </w:rPr>
        <w:t>(gebe)</w:t>
      </w:r>
      <w:r>
        <w:rPr/>
        <w:t xml:space="preserve"> es von mir selbst aus ein </w:t>
      </w:r>
      <w:r>
        <w:rPr>
          <w:color w:val="808080"/>
        </w:rPr>
        <w:t>(hin)</w:t>
      </w:r>
      <w:r>
        <w:rPr/>
        <w:t xml:space="preserve">. Vollmacht </w:t>
      </w:r>
      <w:r>
        <w:rPr>
          <w:color w:val="808080"/>
        </w:rPr>
        <w:t>(Macht)</w:t>
      </w:r>
      <w:r>
        <w:rPr/>
        <w:t xml:space="preserve"> habe ich, es einzusetzen </w:t>
      </w:r>
      <w:r>
        <w:rPr>
          <w:color w:val="808080"/>
        </w:rPr>
        <w:t>(hinzugeben)</w:t>
      </w:r>
      <w:r>
        <w:rPr/>
        <w:t xml:space="preserve">, und Vollmacht </w:t>
      </w:r>
      <w:r>
        <w:rPr>
          <w:color w:val="808080"/>
        </w:rPr>
        <w:t>(Macht)</w:t>
      </w:r>
      <w:r>
        <w:rPr/>
        <w:t xml:space="preserve"> habe ich, es wieder zu nehmen. Dieses Gebot </w:t>
      </w:r>
      <w:r>
        <w:rPr>
          <w:color w:val="808080"/>
        </w:rPr>
        <w:t>(diesen Befehl)</w:t>
      </w:r>
      <w:r>
        <w:rPr/>
        <w:t xml:space="preserve"> habe ich von meinem Vater bekommen </w:t>
      </w:r>
      <w:r>
        <w:rPr>
          <w:color w:val="808080"/>
        </w:rPr>
        <w:t>(erhalten)</w:t>
      </w:r>
      <w:r>
        <w:rPr/>
        <w:t xml:space="preserve">.{{field-off:bible}} </w:t>
        <w:br/>
        <w:t>[[@BibleTOBIBLE:Jn 10:19]]</w:t>
      </w:r>
      <w:r>
        <w:rPr>
          <w:b/>
        </w:rPr>
        <w:t>19</w:t>
      </w:r>
      <w:r>
        <w:rPr/>
        <w:t xml:space="preserve"> {{field-on:bible}}Eine Spaltung entstand wiederum unter den Juden wegen dieser Worte.{{field-off:bible}} </w:t>
        <w:br/>
        <w:t>[[@BibleTOBIBLE:Jn 10:20]]</w:t>
      </w:r>
      <w:r>
        <w:rPr>
          <w:b/>
        </w:rPr>
        <w:t>20</w:t>
      </w:r>
      <w:r>
        <w:rPr/>
        <w:t xml:space="preserve"> {{field-on:bible}}Es sagten aber viele von </w:t>
      </w:r>
      <w:r>
        <w:rPr>
          <w:color w:val="808080"/>
        </w:rPr>
        <w:t>(aus)</w:t>
      </w:r>
      <w:r>
        <w:rPr/>
        <w:t xml:space="preserve"> ihnen: Einen Dämon hat er </w:t>
      </w:r>
      <w:r>
        <w:rPr>
          <w:color w:val="808080"/>
        </w:rPr>
        <w:t>(Er ist besessen)</w:t>
      </w:r>
      <w:r>
        <w:rPr/>
        <w:t xml:space="preserve"> und er ist von Sinnen. Was </w:t>
      </w:r>
      <w:r>
        <w:rPr>
          <w:color w:val="808080"/>
        </w:rPr>
        <w:t>(Warum)</w:t>
      </w:r>
      <w:r>
        <w:rPr/>
        <w:t xml:space="preserve"> hört ihn an </w:t>
      </w:r>
      <w:r>
        <w:rPr>
          <w:color w:val="808080"/>
        </w:rPr>
        <w:t>(ihm zu, auf ihn)</w:t>
      </w:r>
      <w:r>
        <w:rPr/>
        <w:t xml:space="preserve">?{{field-off:bible}} </w:t>
        <w:br/>
        <w:t>[[@BibleTOBIBLE:Jn 10:21]]</w:t>
      </w:r>
      <w:r>
        <w:rPr>
          <w:b/>
        </w:rPr>
        <w:t>21</w:t>
      </w:r>
      <w:r>
        <w:rPr/>
        <w:t xml:space="preserve"> {{field-on:bible}}Andere sagten: Diese Worte sind nicht </w:t>
      </w:r>
      <w:r>
        <w:rPr>
          <w:b/>
          <w:color w:val="808080"/>
        </w:rPr>
        <w:t>[</w:t>
      </w:r>
      <w:r>
        <w:rPr/>
        <w:t>die</w:t>
      </w:r>
      <w:r>
        <w:rPr>
          <w:b/>
          <w:color w:val="808080"/>
        </w:rPr>
        <w:t>]</w:t>
      </w:r>
      <w:r>
        <w:rPr/>
        <w:t xml:space="preserve"> eines </w:t>
      </w:r>
      <w:r>
        <w:rPr>
          <w:color w:val="808080"/>
        </w:rPr>
        <w:t>(von einem Dämon)</w:t>
      </w:r>
      <w:r>
        <w:rPr/>
        <w:t xml:space="preserve"> Besessenen. Kann ein Dämon etwa Augen von Blinden öffnen?{{field-off:bible}} </w:t>
        <w:br/>
        <w:t>[[@BibleTOBIBLE:Jn 10:22]]</w:t>
      </w:r>
      <w:r>
        <w:rPr>
          <w:b/>
        </w:rPr>
        <w:t>22</w:t>
      </w:r>
      <w:r>
        <w:rPr/>
        <w:t xml:space="preserve"> {{field-on:bible}}Es war </w:t>
      </w:r>
      <w:r>
        <w:rPr>
          <w:color w:val="808080"/>
        </w:rPr>
        <w:t>(fand)</w:t>
      </w:r>
      <w:r>
        <w:rPr/>
        <w:t xml:space="preserve"> damals </w:t>
      </w:r>
      <w:r>
        <w:rPr>
          <w:color w:val="808080"/>
        </w:rPr>
        <w:t>(dann)</w:t>
      </w:r>
      <w:r>
        <w:rPr/>
        <w:t xml:space="preserve"> das Fest der Tempelweihe in Jerusalem </w:t>
      </w:r>
      <w:r>
        <w:rPr>
          <w:color w:val="808080"/>
        </w:rPr>
        <w:t>(statt)</w:t>
      </w:r>
      <w:r>
        <w:rPr/>
        <w:t xml:space="preserve">. Es war Winter </w:t>
      </w:r>
      <w:r>
        <w:rPr>
          <w:color w:val="808080"/>
        </w:rPr>
        <w:t>(winterliches Wetter</w:t>
      </w:r>
      <w:r>
        <w:rPr/>
        <w:t xml:space="preserve"> </w:t>
      </w:r>
      <w:r>
        <w:rPr>
          <w:rStyle w:val="Funotenanker"/>
        </w:rPr>
        <w:footnoteReference w:customMarkFollows="1" w:id="5028"/>
        <w:t>e</w:t>
      </w:r>
      <w:r>
        <w:rPr/>
        <w:t xml:space="preserve"> </w:t>
      </w:r>
      <w:r>
        <w:rPr>
          <w:color w:val="808080"/>
        </w:rPr>
        <w:t>)</w:t>
      </w:r>
      <w:r>
        <w:rPr/>
        <w:t xml:space="preserve"> {{field-off:bible}} </w:t>
        <w:br/>
        <w:t>[[@BibleTOBIBLE:Jn 10:23]]</w:t>
      </w:r>
      <w:r>
        <w:rPr>
          <w:b/>
        </w:rPr>
        <w:t>23</w:t>
      </w:r>
      <w:r>
        <w:rPr/>
        <w:t xml:space="preserve"> {{field-on:bible}}und Jesus wandelte </w:t>
      </w:r>
      <w:r>
        <w:rPr>
          <w:color w:val="808080"/>
        </w:rPr>
        <w:t>(ging)</w:t>
      </w:r>
      <w:r>
        <w:rPr/>
        <w:t xml:space="preserve"> im Tempel in der Säulenhalle Salomos </w:t>
      </w:r>
      <w:r>
        <w:rPr>
          <w:color w:val="808080"/>
        </w:rPr>
        <w:t>(auf und ab, umher)</w:t>
      </w:r>
      <w:r>
        <w:rPr/>
        <w:t xml:space="preserve">.{{field-off:bible}} </w:t>
        <w:br/>
        <w:t>[[@BibleTOBIBLE:Jn 10:24]]</w:t>
      </w:r>
      <w:r>
        <w:rPr>
          <w:b/>
        </w:rPr>
        <w:t>24</w:t>
      </w:r>
      <w:r>
        <w:rPr/>
        <w:t xml:space="preserve"> {{field-on:bible}}Es umringten ihn also die Juden und sagten ihm: Bis wann hältst Du unsere Seele </w:t>
      </w:r>
      <w:r>
        <w:rPr>
          <w:b/>
          <w:color w:val="808080"/>
        </w:rPr>
        <w:t>[</w:t>
      </w:r>
      <w:r>
        <w:rPr/>
        <w:t>hin, im Ungewissen</w:t>
      </w:r>
      <w:r>
        <w:rPr>
          <w:b/>
          <w:color w:val="808080"/>
        </w:rPr>
        <w:t>]</w:t>
      </w:r>
      <w:r>
        <w:rPr/>
        <w:t xml:space="preserve">? Wenn Du der Christus </w:t>
      </w:r>
      <w:r>
        <w:rPr>
          <w:color w:val="808080"/>
        </w:rPr>
        <w:t>(Messias)</w:t>
      </w:r>
      <w:r>
        <w:rPr/>
        <w:t xml:space="preserve"> bist, sag </w:t>
      </w:r>
      <w:r>
        <w:rPr>
          <w:b/>
          <w:color w:val="808080"/>
        </w:rPr>
        <w:t>[</w:t>
      </w:r>
      <w:r>
        <w:rPr/>
        <w:t>es</w:t>
      </w:r>
      <w:r>
        <w:rPr>
          <w:b/>
          <w:color w:val="808080"/>
        </w:rPr>
        <w:t>]</w:t>
      </w:r>
      <w:r>
        <w:rPr/>
        <w:t xml:space="preserve"> </w:t>
      </w:r>
      <w:r>
        <w:rPr>
          <w:color w:val="808080"/>
        </w:rPr>
        <w:t>(sprich)</w:t>
      </w:r>
      <w:r>
        <w:rPr/>
        <w:t xml:space="preserve"> uns offen </w:t>
      </w:r>
      <w:r>
        <w:rPr>
          <w:color w:val="808080"/>
        </w:rPr>
        <w:t>(mit Offenheit)</w:t>
      </w:r>
      <w:r>
        <w:rPr/>
        <w:t xml:space="preserve">.{{field-off:bible}} </w:t>
        <w:br/>
        <w:t>[[@BibleTOBIBLE:Jn 10:25]]</w:t>
      </w:r>
      <w:r>
        <w:rPr>
          <w:b/>
        </w:rPr>
        <w:t>25</w:t>
      </w:r>
      <w:r>
        <w:rPr/>
        <w:t xml:space="preserve"> {{field-on:bible}}Antwortete ihnen </w:t>
      </w:r>
      <w:r>
        <w:rPr>
          <w:strike/>
          <w:color w:val="808080"/>
        </w:rPr>
        <w:t>{der}</w:t>
      </w:r>
      <w:r>
        <w:rPr/>
        <w:t xml:space="preserve"> Jesus: Ich habe </w:t>
      </w:r>
      <w:r>
        <w:rPr>
          <w:b/>
          <w:color w:val="808080"/>
        </w:rPr>
        <w:t>[</w:t>
      </w:r>
      <w:r>
        <w:rPr/>
        <w:t>es</w:t>
      </w:r>
      <w:r>
        <w:rPr>
          <w:b/>
          <w:color w:val="808080"/>
        </w:rPr>
        <w:t>]</w:t>
      </w:r>
      <w:r>
        <w:rPr/>
        <w:t xml:space="preserve"> Euch gesagt </w:t>
      </w:r>
      <w:r>
        <w:rPr>
          <w:color w:val="808080"/>
        </w:rPr>
        <w:t>(gesprochen)</w:t>
      </w:r>
      <w:r>
        <w:rPr/>
        <w:t xml:space="preserve"> und Ihr glaubt nicht. Die Werke, die ich tue </w:t>
      </w:r>
      <w:r>
        <w:rPr>
          <w:color w:val="808080"/>
        </w:rPr>
        <w:t>(vollbringe)</w:t>
      </w:r>
      <w:r>
        <w:rPr/>
        <w:t xml:space="preserve"> im Namen meines Vaters, diese geben Zeugnis </w:t>
      </w:r>
      <w:r>
        <w:rPr>
          <w:color w:val="808080"/>
        </w:rPr>
        <w:t>(zeugen)</w:t>
      </w:r>
      <w:r>
        <w:rPr/>
        <w:t xml:space="preserve"> über </w:t>
      </w:r>
      <w:r>
        <w:rPr>
          <w:color w:val="808080"/>
        </w:rPr>
        <w:t>(für)</w:t>
      </w:r>
      <w:r>
        <w:rPr/>
        <w:t xml:space="preserve"> mich.{{field-off:bible}} </w:t>
        <w:br/>
        <w:t>[[@BibleTOBIBLE:Jn 10:26]]</w:t>
      </w:r>
      <w:r>
        <w:rPr>
          <w:b/>
        </w:rPr>
        <w:t>26</w:t>
      </w:r>
      <w:r>
        <w:rPr/>
        <w:t xml:space="preserve"> {{field-on:bible}}Aber Ihr glaubt nicht, weil Ihr nicht von </w:t>
      </w:r>
      <w:r>
        <w:rPr>
          <w:color w:val="808080"/>
        </w:rPr>
        <w:t>(aus)</w:t>
      </w:r>
      <w:r>
        <w:rPr/>
        <w:t xml:space="preserve"> meinen Schafen seid </w:t>
      </w:r>
      <w:r>
        <w:rPr>
          <w:color w:val="808080"/>
        </w:rPr>
        <w:t>(zu meinen Schafen gehört)</w:t>
      </w:r>
      <w:r>
        <w:rPr/>
        <w:t xml:space="preserve">.{{field-off:bible}} </w:t>
        <w:br/>
        <w:t>[[@BibleTOBIBLE:Jn 10:27]]</w:t>
      </w:r>
      <w:r>
        <w:rPr>
          <w:b/>
        </w:rPr>
        <w:t>27</w:t>
      </w:r>
      <w:r>
        <w:rPr/>
        <w:t xml:space="preserve"> {{field-on:bible}}Meine Schafe hören auf meine Stimme und ich kenne </w:t>
      </w:r>
      <w:r>
        <w:rPr>
          <w:color w:val="808080"/>
        </w:rPr>
        <w:t>(erkenne)</w:t>
      </w:r>
      <w:r>
        <w:rPr/>
        <w:t xml:space="preserve"> sie und sie folgen mir{{field-off:bible}} </w:t>
        <w:br/>
        <w:t>[[@BibleTOBIBLE:Jn 10:28]]</w:t>
      </w:r>
      <w:r>
        <w:rPr>
          <w:b/>
        </w:rPr>
        <w:t>28</w:t>
      </w:r>
      <w:r>
        <w:rPr/>
        <w:t xml:space="preserve"> {{field-on:bible}}und ich gebe </w:t>
      </w:r>
      <w:r>
        <w:rPr>
          <w:color w:val="808080"/>
        </w:rPr>
        <w:t>(schenke)</w:t>
      </w:r>
      <w:r>
        <w:rPr/>
        <w:t xml:space="preserve"> ihnen ewige Leben und sie sollen in Ewigkeit nicht zugrunde </w:t>
      </w:r>
      <w:r>
        <w:rPr>
          <w:color w:val="808080"/>
        </w:rPr>
        <w:t>(verloren)</w:t>
      </w:r>
      <w:r>
        <w:rPr/>
        <w:t xml:space="preserve"> gehen und keiner </w:t>
      </w:r>
      <w:r>
        <w:rPr>
          <w:color w:val="808080"/>
        </w:rPr>
        <w:t>(nicht)</w:t>
      </w:r>
      <w:r>
        <w:rPr/>
        <w:t xml:space="preserve"> wird </w:t>
      </w:r>
      <w:r>
        <w:rPr>
          <w:color w:val="808080"/>
        </w:rPr>
        <w:t>(einer)</w:t>
      </w:r>
      <w:r>
        <w:rPr/>
        <w:t xml:space="preserve"> sie aus meiner Hand reißen </w:t>
      </w:r>
      <w:r>
        <w:rPr>
          <w:color w:val="808080"/>
        </w:rPr>
        <w:t>(rauben)</w:t>
      </w:r>
      <w:r>
        <w:rPr/>
        <w:t xml:space="preserve">.{{field-off:bible}} </w:t>
        <w:br/>
        <w:t>[[@BibleTOBIBLE:Jn 10:29]]</w:t>
      </w:r>
      <w:r>
        <w:rPr>
          <w:b/>
        </w:rPr>
        <w:t>29</w:t>
      </w:r>
      <w:r>
        <w:rPr/>
        <w:t xml:space="preserve"> {{field-on:bible}}Was mein Vater </w:t>
      </w:r>
      <w:r>
        <w:rPr>
          <w:color w:val="808080"/>
        </w:rPr>
        <w:t>(Mein Vater – was er)</w:t>
      </w:r>
      <w:r>
        <w:rPr/>
        <w:t xml:space="preserve"> mir gegeben hat, ist größer als alles und keiner kann </w:t>
      </w:r>
      <w:r>
        <w:rPr>
          <w:b/>
          <w:color w:val="808080"/>
        </w:rPr>
        <w:t>[</w:t>
      </w:r>
      <w:r>
        <w:rPr/>
        <w:t>es</w:t>
      </w:r>
      <w:r>
        <w:rPr>
          <w:b/>
          <w:color w:val="808080"/>
        </w:rPr>
        <w:t>]</w:t>
      </w:r>
      <w:r>
        <w:rPr/>
        <w:t xml:space="preserve"> aus der Hand des Vaters reißen </w:t>
      </w:r>
      <w:r>
        <w:rPr>
          <w:color w:val="808080"/>
        </w:rPr>
        <w:t>(rauben)</w:t>
      </w:r>
      <w:r>
        <w:rPr/>
        <w:t>.</w:t>
      </w:r>
      <w:r>
        <w:rPr>
          <w:rStyle w:val="Funotenanker"/>
        </w:rPr>
        <w:footnoteReference w:customMarkFollows="1" w:id="5029"/>
        <w:t>f</w:t>
      </w:r>
      <w:r>
        <w:rPr/>
        <w:t xml:space="preserve"> {{field-off:bible}} </w:t>
        <w:br/>
        <w:t>[[@BibleTOBIBLE:Jn 10:30]]</w:t>
      </w:r>
      <w:r>
        <w:rPr>
          <w:b/>
        </w:rPr>
        <w:t>30</w:t>
      </w:r>
      <w:r>
        <w:rPr/>
        <w:t xml:space="preserve"> {{field-on:bible}}Ich und der Vater sind eins.{{field-off:bible}} </w:t>
        <w:br/>
        <w:t>[[@BibleTOBIBLE:Jn 10:31]]</w:t>
      </w:r>
      <w:r>
        <w:rPr>
          <w:b/>
        </w:rPr>
        <w:t>31</w:t>
      </w:r>
      <w:r>
        <w:rPr/>
        <w:t xml:space="preserve"> {{field-on:bible}}Die Juden hoben wieder </w:t>
      </w:r>
      <w:r>
        <w:rPr>
          <w:color w:val="808080"/>
        </w:rPr>
        <w:t>(wiederum)</w:t>
      </w:r>
      <w:r>
        <w:rPr/>
        <w:t xml:space="preserve"> Steine auf, um ihn zu steinigen.{{field-off:bible}} </w:t>
        <w:br/>
        <w:t>[[@BibleTOBIBLE:Jn 10:32]]</w:t>
      </w:r>
      <w:r>
        <w:rPr>
          <w:b/>
        </w:rPr>
        <w:t>32</w:t>
      </w:r>
      <w:r>
        <w:rPr/>
        <w:t xml:space="preserve"> {{field-on:bible}} </w:t>
      </w:r>
      <w:r>
        <w:rPr>
          <w:strike/>
          <w:color w:val="808080"/>
        </w:rPr>
        <w:t>{Der}</w:t>
      </w:r>
      <w:r>
        <w:rPr/>
        <w:t xml:space="preserve"> Jesus antwortete ihnen: Viele gute </w:t>
      </w:r>
      <w:r>
        <w:rPr>
          <w:color w:val="808080"/>
        </w:rPr>
        <w:t>(schöne)</w:t>
      </w:r>
      <w:r>
        <w:rPr/>
        <w:t xml:space="preserve"> Werke aus dem </w:t>
      </w:r>
      <w:r>
        <w:rPr>
          <w:color w:val="808080"/>
        </w:rPr>
        <w:t>(vom)</w:t>
      </w:r>
      <w:r>
        <w:rPr/>
        <w:t xml:space="preserve"> Vater </w:t>
      </w:r>
      <w:r>
        <w:rPr>
          <w:color w:val="808080"/>
        </w:rPr>
        <w:t>(her)</w:t>
      </w:r>
      <w:r>
        <w:rPr/>
        <w:t xml:space="preserve"> habe ich Euch gezeigt. Wegen welchem </w:t>
      </w:r>
      <w:r>
        <w:rPr>
          <w:strike/>
          <w:color w:val="808080"/>
        </w:rPr>
        <w:t>{Werk}</w:t>
      </w:r>
      <w:r>
        <w:rPr/>
        <w:t xml:space="preserve"> von ihnen steinigt Ihr mich?{{field-off:bible}} </w:t>
        <w:br/>
        <w:t>[[@BibleTOBIBLE:Jn 10:33]]</w:t>
      </w:r>
      <w:r>
        <w:rPr>
          <w:b/>
        </w:rPr>
        <w:t>33</w:t>
      </w:r>
      <w:r>
        <w:rPr/>
        <w:t xml:space="preserve"> {{field-on:bible}} </w:t>
      </w:r>
      <w:r>
        <w:rPr>
          <w:b/>
          <w:color w:val="808080"/>
        </w:rPr>
        <w:t>[</w:t>
      </w:r>
      <w:r>
        <w:rPr/>
        <w:t>Es</w:t>
      </w:r>
      <w:r>
        <w:rPr>
          <w:b/>
          <w:color w:val="808080"/>
        </w:rPr>
        <w:t>]</w:t>
      </w:r>
      <w:r>
        <w:rPr/>
        <w:t xml:space="preserve"> antworteten ihm die Juden: Wir steinigen Dich nicht wegen eines guten </w:t>
      </w:r>
      <w:r>
        <w:rPr>
          <w:color w:val="808080"/>
        </w:rPr>
        <w:t>(schönen)</w:t>
      </w:r>
      <w:r>
        <w:rPr/>
        <w:t xml:space="preserve"> Werks, sondern wegen </w:t>
      </w:r>
      <w:r>
        <w:rPr>
          <w:color w:val="808080"/>
        </w:rPr>
        <w:t>(einer)</w:t>
      </w:r>
      <w:r>
        <w:rPr/>
        <w:t xml:space="preserve"> Gotteslästerung </w:t>
      </w:r>
      <w:r>
        <w:rPr>
          <w:color w:val="808080"/>
        </w:rPr>
        <w:t>(Lästerung)</w:t>
      </w:r>
      <w:r>
        <w:rPr/>
        <w:t xml:space="preserve">, und weil Du, obwohl </w:t>
      </w:r>
      <w:r>
        <w:rPr>
          <w:color w:val="808080"/>
        </w:rPr>
        <w:t>(der)</w:t>
      </w:r>
      <w:r>
        <w:rPr/>
        <w:t xml:space="preserve"> Du ein Mensch bist, Dich selbst Gott machst.{{field-off:bible}} </w:t>
        <w:br/>
        <w:t>[[@BibleTOBIBLE:Jn 10:34]]</w:t>
      </w:r>
      <w:r>
        <w:rPr>
          <w:b/>
        </w:rPr>
        <w:t>34</w:t>
      </w:r>
      <w:r>
        <w:rPr/>
        <w:t xml:space="preserve"> {{field-on:bible}}Antwortete ihnen Jesus: Steht </w:t>
      </w:r>
      <w:r>
        <w:rPr>
          <w:color w:val="808080"/>
        </w:rPr>
        <w:t>(ist)</w:t>
      </w:r>
      <w:r>
        <w:rPr/>
        <w:t xml:space="preserve"> nicht geschrieben in Eurem Gesetz: </w:t>
      </w:r>
      <w:r>
        <w:rPr>
          <w:strike/>
          <w:color w:val="808080"/>
        </w:rPr>
        <w:t>{Daß}</w:t>
      </w:r>
      <w:r>
        <w:rPr/>
        <w:t xml:space="preserve"> Ich habe gesagt: Götter seid Ihr?{{field-off:bible}} </w:t>
        <w:br/>
        <w:t>[[@BibleTOBIBLE:Jn 10:35]]</w:t>
      </w:r>
      <w:r>
        <w:rPr>
          <w:b/>
        </w:rPr>
        <w:t>35</w:t>
      </w:r>
      <w:r>
        <w:rPr/>
        <w:t xml:space="preserve"> {{field-on:bible}}Wenn er </w:t>
      </w:r>
      <w:r>
        <w:rPr>
          <w:color w:val="808080"/>
        </w:rPr>
        <w:t>(es)</w:t>
      </w:r>
      <w:r>
        <w:rPr/>
        <w:t xml:space="preserve"> diejenigen Götter nannte, an die das Wort Gottes erging, und die Schrift nicht aufgelöst </w:t>
      </w:r>
      <w:r>
        <w:rPr>
          <w:color w:val="808080"/>
        </w:rPr>
        <w:t>(gelöst)</w:t>
      </w:r>
      <w:r>
        <w:rPr/>
        <w:t xml:space="preserve"> werden kann,{{field-off:bible}} </w:t>
        <w:br/>
        <w:t>[[@BibleTOBIBLE:Jn 10:36]]</w:t>
      </w:r>
      <w:r>
        <w:rPr>
          <w:b/>
        </w:rPr>
        <w:t>36</w:t>
      </w:r>
      <w:r>
        <w:rPr/>
        <w:t xml:space="preserve"> {{field-on:bible}} </w:t>
      </w:r>
      <w:r>
        <w:rPr>
          <w:b/>
          <w:color w:val="808080"/>
        </w:rPr>
        <w:t>[</w:t>
      </w:r>
      <w:r>
        <w:rPr/>
        <w:t>weshalb</w:t>
      </w:r>
      <w:r>
        <w:rPr>
          <w:b/>
          <w:color w:val="808080"/>
        </w:rPr>
        <w:t>]</w:t>
      </w:r>
      <w:r>
        <w:rPr/>
        <w:t xml:space="preserve"> sagt Ihr </w:t>
      </w:r>
      <w:r>
        <w:rPr>
          <w:b/>
          <w:color w:val="808080"/>
        </w:rPr>
        <w:t>[</w:t>
      </w:r>
      <w:r>
        <w:rPr/>
        <w:t xml:space="preserve">dann von mir </w:t>
      </w:r>
      <w:r>
        <w:rPr>
          <w:color w:val="808080"/>
        </w:rPr>
        <w:t>(dem)</w:t>
      </w:r>
      <w:r>
        <w:rPr/>
        <w:t>,</w:t>
      </w:r>
      <w:r>
        <w:rPr>
          <w:b/>
          <w:color w:val="808080"/>
        </w:rPr>
        <w:t>]</w:t>
      </w:r>
      <w:r>
        <w:rPr/>
        <w:t xml:space="preserve"> den der Vater geheiligt hat und in die Welt gesandt hat: </w:t>
      </w:r>
      <w:r>
        <w:rPr>
          <w:strike/>
          <w:color w:val="808080"/>
        </w:rPr>
        <w:t>{Dass}</w:t>
      </w:r>
      <w:r>
        <w:rPr/>
        <w:t xml:space="preserve"> Du lästerst </w:t>
      </w:r>
      <w:r>
        <w:rPr>
          <w:color w:val="808080"/>
        </w:rPr>
        <w:t>(Gott)</w:t>
      </w:r>
      <w:r>
        <w:rPr/>
        <w:t xml:space="preserve">, weil ich gesagt habe: Sohn Gottes bin ich?{{field-off:bible}} </w:t>
        <w:br/>
        <w:t>[[@BibleTOBIBLE:Jn 10:37]]</w:t>
      </w:r>
      <w:r>
        <w:rPr>
          <w:b/>
        </w:rPr>
        <w:t>37</w:t>
      </w:r>
      <w:r>
        <w:rPr/>
        <w:t xml:space="preserve"> {{field-on:bible}}Wenn ich die Werke meines Vaters nicht tue </w:t>
      </w:r>
      <w:r>
        <w:rPr>
          <w:color w:val="808080"/>
        </w:rPr>
        <w:t>(verwirkliche, vollbringe)</w:t>
      </w:r>
      <w:r>
        <w:rPr/>
        <w:t xml:space="preserve">, glaubt mir nicht!{{field-off:bible}} </w:t>
        <w:br/>
        <w:t>[[@BibleTOBIBLE:Jn 10:38]]</w:t>
      </w:r>
      <w:r>
        <w:rPr>
          <w:b/>
        </w:rPr>
        <w:t>38</w:t>
      </w:r>
      <w:r>
        <w:rPr/>
        <w:t xml:space="preserve"> {{field-on:bible}}Wenn ich </w:t>
      </w:r>
      <w:r>
        <w:rPr>
          <w:b/>
          <w:color w:val="808080"/>
        </w:rPr>
        <w:t>[</w:t>
      </w:r>
      <w:r>
        <w:rPr/>
        <w:t>sie</w:t>
      </w:r>
      <w:r>
        <w:rPr>
          <w:b/>
          <w:color w:val="808080"/>
        </w:rPr>
        <w:t>]</w:t>
      </w:r>
      <w:r>
        <w:rPr/>
        <w:t xml:space="preserve"> aber tue </w:t>
      </w:r>
      <w:r>
        <w:rPr>
          <w:color w:val="808080"/>
        </w:rPr>
        <w:t>(verwirkliche, vollbringe)</w:t>
      </w:r>
      <w:r>
        <w:rPr/>
        <w:t xml:space="preserve">, und Ihr mir nicht glaubt, glaubt </w:t>
      </w:r>
      <w:r>
        <w:rPr>
          <w:b/>
          <w:color w:val="808080"/>
        </w:rPr>
        <w:t>[</w:t>
      </w:r>
      <w:r>
        <w:rPr>
          <w:color w:val="808080"/>
        </w:rPr>
        <w:t>(doch, wenigstens)</w:t>
      </w:r>
      <w:r>
        <w:rPr>
          <w:b/>
          <w:color w:val="808080"/>
        </w:rPr>
        <w:t>]</w:t>
      </w:r>
      <w:r>
        <w:rPr/>
        <w:t xml:space="preserve"> den Werken, damit ihr erkennt und wißt, dass in mir der Vater </w:t>
      </w:r>
      <w:r>
        <w:rPr>
          <w:b/>
          <w:color w:val="808080"/>
        </w:rPr>
        <w:t>[</w:t>
      </w:r>
      <w:r>
        <w:rPr/>
        <w:t>ist</w:t>
      </w:r>
      <w:r>
        <w:rPr>
          <w:b/>
          <w:color w:val="808080"/>
        </w:rPr>
        <w:t>]</w:t>
      </w:r>
      <w:r>
        <w:rPr/>
        <w:t xml:space="preserve"> und ich im Vater </w:t>
      </w:r>
      <w:r>
        <w:rPr>
          <w:b/>
          <w:color w:val="808080"/>
        </w:rPr>
        <w:t>[</w:t>
      </w:r>
      <w:r>
        <w:rPr/>
        <w:t>bin</w:t>
      </w:r>
      <w:r>
        <w:rPr>
          <w:b/>
          <w:color w:val="808080"/>
        </w:rPr>
        <w:t>]</w:t>
      </w:r>
      <w:r>
        <w:rPr/>
        <w:t xml:space="preserve">.{{field-off:bible}} </w:t>
        <w:br/>
        <w:t>[[@BibleTOBIBLE:Jn 10:39]]</w:t>
      </w:r>
      <w:r>
        <w:rPr>
          <w:b/>
        </w:rPr>
        <w:t>39</w:t>
      </w:r>
      <w:r>
        <w:rPr/>
        <w:t xml:space="preserve"> {{field-on:bible}}Sie versuchten </w:t>
      </w:r>
      <w:r>
        <w:rPr>
          <w:color w:val="808080"/>
        </w:rPr>
        <w:t>(suchten)</w:t>
      </w:r>
      <w:r>
        <w:rPr/>
        <w:t xml:space="preserve"> wieder </w:t>
      </w:r>
      <w:r>
        <w:rPr>
          <w:color w:val="808080"/>
        </w:rPr>
        <w:t>(wiederum)</w:t>
      </w:r>
      <w:r>
        <w:rPr/>
        <w:t xml:space="preserve"> ihn zu ergreifen </w:t>
      </w:r>
      <w:r>
        <w:rPr>
          <w:color w:val="808080"/>
        </w:rPr>
        <w:t>(gefangen zu nehmen)</w:t>
      </w:r>
      <w:r>
        <w:rPr/>
        <w:t xml:space="preserve">, und er ging aus </w:t>
      </w:r>
      <w:r>
        <w:rPr>
          <w:color w:val="808080"/>
        </w:rPr>
        <w:t>(entzog sich)</w:t>
      </w:r>
      <w:r>
        <w:rPr/>
        <w:t xml:space="preserve"> ihrer Hand heraus.{{field-off:bible}} </w:t>
        <w:br/>
        <w:t>[[@BibleTOBIBLE:Jn 10:40]]</w:t>
      </w:r>
      <w:r>
        <w:rPr>
          <w:b/>
        </w:rPr>
        <w:t>40</w:t>
      </w:r>
      <w:r>
        <w:rPr/>
        <w:t xml:space="preserve"> {{field-on:bible}}Und er ging wieder </w:t>
      </w:r>
      <w:r>
        <w:rPr>
          <w:color w:val="808080"/>
        </w:rPr>
        <w:t>(wiederum)</w:t>
      </w:r>
      <w:r>
        <w:rPr/>
        <w:t xml:space="preserve"> fort auf die andere Seite des Jordan, an den Ort, wo Johannes zuerst getauft hatte </w:t>
      </w:r>
      <w:r>
        <w:rPr>
          <w:color w:val="808080"/>
        </w:rPr>
        <w:t>(taufen war)</w:t>
      </w:r>
      <w:r>
        <w:rPr/>
        <w:t xml:space="preserve"> und er blieb </w:t>
      </w:r>
      <w:r>
        <w:rPr>
          <w:color w:val="808080"/>
        </w:rPr>
        <w:t>(verweilte)</w:t>
      </w:r>
      <w:r>
        <w:rPr/>
        <w:t xml:space="preserve"> dort.{{field-off:bible}} </w:t>
        <w:br/>
        <w:t>[[@BibleTOBIBLE:Jn 10:41]]</w:t>
      </w:r>
      <w:r>
        <w:rPr>
          <w:b/>
        </w:rPr>
        <w:t>41</w:t>
      </w:r>
      <w:r>
        <w:rPr/>
        <w:t xml:space="preserve"> {{field-on:bible}}Und viele kamen zu ihm und sagten: </w:t>
      </w:r>
      <w:r>
        <w:rPr>
          <w:b/>
          <w:color w:val="808080"/>
        </w:rPr>
        <w:t>[</w:t>
      </w:r>
      <w:r>
        <w:rPr/>
        <w:t>Daß</w:t>
      </w:r>
      <w:r>
        <w:rPr>
          <w:b/>
          <w:color w:val="808080"/>
        </w:rPr>
        <w:t>]</w:t>
      </w:r>
      <w:r>
        <w:rPr/>
        <w:t xml:space="preserve"> Johannes hat zwar keine Zeichen getan </w:t>
      </w:r>
      <w:r>
        <w:rPr>
          <w:color w:val="808080"/>
        </w:rPr>
        <w:t>(gewirkt)</w:t>
      </w:r>
      <w:r>
        <w:rPr/>
        <w:t xml:space="preserve">, alles </w:t>
      </w:r>
      <w:r>
        <w:rPr>
          <w:color w:val="808080"/>
        </w:rPr>
        <w:t>(alle Dinge)</w:t>
      </w:r>
      <w:r>
        <w:rPr/>
        <w:t xml:space="preserve"> aber, was </w:t>
      </w:r>
      <w:r>
        <w:rPr>
          <w:color w:val="808080"/>
        </w:rPr>
        <w:t>(die)</w:t>
      </w:r>
      <w:r>
        <w:rPr/>
        <w:t xml:space="preserve"> Johannes gesagt hat über diesen, war </w:t>
      </w:r>
      <w:r>
        <w:rPr>
          <w:color w:val="808080"/>
        </w:rPr>
        <w:t>(waren)</w:t>
      </w:r>
      <w:r>
        <w:rPr/>
        <w:t xml:space="preserve"> wahr.{{field-off:bible}} </w:t>
        <w:br/>
        <w:t>[[@BibleTOBIBLE:Jn 10:42]]</w:t>
      </w:r>
      <w:r>
        <w:rPr>
          <w:b/>
        </w:rPr>
        <w:t>42</w:t>
      </w:r>
      <w:r>
        <w:rPr/>
        <w:t xml:space="preserve"> {{field-on:bible}}Und viele glaubten </w:t>
      </w:r>
      <w:r>
        <w:rPr>
          <w:color w:val="808080"/>
        </w:rPr>
        <w:t>(kamen zum Glauben)</w:t>
      </w:r>
      <w:r>
        <w:rPr/>
        <w:t xml:space="preserve"> an ihn dort. “{{field-off:bible}}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5030"/>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5031"/>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5032"/>
        <w:t>b</w:t>
      </w:r>
      <w:r>
        <w:rPr/>
        <w:t xml:space="preserve"> abgetrocknet hatte,</w:t>
      </w:r>
      <w:r>
        <w:rPr>
          <w:rStyle w:val="Funotenanker"/>
        </w:rPr>
        <w:footnoteReference w:customMarkFollows="1" w:id="5033"/>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5034"/>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5035"/>
        <w:t>e</w:t>
      </w:r>
      <w:r>
        <w:rPr/>
        <w:t xml:space="preserve"> sagte er: „Diese Krankheit führt nicht zum Tod</w:t>
      </w:r>
      <w:r>
        <w:rPr>
          <w:rStyle w:val="Funotenanker"/>
        </w:rPr>
        <w:footnoteReference w:customMarkFollows="1" w:id="5036"/>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5037"/>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5038"/>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5039"/>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5040"/>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5041"/>
        <w:t>k</w:t>
      </w:r>
      <w:r>
        <w:rPr/>
        <w:t xml:space="preserve"> {{field-off:bible}} </w:t>
        <w:br/>
        <w:t>[[@BibleTOBIBLE:Jn 11:11]]</w:t>
      </w:r>
      <w:r>
        <w:rPr>
          <w:b/>
        </w:rPr>
        <w:t>11</w:t>
      </w:r>
      <w:r>
        <w:rPr/>
        <w:t xml:space="preserve"> {{field-on:bible}}Dies </w:t>
      </w:r>
      <w:r>
        <w:rPr>
          <w:color w:val="808080"/>
        </w:rPr>
        <w:t>(Diese Dinge)</w:t>
      </w:r>
      <w:r>
        <w:rPr/>
        <w:t xml:space="preserve"> sagte er, und danach sagt er ihnen: Lazarus, unser Freund ruht </w:t>
      </w:r>
      <w:r>
        <w:rPr>
          <w:color w:val="808080"/>
        </w:rPr>
        <w:t>(schläft, ist eingeschlafen, hat sich schlafen gelegt)</w:t>
      </w:r>
      <w:r>
        <w:rPr/>
        <w:t xml:space="preserve"> </w:t>
      </w:r>
      <w:r>
        <w:rPr>
          <w:rStyle w:val="Funotenanker"/>
        </w:rPr>
        <w:footnoteReference w:customMarkFollows="1" w:id="5042"/>
        <w:t>l</w:t>
      </w:r>
      <w:r>
        <w:rPr/>
        <w:t xml:space="preserve"> aber ich gehe, um ihn aufzuwecken.{{field-off:bible}} </w:t>
        <w:br/>
        <w:t>[[@BibleTOBIBLE:Jn 11:12]]</w:t>
      </w:r>
      <w:r>
        <w:rPr>
          <w:b/>
        </w:rPr>
        <w:t>12</w:t>
      </w:r>
      <w:r>
        <w:rPr/>
        <w:t xml:space="preserve"> {{field-on:bible}}Es sagten ihm also die Jünger: Herr, wenn er ruht </w:t>
      </w:r>
      <w:r>
        <w:rPr>
          <w:color w:val="808080"/>
        </w:rPr>
        <w:t>(schläft, eingeschlafen ist, sich schlafen gelegt hat)</w:t>
      </w:r>
      <w:r>
        <w:rPr/>
        <w:t xml:space="preserve">, wird er bewahrt </w:t>
      </w:r>
      <w:r>
        <w:rPr>
          <w:color w:val="808080"/>
        </w:rPr>
        <w:t>(gerettet)</w:t>
      </w:r>
      <w:r>
        <w:rPr/>
        <w:t xml:space="preserve"> werden.{{field-off:bible}} </w:t>
        <w:br/>
        <w:t>[[@BibleTOBIBLE:Jn 11:13]]</w:t>
      </w:r>
      <w:r>
        <w:rPr>
          <w:b/>
        </w:rPr>
        <w:t>13</w:t>
      </w:r>
      <w:r>
        <w:rPr/>
        <w:t xml:space="preserve"> {{field-on:bible}}Jesus aber hatte über seinen Tod gesprochen. Sie </w:t>
      </w:r>
      <w:r>
        <w:rPr>
          <w:color w:val="808080"/>
        </w:rPr>
        <w:t>(Jene)</w:t>
      </w:r>
      <w:r>
        <w:rPr/>
        <w:t xml:space="preserve"> aber meinten, daß er über das Ruhen </w:t>
      </w:r>
      <w:r>
        <w:rPr>
          <w:color w:val="808080"/>
        </w:rPr>
        <w:t>(Schlafen)</w:t>
      </w:r>
      <w:r>
        <w:rPr/>
        <w:t xml:space="preserve"> des Schlafes spricht.{{field-off:bible}} </w:t>
        <w:br/>
        <w:t>[[@BibleTOBIBLE:Jn 11:14]]</w:t>
      </w:r>
      <w:r>
        <w:rPr>
          <w:b/>
        </w:rPr>
        <w:t>14</w:t>
      </w:r>
      <w:r>
        <w:rPr/>
        <w:t xml:space="preserve"> {{field-on:bible}}Dann also sagte ihnen Jesus offen </w:t>
      </w:r>
      <w:r>
        <w:rPr>
          <w:color w:val="808080"/>
        </w:rPr>
        <w:t>(mit Offenheit, mit Freimut)</w:t>
      </w:r>
      <w:r>
        <w:rPr/>
        <w:t xml:space="preserve">: Lazarua ist gestorben,{{field-off:bible}} </w:t>
        <w:br/>
        <w:t>[[@BibleTOBIBLE:Jn 11:15]]</w:t>
      </w:r>
      <w:r>
        <w:rPr>
          <w:b/>
        </w:rPr>
        <w:t>15</w:t>
      </w:r>
      <w:r>
        <w:rPr/>
        <w:t xml:space="preserve"> {{field-on:bible}}und ich freue mich Euretwegen </w:t>
      </w:r>
      <w:r>
        <w:rPr>
          <w:color w:val="808080"/>
        </w:rPr>
        <w:t>(wegen Euch)</w:t>
      </w:r>
      <w:r>
        <w:rPr/>
        <w:t xml:space="preserve">, daß ich nicht dort war, damit ihr glaubt </w:t>
      </w:r>
      <w:r>
        <w:rPr>
          <w:color w:val="808080"/>
        </w:rPr>
        <w:t>(damit Ihr glaubt, weil ich nicht dort war)</w:t>
      </w:r>
      <w:r>
        <w:rPr/>
        <w:t xml:space="preserve">. Aber laßt uns zu ihm gehen.{{field-off:bible}} </w:t>
        <w:br/>
        <w:t>[[@BibleTOBIBLE:Jn 11:16]]</w:t>
      </w:r>
      <w:r>
        <w:rPr>
          <w:b/>
        </w:rPr>
        <w:t>16</w:t>
      </w:r>
      <w:r>
        <w:rPr/>
        <w:t xml:space="preserve"> {{field-on:bible}}Thomas, der Zwilling genannt wird, sagte also den Mitjüngern: Laßt auch uns gehen, damit wir mit ihm sterben.{{field-off:bible}} </w:t>
        <w:br/>
        <w:t>[[@BibleTOBIBLE:Jn 11:17]]</w:t>
      </w:r>
      <w:r>
        <w:rPr>
          <w:b/>
        </w:rPr>
        <w:t>17</w:t>
      </w:r>
      <w:r>
        <w:rPr/>
        <w:t xml:space="preserve"> {{field-on:bible}} </w:t>
      </w:r>
      <w:r>
        <w:rPr>
          <w:strike/>
          <w:color w:val="808080"/>
        </w:rPr>
        <w:t>{Der}</w:t>
      </w:r>
      <w:r>
        <w:rPr/>
        <w:t xml:space="preserve"> Jesus ging und fand ihn also </w:t>
      </w:r>
      <w:r>
        <w:rPr>
          <w:color w:val="808080"/>
        </w:rPr>
        <w:t>(, nachdem er)</w:t>
      </w:r>
      <w:r>
        <w:rPr/>
        <w:t xml:space="preserve"> schon vier Tage im Grab liegen </w:t>
      </w:r>
      <w:r>
        <w:rPr>
          <w:color w:val="808080"/>
        </w:rPr>
        <w:t>(gelegen war)</w:t>
      </w:r>
      <w:r>
        <w:rPr/>
        <w:t xml:space="preserve">.{{field-off:bible}} </w:t>
        <w:br/>
        <w:t>[[@BibleTOBIBLE:Jn 11:18]]</w:t>
      </w:r>
      <w:r>
        <w:rPr>
          <w:b/>
        </w:rPr>
        <w:t>18</w:t>
      </w:r>
      <w:r>
        <w:rPr/>
        <w:t xml:space="preserve"> {{field-on:bible}}Betanien war aber nahe bei Jerusalem, etwa 15 Stadien weit.{{field-off:bible}} </w:t>
        <w:br/>
        <w:t>[[@BibleTOBIBLE:Jn 11:19]]</w:t>
      </w:r>
      <w:r>
        <w:rPr>
          <w:b/>
        </w:rPr>
        <w:t>19</w:t>
      </w:r>
      <w:r>
        <w:rPr/>
        <w:t xml:space="preserve"> {{field-on:bible}}Viele aber von </w:t>
      </w:r>
      <w:r>
        <w:rPr>
          <w:color w:val="808080"/>
        </w:rPr>
        <w:t>(aus)</w:t>
      </w:r>
      <w:r>
        <w:rPr/>
        <w:t xml:space="preserve"> den Juden waren zu </w:t>
      </w:r>
      <w:r>
        <w:rPr>
          <w:strike/>
          <w:color w:val="808080"/>
        </w:rPr>
        <w:t>{der}</w:t>
      </w:r>
      <w:r>
        <w:rPr/>
        <w:t xml:space="preserve"> Marta und Maria gekommen, um sie über ihren Bruder zu trösten.{{field-off:bible}} </w:t>
        <w:br/>
        <w:t>[[@BibleTOBIBLE:Jn 11:20]]</w:t>
      </w:r>
      <w:r>
        <w:rPr>
          <w:b/>
        </w:rPr>
        <w:t>20</w:t>
      </w:r>
      <w:r>
        <w:rPr/>
        <w:t xml:space="preserve"> {{field-on:bible}} </w:t>
      </w:r>
      <w:r>
        <w:rPr>
          <w:strike/>
          <w:color w:val="808080"/>
        </w:rPr>
        <w:t>{Die}</w:t>
      </w:r>
      <w:r>
        <w:rPr/>
        <w:t xml:space="preserve"> Marta also, wie sie hörte, daß Jesus kommt, ging ihm entgegen. Maria aber saß in dem Haus.{{field-off:bible}}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5043"/>
        <w:t>m</w:t>
      </w:r>
      <w:r>
        <w:rPr/>
        <w:t xml:space="preserve"> {{field-off:bible}} </w:t>
        <w:br/>
        <w:t>[[@BibleTOBIBLE:Jn 11:22]]</w:t>
      </w:r>
      <w:r>
        <w:rPr>
          <w:b/>
        </w:rPr>
        <w:t>22</w:t>
      </w:r>
      <w:r>
        <w:rPr/>
        <w:t xml:space="preserve"> {{field-on:bible}} </w:t>
      </w:r>
      <w:r>
        <w:rPr>
          <w:rStyle w:val="Funotenanker"/>
        </w:rPr>
        <w:footnoteReference w:customMarkFollows="1" w:id="5044"/>
        <w:t>n</w:t>
      </w:r>
      <w:r>
        <w:rPr/>
        <w:t xml:space="preserve">Auch </w:t>
      </w:r>
      <w:r>
        <w:rPr>
          <w:color w:val="808080"/>
        </w:rPr>
        <w:t>(und)</w:t>
      </w:r>
      <w:r>
        <w:rPr/>
        <w:t xml:space="preserve"> jetzt weiß ich, dass Gott dir alles, worum du ihn</w:t>
      </w:r>
      <w:r>
        <w:rPr>
          <w:rStyle w:val="Funotenanker"/>
        </w:rPr>
        <w:footnoteReference w:customMarkFollows="1" w:id="5045"/>
        <w:t>o</w:t>
      </w:r>
      <w:r>
        <w:rPr/>
        <w:t xml:space="preserve"> bittest, geben wird.“</w:t>
      </w:r>
      <w:r>
        <w:rPr>
          <w:rStyle w:val="Funotenanker"/>
        </w:rPr>
        <w:footnoteReference w:customMarkFollows="1" w:id="5046"/>
        <w:t>p</w:t>
      </w:r>
      <w:r>
        <w:rPr/>
        <w:t xml:space="preserve"> {{field-off:bible}} </w:t>
        <w:br/>
        <w:t>[[@BibleTOBIBLE:Jn 11:23]]</w:t>
      </w:r>
      <w:r>
        <w:rPr>
          <w:b/>
        </w:rPr>
        <w:t>23</w:t>
      </w:r>
      <w:r>
        <w:rPr/>
        <w:t xml:space="preserve"> {{field-on:bible}}Jesus sagte</w:t>
      </w:r>
      <w:r>
        <w:rPr>
          <w:rStyle w:val="Funotenanker"/>
        </w:rPr>
        <w:footnoteReference w:customMarkFollows="1" w:id="5047"/>
        <w:t>q</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5048"/>
        <w:t>r</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5049"/>
        <w:t>s</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5050"/>
        <w:t>t</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5051"/>
        <w:t>u</w:t>
      </w:r>
      <w:r>
        <w:rPr/>
        <w:t xml:space="preserve">!“{{field-off:bible}} </w:t>
        <w:br/>
        <w:t>[[@BibleTOBIBLE:Jn 11:28]]</w:t>
      </w:r>
      <w:r>
        <w:rPr>
          <w:b/>
        </w:rPr>
        <w:t>28</w:t>
      </w:r>
      <w:r>
        <w:rPr/>
        <w:t xml:space="preserve"> {{field-on:bible}}Und nachdem sie dies gesagt hatte, ging sie hin </w:t>
      </w:r>
      <w:r>
        <w:rPr>
          <w:color w:val="808080"/>
        </w:rPr>
        <w:t>(weg)</w:t>
      </w:r>
      <w:r>
        <w:rPr/>
        <w:t xml:space="preserve"> und rief heimlich Maria, ihre Schwester </w:t>
      </w:r>
      <w:r>
        <w:rPr>
          <w:color w:val="808080"/>
        </w:rPr>
        <w:t>(herbei)</w:t>
      </w:r>
      <w:r>
        <w:rPr/>
        <w:t xml:space="preserve">, indem sie </w:t>
      </w:r>
      <w:r>
        <w:rPr>
          <w:b/>
          <w:color w:val="808080"/>
        </w:rPr>
        <w:t>[</w:t>
      </w:r>
      <w:r>
        <w:rPr/>
        <w:t>ihr</w:t>
      </w:r>
      <w:r>
        <w:rPr>
          <w:b/>
          <w:color w:val="808080"/>
        </w:rPr>
        <w:t>]</w:t>
      </w:r>
      <w:r>
        <w:rPr/>
        <w:t xml:space="preserve"> sagte: Der Lehrer ist hier </w:t>
      </w:r>
      <w:r>
        <w:rPr>
          <w:color w:val="808080"/>
        </w:rPr>
        <w:t>(da)</w:t>
      </w:r>
      <w:r>
        <w:rPr/>
        <w:t xml:space="preserve"> und ruft Dich.{{field-off:bible}} </w:t>
        <w:br/>
        <w:t>[[@BibleTOBIBLE:Jn 11:29]]</w:t>
      </w:r>
      <w:r>
        <w:rPr>
          <w:b/>
        </w:rPr>
        <w:t>29</w:t>
      </w:r>
      <w:r>
        <w:rPr/>
        <w:t xml:space="preserve"> {{field-on:bible}}Jene aber, wie sie </w:t>
      </w:r>
      <w:r>
        <w:rPr>
          <w:b/>
          <w:color w:val="808080"/>
        </w:rPr>
        <w:t>[</w:t>
      </w:r>
      <w:r>
        <w:rPr/>
        <w:t>es</w:t>
      </w:r>
      <w:r>
        <w:rPr>
          <w:b/>
          <w:color w:val="808080"/>
        </w:rPr>
        <w:t>]</w:t>
      </w:r>
      <w:r>
        <w:rPr/>
        <w:t xml:space="preserve"> hörte, stand schnell auf und ging </w:t>
      </w:r>
      <w:r>
        <w:rPr>
          <w:color w:val="808080"/>
        </w:rPr>
        <w:t>(kam)</w:t>
      </w:r>
      <w:r>
        <w:rPr/>
        <w:t xml:space="preserve"> zu ihm.{{field-off:bible}} </w:t>
        <w:br/>
        <w:t>[[@BibleTOBIBLE:Jn 11:30]]</w:t>
      </w:r>
      <w:r>
        <w:rPr>
          <w:b/>
        </w:rPr>
        <w:t>30</w:t>
      </w:r>
      <w:r>
        <w:rPr/>
        <w:t xml:space="preserve"> {{field-on:bible}} </w:t>
      </w:r>
      <w:r>
        <w:rPr>
          <w:strike/>
          <w:color w:val="808080"/>
        </w:rPr>
        <w:t>{Der}</w:t>
      </w:r>
      <w:r>
        <w:rPr/>
        <w:t xml:space="preserve"> Jesus aber war noch nicht in das Dorf gegangen </w:t>
      </w:r>
      <w:r>
        <w:rPr>
          <w:color w:val="808080"/>
        </w:rPr>
        <w:t>(gekommen)</w:t>
      </w:r>
      <w:r>
        <w:rPr/>
        <w:t xml:space="preserve">, sondern er war noch an dem Ort, wo Marta ihm entgegengekommen war.{{field-off:bible}} </w:t>
        <w:br/>
        <w:t>[[@BibleTOBIBLE:Jn 11:31]]</w:t>
      </w:r>
      <w:r>
        <w:rPr>
          <w:b/>
        </w:rPr>
        <w:t>31</w:t>
      </w:r>
      <w:r>
        <w:rPr/>
        <w:t xml:space="preserve"> {{field-on:bible}}Die Juden also, die mit ihr in dem Haus waren und sie trösteten, folgten ihr, als sie Maria schnell aufstehen und weggehen sahen, weil sie meinten, daß sie zu dem Grab geht, um dort zu weinen </w:t>
      </w:r>
      <w:r>
        <w:rPr>
          <w:color w:val="808080"/>
        </w:rPr>
        <w:t>(klagen)</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5052"/>
        <w:t>v</w:t>
      </w:r>
      <w:r>
        <w:rPr/>
        <w:t xml:space="preserve"> warf sie sich </w:t>
      </w:r>
      <w:r>
        <w:rPr>
          <w:color w:val="808080"/>
        </w:rPr>
        <w:t>(fiel)</w:t>
      </w:r>
      <w:r>
        <w:rPr/>
        <w:t xml:space="preserve"> sie vor seine Füße und sagte</w:t>
      </w:r>
      <w:r>
        <w:rPr>
          <w:rStyle w:val="Funotenanker"/>
        </w:rPr>
        <w:footnoteReference w:customMarkFollows="1" w:id="5053"/>
        <w:t>w</w:t>
      </w:r>
      <w:r>
        <w:rPr/>
        <w:t xml:space="preserve"> zu ihm: „Herr, wenn du hier gewesen wärest, dann wäre mein Bruder nicht gestorben!“</w:t>
      </w:r>
      <w:r>
        <w:rPr>
          <w:rStyle w:val="Funotenanker"/>
        </w:rPr>
        <w:footnoteReference w:customMarkFollows="1" w:id="5054"/>
        <w:t>x</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5055"/>
        <w:t>y</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5056"/>
        <w:t>z</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5057"/>
        <w:t>aa</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5058"/>
        <w:t>ab</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5059"/>
        <w:t>ac</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5060"/>
        <w:t>ad</w:t>
      </w:r>
      <w:r>
        <w:rPr/>
        <w:t xml:space="preserve"> nicht sterben musste?“{{field-off:bible}} </w:t>
        <w:br/>
        <w:t>[[@BibleTOBIBLE:Jn 11:38]]</w:t>
      </w:r>
      <w:r>
        <w:rPr>
          <w:b/>
        </w:rPr>
        <w:t>38</w:t>
      </w:r>
      <w:r>
        <w:rPr/>
        <w:t xml:space="preserve"> {{field-on:bible}}Jesus also – ein weiteres Mal innerlich </w:t>
      </w:r>
      <w:r>
        <w:rPr>
          <w:color w:val="808080"/>
        </w:rPr>
        <w:t>(in sich)</w:t>
      </w:r>
      <w:r>
        <w:rPr/>
        <w:t xml:space="preserve"> sehr aufgebracht </w:t>
      </w:r>
      <w:r>
        <w:rPr>
          <w:color w:val="808080"/>
        </w:rPr>
        <w:t>(wütend, erregt; aufbrausend, schnaubend, seufzend)</w:t>
      </w:r>
      <w:r>
        <w:rPr/>
        <w:t xml:space="preserve"> – kommt zu dem Grab: Es war aber eine Höhle und ein Stein lag auf ihm </w:t>
      </w:r>
      <w:r>
        <w:rPr>
          <w:color w:val="808080"/>
        </w:rPr>
        <w:t>(ihr)</w:t>
      </w:r>
      <w:r>
        <w:rPr/>
        <w:t xml:space="preserve">.{{field-off:bible}} </w:t>
        <w:br/>
        <w:t>[[@BibleTOBIBLE:Jn 11:39]]</w:t>
      </w:r>
      <w:r>
        <w:rPr>
          <w:b/>
        </w:rPr>
        <w:t>39</w:t>
      </w:r>
      <w:r>
        <w:rPr/>
        <w:t xml:space="preserve"> {{field-on:bible}} </w:t>
      </w:r>
      <w:r>
        <w:rPr>
          <w:strike/>
          <w:color w:val="808080"/>
        </w:rPr>
        <w:t>{Der}</w:t>
      </w:r>
      <w:r>
        <w:rPr/>
        <w:t xml:space="preserve"> Jesus sagt: Nehmt den Stein weg. Die Schwester des Gestorbenen, Marta, sagt ihm: Herr, er stinkt </w:t>
      </w:r>
      <w:r>
        <w:rPr>
          <w:color w:val="808080"/>
        </w:rPr>
        <w:t>(riecht)</w:t>
      </w:r>
      <w:r>
        <w:rPr/>
        <w:t xml:space="preserve"> schon – er ist nämlich schon vier Tage </w:t>
      </w:r>
      <w:r>
        <w:rPr>
          <w:b/>
          <w:color w:val="808080"/>
        </w:rPr>
        <w:t>[</w:t>
      </w:r>
      <w:r>
        <w:rPr/>
        <w:t>tot</w:t>
      </w:r>
      <w:r>
        <w:rPr>
          <w:b/>
          <w:color w:val="808080"/>
        </w:rPr>
        <w:t>]</w:t>
      </w:r>
      <w:r>
        <w:rPr/>
        <w:t xml:space="preserve"> </w:t>
      </w:r>
      <w:r>
        <w:rPr>
          <w:color w:val="808080"/>
        </w:rPr>
        <w:t>(viertägig)</w:t>
      </w:r>
      <w:r>
        <w:rPr/>
        <w:t xml:space="preserve">.{{field-off:bible}} </w:t>
        <w:br/>
        <w:t>[[@BibleTOBIBLE:Jn 11:40]]</w:t>
      </w:r>
      <w:r>
        <w:rPr>
          <w:b/>
        </w:rPr>
        <w:t>40</w:t>
      </w:r>
      <w:r>
        <w:rPr/>
        <w:t xml:space="preserve"> {{field-on:bible}} </w:t>
      </w:r>
      <w:r>
        <w:rPr>
          <w:strike/>
          <w:color w:val="808080"/>
        </w:rPr>
        <w:t>{Der}</w:t>
      </w:r>
      <w:r>
        <w:rPr/>
        <w:t xml:space="preserve"> Jesus sagt ihr: Habe ich Dir nicht gesagt: </w:t>
      </w:r>
      <w:r>
        <w:rPr>
          <w:strike/>
          <w:color w:val="808080"/>
        </w:rPr>
        <w:t>{daß}</w:t>
      </w:r>
      <w:r>
        <w:rPr/>
        <w:t xml:space="preserve"> Wenn Du glaubtst, wirst du die Herrlichkeit Gottes sehen?{{field-off:bible}}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5061"/>
        <w:t>ae</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5062"/>
        <w:t>af</w:t>
      </w:r>
      <w:r>
        <w:rPr/>
        <w:t xml:space="preserve"> rief er </w:t>
      </w:r>
      <w:r>
        <w:rPr>
          <w:b/>
          <w:color w:val="808080"/>
        </w:rPr>
        <w:t>[</w:t>
      </w:r>
      <w:r>
        <w:rPr/>
        <w:t>mit</w:t>
      </w:r>
      <w:r>
        <w:rPr>
          <w:b/>
          <w:color w:val="808080"/>
        </w:rPr>
        <w:t>]</w:t>
      </w:r>
      <w:r>
        <w:rPr/>
        <w:t xml:space="preserve"> lauter Stimme</w:t>
      </w:r>
      <w:r>
        <w:rPr>
          <w:rStyle w:val="Funotenanker"/>
        </w:rPr>
        <w:footnoteReference w:customMarkFollows="1" w:id="5063"/>
        <w:t>ag</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5064"/>
        <w:t>ah</w:t>
      </w:r>
      <w:r>
        <w:rPr/>
        <w:t xml:space="preserve"> Jesus sagte zu ihnen: „Befreit ihn, dann </w:t>
      </w:r>
      <w:r>
        <w:rPr>
          <w:color w:val="808080"/>
        </w:rPr>
        <w:t>(und)</w:t>
      </w:r>
      <w:r>
        <w:rPr/>
        <w:t xml:space="preserve"> lasst ihn gehen!“{{field-off:bible}} </w:t>
        <w:br/>
        <w:t>[[@BibleTOBIBLE:Jn 11:45]]</w:t>
      </w:r>
      <w:r>
        <w:rPr>
          <w:b/>
        </w:rPr>
        <w:t>45</w:t>
      </w:r>
      <w:r>
        <w:rPr/>
        <w:t xml:space="preserve"> {{field-on:bible}}Viele also von </w:t>
      </w:r>
      <w:r>
        <w:rPr>
          <w:color w:val="808080"/>
        </w:rPr>
        <w:t>(aus)</w:t>
      </w:r>
      <w:r>
        <w:rPr/>
        <w:t xml:space="preserve"> den Juden, die zu </w:t>
      </w:r>
      <w:r>
        <w:rPr>
          <w:strike/>
          <w:color w:val="808080"/>
        </w:rPr>
        <w:t>{der}</w:t>
      </w:r>
      <w:r>
        <w:rPr/>
        <w:t xml:space="preserve"> Maria gekommen waren und gesehen hatten, was er getan hatte, glaubten </w:t>
      </w:r>
      <w:r>
        <w:rPr>
          <w:color w:val="808080"/>
        </w:rPr>
        <w:t>(kamen zum Glauben)</w:t>
      </w:r>
      <w:r>
        <w:rPr/>
        <w:t xml:space="preserve"> an ihn.{{field-off:bible}} </w:t>
        <w:br/>
        <w:t>[[@BibleTOBIBLE:Jn 11:46]]</w:t>
      </w:r>
      <w:r>
        <w:rPr>
          <w:b/>
        </w:rPr>
        <w:t>46</w:t>
      </w:r>
      <w:r>
        <w:rPr/>
        <w:t xml:space="preserve"> {{field-on:bible}}Einige aber von </w:t>
      </w:r>
      <w:r>
        <w:rPr>
          <w:color w:val="808080"/>
        </w:rPr>
        <w:t>(aus)</w:t>
      </w:r>
      <w:r>
        <w:rPr/>
        <w:t xml:space="preserve"> ihnen gingen </w:t>
      </w:r>
      <w:r>
        <w:rPr>
          <w:color w:val="808080"/>
        </w:rPr>
        <w:t>(weg, hin)</w:t>
      </w:r>
      <w:r>
        <w:rPr/>
        <w:t xml:space="preserve"> zu den Pharisäern und sagten ihnen, was Jesus getan hatte.{{field-off:bible}} </w:t>
        <w:br/>
        <w:t>[[@BibleTOBIBLE:Jn 11:47]]</w:t>
      </w:r>
      <w:r>
        <w:rPr>
          <w:b/>
        </w:rPr>
        <w:t>47</w:t>
      </w:r>
      <w:r>
        <w:rPr/>
        <w:t xml:space="preserve"> {{field-on:bible}}Die Hohenpriester und die Pharisäer versammelten also ein Synedrium </w:t>
      </w:r>
      <w:r>
        <w:rPr>
          <w:color w:val="808080"/>
        </w:rPr>
        <w:t>(brachten also eine Sitzung des Hohen Rates zusammen)</w:t>
      </w:r>
      <w:r>
        <w:rPr/>
        <w:t xml:space="preserve"> und sagten: Was tun </w:t>
      </w:r>
      <w:r>
        <w:rPr>
          <w:color w:val="808080"/>
        </w:rPr>
        <w:t>(machen, verwirklichen)</w:t>
      </w:r>
      <w:r>
        <w:rPr/>
        <w:t xml:space="preserve"> wir, da dieser Mensch viele Zeichen tut </w:t>
      </w:r>
      <w:r>
        <w:rPr>
          <w:color w:val="808080"/>
        </w:rPr>
        <w:t>(macht, verwirklicht; denn dieser Mensch tut viele Zeichen)</w:t>
      </w:r>
      <w:r>
        <w:rPr/>
        <w:t xml:space="preserve">?{{field-off:bible}} </w:t>
        <w:br/>
        <w:t>[[@BibleTOBIBLE:Jn 11:48]]</w:t>
      </w:r>
      <w:r>
        <w:rPr>
          <w:b/>
        </w:rPr>
        <w:t>48</w:t>
      </w:r>
      <w:r>
        <w:rPr/>
        <w:t xml:space="preserve"> {{field-on:bible}}Wenn wir ihn so lassen, werden alle an ihn glauben, und die Röme werden kommen und </w:t>
      </w:r>
      <w:r>
        <w:rPr>
          <w:color w:val="808080"/>
        </w:rPr>
        <w:t>(von)</w:t>
      </w:r>
      <w:r>
        <w:rPr/>
        <w:t xml:space="preserve"> uns sowohl den Ort </w:t>
      </w:r>
      <w:r>
        <w:rPr>
          <w:color w:val="808080"/>
        </w:rPr>
        <w:t>(den Tempel, Jerusalem)</w:t>
      </w:r>
      <w:r>
        <w:rPr/>
        <w:t xml:space="preserve"> wie das Volk wegnehmen </w:t>
      </w:r>
      <w:r>
        <w:rPr>
          <w:color w:val="808080"/>
        </w:rPr>
        <w:t>(nehmen)</w:t>
      </w:r>
      <w:r>
        <w:rPr/>
        <w:t xml:space="preserve">.{{field-off:bible}} </w:t>
        <w:br/>
        <w:t>[[@BibleTOBIBLE:Jn 11:49]]</w:t>
      </w:r>
      <w:r>
        <w:rPr>
          <w:b/>
        </w:rPr>
        <w:t>49</w:t>
      </w:r>
      <w:r>
        <w:rPr/>
        <w:t xml:space="preserve"> {{field-on:bible}}Doch einer, von ihnen, ein gewisser Kajaphas, der in jenem Jahr Hoherpriester war,</w:t>
      </w:r>
      <w:r>
        <w:rPr>
          <w:rStyle w:val="Funotenanker"/>
        </w:rPr>
        <w:footnoteReference w:customMarkFollows="1" w:id="5065"/>
        <w:t>ai</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5066"/>
        <w:t>aj</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5067"/>
        <w:t>ak</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br/>
        <w:t>[[@BibleTOBIBLE:Jn 11:53]]</w:t>
      </w:r>
      <w:r>
        <w:rPr>
          <w:b/>
        </w:rPr>
        <w:t>53</w:t>
      </w:r>
      <w:r>
        <w:rPr/>
        <w:t xml:space="preserve"> {{field-on:bible}}Von jenem Tag an also überlegten </w:t>
      </w:r>
      <w:r>
        <w:rPr>
          <w:color w:val="808080"/>
        </w:rPr>
        <w:t>(beratschlagten, beschlossen)</w:t>
      </w:r>
      <w:r>
        <w:rPr/>
        <w:t xml:space="preserve"> sie, ihn zu töten.{{field-off:bible}} </w:t>
        <w:br/>
        <w:t>[[@BibleTOBIBLE:Jn 11:54]]</w:t>
      </w:r>
      <w:r>
        <w:rPr>
          <w:b/>
        </w:rPr>
        <w:t>54</w:t>
      </w:r>
      <w:r>
        <w:rPr/>
        <w:t xml:space="preserve"> {{field-on:bible}} </w:t>
      </w:r>
      <w:r>
        <w:rPr>
          <w:strike/>
          <w:color w:val="808080"/>
        </w:rPr>
        <w:t>{Der}</w:t>
      </w:r>
      <w:r>
        <w:rPr/>
        <w:t xml:space="preserve"> Jesus also zog nicht mehr öffentlich </w:t>
      </w:r>
      <w:r>
        <w:rPr>
          <w:color w:val="808080"/>
        </w:rPr>
        <w:t xml:space="preserve">(in </w:t>
      </w:r>
      <w:r>
        <w:rPr>
          <w:b/>
          <w:color w:val="808080"/>
        </w:rPr>
        <w:t>[</w:t>
      </w:r>
      <w:r>
        <w:rPr>
          <w:color w:val="808080"/>
        </w:rPr>
        <w:t>der</w:t>
      </w:r>
      <w:r>
        <w:rPr>
          <w:b/>
          <w:color w:val="808080"/>
        </w:rPr>
        <w:t>]</w:t>
      </w:r>
      <w:r>
        <w:rPr>
          <w:color w:val="808080"/>
        </w:rPr>
        <w:t xml:space="preserve"> Öffentlichkeit)</w:t>
      </w:r>
      <w:r>
        <w:rPr/>
        <w:t xml:space="preserve"> unter den Juden umher, sondern er ging weg von dort in die Gegend nahe der Wüste </w:t>
      </w:r>
      <w:r>
        <w:rPr>
          <w:color w:val="808080"/>
        </w:rPr>
        <w:t>(Einöde)</w:t>
      </w:r>
      <w:r>
        <w:rPr/>
        <w:t xml:space="preserve">, in eine Stadt, die Efraim heißt </w:t>
      </w:r>
      <w:r>
        <w:rPr>
          <w:color w:val="808080"/>
        </w:rPr>
        <w:t>(genannt wird)</w:t>
      </w:r>
      <w:r>
        <w:rPr/>
        <w:t xml:space="preserve">, und dort blieb </w:t>
      </w:r>
      <w:r>
        <w:rPr>
          <w:color w:val="808080"/>
        </w:rPr>
        <w:t>(verweilte)</w:t>
      </w:r>
      <w:r>
        <w:rPr/>
        <w:t xml:space="preserve"> er mit den Jüngern.{{field-off:bible}} </w:t>
        <w:br/>
        <w:t>[[@BibleTOBIBLE:Jn 11:55]]</w:t>
      </w:r>
      <w:r>
        <w:rPr>
          <w:b/>
        </w:rPr>
        <w:t>55</w:t>
      </w:r>
      <w:r>
        <w:rPr/>
        <w:t xml:space="preserve"> {{field-on:bible}}Es war aber nahe das Paschafest </w:t>
      </w:r>
      <w:r>
        <w:rPr>
          <w:color w:val="808080"/>
        </w:rPr>
        <w:t>(Pascha)</w:t>
      </w:r>
      <w:r>
        <w:rPr/>
        <w:t xml:space="preserve"> der Juden und viele aus dem Land </w:t>
      </w:r>
      <w:r>
        <w:rPr>
          <w:color w:val="808080"/>
        </w:rPr>
        <w:t>(der Gegend)</w:t>
      </w:r>
      <w:r>
        <w:rPr/>
        <w:t xml:space="preserve"> stiegen </w:t>
      </w:r>
      <w:r>
        <w:rPr>
          <w:color w:val="808080"/>
        </w:rPr>
        <w:t>(gingen)</w:t>
      </w:r>
      <w:r>
        <w:rPr/>
        <w:t xml:space="preserve"> vor dem Paschafest </w:t>
      </w:r>
      <w:r>
        <w:rPr>
          <w:color w:val="808080"/>
        </w:rPr>
        <w:t>(Fest, Pascha)</w:t>
      </w:r>
      <w:r>
        <w:rPr/>
        <w:t xml:space="preserve"> nach Jerusalem hinauf, um sich zu reinigen.{{field-off:bible}} </w:t>
        <w:br/>
        <w:t>[[@BibleTOBIBLE:Jn 11:56]]</w:t>
      </w:r>
      <w:r>
        <w:rPr>
          <w:b/>
        </w:rPr>
        <w:t>56</w:t>
      </w:r>
      <w:r>
        <w:rPr/>
        <w:t xml:space="preserve"> {{field-on:bible}}Sie suchten also </w:t>
      </w:r>
      <w:r>
        <w:rPr>
          <w:strike/>
          <w:color w:val="808080"/>
        </w:rPr>
        <w:t>{den}</w:t>
      </w:r>
      <w:r>
        <w:rPr/>
        <w:t xml:space="preserve"> Jesus und sagten zueinander </w:t>
      </w:r>
      <w:r>
        <w:rPr>
          <w:color w:val="808080"/>
        </w:rPr>
        <w:t>(redeten miteinander)</w:t>
      </w:r>
      <w:r>
        <w:rPr/>
        <w:t xml:space="preserve">, wie sie im Tempel standen: Was meint Ihr </w:t>
      </w:r>
      <w:r>
        <w:rPr>
          <w:color w:val="808080"/>
        </w:rPr>
        <w:t>(scheint Euch)</w:t>
      </w:r>
      <w:r>
        <w:rPr/>
        <w:t xml:space="preserve">? Daß er vielleicht </w:t>
      </w:r>
      <w:r>
        <w:rPr>
          <w:color w:val="808080"/>
        </w:rPr>
        <w:t>(gewiß)</w:t>
      </w:r>
      <w:r>
        <w:rPr/>
        <w:t xml:space="preserve"> nicht zu dem Fest kommt?{{field-off:bible}} </w:t>
        <w:br/>
        <w:t>[[@BibleTOBIBLE:Jn 11:57]]</w:t>
      </w:r>
      <w:r>
        <w:rPr>
          <w:b/>
        </w:rPr>
        <w:t>57</w:t>
      </w:r>
      <w:r>
        <w:rPr/>
        <w:t xml:space="preserve"> {{field-on:bible}}Es hatten aber die Hohenpriester und die Pharisäer befohlen </w:t>
      </w:r>
      <w:r>
        <w:rPr>
          <w:color w:val="808080"/>
        </w:rPr>
        <w:t>(Befehle gegeben)</w:t>
      </w:r>
      <w:r>
        <w:rPr/>
        <w:t xml:space="preserve">, daß, wenn jemand </w:t>
      </w:r>
      <w:r>
        <w:rPr>
          <w:color w:val="808080"/>
        </w:rPr>
        <w:t>(einer)</w:t>
      </w:r>
      <w:r>
        <w:rPr/>
        <w:t xml:space="preserve"> erfährt </w:t>
      </w:r>
      <w:r>
        <w:rPr>
          <w:color w:val="808080"/>
        </w:rPr>
        <w:t>(weiß)</w:t>
      </w:r>
      <w:r>
        <w:rPr/>
        <w:t xml:space="preserve">, wo er sich aufhält </w:t>
      </w:r>
      <w:r>
        <w:rPr>
          <w:color w:val="808080"/>
        </w:rPr>
        <w:t>(ist)</w:t>
      </w:r>
      <w:r>
        <w:rPr/>
        <w:t xml:space="preserve">, er </w:t>
      </w:r>
      <w:r>
        <w:rPr>
          <w:b/>
          <w:color w:val="808080"/>
        </w:rPr>
        <w:t>[</w:t>
      </w:r>
      <w:r>
        <w:rPr>
          <w:color w:val="808080"/>
        </w:rPr>
        <w:t>(ihn, es)</w:t>
      </w:r>
      <w:r>
        <w:rPr>
          <w:b/>
          <w:color w:val="808080"/>
        </w:rPr>
        <w:t>]</w:t>
      </w:r>
      <w:r>
        <w:rPr/>
        <w:t xml:space="preserve"> anzeige </w:t>
      </w:r>
      <w:r>
        <w:rPr>
          <w:color w:val="808080"/>
        </w:rPr>
        <w:t>(verrate)</w:t>
      </w:r>
      <w:r>
        <w:rPr/>
        <w:t xml:space="preserve">, damit sie ihn festnehmen </w:t>
      </w:r>
      <w:r>
        <w:rPr>
          <w:color w:val="808080"/>
        </w:rPr>
        <w:t>(ergreifen)</w:t>
      </w:r>
      <w:r>
        <w:rPr/>
        <w:t xml:space="preserve"> </w:t>
      </w:r>
      <w:r>
        <w:rPr>
          <w:b/>
          <w:color w:val="808080"/>
        </w:rPr>
        <w:t>[</w:t>
      </w:r>
      <w:r>
        <w:rPr/>
        <w:t>können</w:t>
      </w:r>
      <w:r>
        <w:rPr>
          <w:b/>
          <w:color w:val="808080"/>
        </w:rPr>
        <w:t>]</w:t>
      </w:r>
      <w:r>
        <w:rPr/>
        <w:t xml:space="preserve">.{{field-off:bible}} </w:t>
      </w:r>
    </w:p>
    <w:p>
      <w:pPr>
        <w:pStyle w:val="Berschrift3"/>
        <w:rPr/>
      </w:pPr>
      <w:r>
        <w:rPr/>
        <w:t>[[@BibleTOBIBLE:Jn 12]]Kapitel 12</w:t>
      </w:r>
    </w:p>
    <w:p>
      <w:pPr>
        <w:pStyle w:val="Textkrper"/>
        <w:rPr/>
      </w:pPr>
      <w:r>
        <w:rPr/>
        <w:br/>
        <w:t>[[@BibleTOBIBLE:Jn 12:1]]</w:t>
      </w:r>
      <w:r>
        <w:rPr>
          <w:b/>
        </w:rPr>
        <w:t>1</w:t>
      </w:r>
      <w:r>
        <w:rPr/>
        <w:t xml:space="preserve"> {{field-on:bible}} </w:t>
      </w:r>
      <w:r>
        <w:rPr>
          <w:rStyle w:val="Funotenanker"/>
        </w:rPr>
        <w:footnoteReference w:customMarkFollows="1" w:id="5068"/>
        <w:t>Status</w:t>
      </w:r>
      <w:r>
        <w:rPr/>
        <w:t xml:space="preserve"> </w:t>
      </w:r>
      <w:r>
        <w:rPr>
          <w:strike/>
          <w:color w:val="808080"/>
        </w:rPr>
        <w:t>{Der}</w:t>
      </w:r>
      <w:r>
        <w:rPr/>
        <w:t xml:space="preserve"> Jesus also kam sechs Tage vor dem Paschafest </w:t>
      </w:r>
      <w:r>
        <w:rPr>
          <w:color w:val="808080"/>
        </w:rPr>
        <w:t>(Pascha)</w:t>
      </w:r>
      <w:r>
        <w:rPr/>
        <w:t xml:space="preserve"> nach Betanien, wo sich Lazarus aufhielt </w:t>
      </w:r>
      <w:r>
        <w:rPr>
          <w:color w:val="808080"/>
        </w:rPr>
        <w:t>(war, weilte)</w:t>
      </w:r>
      <w:r>
        <w:rPr/>
        <w:t xml:space="preserve">, den Jesus von </w:t>
      </w:r>
      <w:r>
        <w:rPr>
          <w:color w:val="808080"/>
        </w:rPr>
        <w:t>(aus)</w:t>
      </w:r>
      <w:r>
        <w:rPr/>
        <w:t xml:space="preserve"> den Toten erweckt hatte.{{field-off:bible}} </w:t>
        <w:br/>
        <w:t>[[@BibleTOBIBLE:Jn 12:2]]</w:t>
      </w:r>
      <w:r>
        <w:rPr>
          <w:b/>
        </w:rPr>
        <w:t>2</w:t>
      </w:r>
      <w:r>
        <w:rPr/>
        <w:t xml:space="preserve"> {{field-on:bible}}Sie veranstalteten </w:t>
      </w:r>
      <w:r>
        <w:rPr>
          <w:color w:val="808080"/>
        </w:rPr>
        <w:t>(bereiteten, machten)</w:t>
      </w:r>
      <w:r>
        <w:rPr/>
        <w:t xml:space="preserve"> also dort für ihn </w:t>
      </w:r>
      <w:r>
        <w:rPr>
          <w:color w:val="808080"/>
        </w:rPr>
        <w:t>(ihm)</w:t>
      </w:r>
      <w:r>
        <w:rPr/>
        <w:t xml:space="preserve"> ein Mahl </w:t>
      </w:r>
      <w:r>
        <w:rPr>
          <w:color w:val="808080"/>
        </w:rPr>
        <w:t>(Abendmahl)</w:t>
      </w:r>
      <w:r>
        <w:rPr/>
        <w:t xml:space="preserve">, und </w:t>
      </w:r>
      <w:r>
        <w:rPr>
          <w:strike/>
          <w:color w:val="808080"/>
        </w:rPr>
        <w:t>{die}</w:t>
      </w:r>
      <w:r>
        <w:rPr/>
        <w:t xml:space="preserve"> Marta diente, Lazarus aber war einer von denen, die mit ihm zu Tisch lagen </w:t>
      </w:r>
      <w:r>
        <w:rPr>
          <w:color w:val="808080"/>
        </w:rPr>
        <w:t>(saßen)</w:t>
      </w:r>
      <w:r>
        <w:rPr/>
        <w:t xml:space="preserve">.{{field-off:bible}} </w:t>
        <w:br/>
        <w:t>[[@BibleTOBIBLE:Jn 12:3]]</w:t>
      </w:r>
      <w:r>
        <w:rPr>
          <w:b/>
        </w:rPr>
        <w:t>3</w:t>
      </w:r>
      <w:r>
        <w:rPr/>
        <w:t xml:space="preserve"> {{field-on:bible}} </w:t>
      </w:r>
      <w:r>
        <w:rPr>
          <w:strike/>
          <w:color w:val="808080"/>
        </w:rPr>
        <w:t>{Die}</w:t>
      </w:r>
      <w:r>
        <w:rPr/>
        <w:t xml:space="preserve"> Maria also nahm ein Pfund Salböl – echtes </w:t>
      </w:r>
      <w:r>
        <w:rPr>
          <w:color w:val="808080"/>
        </w:rPr>
        <w:t>(reines)</w:t>
      </w:r>
      <w:r>
        <w:rPr/>
        <w:t xml:space="preserve"> </w:t>
      </w:r>
      <w:r>
        <w:rPr>
          <w:rStyle w:val="Funotenanker"/>
        </w:rPr>
        <w:footnoteReference w:customMarkFollows="1" w:id="5069"/>
        <w:t>a</w:t>
      </w:r>
      <w:r>
        <w:rPr/>
        <w:t xml:space="preserve">, kostbares Nardenöl – und salbte </w:t>
      </w:r>
      <w:r>
        <w:rPr>
          <w:b/>
          <w:color w:val="808080"/>
        </w:rPr>
        <w:t>[</w:t>
      </w:r>
      <w:r>
        <w:rPr/>
        <w:t>damit</w:t>
      </w:r>
      <w:r>
        <w:rPr>
          <w:b/>
          <w:color w:val="808080"/>
        </w:rPr>
        <w:t>]</w:t>
      </w:r>
      <w:r>
        <w:rPr/>
        <w:t xml:space="preserve"> die Füße Jesu </w:t>
      </w:r>
      <w:r>
        <w:rPr>
          <w:strike/>
          <w:color w:val="808080"/>
        </w:rPr>
        <w:t>{des Jesus}</w:t>
      </w:r>
      <w:r>
        <w:rPr/>
        <w:t xml:space="preserve"> und trocknete mit ihren Haaren seine Füße. Das Haus aber wurde von </w:t>
      </w:r>
      <w:r>
        <w:rPr>
          <w:color w:val="808080"/>
        </w:rPr>
        <w:t>(aus)</w:t>
      </w:r>
      <w:r>
        <w:rPr/>
        <w:t xml:space="preserve"> dem Duft </w:t>
      </w:r>
      <w:r>
        <w:rPr>
          <w:color w:val="808080"/>
        </w:rPr>
        <w:t>(Geruch)</w:t>
      </w:r>
      <w:r>
        <w:rPr/>
        <w:t xml:space="preserve"> des Salböls erfüllt.{{field-off:bible}} </w:t>
        <w:br/>
        <w:t>[[@BibleTOBIBLE:Jn 12:4]]</w:t>
      </w:r>
      <w:r>
        <w:rPr>
          <w:b/>
        </w:rPr>
        <w:t>4</w:t>
      </w:r>
      <w:r>
        <w:rPr/>
        <w:t xml:space="preserve"> {{field-on:bible}}Judas </w:t>
      </w:r>
      <w:r>
        <w:rPr>
          <w:strike/>
          <w:color w:val="808080"/>
        </w:rPr>
        <w:t>{der}</w:t>
      </w:r>
      <w:r>
        <w:rPr/>
        <w:t xml:space="preserve"> Iskariot, einer seiner Apostel, </w:t>
      </w:r>
      <w:r>
        <w:rPr>
          <w:color w:val="808080"/>
        </w:rPr>
        <w:t>(der,)</w:t>
      </w:r>
      <w:r>
        <w:rPr/>
        <w:t xml:space="preserve"> der im Begriff war, ihn auszuliefern </w:t>
      </w:r>
      <w:r>
        <w:rPr>
          <w:color w:val="808080"/>
        </w:rPr>
        <w:t>(der ihn ausliefern sollte, wollte)</w:t>
      </w:r>
      <w:r>
        <w:rPr/>
        <w:t xml:space="preserve">, sagt aber:{{field-off:bible}} </w:t>
        <w:br/>
        <w:t>[[@BibleTOBIBLE:Jn 12:5]]</w:t>
      </w:r>
      <w:r>
        <w:rPr>
          <w:b/>
        </w:rPr>
        <w:t>5</w:t>
      </w:r>
      <w:r>
        <w:rPr/>
        <w:t xml:space="preserve"> {{field-on:bible}}Weshalb wurde dieses Salböl nicht für 300 Denare verkauft und den Armen gegeben?{{field-off:bible}} </w:t>
        <w:br/>
        <w:t>[[@BibleTOBIBLE:Jn 12:6]]</w:t>
      </w:r>
      <w:r>
        <w:rPr>
          <w:b/>
        </w:rPr>
        <w:t>6</w:t>
      </w:r>
      <w:r>
        <w:rPr/>
        <w:t xml:space="preserve"> {{field-on:bible}}Er sagte das aber nicht, weil es ihm um die Armen ging, sondern weil er ein Dieb war und – da er den Geldbeutel </w:t>
      </w:r>
      <w:r>
        <w:rPr>
          <w:color w:val="808080"/>
        </w:rPr>
        <w:t>(die Kasse)</w:t>
      </w:r>
      <w:r>
        <w:rPr/>
        <w:t xml:space="preserve"> hatte </w:t>
      </w:r>
      <w:r>
        <w:rPr>
          <w:color w:val="808080"/>
        </w:rPr>
        <w:t>(verwaltete; als Kassenwart)</w:t>
      </w:r>
      <w:r>
        <w:rPr/>
        <w:t xml:space="preserve"> – das, was </w:t>
      </w:r>
      <w:r>
        <w:rPr>
          <w:b/>
          <w:color w:val="808080"/>
        </w:rPr>
        <w:t>[</w:t>
      </w:r>
      <w:r>
        <w:rPr/>
        <w:t xml:space="preserve">in ihn </w:t>
      </w:r>
      <w:r>
        <w:rPr>
          <w:color w:val="808080"/>
        </w:rPr>
        <w:t>(sie)</w:t>
      </w:r>
      <w:r>
        <w:rPr>
          <w:b/>
          <w:color w:val="808080"/>
        </w:rPr>
        <w:t>]</w:t>
      </w:r>
      <w:r>
        <w:rPr/>
        <w:t xml:space="preserve"> gelegt </w:t>
      </w:r>
      <w:r>
        <w:rPr>
          <w:color w:val="808080"/>
        </w:rPr>
        <w:t>(geworfen)</w:t>
      </w:r>
      <w:r>
        <w:rPr/>
        <w:t xml:space="preserve"> wurde, wegtrug </w:t>
      </w:r>
      <w:r>
        <w:rPr>
          <w:color w:val="808080"/>
        </w:rPr>
        <w:t>(wegnahm, stahl)</w:t>
      </w:r>
      <w:r>
        <w:rPr/>
        <w:t xml:space="preserve">.{{field-off:bible}} </w:t>
        <w:br/>
        <w:t>[[@BibleTOBIBLE:Jn 12:7]]</w:t>
      </w:r>
      <w:r>
        <w:rPr>
          <w:b/>
        </w:rPr>
        <w:t>7</w:t>
      </w:r>
      <w:r>
        <w:rPr/>
        <w:t xml:space="preserve"> {{field-on:bible}} </w:t>
      </w:r>
      <w:r>
        <w:rPr>
          <w:strike/>
          <w:color w:val="808080"/>
        </w:rPr>
        <w:t>{Der}</w:t>
      </w:r>
      <w:r>
        <w:rPr/>
        <w:t xml:space="preserve"> Jesus sagte also: Lass sie, damit sie es für </w:t>
      </w:r>
      <w:r>
        <w:rPr>
          <w:color w:val="808080"/>
        </w:rPr>
        <w:t>(in den)</w:t>
      </w:r>
      <w:r>
        <w:rPr/>
        <w:t xml:space="preserve"> Tag meiner Beerdigung bewahre.{{field-off:bible}} </w:t>
        <w:br/>
        <w:t>[[@BibleTOBIBLE:Jn 12:8]]</w:t>
      </w:r>
      <w:r>
        <w:rPr>
          <w:b/>
        </w:rPr>
        <w:t>8</w:t>
      </w:r>
      <w:r>
        <w:rPr/>
        <w:t xml:space="preserve"> {{field-on:bible}}Die Armen nämlich habt Ihr immer bei </w:t>
      </w:r>
      <w:r>
        <w:rPr>
          <w:color w:val="808080"/>
        </w:rPr>
        <w:t>(mit)</w:t>
      </w:r>
      <w:r>
        <w:rPr/>
        <w:t xml:space="preserve"> Euch, mich aber habt Ihr nicht immer.{{field-off:bible}} </w:t>
        <w:br/>
        <w:t>[[@BibleTOBIBLE:Jn 12:9]]</w:t>
      </w:r>
      <w:r>
        <w:rPr>
          <w:b/>
        </w:rPr>
        <w:t>9</w:t>
      </w:r>
      <w:r>
        <w:rPr/>
        <w:t xml:space="preserve"> {{field-on:bible}}Es erfuhr </w:t>
      </w:r>
      <w:r>
        <w:rPr>
          <w:color w:val="808080"/>
        </w:rPr>
        <w:t>(erkannte)</w:t>
      </w:r>
      <w:r>
        <w:rPr/>
        <w:t xml:space="preserve"> also die</w:t>
      </w:r>
      <w:r>
        <w:rPr>
          <w:rStyle w:val="Funotenanker"/>
        </w:rPr>
        <w:footnoteReference w:customMarkFollows="1" w:id="5070"/>
        <w:t>b</w:t>
      </w:r>
      <w:r>
        <w:rPr/>
        <w:t xml:space="preserve"> große </w:t>
      </w:r>
      <w:r>
        <w:rPr>
          <w:color w:val="808080"/>
        </w:rPr>
        <w:t>(viele)</w:t>
      </w:r>
      <w:r>
        <w:rPr/>
        <w:t xml:space="preserve"> Menge der </w:t>
      </w:r>
      <w:r>
        <w:rPr>
          <w:color w:val="808080"/>
        </w:rPr>
        <w:t>(von, aus den)</w:t>
      </w:r>
      <w:r>
        <w:rPr/>
        <w:t xml:space="preserve"> Juden, daß er dort ist und sie kamen, nicht allein wegen Jesus, sondern um auch </w:t>
      </w:r>
      <w:r>
        <w:rPr>
          <w:strike/>
          <w:color w:val="808080"/>
        </w:rPr>
        <w:t>{den}</w:t>
      </w:r>
      <w:r>
        <w:rPr/>
        <w:t xml:space="preserve"> Lazarus zu sehen, den er von </w:t>
      </w:r>
      <w:r>
        <w:rPr>
          <w:color w:val="808080"/>
        </w:rPr>
        <w:t>(aus)</w:t>
      </w:r>
      <w:r>
        <w:rPr/>
        <w:t xml:space="preserve"> den Toten erweckt hatte.{{field-off:bible}} </w:t>
        <w:br/>
        <w:t>[[@BibleTOBIBLE:Jn 12:10]]</w:t>
      </w:r>
      <w:r>
        <w:rPr>
          <w:b/>
        </w:rPr>
        <w:t>10</w:t>
      </w:r>
      <w:r>
        <w:rPr/>
        <w:t xml:space="preserve"> {{field-on:bible}}Die Hohenpriester beschlossen </w:t>
      </w:r>
      <w:r>
        <w:rPr>
          <w:color w:val="808080"/>
        </w:rPr>
        <w:t>(beratschlagten)</w:t>
      </w:r>
      <w:r>
        <w:rPr/>
        <w:t xml:space="preserve"> aber, auch </w:t>
      </w:r>
      <w:r>
        <w:rPr>
          <w:strike/>
          <w:color w:val="808080"/>
        </w:rPr>
        <w:t>{den}</w:t>
      </w:r>
      <w:r>
        <w:rPr/>
        <w:t xml:space="preserve"> Lazarus zu töten,{{field-off:bible}} </w:t>
        <w:br/>
        <w:t>[[@BibleTOBIBLE:Jn 12:11]]</w:t>
      </w:r>
      <w:r>
        <w:rPr>
          <w:b/>
        </w:rPr>
        <w:t>11</w:t>
      </w:r>
      <w:r>
        <w:rPr/>
        <w:t xml:space="preserve"> {{field-on:bible}}weil viele der Juden seinetwegen weggingen </w:t>
      </w:r>
      <w:r>
        <w:rPr>
          <w:color w:val="808080"/>
        </w:rPr>
        <w:t>(hingingen, gingen)</w:t>
      </w:r>
      <w:r>
        <w:rPr/>
        <w:t xml:space="preserve"> und zum Glauben an Jesus kamen </w:t>
      </w:r>
      <w:r>
        <w:rPr>
          <w:color w:val="808080"/>
        </w:rPr>
        <w:t>(an Jesus glaubten)</w:t>
      </w:r>
      <w:r>
        <w:rPr/>
        <w:t xml:space="preserve">.{{field-off:bible}} </w:t>
        <w:br/>
        <w:t>[[@BibleTOBIBLE:Jn 12:12]]</w:t>
      </w:r>
      <w:r>
        <w:rPr>
          <w:b/>
        </w:rPr>
        <w:t>12</w:t>
      </w:r>
      <w:r>
        <w:rPr/>
        <w:t xml:space="preserve"> {{field-on:bible}}Am nächsten Tag, als die große </w:t>
      </w:r>
      <w:r>
        <w:rPr>
          <w:color w:val="808080"/>
        </w:rPr>
        <w:t>(viele)</w:t>
      </w:r>
      <w:r>
        <w:rPr/>
        <w:t xml:space="preserve"> Menge, die zu dem Fest gekommen war, hörte </w:t>
      </w:r>
      <w:r>
        <w:rPr>
          <w:color w:val="808080"/>
        </w:rPr>
        <w:t>(hörten)</w:t>
      </w:r>
      <w:r>
        <w:rPr/>
        <w:t xml:space="preserve">, daß </w:t>
      </w:r>
      <w:r>
        <w:rPr>
          <w:strike/>
          <w:color w:val="808080"/>
        </w:rPr>
        <w:t>{der}</w:t>
      </w:r>
      <w:r>
        <w:rPr/>
        <w:t xml:space="preserve"> Jesus nach Jerusalem kommt,{{field-off:bible}} </w:t>
        <w:br/>
        <w:t>[[@BibleTOBIBLE:Jn 12:13]]</w:t>
      </w:r>
      <w:r>
        <w:rPr>
          <w:b/>
        </w:rPr>
        <w:t>13</w:t>
      </w:r>
      <w:r>
        <w:rPr/>
        <w:t xml:space="preserve"> {{field-on:bible}}nahmen sie die Zweige der Dattelpalme </w:t>
      </w:r>
      <w:r>
        <w:rPr>
          <w:color w:val="808080"/>
        </w:rPr>
        <w:t>(Palmzweige)</w:t>
      </w:r>
      <w:r>
        <w:rPr/>
        <w:t xml:space="preserve"> und gingen heraus ihm entgegen und schrien </w:t>
      </w:r>
      <w:r>
        <w:rPr>
          <w:color w:val="808080"/>
        </w:rPr>
        <w:t>(riefen)</w:t>
      </w:r>
      <w:r>
        <w:rPr/>
        <w:t xml:space="preserve">: Hosanna! Gelobt </w:t>
      </w:r>
      <w:r>
        <w:rPr>
          <w:color w:val="808080"/>
        </w:rPr>
        <w:t>(Gesegnet)</w:t>
      </w:r>
      <w:r>
        <w:rPr/>
        <w:t xml:space="preserve"> </w:t>
      </w:r>
      <w:r>
        <w:rPr>
          <w:b/>
          <w:color w:val="808080"/>
        </w:rPr>
        <w:t>[</w:t>
      </w:r>
      <w:r>
        <w:rPr/>
        <w:t>sei</w:t>
      </w:r>
      <w:r>
        <w:rPr>
          <w:b/>
          <w:color w:val="808080"/>
        </w:rPr>
        <w:t>]</w:t>
      </w:r>
      <w:r>
        <w:rPr/>
        <w:t xml:space="preserve"> der, der im Namen </w:t>
      </w:r>
      <w:r>
        <w:rPr>
          <w:b/>
          <w:color w:val="808080"/>
        </w:rPr>
        <w:t>[</w:t>
      </w:r>
      <w:r>
        <w:rPr/>
        <w:t>des</w:t>
      </w:r>
      <w:r>
        <w:rPr>
          <w:b/>
          <w:color w:val="808080"/>
        </w:rPr>
        <w:t>]</w:t>
      </w:r>
      <w:r>
        <w:rPr/>
        <w:t xml:space="preserve"> Herrn kommt, der König Israels.{{field-off:bible}} </w:t>
        <w:br/>
        <w:t>[[@BibleTOBIBLE:Jn 12:14]]</w:t>
      </w:r>
      <w:r>
        <w:rPr>
          <w:b/>
        </w:rPr>
        <w:t>14</w:t>
      </w:r>
      <w:r>
        <w:rPr/>
        <w:t xml:space="preserve"> {{field-on:bible}} </w:t>
      </w:r>
      <w:r>
        <w:rPr>
          <w:strike/>
          <w:color w:val="808080"/>
        </w:rPr>
        <w:t>{Der}</w:t>
      </w:r>
      <w:r>
        <w:rPr/>
        <w:t xml:space="preserve"> Jesus aber fand einen Jungesel und setzte sich auf ihn, wie geschrieben steht </w:t>
      </w:r>
      <w:r>
        <w:rPr>
          <w:color w:val="808080"/>
        </w:rPr>
        <w:t>(ist)</w:t>
      </w:r>
      <w:r>
        <w:rPr/>
        <w:t xml:space="preserve">:{{field-off:bible}} </w:t>
        <w:br/>
        <w:t>[[@BibleTOBIBLE:Jn 12:15]]</w:t>
      </w:r>
      <w:r>
        <w:rPr>
          <w:b/>
        </w:rPr>
        <w:t>15</w:t>
      </w:r>
      <w:r>
        <w:rPr/>
        <w:t xml:space="preserve"> {{field-on:bible}}Fürchte Dich nicht, Tochter Zion. Sieh, Dein König kommt, sitzend auf einem Jungen </w:t>
      </w:r>
      <w:r>
        <w:rPr>
          <w:color w:val="808080"/>
        </w:rPr>
        <w:t>(Füllen)</w:t>
      </w:r>
      <w:r>
        <w:rPr/>
        <w:t xml:space="preserve"> einer Eselin </w:t>
      </w:r>
      <w:r>
        <w:rPr>
          <w:color w:val="808080"/>
        </w:rPr>
        <w:t>(eines Esels.)</w:t>
      </w:r>
      <w:r>
        <w:rPr/>
        <w:t xml:space="preserve"> </w:t>
      </w:r>
      <w:r>
        <w:rPr>
          <w:rStyle w:val="Funotenanker"/>
        </w:rPr>
        <w:footnoteReference w:customMarkFollows="1" w:id="5071"/>
        <w:t>c</w:t>
      </w:r>
      <w:r>
        <w:rPr/>
        <w:t xml:space="preserve"> {{field-off:bible}} </w:t>
        <w:br/>
        <w:t>[[@BibleTOBIBLE:Jn 12:16]]</w:t>
      </w:r>
      <w:r>
        <w:rPr>
          <w:b/>
        </w:rPr>
        <w:t>16</w:t>
      </w:r>
      <w:r>
        <w:rPr/>
        <w:t xml:space="preserve"> {{field-on:bible}}Dies </w:t>
      </w:r>
      <w:r>
        <w:rPr>
          <w:color w:val="808080"/>
        </w:rPr>
        <w:t>(diese Dinge)</w:t>
      </w:r>
      <w:r>
        <w:rPr/>
        <w:t xml:space="preserve"> erkannten </w:t>
      </w:r>
      <w:r>
        <w:rPr>
          <w:color w:val="808080"/>
        </w:rPr>
        <w:t>(verstanden)</w:t>
      </w:r>
      <w:r>
        <w:rPr/>
        <w:t xml:space="preserve"> seine Jünger zuerst nicht, aber als Jesus verherrlicht worden war, erinnerten sie sich, daß dies </w:t>
      </w:r>
      <w:r>
        <w:rPr>
          <w:color w:val="808080"/>
        </w:rPr>
        <w:t>(diese Dinge)</w:t>
      </w:r>
      <w:r>
        <w:rPr/>
        <w:t xml:space="preserve"> über ihn geschrieben war </w:t>
      </w:r>
      <w:r>
        <w:rPr>
          <w:color w:val="808080"/>
        </w:rPr>
        <w:t>(waren)</w:t>
      </w:r>
      <w:r>
        <w:rPr/>
        <w:t xml:space="preserve"> und sie dies </w:t>
      </w:r>
      <w:r>
        <w:rPr>
          <w:color w:val="808080"/>
        </w:rPr>
        <w:t>(diese Dinge)</w:t>
      </w:r>
      <w:r>
        <w:rPr/>
        <w:t xml:space="preserve"> für ihn </w:t>
      </w:r>
      <w:r>
        <w:rPr>
          <w:color w:val="808080"/>
        </w:rPr>
        <w:t>(ihm)</w:t>
      </w:r>
      <w:r>
        <w:rPr/>
        <w:t xml:space="preserve"> getan hatten.{{field-off:bible}} </w:t>
        <w:br/>
        <w:t>[[@BibleTOBIBLE:Jn 12:17]]</w:t>
      </w:r>
      <w:r>
        <w:rPr>
          <w:b/>
        </w:rPr>
        <w:t>17</w:t>
      </w:r>
      <w:r>
        <w:rPr/>
        <w:t xml:space="preserve"> {{field-on:bible}}Es bezeugte </w:t>
      </w:r>
      <w:r>
        <w:rPr>
          <w:color w:val="808080"/>
        </w:rPr>
        <w:t>(verkündete, bekannte, pries)</w:t>
      </w:r>
      <w:r>
        <w:rPr/>
        <w:t xml:space="preserve"> also die Menge, die mit ihm gewesen war, als er den Lazarus aus dem Grab rief und ihn von den Toten auferweckte </w:t>
      </w:r>
      <w:r>
        <w:rPr>
          <w:b/>
          <w:color w:val="808080"/>
        </w:rPr>
        <w:t>[</w:t>
      </w:r>
      <w:r>
        <w:rPr/>
        <w:t>, was er getan hatte</w:t>
      </w:r>
      <w:r>
        <w:rPr>
          <w:b/>
          <w:color w:val="808080"/>
        </w:rPr>
        <w:t>]</w:t>
      </w:r>
      <w:r>
        <w:rPr/>
        <w:t xml:space="preserve"> </w:t>
      </w:r>
      <w:r>
        <w:rPr>
          <w:rStyle w:val="Funotenanker"/>
        </w:rPr>
        <w:footnoteReference w:customMarkFollows="1" w:id="5072"/>
        <w:t>d</w:t>
      </w:r>
      <w:r>
        <w:rPr/>
        <w:t xml:space="preserve">.{{field-off:bible}} </w:t>
        <w:br/>
        <w:t>[[@BibleTOBIBLE:Jn 12:18]]</w:t>
      </w:r>
      <w:r>
        <w:rPr>
          <w:b/>
        </w:rPr>
        <w:t>18</w:t>
      </w:r>
      <w:r>
        <w:rPr/>
        <w:t xml:space="preserve"> {{field-on:bible}}Deshalb ging ihm auch die Menge entgegen, weil sie hörten, daß er dieses Zeichen getan hatte.{{field-off:bible}} </w:t>
        <w:br/>
        <w:t>[[@BibleTOBIBLE:Jn 12:19]]</w:t>
      </w:r>
      <w:r>
        <w:rPr>
          <w:b/>
        </w:rPr>
        <w:t>19</w:t>
      </w:r>
      <w:r>
        <w:rPr/>
        <w:t xml:space="preserve"> {{field-on:bible}}Die Pharisäer also sprachen zueinander: Ihr seht, daß Ihr nichts nützt </w:t>
      </w:r>
      <w:r>
        <w:rPr>
          <w:color w:val="808080"/>
        </w:rPr>
        <w:t>(zustande bringt)</w:t>
      </w:r>
      <w:r>
        <w:rPr/>
        <w:t xml:space="preserve">. Sieh, die Welt geht hinter </w:t>
      </w:r>
      <w:r>
        <w:rPr>
          <w:color w:val="808080"/>
        </w:rPr>
        <w:t>(folgt)</w:t>
      </w:r>
      <w:r>
        <w:rPr/>
        <w:t xml:space="preserve"> ihm her </w:t>
      </w:r>
      <w:r>
        <w:rPr>
          <w:color w:val="808080"/>
        </w:rPr>
        <w:t>(hin, weg)</w:t>
      </w:r>
      <w:r>
        <w:rPr/>
        <w:t xml:space="preserve">.{{field-off:bible}} </w:t>
        <w:br/>
        <w:t>[[@BibleTOBIBLE:Jn 12:20]]</w:t>
      </w:r>
      <w:r>
        <w:rPr>
          <w:b/>
        </w:rPr>
        <w:t>20</w:t>
      </w:r>
      <w:r>
        <w:rPr/>
        <w:t xml:space="preserve"> {{field-on:bible}} </w:t>
      </w:r>
      <w:r>
        <w:rPr>
          <w:b/>
          <w:color w:val="808080"/>
        </w:rPr>
        <w:t>[</w:t>
      </w:r>
      <w:r>
        <w:rPr/>
        <w:t>Es</w:t>
      </w:r>
      <w:r>
        <w:rPr>
          <w:b/>
          <w:color w:val="808080"/>
        </w:rPr>
        <w:t>]</w:t>
      </w:r>
      <w:r>
        <w:rPr/>
        <w:t xml:space="preserve"> waren aber einige Griechen unter </w:t>
      </w:r>
      <w:r>
        <w:rPr>
          <w:color w:val="808080"/>
        </w:rPr>
        <w:t>(aus)</w:t>
      </w:r>
      <w:r>
        <w:rPr/>
        <w:t xml:space="preserve"> denen, die hinaufgegangen waren, um am Fest </w:t>
      </w:r>
      <w:r>
        <w:rPr>
          <w:color w:val="808080"/>
        </w:rPr>
        <w:t>(während des Festes)</w:t>
      </w:r>
      <w:r>
        <w:rPr/>
        <w:t xml:space="preserve"> anzubeten.{{field-off:bible}} </w:t>
        <w:br/>
        <w:t>[[@BibleTOBIBLE:Jn 12:21]]</w:t>
      </w:r>
      <w:r>
        <w:rPr>
          <w:b/>
        </w:rPr>
        <w:t>21</w:t>
      </w:r>
      <w:r>
        <w:rPr/>
        <w:t xml:space="preserve"> {{field-on:bible}}Diese also kamen zu Philippus,den von Betsaida in </w:t>
      </w:r>
      <w:r>
        <w:rPr>
          <w:color w:val="808080"/>
        </w:rPr>
        <w:t>(des, von)</w:t>
      </w:r>
      <w:r>
        <w:rPr/>
        <w:t xml:space="preserve"> Galiläa </w:t>
      </w:r>
      <w:r>
        <w:rPr>
          <w:color w:val="808080"/>
        </w:rPr>
        <w:t>(aus dem galiläischen Betsaida)</w:t>
      </w:r>
      <w:r>
        <w:rPr/>
        <w:t xml:space="preserve">, und fragten ihn, indem sie sagten: Herr, wir wollen </w:t>
      </w:r>
      <w:r>
        <w:rPr>
          <w:strike/>
          <w:color w:val="808080"/>
        </w:rPr>
        <w:t>{den}</w:t>
      </w:r>
      <w:r>
        <w:rPr/>
        <w:t xml:space="preserve"> Jesus sehen.{{field-off:bible}} </w:t>
        <w:br/>
        <w:t>[[@BibleTOBIBLE:Jn 12:22]]</w:t>
      </w:r>
      <w:r>
        <w:rPr>
          <w:b/>
        </w:rPr>
        <w:t>22</w:t>
      </w:r>
      <w:r>
        <w:rPr/>
        <w:t xml:space="preserve"> {{field-on:bible}} </w:t>
      </w:r>
      <w:r>
        <w:rPr>
          <w:strike/>
          <w:color w:val="808080"/>
        </w:rPr>
        <w:t>{Der}</w:t>
      </w:r>
      <w:r>
        <w:rPr/>
        <w:t xml:space="preserve"> Philippus geht </w:t>
      </w:r>
      <w:r>
        <w:rPr>
          <w:color w:val="808080"/>
        </w:rPr>
        <w:t>(kommt)</w:t>
      </w:r>
      <w:r>
        <w:rPr/>
        <w:t xml:space="preserve"> und sagt </w:t>
      </w:r>
      <w:r>
        <w:rPr>
          <w:b/>
          <w:color w:val="808080"/>
        </w:rPr>
        <w:t>[</w:t>
      </w:r>
      <w:r>
        <w:rPr/>
        <w:t>es</w:t>
      </w:r>
      <w:r>
        <w:rPr>
          <w:b/>
          <w:color w:val="808080"/>
        </w:rPr>
        <w:t>]</w:t>
      </w:r>
      <w:r>
        <w:rPr/>
        <w:t xml:space="preserve"> </w:t>
      </w:r>
      <w:r>
        <w:rPr>
          <w:strike/>
          <w:color w:val="808080"/>
        </w:rPr>
        <w:t>{dem}</w:t>
      </w:r>
      <w:r>
        <w:rPr/>
        <w:t xml:space="preserve"> Andreas. Andreas geht </w:t>
      </w:r>
      <w:r>
        <w:rPr>
          <w:color w:val="808080"/>
        </w:rPr>
        <w:t>(kommt)</w:t>
      </w:r>
      <w:r>
        <w:rPr/>
        <w:t xml:space="preserve"> und </w:t>
      </w:r>
      <w:r>
        <w:rPr>
          <w:b/>
          <w:color w:val="808080"/>
        </w:rPr>
        <w:t>[</w:t>
      </w:r>
      <w:r>
        <w:rPr/>
        <w:t>auch</w:t>
      </w:r>
      <w:r>
        <w:rPr>
          <w:b/>
          <w:color w:val="808080"/>
        </w:rPr>
        <w:t>]</w:t>
      </w:r>
      <w:r>
        <w:rPr/>
        <w:t xml:space="preserve"> Philippus und sie sagen </w:t>
      </w:r>
      <w:r>
        <w:rPr>
          <w:b/>
          <w:color w:val="808080"/>
        </w:rPr>
        <w:t>[</w:t>
      </w:r>
      <w:r>
        <w:rPr/>
        <w:t>es</w:t>
      </w:r>
      <w:r>
        <w:rPr>
          <w:b/>
          <w:color w:val="808080"/>
        </w:rPr>
        <w:t>]</w:t>
      </w:r>
      <w:r>
        <w:rPr/>
        <w:t xml:space="preserve"> </w:t>
      </w:r>
      <w:r>
        <w:rPr>
          <w:strike/>
          <w:color w:val="808080"/>
        </w:rPr>
        <w:t>{dem}</w:t>
      </w:r>
      <w:r>
        <w:rPr/>
        <w:t xml:space="preserve"> Jesus.{{field-off:bible}} </w:t>
        <w:br/>
        <w:t>[[@BibleTOBIBLE:Jn 12:23]]</w:t>
      </w:r>
      <w:r>
        <w:rPr>
          <w:b/>
        </w:rPr>
        <w:t>23</w:t>
      </w:r>
      <w:r>
        <w:rPr/>
        <w:t xml:space="preserve"> {{field-on:bible}} </w:t>
      </w:r>
      <w:r>
        <w:rPr>
          <w:strike/>
          <w:color w:val="808080"/>
        </w:rPr>
        <w:t>{Der}</w:t>
      </w:r>
      <w:r>
        <w:rPr/>
        <w:t xml:space="preserve"> Jesus aber antwortet ihnen, indem er sagt: Die Stunde ist gekommen, dass der Menschesohn </w:t>
      </w:r>
      <w:r>
        <w:rPr>
          <w:color w:val="808080"/>
        </w:rPr>
        <w:t>(der Sohn des Menschen)</w:t>
      </w:r>
      <w:r>
        <w:rPr/>
        <w:t xml:space="preserve"> verherrlicht wird.{{field-off:bible}} </w:t>
        <w:br/>
        <w:t>[[@BibleTOBIBLE:Jn 12:24]]</w:t>
      </w:r>
      <w:r>
        <w:rPr>
          <w:b/>
        </w:rPr>
        <w:t>24</w:t>
      </w:r>
      <w:r>
        <w:rPr/>
        <w:t xml:space="preserve"> {{field-on:bible}}Amen, Amen </w:t>
      </w:r>
      <w:r>
        <w:rPr>
          <w:color w:val="808080"/>
        </w:rPr>
        <w:t>(Wahrlich, wahrlich)</w:t>
      </w:r>
      <w:r>
        <w:rPr/>
        <w:t xml:space="preserve">, ich sage Euch, wenn das Korn </w:t>
      </w:r>
      <w:r>
        <w:rPr>
          <w:color w:val="808080"/>
        </w:rPr>
        <w:t>(Samenkorn)</w:t>
      </w:r>
      <w:r>
        <w:rPr/>
        <w:t xml:space="preserve"> des Weizens nicht in die Erde fällt und stirbt, bleibt es allein. Wenn es aber stirbt, bringt </w:t>
      </w:r>
      <w:r>
        <w:rPr>
          <w:color w:val="808080"/>
        </w:rPr>
        <w:t>(trägt)</w:t>
      </w:r>
      <w:r>
        <w:rPr/>
        <w:t xml:space="preserve"> es viel Frucht.{{field-off:bible}} </w:t>
        <w:br/>
        <w:t>[[@BibleTOBIBLE:Jn 12:25]]</w:t>
      </w:r>
      <w:r>
        <w:rPr>
          <w:b/>
        </w:rPr>
        <w:t>25</w:t>
      </w:r>
      <w:r>
        <w:rPr/>
        <w:t xml:space="preserve"> {{field-on:bible}}Wer sein Leben </w:t>
      </w:r>
      <w:r>
        <w:rPr>
          <w:color w:val="808080"/>
        </w:rPr>
        <w:t>(seine Seele)</w:t>
      </w:r>
      <w:r>
        <w:rPr/>
        <w:t xml:space="preserve"> liebt, verliert es </w:t>
      </w:r>
      <w:r>
        <w:rPr>
          <w:color w:val="808080"/>
        </w:rPr>
        <w:t>(sie)</w:t>
      </w:r>
      <w:r>
        <w:rPr/>
        <w:t xml:space="preserve">, und wer sein Leben </w:t>
      </w:r>
      <w:r>
        <w:rPr>
          <w:color w:val="808080"/>
        </w:rPr>
        <w:t>(seine Seele)</w:t>
      </w:r>
      <w:r>
        <w:rPr/>
        <w:t xml:space="preserve"> in dieser Welt haßt, wird es </w:t>
      </w:r>
      <w:r>
        <w:rPr>
          <w:color w:val="808080"/>
        </w:rPr>
        <w:t>(sie)</w:t>
      </w:r>
      <w:r>
        <w:rPr/>
        <w:t xml:space="preserve"> in's ewige Leben bewahren.{{field-off:bible}} </w:t>
        <w:br/>
        <w:t>[[@BibleTOBIBLE:Jn 12:26]]</w:t>
      </w:r>
      <w:r>
        <w:rPr>
          <w:b/>
        </w:rPr>
        <w:t>26</w:t>
      </w:r>
      <w:r>
        <w:rPr/>
        <w:t xml:space="preserve"> {{field-on:bible}}Wenn mir jemand </w:t>
      </w:r>
      <w:r>
        <w:rPr>
          <w:color w:val="808080"/>
        </w:rPr>
        <w:t>(einer)</w:t>
      </w:r>
      <w:r>
        <w:rPr/>
        <w:t xml:space="preserve"> dient, folge er mir </w:t>
      </w:r>
      <w:r>
        <w:rPr>
          <w:color w:val="808080"/>
        </w:rPr>
        <w:t>(nach)</w:t>
      </w:r>
      <w:r>
        <w:rPr/>
        <w:t xml:space="preserve">, und wo ich bin, dort wird auch mein Diener sein. Wenn jemand </w:t>
      </w:r>
      <w:r>
        <w:rPr>
          <w:color w:val="808080"/>
        </w:rPr>
        <w:t>(einer)</w:t>
      </w:r>
      <w:r>
        <w:rPr/>
        <w:t xml:space="preserve"> mir dient, wird ihn der Vater ehren.{{field-off:bible}} </w:t>
        <w:br/>
        <w:t>[[@BibleTOBIBLE:Jn 12:27]]</w:t>
      </w:r>
      <w:r>
        <w:rPr>
          <w:b/>
        </w:rPr>
        <w:t>27</w:t>
      </w:r>
      <w:r>
        <w:rPr/>
        <w:t xml:space="preserve"> {{field-on:bible}}Jetzt ist meine Seele erregt </w:t>
      </w:r>
      <w:r>
        <w:rPr>
          <w:color w:val="808080"/>
        </w:rPr>
        <w:t>(verwirrt, erschüttert; worden)</w:t>
      </w:r>
      <w:r>
        <w:rPr/>
        <w:t xml:space="preserve">, und was soll ich sagen? Vater, retter mich aus dieser Stunde! Aber deswegen bin ich in diese Stunde gekommen.{{field-off:bible}} </w:t>
        <w:br/>
        <w:t>[[@BibleTOBIBLE:Jn 12:28]]</w:t>
      </w:r>
      <w:r>
        <w:rPr>
          <w:b/>
        </w:rPr>
        <w:t>28</w:t>
      </w:r>
      <w:r>
        <w:rPr/>
        <w:t xml:space="preserve"> {{field-on:bible}}Vater, verherrliche Deine Namen! Es kam also eine Stimme aus dem Himmel: </w:t>
      </w:r>
      <w:r>
        <w:rPr>
          <w:strike/>
          <w:color w:val="808080"/>
        </w:rPr>
        <w:t>{Und}</w:t>
      </w:r>
      <w:r>
        <w:rPr/>
        <w:t xml:space="preserve"> Ich habe </w:t>
      </w:r>
      <w:r>
        <w:rPr>
          <w:b/>
          <w:color w:val="808080"/>
        </w:rPr>
        <w:t>[</w:t>
      </w:r>
      <w:r>
        <w:rPr/>
        <w:t>ihn</w:t>
      </w:r>
      <w:r>
        <w:rPr>
          <w:b/>
          <w:color w:val="808080"/>
        </w:rPr>
        <w:t>]</w:t>
      </w:r>
      <w:r>
        <w:rPr/>
        <w:t xml:space="preserve"> verherrlicht, und werde </w:t>
      </w:r>
      <w:r>
        <w:rPr>
          <w:b/>
          <w:color w:val="808080"/>
        </w:rPr>
        <w:t>[</w:t>
      </w:r>
      <w:r>
        <w:rPr/>
        <w:t>ihn</w:t>
      </w:r>
      <w:r>
        <w:rPr>
          <w:b/>
          <w:color w:val="808080"/>
        </w:rPr>
        <w:t>]</w:t>
      </w:r>
      <w:r>
        <w:rPr/>
        <w:t xml:space="preserve"> wieder verherrlichen.{{field-off:bible}} </w:t>
        <w:br/>
        <w:t>[[@BibleTOBIBLE:Jn 12:29]]</w:t>
      </w:r>
      <w:r>
        <w:rPr>
          <w:b/>
        </w:rPr>
        <w:t>29</w:t>
      </w:r>
      <w:r>
        <w:rPr/>
        <w:t xml:space="preserve"> {{field-on:bible}}Die Menge also, die dabeistand </w:t>
      </w:r>
      <w:r>
        <w:rPr>
          <w:color w:val="808080"/>
        </w:rPr>
        <w:t>(dastand)</w:t>
      </w:r>
      <w:r>
        <w:rPr/>
        <w:t xml:space="preserve"> und hörte, sagte: Es hat gedonnert </w:t>
      </w:r>
      <w:r>
        <w:rPr>
          <w:color w:val="808080"/>
        </w:rPr>
        <w:t>(Ein Donner ist geschehen)</w:t>
      </w:r>
      <w:r>
        <w:rPr/>
        <w:t xml:space="preserve">. Andere sagten: Ein Engel hat </w:t>
      </w:r>
      <w:r>
        <w:rPr>
          <w:color w:val="808080"/>
        </w:rPr>
        <w:t>(mit, zu)</w:t>
      </w:r>
      <w:r>
        <w:rPr/>
        <w:t xml:space="preserve"> ihm gesprochen </w:t>
      </w:r>
      <w:r>
        <w:rPr>
          <w:color w:val="808080"/>
        </w:rPr>
        <w:t>(geredet)</w:t>
      </w:r>
      <w:r>
        <w:rPr/>
        <w:t xml:space="preserve">.{{field-off:bible}} </w:t>
        <w:br/>
        <w:t>[[@BibleTOBIBLE:Jn 12:30]]</w:t>
      </w:r>
      <w:r>
        <w:rPr>
          <w:b/>
        </w:rPr>
        <w:t>30</w:t>
      </w:r>
      <w:r>
        <w:rPr/>
        <w:t xml:space="preserve"> {{field-on:bible}}Jesus antwortete und sagte: Nicht wegen mir </w:t>
      </w:r>
      <w:r>
        <w:rPr>
          <w:color w:val="808080"/>
        </w:rPr>
        <w:t>(meinetwegen)</w:t>
      </w:r>
      <w:r>
        <w:rPr/>
        <w:t xml:space="preserve"> ist diese Stimme geschehen, sondern wegen Euch </w:t>
      </w:r>
      <w:r>
        <w:rPr>
          <w:color w:val="808080"/>
        </w:rPr>
        <w:t>(Euretwegen)</w:t>
      </w:r>
      <w:r>
        <w:rPr/>
        <w:t xml:space="preserve">.{{field-off:bible}} </w:t>
        <w:br/>
        <w:t>[[@BibleTOBIBLE:Jn 12:31]]</w:t>
      </w:r>
      <w:r>
        <w:rPr>
          <w:b/>
        </w:rPr>
        <w:t>31</w:t>
      </w:r>
      <w:r>
        <w:rPr/>
        <w:t xml:space="preserve"> {{field-on:bible}}Jetzt ist Gericht dieser Welt, jetzt wird der Herrscher dieser Welt hinausgeworfen werden.{{field-off:bible}} </w:t>
        <w:br/>
        <w:t>[[@BibleTOBIBLE:Jn 12:32]]</w:t>
      </w:r>
      <w:r>
        <w:rPr>
          <w:b/>
        </w:rPr>
        <w:t>32</w:t>
      </w:r>
      <w:r>
        <w:rPr/>
        <w:t xml:space="preserve"> {{field-on:bible}}Und ich, wenn ich von </w:t>
      </w:r>
      <w:r>
        <w:rPr>
          <w:color w:val="808080"/>
        </w:rPr>
        <w:t>(aus)</w:t>
      </w:r>
      <w:r>
        <w:rPr/>
        <w:t xml:space="preserve"> der Erde erhöht werde, werde ich alle zu mir </w:t>
      </w:r>
      <w:r>
        <w:rPr>
          <w:color w:val="808080"/>
        </w:rPr>
        <w:t>(an mich)</w:t>
      </w:r>
      <w:r>
        <w:rPr/>
        <w:t xml:space="preserve"> ziehen.{{field-off:bible}} </w:t>
        <w:br/>
        <w:t>[[@BibleTOBIBLE:Jn 12:33]]</w:t>
      </w:r>
      <w:r>
        <w:rPr>
          <w:b/>
        </w:rPr>
        <w:t>33</w:t>
      </w:r>
      <w:r>
        <w:rPr/>
        <w:t xml:space="preserve"> {{field-on:bible}}Dieses aber sagte er, um anzuzeigen </w:t>
      </w:r>
      <w:r>
        <w:rPr>
          <w:color w:val="808080"/>
        </w:rPr>
        <w:t>(indem er anzeigte)</w:t>
      </w:r>
      <w:r>
        <w:rPr/>
        <w:t xml:space="preserve">, welche Art von </w:t>
      </w:r>
      <w:r>
        <w:rPr>
          <w:color w:val="808080"/>
        </w:rPr>
        <w:t>(welchen)</w:t>
      </w:r>
      <w:r>
        <w:rPr/>
        <w:t xml:space="preserve"> Tot er im Begriff war zu sterben </w:t>
      </w:r>
      <w:r>
        <w:rPr>
          <w:color w:val="808080"/>
        </w:rPr>
        <w:t>(sterben sollte.)</w:t>
      </w:r>
      <w:r>
        <w:rPr/>
        <w:t xml:space="preserve"> {{field-off:bible}} </w:t>
        <w:br/>
        <w:t>[[@BibleTOBIBLE:Jn 12:34]]</w:t>
      </w:r>
      <w:r>
        <w:rPr>
          <w:b/>
        </w:rPr>
        <w:t>34</w:t>
      </w:r>
      <w:r>
        <w:rPr/>
        <w:t xml:space="preserve"> {{field-on:bible}}Es antwortete ihm also die Menge: Wir haben aus dem Gesetz gehört, daß der Christus </w:t>
      </w:r>
      <w:r>
        <w:rPr>
          <w:color w:val="808080"/>
        </w:rPr>
        <w:t>(Messias)</w:t>
      </w:r>
      <w:r>
        <w:rPr/>
        <w:t xml:space="preserve"> in </w:t>
      </w:r>
      <w:r>
        <w:rPr>
          <w:strike/>
          <w:color w:val="808080"/>
        </w:rPr>
        <w:t>{die}</w:t>
      </w:r>
      <w:r>
        <w:rPr/>
        <w:t xml:space="preserve"> Ewigkeit bleibt, und wie kannst Du sagen </w:t>
      </w:r>
      <w:r>
        <w:rPr>
          <w:color w:val="808080"/>
        </w:rPr>
        <w:t>(sagst Du)</w:t>
      </w:r>
      <w:r>
        <w:rPr/>
        <w:t xml:space="preserve">, daß es notwendig ist, daß der Menschensohn </w:t>
      </w:r>
      <w:r>
        <w:rPr>
          <w:color w:val="808080"/>
        </w:rPr>
        <w:t>(der Sohn des Menschen)</w:t>
      </w:r>
      <w:r>
        <w:rPr/>
        <w:t xml:space="preserve"> erhöht wird? Wer ist dieser, der Menschensohn </w:t>
      </w:r>
      <w:r>
        <w:rPr>
          <w:color w:val="808080"/>
        </w:rPr>
        <w:t>(der Sohn des Menschen)</w:t>
      </w:r>
      <w:r>
        <w:rPr/>
        <w:t xml:space="preserve">?{{field-off:bible}} </w:t>
        <w:br/>
        <w:t>[[@BibleTOBIBLE:Jn 12:35]]</w:t>
      </w:r>
      <w:r>
        <w:rPr>
          <w:b/>
        </w:rPr>
        <w:t>35</w:t>
      </w:r>
      <w:r>
        <w:rPr/>
        <w:t xml:space="preserve"> {{field-on:bible}}Es sagte also ihnen </w:t>
      </w:r>
      <w:r>
        <w:rPr>
          <w:strike/>
          <w:color w:val="808080"/>
        </w:rPr>
        <w:t>{der}</w:t>
      </w:r>
      <w:r>
        <w:rPr/>
        <w:t xml:space="preserve"> Jesus: Noch eine kleine Zeit ist das Licht bei </w:t>
      </w:r>
      <w:r>
        <w:rPr>
          <w:color w:val="808080"/>
        </w:rPr>
        <w:t>(in)</w:t>
      </w:r>
      <w:r>
        <w:rPr/>
        <w:t xml:space="preserve"> Euch. Geht umher, solange </w:t>
      </w:r>
      <w:r>
        <w:rPr>
          <w:color w:val="808080"/>
        </w:rPr>
        <w:t>(wie)</w:t>
      </w:r>
      <w:r>
        <w:rPr/>
        <w:t xml:space="preserve"> Ihr das Licht habt, damit die Dunkelheit </w:t>
      </w:r>
      <w:r>
        <w:rPr>
          <w:color w:val="808080"/>
        </w:rPr>
        <w:t>(Finsterniss)</w:t>
      </w:r>
      <w:r>
        <w:rPr/>
        <w:t xml:space="preserve"> Euch nicht ergreift </w:t>
      </w:r>
      <w:r>
        <w:rPr>
          <w:color w:val="808080"/>
        </w:rPr>
        <w:t>(in Besitz nimmt)</w:t>
      </w:r>
      <w:r>
        <w:rPr/>
        <w:t xml:space="preserve"> – und der, der in der Dunkelheit </w:t>
      </w:r>
      <w:r>
        <w:rPr>
          <w:color w:val="808080"/>
        </w:rPr>
        <w:t>(Finsterniss)</w:t>
      </w:r>
      <w:r>
        <w:rPr/>
        <w:t xml:space="preserve"> umhergeht, weiß nicht wohin er geht.{{field-off:bible}} </w:t>
        <w:br/>
        <w:t>[[@BibleTOBIBLE:Jn 12:36]]</w:t>
      </w:r>
      <w:r>
        <w:rPr>
          <w:b/>
        </w:rPr>
        <w:t>36</w:t>
      </w:r>
      <w:r>
        <w:rPr/>
        <w:t xml:space="preserve"> {{field-on:bible}}Solange </w:t>
      </w:r>
      <w:r>
        <w:rPr>
          <w:color w:val="808080"/>
        </w:rPr>
        <w:t>(wie)</w:t>
      </w:r>
      <w:r>
        <w:rPr/>
        <w:t xml:space="preserve"> Ihr das Licht habt, glaubt an das Licht, damit Ihr Söhne des Lichts werdet </w:t>
      </w:r>
      <w:r>
        <w:rPr>
          <w:color w:val="808080"/>
        </w:rPr>
        <w:t>(um Kinder von Licht zu sein)</w:t>
      </w:r>
      <w:r>
        <w:rPr/>
        <w:t xml:space="preserve">. Dies </w:t>
      </w:r>
      <w:r>
        <w:rPr>
          <w:color w:val="808080"/>
        </w:rPr>
        <w:t>(Diese Dinge)</w:t>
      </w:r>
      <w:r>
        <w:rPr/>
        <w:t xml:space="preserve"> sagte Jesus, und er ging weg und verbarg sich vor ihnen.{{field-off:bible}} </w:t>
        <w:br/>
        <w:t>[[@BibleTOBIBLE:Jn 12:37]]</w:t>
      </w:r>
      <w:r>
        <w:rPr>
          <w:b/>
        </w:rPr>
        <w:t>37</w:t>
      </w:r>
      <w:r>
        <w:rPr/>
        <w:t xml:space="preserve"> {{field-on:bible}}Obwohl er aber so große </w:t>
      </w:r>
      <w:r>
        <w:rPr>
          <w:color w:val="808080"/>
        </w:rPr>
        <w:t>(viele)</w:t>
      </w:r>
      <w:r>
        <w:rPr/>
        <w:t xml:space="preserve"> Zeichen vor ihnen tat, glaubten sie nicht an ihn,{{field-off:bible}} </w:t>
        <w:br/>
        <w:t>[[@BibleTOBIBLE:Jn 12:38]]</w:t>
      </w:r>
      <w:r>
        <w:rPr>
          <w:b/>
        </w:rPr>
        <w:t>38</w:t>
      </w:r>
      <w:r>
        <w:rPr/>
        <w:t xml:space="preserve"> {{field-on:bible}}damit das Wort des Profeten Jesaja erfüllt werde, das er sagte: Herr, wer glaubte unserer Botschaft? Und der Arm des Herrn, wem wurde er offenbart?</w:t>
      </w:r>
      <w:r>
        <w:rPr>
          <w:rStyle w:val="Funotenanker"/>
        </w:rPr>
        <w:footnoteReference w:customMarkFollows="1" w:id="5073"/>
        <w:t>e</w:t>
      </w:r>
      <w:r>
        <w:rPr/>
        <w:t xml:space="preserve"> {{field-off:bible}} </w:t>
        <w:br/>
        <w:t>[[@BibleTOBIBLE:Jn 12:39]]</w:t>
      </w:r>
      <w:r>
        <w:rPr>
          <w:b/>
        </w:rPr>
        <w:t>39</w:t>
      </w:r>
      <w:r>
        <w:rPr/>
        <w:t xml:space="preserve"> {{field-on:bible}}Deshalb konnten sie nicht glaubten, weil Jesaja wiederum sagte:{{field-off:bible}} </w:t>
        <w:br/>
        <w:t>[[@BibleTOBIBLE:Jn 12:40]]</w:t>
      </w:r>
      <w:r>
        <w:rPr>
          <w:b/>
        </w:rPr>
        <w:t>40</w:t>
      </w:r>
      <w:r>
        <w:rPr/>
        <w:t xml:space="preserve"> {{field-on:bible}}Er machte ihre Augen blind </w:t>
      </w:r>
      <w:r>
        <w:rPr>
          <w:color w:val="808080"/>
        </w:rPr>
        <w:t>(blendete sie)</w:t>
      </w:r>
      <w:r>
        <w:rPr/>
        <w:t xml:space="preserve"> und verhärtete </w:t>
      </w:r>
      <w:r>
        <w:rPr>
          <w:color w:val="808080"/>
        </w:rPr>
        <w:t>(verstockte)</w:t>
      </w:r>
      <w:r>
        <w:rPr/>
        <w:t xml:space="preserve"> ihr Herz, damit sie mit den Augen nicht sehen und mit dem Herzen </w:t>
      </w:r>
      <w:r>
        <w:rPr>
          <w:b/>
          <w:color w:val="808080"/>
        </w:rPr>
        <w:t>[</w:t>
      </w:r>
      <w:r>
        <w:rPr/>
        <w:t>nicht</w:t>
      </w:r>
      <w:r>
        <w:rPr>
          <w:b/>
          <w:color w:val="808080"/>
        </w:rPr>
        <w:t>]</w:t>
      </w:r>
      <w:r>
        <w:rPr/>
        <w:t xml:space="preserve"> verstehen und </w:t>
      </w:r>
      <w:r>
        <w:rPr>
          <w:b/>
          <w:color w:val="808080"/>
        </w:rPr>
        <w:t>[</w:t>
      </w:r>
      <w:r>
        <w:rPr/>
        <w:t>nicht</w:t>
      </w:r>
      <w:r>
        <w:rPr>
          <w:b/>
          <w:color w:val="808080"/>
        </w:rPr>
        <w:t>]</w:t>
      </w:r>
      <w:r>
        <w:rPr/>
        <w:t xml:space="preserve"> umkehren, und ich werde sie heilen </w:t>
      </w:r>
      <w:r>
        <w:rPr>
          <w:color w:val="808080"/>
        </w:rPr>
        <w:t xml:space="preserve">(und ich sie </w:t>
      </w:r>
      <w:r>
        <w:rPr>
          <w:b/>
          <w:color w:val="808080"/>
        </w:rPr>
        <w:t>[</w:t>
      </w:r>
      <w:r>
        <w:rPr>
          <w:color w:val="808080"/>
        </w:rPr>
        <w:t>nicht</w:t>
      </w:r>
      <w:r>
        <w:rPr>
          <w:b/>
          <w:color w:val="808080"/>
        </w:rPr>
        <w:t>]</w:t>
      </w:r>
      <w:r>
        <w:rPr>
          <w:color w:val="808080"/>
        </w:rPr>
        <w:t xml:space="preserve"> heile)</w:t>
      </w:r>
      <w:r>
        <w:rPr/>
        <w:t>.</w:t>
      </w:r>
      <w:r>
        <w:rPr>
          <w:rStyle w:val="Funotenanker"/>
        </w:rPr>
        <w:footnoteReference w:customMarkFollows="1" w:id="5074"/>
        <w:t>f</w:t>
      </w:r>
      <w:r>
        <w:rPr/>
        <w:t xml:space="preserve"> {{field-off:bible}} </w:t>
        <w:br/>
        <w:t>[[@BibleTOBIBLE:Jn 12:41]]</w:t>
      </w:r>
      <w:r>
        <w:rPr>
          <w:b/>
        </w:rPr>
        <w:t>41</w:t>
      </w:r>
      <w:r>
        <w:rPr/>
        <w:t xml:space="preserve"> {{field-on:bible}}Dies </w:t>
      </w:r>
      <w:r>
        <w:rPr>
          <w:color w:val="808080"/>
        </w:rPr>
        <w:t>(diese Dinge)</w:t>
      </w:r>
      <w:r>
        <w:rPr/>
        <w:t xml:space="preserve"> sagte Jesaja, weil er seine Herrlichkeit </w:t>
      </w:r>
      <w:r>
        <w:rPr>
          <w:color w:val="808080"/>
        </w:rPr>
        <w:t>(Ehre)</w:t>
      </w:r>
      <w:r>
        <w:rPr/>
        <w:t xml:space="preserve"> sah, und er sprach </w:t>
      </w:r>
      <w:r>
        <w:rPr>
          <w:color w:val="808080"/>
        </w:rPr>
        <w:t>(redete)</w:t>
      </w:r>
      <w:r>
        <w:rPr/>
        <w:t xml:space="preserve"> über ihn.{{field-off:bible}} </w:t>
        <w:br/>
        <w:t>[[@BibleTOBIBLE:Jn 12:42]]</w:t>
      </w:r>
      <w:r>
        <w:rPr>
          <w:b/>
        </w:rPr>
        <w:t>42</w:t>
      </w:r>
      <w:r>
        <w:rPr/>
        <w:t xml:space="preserve"> {{field-on:bible}}Gleichwohl jedoch glaubten </w:t>
      </w:r>
      <w:r>
        <w:rPr>
          <w:color w:val="808080"/>
        </w:rPr>
        <w:t>(kamen)</w:t>
      </w:r>
      <w:r>
        <w:rPr/>
        <w:t xml:space="preserve"> auch von </w:t>
      </w:r>
      <w:r>
        <w:rPr>
          <w:color w:val="808080"/>
        </w:rPr>
        <w:t>(aus)</w:t>
      </w:r>
      <w:r>
        <w:rPr/>
        <w:t xml:space="preserve"> den Führern viele </w:t>
      </w:r>
      <w:r>
        <w:rPr>
          <w:color w:val="808080"/>
        </w:rPr>
        <w:t>(zum Glauben)</w:t>
      </w:r>
      <w:r>
        <w:rPr/>
        <w:t xml:space="preserve"> an ihn, aber wegen der Pharisäer bekannten sie </w:t>
      </w:r>
      <w:r>
        <w:rPr>
          <w:b/>
          <w:color w:val="808080"/>
        </w:rPr>
        <w:t>[</w:t>
      </w:r>
      <w:r>
        <w:rPr/>
        <w:t>es, sich</w:t>
      </w:r>
      <w:r>
        <w:rPr>
          <w:b/>
          <w:color w:val="808080"/>
        </w:rPr>
        <w:t>]</w:t>
      </w:r>
      <w:r>
        <w:rPr/>
        <w:t xml:space="preserve"> nicht, um nicht aus der Synagoge ausgeschlossen </w:t>
      </w:r>
      <w:r>
        <w:rPr>
          <w:color w:val="808080"/>
        </w:rPr>
        <w:t>(aus der Synagoge Ausgeschlossene)</w:t>
      </w:r>
      <w:r>
        <w:rPr/>
        <w:t xml:space="preserve"> zu werden;{{field-off:bible}} </w:t>
        <w:br/>
        <w:t>[[@BibleTOBIBLE:Jn 12:43]]</w:t>
      </w:r>
      <w:r>
        <w:rPr>
          <w:b/>
        </w:rPr>
        <w:t>43</w:t>
      </w:r>
      <w:r>
        <w:rPr/>
        <w:t xml:space="preserve"> {{field-on:bible}}sie liebten nämlich die Ehre der </w:t>
      </w:r>
      <w:r>
        <w:rPr>
          <w:color w:val="808080"/>
        </w:rPr>
        <w:t>(bei den; den Preis von)</w:t>
      </w:r>
      <w:r>
        <w:rPr/>
        <w:t xml:space="preserve"> Menschen mehr als die Gottes </w:t>
      </w:r>
      <w:r>
        <w:rPr>
          <w:color w:val="808080"/>
        </w:rPr>
        <w:t>(bei Gott, den Preis von Gott)</w:t>
      </w:r>
      <w:r>
        <w:rPr/>
        <w:t xml:space="preserve">.{{field-off:bible}} </w:t>
        <w:br/>
        <w:t>[[@BibleTOBIBLE:Jn 12:44]]</w:t>
      </w:r>
      <w:r>
        <w:rPr>
          <w:b/>
        </w:rPr>
        <w:t>44</w:t>
      </w:r>
      <w:r>
        <w:rPr/>
        <w:t xml:space="preserve"> {{field-on:bible}}Jesus aber rief </w:t>
      </w:r>
      <w:r>
        <w:rPr>
          <w:color w:val="808080"/>
        </w:rPr>
        <w:t>(schrie)</w:t>
      </w:r>
      <w:r>
        <w:rPr/>
        <w:t xml:space="preserve"> und sagte: Wer an mich glaubt, glaubt nicht an mich, sondern an den, der mich gesandt hat,{{field-off:bible}} </w:t>
        <w:br/>
        <w:t>[[@BibleTOBIBLE:Jn 12:45]]</w:t>
      </w:r>
      <w:r>
        <w:rPr>
          <w:b/>
        </w:rPr>
        <w:t>45</w:t>
      </w:r>
      <w:r>
        <w:rPr/>
        <w:t xml:space="preserve"> {{field-on:bible}}und wer mich sieht, sieht den, der mich gesandt hat.{{field-off:bible}} </w:t>
        <w:br/>
        <w:t>[[@BibleTOBIBLE:Jn 12:46]]</w:t>
      </w:r>
      <w:r>
        <w:rPr>
          <w:b/>
        </w:rPr>
        <w:t>46</w:t>
      </w:r>
      <w:r>
        <w:rPr/>
        <w:t xml:space="preserve"> {{field-on:bible}}Ich bin als Licht in die Welt gekommen, damit jeder, der an mich glaubt, nicht in der Dunkelheit </w:t>
      </w:r>
      <w:r>
        <w:rPr>
          <w:color w:val="808080"/>
        </w:rPr>
        <w:t>(Finsterniss)</w:t>
      </w:r>
      <w:r>
        <w:rPr/>
        <w:t xml:space="preserve"> bleibt.{{field-off:bible}} </w:t>
        <w:br/>
        <w:t>[[@BibleTOBIBLE:Jn 12:47]]</w:t>
      </w:r>
      <w:r>
        <w:rPr>
          <w:b/>
        </w:rPr>
        <w:t>47</w:t>
      </w:r>
      <w:r>
        <w:rPr/>
        <w:t xml:space="preserve"> {{field-on:bible}}Und wenn einer meine Worte hört und </w:t>
      </w:r>
      <w:r>
        <w:rPr>
          <w:b/>
          <w:color w:val="808080"/>
        </w:rPr>
        <w:t>[</w:t>
      </w:r>
      <w:r>
        <w:rPr/>
        <w:t>sie</w:t>
      </w:r>
      <w:r>
        <w:rPr>
          <w:b/>
          <w:color w:val="808080"/>
        </w:rPr>
        <w:t>]</w:t>
      </w:r>
      <w:r>
        <w:rPr/>
        <w:t xml:space="preserve"> nicht bewahrt, richte </w:t>
      </w:r>
      <w:r>
        <w:rPr>
          <w:color w:val="808080"/>
        </w:rPr>
        <w:t>(verurteile)</w:t>
      </w:r>
      <w:r>
        <w:rPr/>
        <w:t xml:space="preserve"> nicht ich ihn </w:t>
      </w:r>
      <w:r>
        <w:rPr>
          <w:color w:val="808080"/>
        </w:rPr>
        <w:t>(ich ihn nicht)</w:t>
      </w:r>
      <w:r>
        <w:rPr/>
        <w:t xml:space="preserve">, denn ich bin nicht gekommen, damit ich die Welt richte </w:t>
      </w:r>
      <w:r>
        <w:rPr>
          <w:color w:val="808080"/>
        </w:rPr>
        <w:t>(verurteile)</w:t>
      </w:r>
      <w:r>
        <w:rPr/>
        <w:t xml:space="preserve">, sondern damit ich die Welt rette.{{field-off:bible}} </w:t>
        <w:br/>
        <w:t>[[@BibleTOBIBLE:Jn 12:48]]</w:t>
      </w:r>
      <w:r>
        <w:rPr>
          <w:b/>
        </w:rPr>
        <w:t>48</w:t>
      </w:r>
      <w:r>
        <w:rPr/>
        <w:t xml:space="preserve"> {{field-on:bible}}Wer mich zurückweist und meine Worte nicht annimmt, hat denjenigen, der ihn richtet </w:t>
      </w:r>
      <w:r>
        <w:rPr>
          <w:color w:val="808080"/>
        </w:rPr>
        <w:t>(verurteilt)</w:t>
      </w:r>
      <w:r>
        <w:rPr/>
        <w:t xml:space="preserve">: Das Wort, das ich gesprochen </w:t>
      </w:r>
      <w:r>
        <w:rPr>
          <w:color w:val="808080"/>
        </w:rPr>
        <w:t>(geredet)</w:t>
      </w:r>
      <w:r>
        <w:rPr/>
        <w:t xml:space="preserve"> habe, richtet </w:t>
      </w:r>
      <w:r>
        <w:rPr>
          <w:color w:val="808080"/>
        </w:rPr>
        <w:t>(verurteilt; wird)</w:t>
      </w:r>
      <w:r>
        <w:rPr/>
        <w:t xml:space="preserve"> ihn am letzten Tag </w:t>
      </w:r>
      <w:r>
        <w:rPr>
          <w:color w:val="808080"/>
        </w:rPr>
        <w:t>(richten, verurteilen)</w:t>
      </w:r>
      <w:r>
        <w:rPr/>
        <w:t xml:space="preserve">,{{field-off:bible}} </w:t>
        <w:br/>
        <w:t>[[@BibleTOBIBLE:Jn 12:49]]</w:t>
      </w:r>
      <w:r>
        <w:rPr>
          <w:b/>
        </w:rPr>
        <w:t>49</w:t>
      </w:r>
      <w:r>
        <w:rPr/>
        <w:t xml:space="preserve"> {{field-on:bible}}weil ich nicht aus mir gesprochen </w:t>
      </w:r>
      <w:r>
        <w:rPr>
          <w:color w:val="808080"/>
        </w:rPr>
        <w:t>(geredet)</w:t>
      </w:r>
      <w:r>
        <w:rPr/>
        <w:t xml:space="preserve"> habe, sondern der, der mich gesandt hat, er hat mir ein Gebot gegeben, was ich sagen und reden soll.{{field-off:bible}} </w:t>
        <w:br/>
        <w:t>[[@BibleTOBIBLE:Jn 12:50]]</w:t>
      </w:r>
      <w:r>
        <w:rPr>
          <w:b/>
        </w:rPr>
        <w:t>50</w:t>
      </w:r>
      <w:r>
        <w:rPr/>
        <w:t xml:space="preserve"> {{field-on:bible}}Und ich weiß, daß sein Gebot ewiges Leben ist. Was ich also rede – wie </w:t>
      </w:r>
      <w:r>
        <w:rPr>
          <w:b/>
          <w:color w:val="808080"/>
        </w:rPr>
        <w:t>[</w:t>
      </w:r>
      <w:r>
        <w:rPr/>
        <w:t>es</w:t>
      </w:r>
      <w:r>
        <w:rPr>
          <w:b/>
          <w:color w:val="808080"/>
        </w:rPr>
        <w:t>]</w:t>
      </w:r>
      <w:r>
        <w:rPr/>
        <w:t xml:space="preserve"> mir der Vater gesagt hat, so rede ich.{{field-off:bible}}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5075"/>
        <w:t>Status</w:t>
      </w:r>
      <w:r>
        <w:rPr/>
        <w:t xml:space="preserve"> </w:t>
      </w:r>
      <w:r>
        <w:rPr>
          <w:strike/>
          <w:color w:val="808080"/>
        </w:rPr>
        <w:t>{aber}</w:t>
      </w:r>
      <w:r>
        <w:rPr/>
        <w:t xml:space="preserve"> Vor dem Passafest, weil Jesus wusste,</w:t>
      </w:r>
      <w:r>
        <w:rPr>
          <w:rStyle w:val="Funotenanker"/>
        </w:rPr>
        <w:footnoteReference w:customMarkFollows="1" w:id="5076"/>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5077"/>
        <w:t>b</w:t>
      </w:r>
      <w:r>
        <w:rPr/>
        <w:t xml:space="preserve"> die in der Welt zu ihm gehören</w:t>
      </w:r>
      <w:r>
        <w:rPr>
          <w:rStyle w:val="Funotenanker"/>
        </w:rPr>
        <w:footnoteReference w:customMarkFollows="1" w:id="5078"/>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5079"/>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5080"/>
        <w:t>e</w:t>
      </w:r>
      <w:r>
        <w:rPr/>
        <w:t xml:space="preserve"> [Jesus]</w:t>
      </w:r>
      <w:r>
        <w:rPr>
          <w:rStyle w:val="Funotenanker"/>
        </w:rPr>
        <w:footnoteReference w:customMarkFollows="1" w:id="5081"/>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5082"/>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5083"/>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5084"/>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5085"/>
        <w:t>j</w:t>
      </w:r>
      <w:r>
        <w:rPr/>
        <w:t xml:space="preserve"> Jesus entgegnete </w:t>
      </w:r>
      <w:r>
        <w:rPr>
          <w:strike/>
          <w:color w:val="808080"/>
        </w:rPr>
        <w:t>{ihm}</w:t>
      </w:r>
      <w:r>
        <w:rPr/>
        <w:t>: „Wenn ich dich nicht wasche, hast du keinen Anteil</w:t>
      </w:r>
      <w:r>
        <w:rPr>
          <w:rStyle w:val="Funotenanker"/>
        </w:rPr>
        <w:footnoteReference w:customMarkFollows="1" w:id="5086"/>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5087"/>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5088"/>
        <w:t>m</w:t>
      </w:r>
      <w:r>
        <w:rPr/>
        <w:t xml:space="preserve">. Deswegen sagte er: </w:t>
      </w:r>
      <w:r>
        <w:rPr>
          <w:strike/>
          <w:color w:val="808080"/>
        </w:rPr>
        <w:t>{dass}</w:t>
      </w:r>
      <w:r>
        <w:rPr/>
        <w:t xml:space="preserve"> </w:t>
      </w:r>
      <w:r>
        <w:rPr>
          <w:rStyle w:val="Funotenanker"/>
        </w:rPr>
        <w:footnoteReference w:customMarkFollows="1" w:id="5089"/>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5090"/>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5091"/>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5092"/>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5093"/>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5094"/>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5095"/>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5096"/>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5097"/>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5098"/>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5099"/>
        <w:t>x</w:t>
      </w:r>
      <w:r>
        <w:rPr/>
        <w:t xml:space="preserve"> nahm es und</w:t>
      </w:r>
      <w:r>
        <w:rPr>
          <w:rStyle w:val="Funotenanker"/>
        </w:rPr>
        <w:footnoteReference w:customMarkFollows="1" w:id="5100"/>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5101"/>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5102"/>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5103"/>
        <w:t>ab</w:t>
      </w:r>
      <w:r>
        <w:rPr/>
        <w:t xml:space="preserve"> ging er sofort hinaus. Es war </w:t>
      </w:r>
      <w:r>
        <w:rPr>
          <w:strike/>
          <w:color w:val="808080"/>
        </w:rPr>
        <w:t>{aber}</w:t>
      </w:r>
      <w:r>
        <w:rPr/>
        <w:t xml:space="preserve"> Nacht.{{field-off:bible}} </w:t>
        <w:br/>
        <w:t>[[@BibleTOBIBLE:Jn 13:31]]</w:t>
      </w:r>
      <w:r>
        <w:rPr>
          <w:b/>
        </w:rPr>
        <w:t>31</w:t>
      </w:r>
      <w:r>
        <w:rPr/>
        <w:t xml:space="preserve"> {{field-on:bible}}Als er also herausgegangen war, sagt Jesus: „Jetzt ist der Sohn des Menschen </w:t>
      </w:r>
      <w:r>
        <w:rPr>
          <w:color w:val="808080"/>
        </w:rPr>
        <w:t>(der Menschensohn)</w:t>
      </w:r>
      <w:r>
        <w:rPr/>
        <w:t xml:space="preserve"> verherrlicht, und Gott ist in ihm verherrlicht.{{field-off:bible}} </w:t>
        <w:br/>
        <w:t>[[@BibleTOBIBLE:Jn 13:32]]</w:t>
      </w:r>
      <w:r>
        <w:rPr>
          <w:b/>
        </w:rPr>
        <w:t>32</w:t>
      </w:r>
      <w:r>
        <w:rPr/>
        <w:t xml:space="preserve"> {{field-on:bible}}Wenn Gott in ihm verherrlicht ist, wird Gott auch ihn in sich verherrlichen, und bald wird er ihn verherrlichen.{{field-off:bible}} </w:t>
        <w:br/>
        <w:t>[[@BibleTOBIBLE:Jn 13:33]]</w:t>
      </w:r>
      <w:r>
        <w:rPr>
          <w:b/>
        </w:rPr>
        <w:t>33</w:t>
      </w:r>
      <w:r>
        <w:rPr/>
        <w:t xml:space="preserve"> {{field-on:bible}}Kinder </w:t>
      </w:r>
      <w:r>
        <w:rPr>
          <w:color w:val="808080"/>
        </w:rPr>
        <w:t>(Kindlein)</w:t>
      </w:r>
      <w:r>
        <w:rPr/>
        <w:t xml:space="preserve">, noch eine kleine Weile bin ich mit Euch. Ihr werdet mich suchen, und wie ich den Juden sagte: </w:t>
      </w:r>
      <w:r>
        <w:rPr>
          <w:strike/>
          <w:color w:val="808080"/>
        </w:rPr>
        <w:t>{daß}</w:t>
      </w:r>
      <w:r>
        <w:rPr/>
        <w:t xml:space="preserve"> »Wohin ich gehe, dorthin könnt Ihr nicht kommen«, sage ich </w:t>
      </w:r>
      <w:r>
        <w:rPr>
          <w:b/>
          <w:color w:val="808080"/>
        </w:rPr>
        <w:t>[</w:t>
      </w:r>
      <w:r>
        <w:rPr/>
        <w:t>das</w:t>
      </w:r>
      <w:r>
        <w:rPr>
          <w:b/>
          <w:color w:val="808080"/>
        </w:rPr>
        <w:t>]</w:t>
      </w:r>
      <w:r>
        <w:rPr/>
        <w:t xml:space="preserve"> jetzt auch Euch.{{field-off:bible}} </w:t>
        <w:br/>
        <w:t>[[@BibleTOBIBLE:Jn 13:34]]</w:t>
      </w:r>
      <w:r>
        <w:rPr>
          <w:b/>
        </w:rPr>
        <w:t>34</w:t>
      </w:r>
      <w:r>
        <w:rPr/>
        <w:t xml:space="preserve"> {{field-on:bible}}Ein neues Gebot gebe ich Euch, daß Ihr einander liebt, wie ich Euch geliebt habe, damit Ihr auch einander liebt.{{field-off:bible}}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br/>
        <w:t>[[@BibleTOBIBLE:Jn 13:36]]</w:t>
      </w:r>
      <w:r>
        <w:rPr>
          <w:b/>
        </w:rPr>
        <w:t>36</w:t>
      </w:r>
      <w:r>
        <w:rPr/>
        <w:t xml:space="preserve"> {{field-on:bible}}Sagt ihm Simon Petrus: „Herr, wohin gehst Du?“ Jesus antwortete ihm: „Wohin ich gehe, </w:t>
      </w:r>
      <w:r>
        <w:rPr>
          <w:b/>
          <w:color w:val="808080"/>
        </w:rPr>
        <w:t>[</w:t>
      </w:r>
      <w:r>
        <w:rPr/>
        <w:t>dahin</w:t>
      </w:r>
      <w:r>
        <w:rPr>
          <w:b/>
          <w:color w:val="808080"/>
        </w:rPr>
        <w:t>]</w:t>
      </w:r>
      <w:r>
        <w:rPr/>
        <w:t xml:space="preserve"> kannst Du mir jetzt nicht folgen – Du wirst mir aber später folgen.“{{field-off:bible}} </w:t>
        <w:br/>
        <w:t>[[@BibleTOBIBLE:Jn 13:37]]</w:t>
      </w:r>
      <w:r>
        <w:rPr>
          <w:b/>
        </w:rPr>
        <w:t>37</w:t>
      </w:r>
      <w:r>
        <w:rPr/>
        <w:t xml:space="preserve"> {{field-on:bible}}Sagt ihm </w:t>
      </w:r>
      <w:r>
        <w:rPr>
          <w:strike/>
          <w:color w:val="808080"/>
        </w:rPr>
        <w:t>{der}</w:t>
      </w:r>
      <w:r>
        <w:rPr/>
        <w:t xml:space="preserve"> Petrus: „Herr, weshalb kann ich Dir jetzt nicht folgen? Mein Leben werde ich für Dich einsetzen </w:t>
      </w:r>
      <w:r>
        <w:rPr>
          <w:color w:val="808080"/>
        </w:rPr>
        <w:t>(hergeben)</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5104"/>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5105"/>
        <w:t>a</w:t>
      </w:r>
      <w:r>
        <w:rPr/>
        <w:t xml:space="preserve"> Niemand kommt zu dem Vater außer</w:t>
      </w:r>
      <w:r>
        <w:rPr>
          <w:rStyle w:val="Funotenanker"/>
        </w:rPr>
        <w:footnoteReference w:customMarkFollows="1" w:id="5106"/>
        <w:t>b</w:t>
      </w:r>
      <w:r>
        <w:rPr/>
        <w:t xml:space="preserve"> durch mich.{{field-off:bible}} </w:t>
        <w:br/>
        <w:t>[[@BibleTOBIBLE:Jn 14:7]]</w:t>
      </w:r>
      <w:r>
        <w:rPr>
          <w:b/>
        </w:rPr>
        <w:t>7</w:t>
      </w:r>
      <w:r>
        <w:rPr/>
        <w:t xml:space="preserve"> {{field-on:bible}}Wenn Ihr mich erkannt habt, werdet Ihr auch meinen Vater erkennen.</w:t>
      </w:r>
      <w:r>
        <w:rPr>
          <w:rStyle w:val="Funotenanker"/>
        </w:rPr>
        <w:footnoteReference w:customMarkFollows="1" w:id="5107"/>
        <w:t>c</w:t>
      </w:r>
      <w:r>
        <w:rPr/>
        <w:t xml:space="preserve"> Von jetzt an erkennt Ihr ihn und Ihr habt ihn gesehen.{{field-off:bible}} </w:t>
        <w:br/>
        <w:t>[[@BibleTOBIBLE:Jn 14:8]]</w:t>
      </w:r>
      <w:r>
        <w:rPr>
          <w:b/>
        </w:rPr>
        <w:t>8</w:t>
      </w:r>
      <w:r>
        <w:rPr/>
        <w:t xml:space="preserve"> {{field-on:bible}}Philippus sagt ihm: Herr, zeig uns den Vater, und es genügt uns.{{field-off:bible}} </w:t>
        <w:br/>
        <w:t>[[@BibleTOBIBLE:Jn 14:9]]</w:t>
      </w:r>
      <w:r>
        <w:rPr>
          <w:b/>
        </w:rPr>
        <w:t>9</w:t>
      </w:r>
      <w:r>
        <w:rPr/>
        <w:t xml:space="preserve"> {{field-on:bible}} </w:t>
      </w:r>
      <w:r>
        <w:rPr>
          <w:strike/>
          <w:color w:val="808080"/>
        </w:rPr>
        <w:t>{Der}</w:t>
      </w:r>
      <w:r>
        <w:rPr/>
        <w:t xml:space="preserve"> Jesus sagt ihm: Soviel Zeit bin ich </w:t>
      </w:r>
      <w:r>
        <w:rPr>
          <w:b/>
          <w:color w:val="808080"/>
        </w:rPr>
        <w:t>[</w:t>
      </w:r>
      <w:r>
        <w:rPr/>
        <w:t>schon</w:t>
      </w:r>
      <w:r>
        <w:rPr>
          <w:b/>
          <w:color w:val="808080"/>
        </w:rPr>
        <w:t>]</w:t>
      </w:r>
      <w:r>
        <w:rPr/>
        <w:t xml:space="preserve"> bei </w:t>
      </w:r>
      <w:r>
        <w:rPr>
          <w:color w:val="808080"/>
        </w:rPr>
        <w:t>(mit)</w:t>
      </w:r>
      <w:r>
        <w:rPr/>
        <w:t xml:space="preserve"> Euch und Du hast mich nicht erkannt, Philippus? Wer mich gesehen hat, hat den Vater gesehen. Wie sagst </w:t>
      </w:r>
      <w:r>
        <w:rPr>
          <w:color w:val="808080"/>
        </w:rPr>
        <w:t>(kannst)</w:t>
      </w:r>
      <w:r>
        <w:rPr/>
        <w:t xml:space="preserve"> Du </w:t>
      </w:r>
      <w:r>
        <w:rPr>
          <w:color w:val="808080"/>
        </w:rPr>
        <w:t>(sagen)</w:t>
      </w:r>
      <w:r>
        <w:rPr/>
        <w:t xml:space="preserve">: Zeig uns den Vater?{{field-off:bible}} </w:t>
        <w:br/>
        <w:t>[[@BibleTOBIBLE:Jn 14:10]]</w:t>
      </w:r>
      <w:r>
        <w:rPr>
          <w:b/>
        </w:rPr>
        <w:t>10</w:t>
      </w:r>
      <w:r>
        <w:rPr/>
        <w:t xml:space="preserve"> {{field-on:bible}}Glaubst Du nicht, daß ich in dem Vater und der Vater in mir ist? Die Worte, die ich Euch sage, sage ich nicht von mir </w:t>
      </w:r>
      <w:r>
        <w:rPr>
          <w:color w:val="808080"/>
        </w:rPr>
        <w:t>(mir selbst)</w:t>
      </w:r>
      <w:r>
        <w:rPr/>
        <w:t xml:space="preserve"> aus, der Vater aber, der in mir bleibt, tut </w:t>
      </w:r>
      <w:r>
        <w:rPr>
          <w:color w:val="808080"/>
        </w:rPr>
        <w:t>(verwirklicht)</w:t>
      </w:r>
      <w:r>
        <w:rPr/>
        <w:t xml:space="preserve"> seine Werke.{{field-off:bible}} </w:t>
        <w:br/>
        <w:t>[[@BibleTOBIBLE:Jn 14:11]]</w:t>
      </w:r>
      <w:r>
        <w:rPr>
          <w:b/>
        </w:rPr>
        <w:t>11</w:t>
      </w:r>
      <w:r>
        <w:rPr/>
        <w:t xml:space="preserve"> {{field-on:bible}}Glaubt mir, daß ich in dem Vater </w:t>
      </w:r>
      <w:r>
        <w:rPr>
          <w:b/>
          <w:color w:val="808080"/>
        </w:rPr>
        <w:t>[</w:t>
      </w:r>
      <w:r>
        <w:rPr/>
        <w:t>bin</w:t>
      </w:r>
      <w:r>
        <w:rPr>
          <w:b/>
          <w:color w:val="808080"/>
        </w:rPr>
        <w:t>]</w:t>
      </w:r>
      <w:r>
        <w:rPr/>
        <w:t xml:space="preserve"> und der Vater in mir </w:t>
      </w:r>
      <w:r>
        <w:rPr>
          <w:b/>
          <w:color w:val="808080"/>
        </w:rPr>
        <w:t>[</w:t>
      </w:r>
      <w:r>
        <w:rPr/>
        <w:t>ist</w:t>
      </w:r>
      <w:r>
        <w:rPr>
          <w:b/>
          <w:color w:val="808080"/>
        </w:rPr>
        <w:t>]</w:t>
      </w:r>
      <w:r>
        <w:rPr/>
        <w:t xml:space="preserve">. Wenn aber nicht, glaubt wegen der Werke selbst.{{field-off:bible}} </w:t>
        <w:br/>
        <w:t>[[@BibleTOBIBLE:Jn 14:12]]</w:t>
      </w:r>
      <w:r>
        <w:rPr>
          <w:b/>
        </w:rPr>
        <w:t>12</w:t>
      </w:r>
      <w:r>
        <w:rPr/>
        <w:t xml:space="preserve"> {{field-on:bible}}Amen, Amen </w:t>
      </w:r>
      <w:r>
        <w:rPr>
          <w:color w:val="808080"/>
        </w:rPr>
        <w:t>(Wahrlich, wahrlich)</w:t>
      </w:r>
      <w:r>
        <w:rPr/>
        <w:t xml:space="preserve">, ich sage Euch, wer an mich glaubt, auch der </w:t>
      </w:r>
      <w:r>
        <w:rPr>
          <w:color w:val="808080"/>
        </w:rPr>
        <w:t>(jener)</w:t>
      </w:r>
      <w:r>
        <w:rPr/>
        <w:t xml:space="preserve"> wird die Werke, die ich tue </w:t>
      </w:r>
      <w:r>
        <w:rPr>
          <w:color w:val="808080"/>
        </w:rPr>
        <w:t>(verwirkliche)</w:t>
      </w:r>
      <w:r>
        <w:rPr/>
        <w:t xml:space="preserve">, tun </w:t>
      </w:r>
      <w:r>
        <w:rPr>
          <w:color w:val="808080"/>
        </w:rPr>
        <w:t>(verwirklichen)</w:t>
      </w:r>
      <w:r>
        <w:rPr/>
        <w:t xml:space="preserve">, und größere als diese wird er tun </w:t>
      </w:r>
      <w:r>
        <w:rPr>
          <w:color w:val="808080"/>
        </w:rPr>
        <w:t>(verwirklichen)</w:t>
      </w:r>
      <w:r>
        <w:rPr/>
        <w:t xml:space="preserve">, weil ich zum Vater gehe.{{field-off:bible}}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14:14]]</w:t>
      </w:r>
      <w:r>
        <w:rPr>
          <w:b/>
        </w:rPr>
        <w:t>14</w:t>
      </w:r>
      <w:r>
        <w:rPr/>
        <w:t xml:space="preserve"> {{field-on:bible}}Wenn Ihr mich </w:t>
      </w:r>
      <w:r>
        <w:rPr>
          <w:b/>
          <w:color w:val="808080"/>
        </w:rPr>
        <w:t>[</w:t>
      </w:r>
      <w:r>
        <w:rPr/>
        <w:t>um</w:t>
      </w:r>
      <w:r>
        <w:rPr>
          <w:b/>
          <w:color w:val="808080"/>
        </w:rPr>
        <w:t>]</w:t>
      </w:r>
      <w:r>
        <w:rPr/>
        <w:t xml:space="preserve"> etwas bittet in meinem Namen, werde ich </w:t>
      </w:r>
      <w:r>
        <w:rPr>
          <w:b/>
          <w:color w:val="808080"/>
        </w:rPr>
        <w:t>[</w:t>
      </w:r>
      <w:r>
        <w:rPr/>
        <w:t>es</w:t>
      </w:r>
      <w:r>
        <w:rPr>
          <w:b/>
          <w:color w:val="808080"/>
        </w:rPr>
        <w:t>]</w:t>
      </w:r>
      <w:r>
        <w:rPr/>
        <w:t xml:space="preserve"> tun.{{field-off:bible}} </w:t>
        <w:br/>
        <w:t>[[@BibleTOBIBLE:Jn 14:15]]</w:t>
      </w:r>
      <w:r>
        <w:rPr>
          <w:b/>
        </w:rPr>
        <w:t>15</w:t>
      </w:r>
      <w:r>
        <w:rPr/>
        <w:t xml:space="preserve"> {{field-on:bible}}Wenn Ihr mich liebt, werdet Ihre meine Gebote halten.{{field-off:bible}} </w:t>
        <w:br/>
        <w:t>[[@BibleTOBIBLE:Jn 14:16]]</w:t>
      </w:r>
      <w:r>
        <w:rPr>
          <w:b/>
        </w:rPr>
        <w:t>16</w:t>
      </w:r>
      <w:r>
        <w:rPr/>
        <w:t xml:space="preserve"> {{field-on:bible}}Und ich werde den Vater bitten und einen anderen Helfer </w:t>
      </w:r>
      <w:r>
        <w:rPr>
          <w:color w:val="808080"/>
        </w:rPr>
        <w:t>(Beistand, Tröster)</w:t>
      </w:r>
      <w:r>
        <w:rPr/>
        <w:t xml:space="preserve"> wird er Euch geben, damit er in Ewigkeit mit Euch sei,{{field-off:bible}} </w:t>
        <w:br/>
        <w:t>[[@BibleTOBIBLE:Jn 14:17]]</w:t>
      </w:r>
      <w:r>
        <w:rPr>
          <w:b/>
        </w:rPr>
        <w:t>17</w:t>
      </w:r>
      <w:r>
        <w:rPr/>
        <w:t xml:space="preserve"> {{field-on:bible}}den Geist der Wahrheit, den die Welt nicht empfangen kann, weil sie ihn nicht sieht und nicht kennt </w:t>
      </w:r>
      <w:r>
        <w:rPr>
          <w:color w:val="808080"/>
        </w:rPr>
        <w:t>(erkennt)</w:t>
      </w:r>
      <w:r>
        <w:rPr/>
        <w:t xml:space="preserve">. Ihr kennt </w:t>
      </w:r>
      <w:r>
        <w:rPr>
          <w:color w:val="808080"/>
        </w:rPr>
        <w:t>(erkennt)</w:t>
      </w:r>
      <w:r>
        <w:rPr/>
        <w:t xml:space="preserve"> ihn, weil er bei Euch bleibt und in Euch sein wird.{{field-off:bible}}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leben werdet.{{field-off:bible}} </w:t>
        <w:br/>
        <w:t>[[@BibleTOBIBLE:Jn 14:20]]</w:t>
      </w:r>
      <w:r>
        <w:rPr>
          <w:b/>
        </w:rPr>
        <w:t>20</w:t>
      </w:r>
      <w:r>
        <w:rPr/>
        <w:t xml:space="preserve"> {{field-on:bible}}An jenem Tag werdet Ihr erkennen </w:t>
      </w:r>
      <w:r>
        <w:rPr>
          <w:color w:val="808080"/>
        </w:rPr>
        <w:t>(verstehen, wissen)</w:t>
      </w:r>
      <w:r>
        <w:rPr/>
        <w:t xml:space="preserve">, daß ich in meinem Vater und Ihr in mir und ich in Euch.{{field-off:bible}} </w:t>
        <w:br/>
        <w:t>[[@BibleTOBIBLE:Jn 14:21]]</w:t>
      </w:r>
      <w:r>
        <w:rPr>
          <w:b/>
        </w:rPr>
        <w:t>21</w:t>
      </w:r>
      <w:r>
        <w:rPr/>
        <w:t xml:space="preserve"> {{field-on:bible}}Wer meine Gebote hat und sie hält, jener ist </w:t>
      </w:r>
      <w:r>
        <w:rPr>
          <w:b/>
          <w:color w:val="808080"/>
        </w:rPr>
        <w:t>[</w:t>
      </w:r>
      <w:r>
        <w:rPr/>
        <w:t>der</w:t>
      </w:r>
      <w:r>
        <w:rPr>
          <w:b/>
          <w:color w:val="808080"/>
        </w:rPr>
        <w:t>]</w:t>
      </w:r>
      <w:r>
        <w:rPr/>
        <w:t xml:space="preserve">, der mich liebt. Wer aber mich liebt, </w:t>
      </w:r>
      <w:r>
        <w:rPr>
          <w:b/>
          <w:color w:val="808080"/>
        </w:rPr>
        <w:t>[</w:t>
      </w:r>
      <w:r>
        <w:rPr/>
        <w:t>der</w:t>
      </w:r>
      <w:r>
        <w:rPr>
          <w:b/>
          <w:color w:val="808080"/>
        </w:rPr>
        <w:t>]</w:t>
      </w:r>
      <w:r>
        <w:rPr/>
        <w:t xml:space="preserve"> wird von meinem Vater geliebt werden, und ich werde ihn lieben und ich mich ihm zeigen </w:t>
      </w:r>
      <w:r>
        <w:rPr>
          <w:color w:val="808080"/>
        </w:rPr>
        <w:t>(offenbaren)</w:t>
      </w:r>
      <w:r>
        <w:rPr/>
        <w:t xml:space="preserve">.{{field-off:bible}} </w:t>
        <w:br/>
        <w:t>[[@BibleTOBIBLE:Jn 14:22]]</w:t>
      </w:r>
      <w:r>
        <w:rPr>
          <w:b/>
        </w:rPr>
        <w:t>22</w:t>
      </w:r>
      <w:r>
        <w:rPr/>
        <w:t xml:space="preserve"> {{field-on:bible}}Sagt ihm Judas, nicht der Iskariot: Herr, was ist geschehen, daß Du im Begriff bist, Dich selbst uns zu zeigen </w:t>
      </w:r>
      <w:r>
        <w:rPr>
          <w:color w:val="808080"/>
        </w:rPr>
        <w:t>(offenbaren; warum willst Du Dich selbst uns offenbaren)</w:t>
      </w:r>
      <w:r>
        <w:rPr/>
        <w:t xml:space="preserve"> und nicht der Welt?{{field-off:bible}} </w:t>
        <w:br/>
        <w:t>[[@BibleTOBIBLE:Jn 14:23]]</w:t>
      </w:r>
      <w:r>
        <w:rPr>
          <w:b/>
        </w:rPr>
        <w:t>23</w:t>
      </w:r>
      <w:r>
        <w:rPr/>
        <w:t xml:space="preserve"> {{field-on:bible}}Jesus antwortete und sagte ihm: Wenn einer mich liebt, wird er mein Wort halten und mein Vater wird ihn lieben und wir werden zu ihm kommen und </w:t>
      </w:r>
      <w:r>
        <w:rPr>
          <w:color w:val="808080"/>
        </w:rPr>
        <w:t>(Wohnung, Aufenthalt)</w:t>
      </w:r>
      <w:r>
        <w:rPr/>
        <w:t xml:space="preserve"> bei ihm wohnen </w:t>
      </w:r>
      <w:r>
        <w:rPr>
          <w:color w:val="808080"/>
        </w:rPr>
        <w:t>(machen)</w:t>
      </w:r>
      <w:r>
        <w:rPr/>
        <w:t xml:space="preserve">.{{field-off:bible}}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br/>
        <w:t>[[@BibleTOBIBLE:Jn 14:27]]</w:t>
      </w:r>
      <w:r>
        <w:rPr>
          <w:b/>
        </w:rPr>
        <w:t>27</w:t>
      </w:r>
      <w:r>
        <w:rPr/>
        <w:t xml:space="preserve"> {{field-on:bible}}Frieden hinterlasse ich Euch, meinen Frieden gebe ich Euch. Nicht wie die Welt gibt, gebe ich Euch. Euer Herz lasse sich nicht in Aufregung versetzen </w:t>
      </w:r>
      <w:r>
        <w:rPr>
          <w:color w:val="808080"/>
        </w:rPr>
        <w:t>(werde nicht bestürzt, unruhig, verwirrt)</w:t>
      </w:r>
      <w:r>
        <w:rPr/>
        <w:t xml:space="preserve"> und fürchte sich nicht!{{field-off:bible}} </w:t>
        <w:br/>
        <w:t>[[@BibleTOBIBLE:Jn 14:28]]</w:t>
      </w:r>
      <w:r>
        <w:rPr>
          <w:b/>
        </w:rPr>
        <w:t>28</w:t>
      </w:r>
      <w:r>
        <w:rPr/>
        <w:t xml:space="preserve"> {{field-on:bible}}Ihr habt gehört, daß ich Euch gesagt habe: Ich gehe weg und komme </w:t>
      </w:r>
      <w:r>
        <w:rPr>
          <w:b/>
          <w:color w:val="808080"/>
        </w:rPr>
        <w:t>[</w:t>
      </w:r>
      <w:r>
        <w:rPr/>
        <w:t>wieder</w:t>
      </w:r>
      <w:r>
        <w:rPr>
          <w:b/>
          <w:color w:val="808080"/>
        </w:rPr>
        <w:t>]</w:t>
      </w:r>
      <w:r>
        <w:rPr/>
        <w:t xml:space="preserve"> zu Euch. Wenn Ihr mich lieben würdet, würdet Ihr Euch freuen, weil ich zum Vater gehe; denn der Vater ist größer als ich.{{field-off:bible}} </w:t>
        <w:br/>
        <w:t>[[@BibleTOBIBLE:Jn 14:29]]</w:t>
      </w:r>
      <w:r>
        <w:rPr>
          <w:b/>
        </w:rPr>
        <w:t>29</w:t>
      </w:r>
      <w:r>
        <w:rPr/>
        <w:t xml:space="preserve"> {{field-on:bible}}Und jetzt habe ich Euch das gesagt, bevor es geschieht, damit Ihr, wenn es geschieht, glaubt.{{field-off:bible}} </w:t>
        <w:br/>
        <w:t>[[@BibleTOBIBLE:Jn 14:30]]</w:t>
      </w:r>
      <w:r>
        <w:rPr>
          <w:b/>
        </w:rPr>
        <w:t>30</w:t>
      </w:r>
      <w:r>
        <w:rPr/>
        <w:t xml:space="preserve"> {{field-on:bible}}Viel </w:t>
      </w:r>
      <w:r>
        <w:rPr>
          <w:color w:val="808080"/>
        </w:rPr>
        <w:t>(viele Dinge)</w:t>
      </w:r>
      <w:r>
        <w:rPr/>
        <w:t xml:space="preserve"> werde ich mit Euch nicht mehr sprechen, es kommt nämlich der Herrscher der Welt. Und in </w:t>
      </w:r>
      <w:r>
        <w:rPr>
          <w:color w:val="808080"/>
        </w:rPr>
        <w:t>(an)</w:t>
      </w:r>
      <w:r>
        <w:rPr/>
        <w:t xml:space="preserve"> mir hat er nichts,{{field-off:bible}} </w:t>
        <w:br/>
        <w:t>[[@BibleTOBIBLE:Jn 14:31]]</w:t>
      </w:r>
      <w:r>
        <w:rPr>
          <w:b/>
        </w:rPr>
        <w:t>31</w:t>
      </w:r>
      <w:r>
        <w:rPr/>
        <w:t xml:space="preserve"> {{field-on:bible}}aber </w:t>
      </w:r>
      <w:r>
        <w:rPr>
          <w:b/>
          <w:color w:val="808080"/>
        </w:rPr>
        <w:t>[</w:t>
      </w:r>
      <w:r>
        <w:rPr/>
        <w:t>das geschieht,</w:t>
      </w:r>
      <w:r>
        <w:rPr>
          <w:b/>
          <w:color w:val="808080"/>
        </w:rPr>
        <w:t>]</w:t>
      </w:r>
      <w:r>
        <w:rPr/>
        <w:t xml:space="preserve"> damit die Welt erkennt, daß ich den Vater liebe und so handle, wie mir der Vater geboten hat. Steht auf, laßt uns weggehen von hier.{{field-off:bible}}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5108"/>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15:18]]</w:t>
      </w:r>
      <w:r>
        <w:rPr>
          <w:b/>
        </w:rPr>
        <w:t>18</w:t>
      </w:r>
      <w:r>
        <w:rPr/>
        <w:t xml:space="preserve"> {{field-on:bible}}Wenn die Welt Euch haßt, wißt, daß sie mich vor Euch gehaßt hat.{{field-off:bible}} </w:t>
        <w:br/>
        <w:t>[[@BibleTOBIBLE:Jn 15:19]]</w:t>
      </w:r>
      <w:r>
        <w:rPr>
          <w:b/>
        </w:rPr>
        <w:t>19</w:t>
      </w:r>
      <w:r>
        <w:rPr/>
        <w:t xml:space="preserve"> {{field-on:bible}}Wenn Ihr aus der Welt wäret, dann würde die Welt das eigene lieben. Weil Ihr aber nicht aus der Welt seid, sondern ich Euch aus der Welt auserwählt </w:t>
      </w:r>
      <w:r>
        <w:rPr>
          <w:color w:val="808080"/>
        </w:rPr>
        <w:t>(ausgewählt, herausgenommen)</w:t>
      </w:r>
      <w:r>
        <w:rPr/>
        <w:t xml:space="preserve"> habe, deswegen haßt Euch die Welt.{{field-off:bible}} </w:t>
        <w:br/>
        <w:t>[[@BibleTOBIBLE:Jn 15:20]]</w:t>
      </w:r>
      <w:r>
        <w:rPr>
          <w:b/>
        </w:rPr>
        <w:t>20</w:t>
      </w:r>
      <w:r>
        <w:rPr/>
        <w:t xml:space="preserve"> {{field-on:bible}}Erinnert Euch an das Wort, das ich Euch gesagt habe: Ein Knecht ist nicht größer als sein Herr.</w:t>
      </w:r>
      <w:r>
        <w:rPr>
          <w:rStyle w:val="Funotenanker"/>
        </w:rPr>
        <w:footnoteReference w:customMarkFollows="1" w:id="5109"/>
        <w:t>a</w:t>
      </w:r>
      <w:r>
        <w:rPr/>
        <w:t xml:space="preserve"> Wenn sie mich verfolgt haben, werden sie auch Euch verfolgen. Wenn sie mein Wort gehalten </w:t>
      </w:r>
      <w:r>
        <w:rPr>
          <w:color w:val="808080"/>
        </w:rPr>
        <w:t>(bewahrt)</w:t>
      </w:r>
      <w:r>
        <w:rPr/>
        <w:t xml:space="preserve"> haben, werden sie auch Eures halten </w:t>
      </w:r>
      <w:r>
        <w:rPr>
          <w:color w:val="808080"/>
        </w:rPr>
        <w:t>(bewahren)</w:t>
      </w:r>
      <w:r>
        <w:rPr/>
        <w:t xml:space="preserve">.{{field-off:bible}} </w:t>
        <w:br/>
        <w:t>[[@BibleTOBIBLE:Jn 15:21]]</w:t>
      </w:r>
      <w:r>
        <w:rPr>
          <w:b/>
        </w:rPr>
        <w:t>21</w:t>
      </w:r>
      <w:r>
        <w:rPr/>
        <w:t xml:space="preserve"> {{field-on:bible}}Aber all dies </w:t>
      </w:r>
      <w:r>
        <w:rPr>
          <w:color w:val="808080"/>
        </w:rPr>
        <w:t>(alle diese Dinge)</w:t>
      </w:r>
      <w:r>
        <w:rPr/>
        <w:t xml:space="preserve"> werde sie Euch wegen meines Namens antun, weil sie nicht den kennen, der mich gesandt hat.{{field-off:bible}} </w:t>
        <w:br/>
        <w:t>[[@BibleTOBIBLE:Jn 15:22]]</w:t>
      </w:r>
      <w:r>
        <w:rPr>
          <w:b/>
        </w:rPr>
        <w:t>22</w:t>
      </w:r>
      <w:r>
        <w:rPr/>
        <w:t xml:space="preserve"> {{field-on:bible}}Wenn ich nicht gekommen wäre und nicht </w:t>
      </w:r>
      <w:r>
        <w:rPr>
          <w:b/>
          <w:color w:val="808080"/>
        </w:rPr>
        <w:t>[</w:t>
      </w:r>
      <w:r>
        <w:rPr/>
        <w:t>zu</w:t>
      </w:r>
      <w:r>
        <w:rPr>
          <w:b/>
          <w:color w:val="808080"/>
        </w:rPr>
        <w:t>]</w:t>
      </w:r>
      <w:r>
        <w:rPr/>
        <w:t xml:space="preserve"> ihnen gesprochen hätte, dann hätten sie keine Sünde. Nun aber habe sie keinen Vorwand </w:t>
      </w:r>
      <w:r>
        <w:rPr>
          <w:color w:val="808080"/>
        </w:rPr>
        <w:t>(keine Entschuldigung, keinen Grund)</w:t>
      </w:r>
      <w:r>
        <w:rPr/>
        <w:t xml:space="preserve"> für ihre Sünde.{{field-off:bible}} </w:t>
        <w:br/>
        <w:t>[[@BibleTOBIBLE:Jn 15:23]]</w:t>
      </w:r>
      <w:r>
        <w:rPr>
          <w:b/>
        </w:rPr>
        <w:t>23</w:t>
      </w:r>
      <w:r>
        <w:rPr/>
        <w:t xml:space="preserve"> {{field-on:bible}}Wer mich haßt, haßt auch meinen Vater.{{field-off:bible}} </w:t>
        <w:br/>
        <w:t>[[@BibleTOBIBLE:Jn 15:24]]</w:t>
      </w:r>
      <w:r>
        <w:rPr>
          <w:b/>
        </w:rPr>
        <w:t>24</w:t>
      </w:r>
      <w:r>
        <w:rPr/>
        <w:t xml:space="preserve"> {{field-on:bible}}Wenn ich nicht </w:t>
      </w:r>
      <w:r>
        <w:rPr>
          <w:strike/>
          <w:color w:val="808080"/>
        </w:rPr>
        <w:t>{die}</w:t>
      </w:r>
      <w:r>
        <w:rPr/>
        <w:t xml:space="preserve"> Werke bei </w:t>
      </w:r>
      <w:r>
        <w:rPr>
          <w:color w:val="808080"/>
        </w:rPr>
        <w:t>(unter)</w:t>
      </w:r>
      <w:r>
        <w:rPr/>
        <w:t xml:space="preserve"> ihnen getan </w:t>
      </w:r>
      <w:r>
        <w:rPr>
          <w:color w:val="808080"/>
        </w:rPr>
        <w:t>(gewirkt, vollbracht)</w:t>
      </w:r>
      <w:r>
        <w:rPr/>
        <w:t xml:space="preserve"> hätte, die kein anderer getan </w:t>
      </w:r>
      <w:r>
        <w:rPr>
          <w:color w:val="808080"/>
        </w:rPr>
        <w:t>(gewirkt, vollbracht)</w:t>
      </w:r>
      <w:r>
        <w:rPr/>
        <w:t xml:space="preserve"> hat, hätten sie keine Sünde. Nun aber haben sie </w:t>
      </w:r>
      <w:r>
        <w:rPr>
          <w:b/>
          <w:color w:val="808080"/>
        </w:rPr>
        <w:t>[</w:t>
      </w:r>
      <w:r>
        <w:rPr/>
        <w:t>die Werke</w:t>
      </w:r>
      <w:r>
        <w:rPr>
          <w:b/>
          <w:color w:val="808080"/>
        </w:rPr>
        <w:t>]</w:t>
      </w:r>
      <w:r>
        <w:rPr/>
        <w:t xml:space="preserve"> gesehen und hassen </w:t>
      </w:r>
      <w:r>
        <w:rPr>
          <w:color w:val="808080"/>
        </w:rPr>
        <w:t>(haben)</w:t>
      </w:r>
      <w:r>
        <w:rPr/>
        <w:t xml:space="preserve"> sowohl mich als auch meinen Vater </w:t>
      </w:r>
      <w:r>
        <w:rPr>
          <w:color w:val="808080"/>
        </w:rPr>
        <w:t>(gehaßt)</w:t>
      </w:r>
      <w:r>
        <w:rPr/>
        <w:t xml:space="preserve">.{{field-off:bible}} </w:t>
        <w:br/>
        <w:t>[[@BibleTOBIBLE:Jn 15:25]]</w:t>
      </w:r>
      <w:r>
        <w:rPr>
          <w:b/>
        </w:rPr>
        <w:t>25</w:t>
      </w:r>
      <w:r>
        <w:rPr/>
        <w:t xml:space="preserve"> {{field-on:bible}}Aber </w:t>
      </w:r>
      <w:r>
        <w:rPr>
          <w:b/>
          <w:color w:val="808080"/>
        </w:rPr>
        <w:t>[</w:t>
      </w:r>
      <w:r>
        <w:rPr/>
        <w:t>das geschieht</w:t>
      </w:r>
      <w:r>
        <w:rPr>
          <w:b/>
          <w:color w:val="808080"/>
        </w:rPr>
        <w:t>]</w:t>
      </w:r>
      <w:r>
        <w:rPr/>
        <w:t xml:space="preserve">, damit das Wort, das in ihrem Gesetz geschrieben steht, erfüllt werde </w:t>
      </w:r>
      <w:r>
        <w:rPr>
          <w:strike/>
          <w:color w:val="808080"/>
        </w:rPr>
        <w:t>{, daß}</w:t>
      </w:r>
      <w:r>
        <w:rPr/>
        <w:t>: Sie hassten mich ohne Grund.</w:t>
      </w:r>
      <w:r>
        <w:rPr>
          <w:rStyle w:val="Funotenanker"/>
        </w:rPr>
        <w:footnoteReference w:customMarkFollows="1" w:id="5110"/>
        <w:t>b</w:t>
      </w:r>
      <w:r>
        <w:rPr/>
        <w:t xml:space="preserve"> {{field-off:bible}}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5111"/>
        <w:t>c</w:t>
      </w:r>
      <w:r>
        <w:rPr/>
        <w:t xml:space="preserve"> kommen wird, den ich euch senden werde vom Vater, der Geist der Wahrheit</w:t>
      </w:r>
      <w:r>
        <w:rPr>
          <w:rStyle w:val="Funotenanker"/>
        </w:rPr>
        <w:footnoteReference w:customMarkFollows="1" w:id="5112"/>
        <w:t>d</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5113"/>
        <w:t>e</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5114"/>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5115"/>
        <w:t>a</w:t>
      </w:r>
      <w:r>
        <w:rPr/>
        <w:t xml:space="preserve"> die Zeit kommen, dass jeder, der euch tötet, meint, Gott einen Dienst</w:t>
      </w:r>
      <w:r>
        <w:rPr>
          <w:rStyle w:val="Funotenanker"/>
        </w:rPr>
        <w:footnoteReference w:customMarkFollows="1" w:id="5116"/>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5117"/>
        <w:t>c</w:t>
      </w:r>
      <w:r>
        <w:rPr/>
        <w:t xml:space="preserve"> habe ich euch dies gesagt, damit, wenn die Zeit dafür kommt, ihr euch daran erinnert, dass ich es euch sagte. Dies habe ich euch am Anfang nicht gesagt, weil ich bei euch war.{{field-off:bible}} </w:t>
        <w:br/>
        <w:t>[[@BibleTOBIBLE:Jn 16:5]]</w:t>
      </w:r>
      <w:r>
        <w:rPr>
          <w:b/>
        </w:rPr>
        <w:t>5</w:t>
      </w:r>
      <w:r>
        <w:rPr/>
        <w:t xml:space="preserve"> {{field-on:bible}}Jetzt aber gehe ich </w:t>
      </w:r>
      <w:r>
        <w:rPr>
          <w:color w:val="808080"/>
        </w:rPr>
        <w:t>(hin, weg)</w:t>
      </w:r>
      <w:r>
        <w:rPr/>
        <w:t xml:space="preserve"> zu dem, der mich gesandt hat, und keiner von </w:t>
      </w:r>
      <w:r>
        <w:rPr>
          <w:color w:val="808080"/>
        </w:rPr>
        <w:t>(aus)</w:t>
      </w:r>
      <w:r>
        <w:rPr/>
        <w:t xml:space="preserve"> Euch fragt mich: Wohin gehst Du </w:t>
      </w:r>
      <w:r>
        <w:rPr>
          <w:color w:val="808080"/>
        </w:rPr>
        <w:t>(weg)</w:t>
      </w:r>
      <w:r>
        <w:rPr/>
        <w:t xml:space="preserve">?{{field-off:bible}} </w:t>
        <w:br/>
        <w:t>[[@BibleTOBIBLE:Jn 16:6]]</w:t>
      </w:r>
      <w:r>
        <w:rPr>
          <w:b/>
        </w:rPr>
        <w:t>6</w:t>
      </w:r>
      <w:r>
        <w:rPr/>
        <w:t xml:space="preserve"> {{field-on:bible}}Aber weil ich dies </w:t>
      </w:r>
      <w:r>
        <w:rPr>
          <w:color w:val="808080"/>
        </w:rPr>
        <w:t>(diese Dinge)</w:t>
      </w:r>
      <w:r>
        <w:rPr/>
        <w:t xml:space="preserve"> Euch gesagt habe, hat die Trauer Euer Herz erfüllt.{{field-off:bible}} </w:t>
        <w:br/>
        <w:t>[[@BibleTOBIBLE:Jn 16:7]]</w:t>
      </w:r>
      <w:r>
        <w:rPr>
          <w:b/>
        </w:rPr>
        <w:t>7</w:t>
      </w:r>
      <w:r>
        <w:rPr/>
        <w:t xml:space="preserve"> {{field-on:bible}}Aber ich sage Euch die Wahrheit: Es nützt Euch, daß ich weggehe. Denn wenn ich nicht weggehe, wird der Tröster </w:t>
      </w:r>
      <w:r>
        <w:rPr>
          <w:color w:val="808080"/>
        </w:rPr>
        <w:t>(Mahner, Beistand)</w:t>
      </w:r>
      <w:r>
        <w:rPr/>
        <w:t xml:space="preserve"> nicht zu Euch kommen. Wenn ich aber gehe, werde ich ihn zu Euch senden.{{field-off:bible}} </w:t>
        <w:br/>
        <w:t>[[@BibleTOBIBLE:Jn 16:8]]</w:t>
      </w:r>
      <w:r>
        <w:rPr>
          <w:b/>
        </w:rPr>
        <w:t>8</w:t>
      </w:r>
      <w:r>
        <w:rPr/>
        <w:t xml:space="preserve"> {{field-on:bible}}Und wenn er </w:t>
      </w:r>
      <w:r>
        <w:rPr>
          <w:color w:val="808080"/>
        </w:rPr>
        <w:t>(jener)</w:t>
      </w:r>
      <w:r>
        <w:rPr/>
        <w:t xml:space="preserve"> gekommen ist </w:t>
      </w:r>
      <w:r>
        <w:rPr>
          <w:color w:val="808080"/>
        </w:rPr>
        <w:t>(kommt)</w:t>
      </w:r>
      <w:r>
        <w:rPr/>
        <w:t xml:space="preserve">, wird er die Welt bloßstellen </w:t>
      </w:r>
      <w:r>
        <w:rPr>
          <w:color w:val="808080"/>
        </w:rPr>
        <w:t>(überführen, zurechtweisen)</w:t>
      </w:r>
      <w:r>
        <w:rPr/>
        <w:t xml:space="preserve"> in Bezug auf </w:t>
      </w:r>
      <w:r>
        <w:rPr>
          <w:color w:val="808080"/>
        </w:rPr>
        <w:t>(über)</w:t>
      </w:r>
      <w:r>
        <w:rPr/>
        <w:t xml:space="preserve"> Sünde und in Bezug auf </w:t>
      </w:r>
      <w:r>
        <w:rPr>
          <w:color w:val="808080"/>
        </w:rPr>
        <w:t>(über)</w:t>
      </w:r>
      <w:r>
        <w:rPr/>
        <w:t xml:space="preserve"> Gerechtigkeit und in Bezug </w:t>
      </w:r>
      <w:r>
        <w:rPr>
          <w:color w:val="808080"/>
        </w:rPr>
        <w:t>(über)</w:t>
      </w:r>
      <w:r>
        <w:rPr/>
        <w:t xml:space="preserve"> auf </w:t>
      </w:r>
      <w:r>
        <w:rPr>
          <w:b/>
          <w:color w:val="808080"/>
        </w:rPr>
        <w:t>[</w:t>
      </w:r>
      <w:r>
        <w:rPr/>
        <w:t>das</w:t>
      </w:r>
      <w:r>
        <w:rPr>
          <w:b/>
          <w:color w:val="808080"/>
        </w:rPr>
        <w:t>]</w:t>
      </w:r>
      <w:r>
        <w:rPr/>
        <w:t xml:space="preserve"> Gericht.{{field-off:bible}} </w:t>
        <w:br/>
        <w:t>[[@BibleTOBIBLE:Jn 16:9]]</w:t>
      </w:r>
      <w:r>
        <w:rPr>
          <w:b/>
        </w:rPr>
        <w:t>9</w:t>
      </w:r>
      <w:r>
        <w:rPr/>
        <w:t xml:space="preserve"> {{field-on:bible}}In Bezug auf </w:t>
      </w:r>
      <w:r>
        <w:rPr>
          <w:color w:val="808080"/>
        </w:rPr>
        <w:t>(Über)</w:t>
      </w:r>
      <w:r>
        <w:rPr/>
        <w:t xml:space="preserve"> Sünde </w:t>
      </w:r>
      <w:r>
        <w:rPr>
          <w:strike/>
          <w:color w:val="808080"/>
        </w:rPr>
        <w:t>{zwar}</w:t>
      </w:r>
      <w:r>
        <w:rPr/>
        <w:t xml:space="preserve">, weil sie nicht an mich glauben.{{field-off:bible}} </w:t>
        <w:br/>
        <w:t>[[@BibleTOBIBLE:Jn 16:10]]</w:t>
      </w:r>
      <w:r>
        <w:rPr>
          <w:b/>
        </w:rPr>
        <w:t>10</w:t>
      </w:r>
      <w:r>
        <w:rPr/>
        <w:t xml:space="preserve"> {{field-on:bible}}In Bezug auf </w:t>
      </w:r>
      <w:r>
        <w:rPr>
          <w:color w:val="808080"/>
        </w:rPr>
        <w:t>(Über)</w:t>
      </w:r>
      <w:r>
        <w:rPr/>
        <w:t xml:space="preserve"> Gerechtigkeit aber, weil ich zum Vater gehe </w:t>
      </w:r>
      <w:r>
        <w:rPr>
          <w:color w:val="808080"/>
        </w:rPr>
        <w:t>(weggehe, hingehe)</w:t>
      </w:r>
      <w:r>
        <w:rPr/>
        <w:t xml:space="preserve"> und Ihr mich nicht mehr seht.{{field-off:bible}} </w:t>
        <w:br/>
        <w:t>[[@BibleTOBIBLE:Jn 16:11]]</w:t>
      </w:r>
      <w:r>
        <w:rPr>
          <w:b/>
        </w:rPr>
        <w:t>11</w:t>
      </w:r>
      <w:r>
        <w:rPr/>
        <w:t xml:space="preserve"> {{field-on:bible}}In Bezug auf </w:t>
      </w:r>
      <w:r>
        <w:rPr>
          <w:color w:val="808080"/>
        </w:rPr>
        <w:t>(Über)</w:t>
      </w:r>
      <w:r>
        <w:rPr/>
        <w:t xml:space="preserve"> </w:t>
      </w:r>
      <w:r>
        <w:rPr>
          <w:b/>
          <w:color w:val="808080"/>
        </w:rPr>
        <w:t>[</w:t>
      </w:r>
      <w:r>
        <w:rPr/>
        <w:t>das</w:t>
      </w:r>
      <w:r>
        <w:rPr>
          <w:b/>
          <w:color w:val="808080"/>
        </w:rPr>
        <w:t>]</w:t>
      </w:r>
      <w:r>
        <w:rPr/>
        <w:t xml:space="preserve"> Gericht aber, weil der Herrscher dieser Welt gerichtet </w:t>
      </w:r>
      <w:r>
        <w:rPr>
          <w:color w:val="808080"/>
        </w:rPr>
        <w:t>(worden)</w:t>
      </w:r>
      <w:r>
        <w:rPr/>
        <w:t xml:space="preserve"> ist.{{field-off:bible}} </w:t>
        <w:br/>
        <w:t>[[@BibleTOBIBLE:Jn 16:12]]</w:t>
      </w:r>
      <w:r>
        <w:rPr>
          <w:b/>
        </w:rPr>
        <w:t>12</w:t>
      </w:r>
      <w:r>
        <w:rPr/>
        <w:t xml:space="preserve"> {{field-on:bible}}Noch viel </w:t>
      </w:r>
      <w:r>
        <w:rPr>
          <w:color w:val="808080"/>
        </w:rPr>
        <w:t>(viele Dinge)</w:t>
      </w:r>
      <w:r>
        <w:rPr/>
        <w:t xml:space="preserve"> habe ich Euch zu sagen, aber jetzt könnte Ihr es </w:t>
      </w:r>
      <w:r>
        <w:rPr>
          <w:color w:val="808080"/>
        </w:rPr>
        <w:t>(sie)</w:t>
      </w:r>
      <w:r>
        <w:rPr/>
        <w:t xml:space="preserve"> nicht ertragen </w:t>
      </w:r>
      <w:r>
        <w:rPr>
          <w:color w:val="808080"/>
        </w:rPr>
        <w:t>(tragen)</w:t>
      </w:r>
      <w:r>
        <w:rPr/>
        <w:t xml:space="preserve">.{{field-off:bible}} </w:t>
        <w:br/>
        <w:t>[[@BibleTOBIBLE:Jn 16:13]]</w:t>
      </w:r>
      <w:r>
        <w:rPr>
          <w:b/>
        </w:rPr>
        <w:t>13</w:t>
      </w:r>
      <w:r>
        <w:rPr/>
        <w:t xml:space="preserve"> {{field-on:bible}}Wenn aber jener </w:t>
      </w:r>
      <w:r>
        <w:rPr>
          <w:color w:val="808080"/>
        </w:rPr>
        <w:t>(er aber)</w:t>
      </w:r>
      <w:r>
        <w:rPr/>
        <w:t xml:space="preserve"> kommt </w:t>
      </w:r>
      <w:r>
        <w:rPr>
          <w:color w:val="808080"/>
        </w:rPr>
        <w:t>(gekommen ist)</w:t>
      </w:r>
      <w:r>
        <w:rPr/>
        <w:t xml:space="preserve">, der Geist der Wahrheit, wird er Euch in der ganzen Wahrheit führen, nicht nämlich er wird von sich </w:t>
      </w:r>
      <w:r>
        <w:rPr>
          <w:b/>
          <w:color w:val="808080"/>
        </w:rPr>
        <w:t>[</w:t>
      </w:r>
      <w:r>
        <w:rPr/>
        <w:t>aus</w:t>
      </w:r>
      <w:r>
        <w:rPr>
          <w:b/>
          <w:color w:val="808080"/>
        </w:rPr>
        <w:t>]</w:t>
      </w:r>
      <w:r>
        <w:rPr/>
        <w:t xml:space="preserve"> sprechen, sondern was </w:t>
      </w:r>
      <w:r>
        <w:rPr>
          <w:color w:val="808080"/>
        </w:rPr>
        <w:t>(wieviele Dinge)</w:t>
      </w:r>
      <w:r>
        <w:rPr/>
        <w:t xml:space="preserve"> er hören wird, wird er sprechen, und was kommen wird </w:t>
      </w:r>
      <w:r>
        <w:rPr>
          <w:color w:val="808080"/>
        </w:rPr>
        <w:t>(die Dinge, die kommen werden)</w:t>
      </w:r>
      <w:r>
        <w:rPr/>
        <w:t xml:space="preserve">, wird er Euch verkündigen </w:t>
      </w:r>
      <w:r>
        <w:rPr>
          <w:color w:val="808080"/>
        </w:rPr>
        <w:t>(ankündigen)</w:t>
      </w:r>
      <w:r>
        <w:rPr/>
        <w:t xml:space="preserve">.{{field-off:bible}} </w:t>
        <w:br/>
        <w:t>[[@BibleTOBIBLE:Jn 16:14]]</w:t>
      </w:r>
      <w:r>
        <w:rPr>
          <w:b/>
        </w:rPr>
        <w:t>14</w:t>
      </w:r>
      <w:r>
        <w:rPr/>
        <w:t xml:space="preserve"> {{field-on:bible}}Jener </w:t>
      </w:r>
      <w:r>
        <w:rPr>
          <w:color w:val="808080"/>
        </w:rPr>
        <w:t>(Er)</w:t>
      </w:r>
      <w:r>
        <w:rPr/>
        <w:t xml:space="preserve"> wird mich verherrlichen, weil er von </w:t>
      </w:r>
      <w:r>
        <w:rPr>
          <w:color w:val="808080"/>
        </w:rPr>
        <w:t>(aus)</w:t>
      </w:r>
      <w:r>
        <w:rPr/>
        <w:t xml:space="preserve"> dem Meinen nehmen und Euch verkündigen wird.{{field-off:bible}} </w:t>
        <w:br/>
        <w:t>[[@BibleTOBIBLE:Jn 16:15]]</w:t>
      </w:r>
      <w:r>
        <w:rPr>
          <w:b/>
        </w:rPr>
        <w:t>15</w:t>
      </w:r>
      <w:r>
        <w:rPr/>
        <w:t xml:space="preserve"> {{field-on:bible}}Alles, was </w:t>
      </w:r>
      <w:r>
        <w:rPr>
          <w:color w:val="808080"/>
        </w:rPr>
        <w:t>(Alle Dinge, die)</w:t>
      </w:r>
      <w:r>
        <w:rPr/>
        <w:t xml:space="preserve"> der Vater hat, ist mein </w:t>
      </w:r>
      <w:r>
        <w:rPr>
          <w:color w:val="808080"/>
        </w:rPr>
        <w:t>(sind meine)</w:t>
      </w:r>
      <w:r>
        <w:rPr/>
        <w:t xml:space="preserve">. Deshalb habe ich gesagt, daß er von </w:t>
      </w:r>
      <w:r>
        <w:rPr>
          <w:color w:val="808080"/>
        </w:rPr>
        <w:t>(aus)</w:t>
      </w:r>
      <w:r>
        <w:rPr/>
        <w:t xml:space="preserve"> dem Meinen nimmt und Euch verkündigen wird.{{field-off:bible}}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16:17]]</w:t>
      </w:r>
      <w:r>
        <w:rPr>
          <w:b/>
        </w:rPr>
        <w:t>17</w:t>
      </w:r>
      <w:r>
        <w:rPr/>
        <w:t xml:space="preserve"> {{field-on:bible}}Es sagten also </w:t>
      </w:r>
      <w:r>
        <w:rPr>
          <w:b/>
          <w:color w:val="808080"/>
        </w:rPr>
        <w:t>[</w:t>
      </w:r>
      <w:r>
        <w:rPr/>
        <w:t>einige</w:t>
      </w:r>
      <w:r>
        <w:rPr>
          <w:b/>
          <w:color w:val="808080"/>
        </w:rPr>
        <w:t>]</w:t>
      </w:r>
      <w:r>
        <w:rPr/>
        <w:t xml:space="preserve"> von </w:t>
      </w:r>
      <w:r>
        <w:rPr>
          <w:color w:val="808080"/>
        </w:rPr>
        <w:t>(aus)</w:t>
      </w:r>
      <w:r>
        <w:rPr/>
        <w:t xml:space="preserve"> seinen Jüngern zueinander: Was bedeutet </w:t>
      </w:r>
      <w:r>
        <w:rPr>
          <w:color w:val="808080"/>
        </w:rPr>
        <w:t>(ist)</w:t>
      </w:r>
      <w:r>
        <w:rPr/>
        <w:t xml:space="preserve"> das </w:t>
      </w:r>
      <w:r>
        <w:rPr>
          <w:color w:val="808080"/>
        </w:rPr>
        <w:t>(dieses)</w:t>
      </w:r>
      <w:r>
        <w:rPr/>
        <w:t xml:space="preserve">, was er uns sagt?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 Und: </w:t>
      </w:r>
      <w:r>
        <w:rPr>
          <w:strike/>
          <w:color w:val="808080"/>
        </w:rPr>
        <w:t>{Daß}</w:t>
      </w:r>
      <w:r>
        <w:rPr/>
        <w:t xml:space="preserve"> Ich </w:t>
      </w:r>
      <w:r>
        <w:rPr>
          <w:color w:val="808080"/>
        </w:rPr>
        <w:t>(Denn ich)</w:t>
      </w:r>
      <w:r>
        <w:rPr/>
        <w:t xml:space="preserve"> gehe </w:t>
      </w:r>
      <w:r>
        <w:rPr>
          <w:color w:val="808080"/>
        </w:rPr>
        <w:t>(weg, hin)</w:t>
      </w:r>
      <w:r>
        <w:rPr/>
        <w:t xml:space="preserve"> zum Vater?{{field-off:bible}} </w:t>
        <w:br/>
        <w:t>[[@BibleTOBIBLE:Jn 16:18]]</w:t>
      </w:r>
      <w:r>
        <w:rPr>
          <w:b/>
        </w:rPr>
        <w:t>18</w:t>
      </w:r>
      <w:r>
        <w:rPr/>
        <w:t xml:space="preserve"> {{field-on:bible}}Sie sagten also: „Was bedeutet </w:t>
      </w:r>
      <w:r>
        <w:rPr>
          <w:color w:val="808080"/>
        </w:rPr>
        <w:t>(ist)</w:t>
      </w:r>
      <w:r>
        <w:rPr/>
        <w:t xml:space="preserve"> das </w:t>
      </w:r>
      <w:r>
        <w:rPr>
          <w:color w:val="808080"/>
        </w:rPr>
        <w:t>(dieses)</w:t>
      </w:r>
      <w:r>
        <w:rPr/>
        <w:t xml:space="preserve">, was er sagt: »eine kleine Weile </w:t>
      </w:r>
      <w:r>
        <w:rPr>
          <w:color w:val="808080"/>
        </w:rPr>
        <w:t>(ein wenig, ein kurzes)</w:t>
      </w:r>
      <w:r>
        <w:rPr/>
        <w:t>«</w:t>
      </w:r>
      <w:r>
        <w:rPr>
          <w:rStyle w:val="Funotenanker"/>
        </w:rPr>
        <w:footnoteReference w:customMarkFollows="1" w:id="5118"/>
        <w:t>d</w:t>
      </w:r>
      <w:r>
        <w:rPr/>
        <w:t xml:space="preserve"> Wir verstehen </w:t>
      </w:r>
      <w:r>
        <w:rPr>
          <w:color w:val="808080"/>
        </w:rPr>
        <w:t>(wissen)</w:t>
      </w:r>
      <w:r>
        <w:rPr/>
        <w:t xml:space="preserve"> nicht, was er sagt.“{{field-off:bible}} </w:t>
        <w:br/>
        <w:t>[[@BibleTOBIBLE:Jn 16:19]]</w:t>
      </w:r>
      <w:r>
        <w:rPr>
          <w:b/>
        </w:rPr>
        <w:t>19</w:t>
      </w:r>
      <w:r>
        <w:rPr/>
        <w:t xml:space="preserve"> {{field-on:bible}}Jesus erkannte </w:t>
      </w:r>
      <w:r>
        <w:rPr>
          <w:color w:val="808080"/>
        </w:rPr>
        <w:t>(merkte, wußte)</w:t>
      </w:r>
      <w:r>
        <w:rPr/>
        <w:t xml:space="preserve">, daß sie ihn fragen wollten, und er sagte ihnen: Über das </w:t>
      </w:r>
      <w:r>
        <w:rPr>
          <w:color w:val="808080"/>
        </w:rPr>
        <w:t>(dieses)</w:t>
      </w:r>
      <w:r>
        <w:rPr/>
        <w:t xml:space="preserve"> denkt </w:t>
      </w:r>
      <w:r>
        <w:rPr>
          <w:color w:val="808080"/>
        </w:rPr>
        <w:t>(forscht)</w:t>
      </w:r>
      <w:r>
        <w:rPr/>
        <w:t xml:space="preserve"> Ihr miteinander nach, daß ich gesagt habe: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sehen?{{field-off:bible}} </w:t>
        <w:br/>
        <w:t>[[@BibleTOBIBLE:Jn 16:20]]</w:t>
      </w:r>
      <w:r>
        <w:rPr>
          <w:b/>
        </w:rPr>
        <w:t>20</w:t>
      </w:r>
      <w:r>
        <w:rPr/>
        <w:t xml:space="preserve"> {{field-on:bible}}Amen, Amen </w:t>
      </w:r>
      <w:r>
        <w:rPr>
          <w:color w:val="808080"/>
        </w:rPr>
        <w:t>(Wahrlich, wahrlich)</w:t>
      </w:r>
      <w:r>
        <w:rPr/>
        <w:t xml:space="preserve">, ich sage Euch: </w:t>
      </w:r>
      <w:r>
        <w:rPr>
          <w:strike/>
          <w:color w:val="808080"/>
        </w:rPr>
        <w:t>{daß}</w:t>
      </w:r>
      <w:r>
        <w:rPr/>
        <w:t xml:space="preserve"> Ihr werdet weinen und klagen </w:t>
      </w:r>
      <w:r>
        <w:rPr>
          <w:color w:val="808080"/>
        </w:rPr>
        <w:t>(wehklagen, jammern)</w:t>
      </w:r>
      <w:r>
        <w:rPr/>
        <w:t xml:space="preserve">, die Welt aber wird sich freuen. Ihr werdet trauern, aber Eure Trauer wird in Freude verwandelt werden </w:t>
      </w:r>
      <w:r>
        <w:rPr>
          <w:color w:val="808080"/>
        </w:rPr>
        <w:t>(zu Freude werden)</w:t>
      </w:r>
      <w:r>
        <w:rPr/>
        <w:t xml:space="preserve">.{{field-off:bible}}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br/>
        <w:t>[[@BibleTOBIBLE:Jn 16:23]]</w:t>
      </w:r>
      <w:r>
        <w:rPr>
          <w:b/>
        </w:rPr>
        <w:t>23</w:t>
      </w:r>
      <w:r>
        <w:rPr/>
        <w:t xml:space="preserve"> {{field-on:bible}}Und an jenem Tag werdet Ihr mich nichts fragen </w:t>
      </w:r>
      <w:r>
        <w:rPr>
          <w:color w:val="808080"/>
        </w:rPr>
        <w:t>(bitten)</w:t>
      </w:r>
      <w:r>
        <w:rPr/>
        <w:t xml:space="preserve">. Amen, Amen </w:t>
      </w:r>
      <w:r>
        <w:rPr>
          <w:color w:val="808080"/>
        </w:rPr>
        <w:t>(Wahrlich, wahrlich)</w:t>
      </w:r>
      <w:r>
        <w:rPr/>
        <w:t xml:space="preserve">, ich sage Euch, wenn Ihr etwas den Vater in meinem Namen bittet, wird er </w:t>
      </w:r>
      <w:r>
        <w:rPr>
          <w:b/>
          <w:color w:val="808080"/>
        </w:rPr>
        <w:t>[</w:t>
      </w:r>
      <w:r>
        <w:rPr/>
        <w:t>es</w:t>
      </w:r>
      <w:r>
        <w:rPr>
          <w:b/>
          <w:color w:val="808080"/>
        </w:rPr>
        <w:t>]</w:t>
      </w:r>
      <w:r>
        <w:rPr/>
        <w:t xml:space="preserve"> Euch geben</w:t>
      </w:r>
      <w:r>
        <w:rPr>
          <w:rStyle w:val="Funotenanker"/>
        </w:rPr>
        <w:footnoteReference w:customMarkFollows="1" w:id="5119"/>
        <w:t>e</w:t>
      </w:r>
      <w:r>
        <w:rPr/>
        <w:t xml:space="preserve">.{{field-off:bible}} </w:t>
        <w:br/>
        <w:t>[[@BibleTOBIBLE:Jn 16:24]]</w:t>
      </w:r>
      <w:r>
        <w:rPr>
          <w:b/>
        </w:rPr>
        <w:t>24</w:t>
      </w:r>
      <w:r>
        <w:rPr/>
        <w:t xml:space="preserve"> {{field-on:bible}}Bis jetzt habt Ihr nichts in meinem Namen erbeten. Bittet und Ihr werdet empfangen, damit Eure Freude vollständig sei.{{field-off:bible}} </w:t>
        <w:br/>
        <w:t>[[@BibleTOBIBLE:Jn 16:25]]</w:t>
      </w:r>
      <w:r>
        <w:rPr>
          <w:b/>
        </w:rPr>
        <w:t>25</w:t>
      </w:r>
      <w:r>
        <w:rPr/>
        <w:t xml:space="preserve"> {{field-on:bible}}Dies </w:t>
      </w:r>
      <w:r>
        <w:rPr>
          <w:color w:val="808080"/>
        </w:rPr>
        <w:t>(Diese Dinge)</w:t>
      </w:r>
      <w:r>
        <w:rPr/>
        <w:t xml:space="preserve"> habe ich Euch in verhüllter Rede </w:t>
      </w:r>
      <w:r>
        <w:rPr>
          <w:color w:val="808080"/>
        </w:rPr>
        <w:t>(Rätselreden, Sprichwörtern)</w:t>
      </w:r>
      <w:r>
        <w:rPr/>
        <w:t xml:space="preserve"> gesagt </w:t>
      </w:r>
      <w:r>
        <w:rPr>
          <w:color w:val="808080"/>
        </w:rPr>
        <w:t>(geredet)</w:t>
      </w:r>
      <w:r>
        <w:rPr/>
        <w:t xml:space="preserve">. Es kommt eine Stunde, in der </w:t>
      </w:r>
      <w:r>
        <w:rPr>
          <w:color w:val="808080"/>
        </w:rPr>
        <w:t>(wann, da)</w:t>
      </w:r>
      <w:r>
        <w:rPr/>
        <w:t xml:space="preserve"> ich nicht mehr in verhüllter Rede </w:t>
      </w:r>
      <w:r>
        <w:rPr>
          <w:color w:val="808080"/>
        </w:rPr>
        <w:t>(Rätselreden, Sprichwörtern)</w:t>
      </w:r>
      <w:r>
        <w:rPr/>
        <w:t xml:space="preserve"> zu Euch sprechen </w:t>
      </w:r>
      <w:r>
        <w:rPr>
          <w:color w:val="808080"/>
        </w:rPr>
        <w:t>(reden)</w:t>
      </w:r>
      <w:r>
        <w:rPr/>
        <w:t xml:space="preserve">, sondern Euch offen </w:t>
      </w:r>
      <w:r>
        <w:rPr>
          <w:color w:val="808080"/>
        </w:rPr>
        <w:t>(freimütig, mit Offenheit, mit Freimütigkeit)</w:t>
      </w:r>
      <w:r>
        <w:rPr/>
        <w:t xml:space="preserve"> über den Vater berichten </w:t>
      </w:r>
      <w:r>
        <w:rPr>
          <w:color w:val="808080"/>
        </w:rPr>
        <w:t>(verkündigen)</w:t>
      </w:r>
      <w:r>
        <w:rPr/>
        <w:t xml:space="preserve"> werde.{{field-off:bible}} </w:t>
        <w:br/>
        <w:t>[[@BibleTOBIBLE:Jn 16:26]]</w:t>
      </w:r>
      <w:r>
        <w:rPr>
          <w:b/>
        </w:rPr>
        <w:t>26</w:t>
      </w:r>
      <w:r>
        <w:rPr/>
        <w:t xml:space="preserve"> {{field-on:bible}}An jenem Tag werdet Ihr in meinem Namen bitten, und ich sage Euch nicht, daß ich den Vater für </w:t>
      </w:r>
      <w:r>
        <w:rPr>
          <w:color w:val="808080"/>
        </w:rPr>
        <w:t>(über)</w:t>
      </w:r>
      <w:r>
        <w:rPr/>
        <w:t xml:space="preserve"> Euch bitten </w:t>
      </w:r>
      <w:r>
        <w:rPr>
          <w:color w:val="808080"/>
        </w:rPr>
        <w:t>(fragen)</w:t>
      </w:r>
      <w:r>
        <w:rPr/>
        <w:t xml:space="preserve"> werde.{{field-off:bible}} </w:t>
        <w:br/>
        <w:t>[[@BibleTOBIBLE:Jn 16:27]]</w:t>
      </w:r>
      <w:r>
        <w:rPr>
          <w:b/>
        </w:rPr>
        <w:t>27</w:t>
      </w:r>
      <w:r>
        <w:rPr/>
        <w:t xml:space="preserve"> {{field-on:bible}}Der Vater selbst nämlich liebt Euch, weil Ihr mich geliebt habt und geglaubt habt, daß ich von Gott ausgegangen </w:t>
      </w:r>
      <w:r>
        <w:rPr>
          <w:color w:val="808080"/>
        </w:rPr>
        <w:t>(herausgekommen)</w:t>
      </w:r>
      <w:r>
        <w:rPr/>
        <w:t xml:space="preserve"> bin.{{field-off:bible}} </w:t>
        <w:br/>
        <w:t>[[@BibleTOBIBLE:Jn 16:28]]</w:t>
      </w:r>
      <w:r>
        <w:rPr>
          <w:b/>
        </w:rPr>
        <w:t>28</w:t>
      </w:r>
      <w:r>
        <w:rPr/>
        <w:t xml:space="preserve"> {{field-on:bible}}Ich bin vom Vater ausgegangen </w:t>
      </w:r>
      <w:r>
        <w:rPr>
          <w:color w:val="808080"/>
        </w:rPr>
        <w:t>(herausgekommen)</w:t>
      </w:r>
      <w:r>
        <w:rPr/>
        <w:t xml:space="preserve"> und in die Welt gekommen. Wiederum verlasse ich die Welt und gehe zum Vater.{{field-off:bible}} </w:t>
        <w:br/>
        <w:t>[[@BibleTOBIBLE:Jn 16:29]]</w:t>
      </w:r>
      <w:r>
        <w:rPr>
          <w:b/>
        </w:rPr>
        <w:t>29</w:t>
      </w:r>
      <w:r>
        <w:rPr/>
        <w:t xml:space="preserve"> {{field-on:bible}}Seine Jünger sagen: Sieh, jetzt redest Du offen </w:t>
      </w:r>
      <w:r>
        <w:rPr>
          <w:color w:val="808080"/>
        </w:rPr>
        <w:t>(freimütig, in Offenheit, in Freimütigkeit)</w:t>
      </w:r>
      <w:r>
        <w:rPr/>
        <w:t xml:space="preserve"> und keine verhüllte Rede </w:t>
      </w:r>
      <w:r>
        <w:rPr>
          <w:color w:val="808080"/>
        </w:rPr>
        <w:t>(Rätselrede, Sprichwort)</w:t>
      </w:r>
      <w:r>
        <w:rPr/>
        <w:t xml:space="preserve"> sprichst </w:t>
      </w:r>
      <w:r>
        <w:rPr>
          <w:color w:val="808080"/>
        </w:rPr>
        <w:t>(redest)</w:t>
      </w:r>
      <w:r>
        <w:rPr/>
        <w:t xml:space="preserve"> Du.{{field-off:bible}} </w:t>
        <w:br/>
        <w:t>[[@BibleTOBIBLE:Jn 16:30]]</w:t>
      </w:r>
      <w:r>
        <w:rPr>
          <w:b/>
        </w:rPr>
        <w:t>30</w:t>
      </w:r>
      <w:r>
        <w:rPr/>
        <w:t xml:space="preserve"> {{field-on:bible}}Jetzt wissen wir, daß Du alles </w:t>
      </w:r>
      <w:r>
        <w:rPr>
          <w:color w:val="808080"/>
        </w:rPr>
        <w:t>(alle Dinge)</w:t>
      </w:r>
      <w:r>
        <w:rPr/>
        <w:t xml:space="preserve"> weißt und es nicht nötig hast, daß einer Dich fragt </w:t>
      </w:r>
      <w:r>
        <w:rPr>
          <w:color w:val="808080"/>
        </w:rPr>
        <w:t>(bittet)</w:t>
      </w:r>
      <w:r>
        <w:rPr/>
        <w:t xml:space="preserve">. Deshalb </w:t>
      </w:r>
      <w:r>
        <w:rPr>
          <w:color w:val="808080"/>
        </w:rPr>
        <w:t>(Darin)</w:t>
      </w:r>
      <w:r>
        <w:rPr/>
        <w:t xml:space="preserve"> glauben wir, daß Du von Gott ausgegangen </w:t>
      </w:r>
      <w:r>
        <w:rPr>
          <w:color w:val="808080"/>
        </w:rPr>
        <w:t>(herausgekommen)</w:t>
      </w:r>
      <w:r>
        <w:rPr/>
        <w:t xml:space="preserve"> bist.{{field-off:bible}} </w:t>
        <w:br/>
        <w:t>[[@BibleTOBIBLE:Jn 16:31]]</w:t>
      </w:r>
      <w:r>
        <w:rPr>
          <w:b/>
        </w:rPr>
        <w:t>31</w:t>
      </w:r>
      <w:r>
        <w:rPr/>
        <w:t xml:space="preserve"> {{field-on:bible}}Jesus antwortete ihnen: Jetzt glaubt Ihr?{{field-off:bible}} </w:t>
        <w:br/>
        <w:t>[[@BibleTOBIBLE:Jn 16:32]]</w:t>
      </w:r>
      <w:r>
        <w:rPr>
          <w:b/>
        </w:rPr>
        <w:t>32</w:t>
      </w:r>
      <w:r>
        <w:rPr/>
        <w:t xml:space="preserve"> {{field-on:bible}}Sieh, es kommt eine Stunde, und sie ist gekommen, in der </w:t>
      </w:r>
      <w:r>
        <w:rPr>
          <w:color w:val="808080"/>
        </w:rPr>
        <w:t>(dass)</w:t>
      </w:r>
      <w:r>
        <w:rPr/>
        <w:t xml:space="preserve"> ihr zerstreut werdet, jeder in das Eigene, und mich allein laßt. Aber </w:t>
      </w:r>
      <w:r>
        <w:rPr>
          <w:color w:val="808080"/>
        </w:rPr>
        <w:t>(Und)</w:t>
      </w:r>
      <w:r>
        <w:rPr/>
        <w:t xml:space="preserve"> ich bin nicht allein, weil der Vater mit mir ist.{{field-off:bible}} </w:t>
        <w:br/>
        <w:t>[[@BibleTOBIBLE:Jn 16:33]]</w:t>
      </w:r>
      <w:r>
        <w:rPr>
          <w:b/>
        </w:rPr>
        <w:t>33</w:t>
      </w:r>
      <w:r>
        <w:rPr/>
        <w:t xml:space="preserve"> {{field-on:bible}}Dies </w:t>
      </w:r>
      <w:r>
        <w:rPr>
          <w:color w:val="808080"/>
        </w:rPr>
        <w:t>(Diese Dinge)</w:t>
      </w:r>
      <w:r>
        <w:rPr/>
        <w:t xml:space="preserve"> habe ich Euch gesagt, damit Ihr in mir Frieden habt. In der Welt habt Ihr Kummer </w:t>
      </w:r>
      <w:r>
        <w:rPr>
          <w:color w:val="808080"/>
        </w:rPr>
        <w:t>(Leid, Bedrängnis)</w:t>
      </w:r>
      <w:r>
        <w:rPr/>
        <w:t xml:space="preserve">, aber seid zuversichtlich </w:t>
      </w:r>
      <w:r>
        <w:rPr>
          <w:color w:val="808080"/>
        </w:rPr>
        <w:t>(guten Muts)</w:t>
      </w:r>
      <w:r>
        <w:rPr/>
        <w:t xml:space="preserve">, ich habe die Welt besiegt.{{field-off:bible}}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5120"/>
        <w:t>Status</w:t>
      </w:r>
      <w:r>
        <w:rPr/>
        <w:t xml:space="preserve"> Dies </w:t>
      </w:r>
      <w:r>
        <w:rPr>
          <w:color w:val="808080"/>
        </w:rPr>
        <w:t>(Diese Dinge)</w:t>
      </w:r>
      <w:r>
        <w:rPr/>
        <w:t xml:space="preserve"> sagte Jesus, und indem er seine Augen zum </w:t>
      </w:r>
      <w:r>
        <w:rPr>
          <w:color w:val="808080"/>
        </w:rPr>
        <w:t>(in den)</w:t>
      </w:r>
      <w:r>
        <w:rPr/>
        <w:t xml:space="preserve"> Himmel erhob, sprach er: Vater, die Stunde ist gekommen. Verherrliche Deinen Sohn, damit der Sohn Dich verherrlicht.{{field-off:bible}} </w:t>
        <w:br/>
        <w:t>[[@BibleTOBIBLE:Jn 17:2]]</w:t>
      </w:r>
      <w:r>
        <w:rPr>
          <w:b/>
        </w:rPr>
        <w:t>2</w:t>
      </w:r>
      <w:r>
        <w:rPr/>
        <w:t xml:space="preserve"> {{field-on:bible}}Wie </w:t>
      </w:r>
      <w:r>
        <w:rPr>
          <w:color w:val="808080"/>
        </w:rPr>
        <w:t>(Sowie)</w:t>
      </w:r>
      <w:r>
        <w:rPr/>
        <w:t xml:space="preserve"> Du ihm Vollmacht </w:t>
      </w:r>
      <w:r>
        <w:rPr>
          <w:color w:val="808080"/>
        </w:rPr>
        <w:t>(Macht, Gewalt)</w:t>
      </w:r>
      <w:r>
        <w:rPr/>
        <w:t xml:space="preserve"> über alles Fleisch </w:t>
      </w:r>
      <w:r>
        <w:rPr>
          <w:color w:val="808080"/>
        </w:rPr>
        <w:t>(allen Fleisches)</w:t>
      </w:r>
      <w:r>
        <w:rPr/>
        <w:t xml:space="preserve"> gegeben hast, damit er allen, die </w:t>
      </w:r>
      <w:r>
        <w:rPr>
          <w:color w:val="808080"/>
        </w:rPr>
        <w:t>(jeden, den)</w:t>
      </w:r>
      <w:r>
        <w:rPr/>
        <w:t xml:space="preserve"> Du ihm gegeben hast, ewiges Leben </w:t>
      </w:r>
      <w:r>
        <w:rPr>
          <w:strike/>
          <w:color w:val="808080"/>
        </w:rPr>
        <w:t>{ihnen}</w:t>
      </w:r>
      <w:r>
        <w:rPr/>
        <w:t xml:space="preserve"> gebe.{{field-off:bible}} </w:t>
        <w:br/>
        <w:t>[[@BibleTOBIBLE:Jn 17:3]]</w:t>
      </w:r>
      <w:r>
        <w:rPr>
          <w:b/>
        </w:rPr>
        <w:t>3</w:t>
      </w:r>
      <w:r>
        <w:rPr/>
        <w:t xml:space="preserve"> {{field-on:bible}}Dies aber ist das ewige Leben, daß sie Dich, den einzigen wahren Gott kennen </w:t>
      </w:r>
      <w:r>
        <w:rPr>
          <w:color w:val="808080"/>
        </w:rPr>
        <w:t>(erkennen)</w:t>
      </w:r>
      <w:r>
        <w:rPr/>
        <w:t xml:space="preserve"> und den Du gesandt hast, Jesus Christus.{{field-off:bible}} </w:t>
        <w:br/>
        <w:t>[[@BibleTOBIBLE:Jn 17:4]]</w:t>
      </w:r>
      <w:r>
        <w:rPr>
          <w:b/>
        </w:rPr>
        <w:t>4</w:t>
      </w:r>
      <w:r>
        <w:rPr/>
        <w:t xml:space="preserve"> {{field-on:bible}}Ich habe Dich auf der Erde verherrlicht, indem ich das Werk vollendet habe, das Du mir gegeben hast, damit ich es tue.{{field-off:bible}} </w:t>
        <w:br/>
        <w:t>[[@BibleTOBIBLE:Jn 17:5]]</w:t>
      </w:r>
      <w:r>
        <w:rPr>
          <w:b/>
        </w:rPr>
        <w:t>5</w:t>
      </w:r>
      <w:r>
        <w:rPr/>
        <w:t xml:space="preserve"> {{field-on:bible}}Und jetzt verherrliche Du mich, Vater, bei Dir selbst mit der Herrlichkeit </w:t>
      </w:r>
      <w:r>
        <w:rPr>
          <w:color w:val="808080"/>
        </w:rPr>
        <w:t>(Ehre)</w:t>
      </w:r>
      <w:r>
        <w:rPr/>
        <w:t>, die ich bei Dir hatte, bevor die Welt war.</w:t>
      </w:r>
      <w:r>
        <w:rPr>
          <w:rStyle w:val="Funotenanker"/>
        </w:rPr>
        <w:footnoteReference w:customMarkFollows="1" w:id="5121"/>
        <w:t>a</w:t>
      </w:r>
      <w:r>
        <w:rPr/>
        <w:t xml:space="preserve"> {{field-off:bible}} </w:t>
        <w:br/>
        <w:t>[[@BibleTOBIBLE:Jn 17:6]]</w:t>
      </w:r>
      <w:r>
        <w:rPr>
          <w:b/>
        </w:rPr>
        <w:t>6</w:t>
      </w:r>
      <w:r>
        <w:rPr/>
        <w:t xml:space="preserve"> {{field-on:bible}}Ich habe Deinen Namen den Menschen offenbar gemacht, die Du mir aus der Welt gegeben hast. Dein waren sie und mir hast Du sie gegeben, und Dein Wort haben Sie bewahrt.{{field-off:bible}} </w:t>
        <w:br/>
        <w:t>[[@BibleTOBIBLE:Jn 17:7]]</w:t>
      </w:r>
      <w:r>
        <w:rPr>
          <w:b/>
        </w:rPr>
        <w:t>7</w:t>
      </w:r>
      <w:r>
        <w:rPr/>
        <w:t xml:space="preserve"> {{field-on:bible}}Jetzt haben sie erkannt </w:t>
      </w:r>
      <w:r>
        <w:rPr>
          <w:color w:val="808080"/>
        </w:rPr>
        <w:t>(wissen sie)</w:t>
      </w:r>
      <w:r>
        <w:rPr/>
        <w:t xml:space="preserve">, daß alles, was Du mir gegeben hast, von Dir ist.{{field-off:bible}} </w:t>
        <w:br/>
        <w:t>[[@BibleTOBIBLE:Jn 17:8]]</w:t>
      </w:r>
      <w:r>
        <w:rPr>
          <w:b/>
        </w:rPr>
        <w:t>8</w:t>
      </w:r>
      <w:r>
        <w:rPr/>
        <w:t xml:space="preserve"> {{field-on:bible}}Denn die Worte, die Du mir gegeben hast, habe ich ihnen gegeben, und sie nahmen </w:t>
      </w:r>
      <w:r>
        <w:rPr>
          <w:b/>
          <w:color w:val="808080"/>
        </w:rPr>
        <w:t>[</w:t>
      </w:r>
      <w:r>
        <w:rPr/>
        <w:t>sie</w:t>
      </w:r>
      <w:r>
        <w:rPr>
          <w:b/>
          <w:color w:val="808080"/>
        </w:rPr>
        <w:t>]</w:t>
      </w:r>
      <w:r>
        <w:rPr/>
        <w:t xml:space="preserve"> an und erkannten wahrhaftig </w:t>
      </w:r>
      <w:r>
        <w:rPr>
          <w:color w:val="808080"/>
        </w:rPr>
        <w:t>(wirklich)</w:t>
      </w:r>
      <w:r>
        <w:rPr/>
        <w:t xml:space="preserve">, daß ich von Dir ausgegangen bin, und sie haben geglaubt, daß Du mich gesandt hast.{{field-off:bible}} </w:t>
        <w:br/>
        <w:t>[[@BibleTOBIBLE:Jn 17:9]]</w:t>
      </w:r>
      <w:r>
        <w:rPr>
          <w:b/>
        </w:rPr>
        <w:t>9</w:t>
      </w:r>
      <w:r>
        <w:rPr/>
        <w:t xml:space="preserve"> {{field-on:bible}}Ich bitte für sie: Nicht für die Welt bitte ich, sondern für die, die Du mir gegeben hast, weil sie Dein sind,{{field-off:bible}} </w:t>
        <w:br/>
        <w:t>[[@BibleTOBIBLE:Jn 17:10]]</w:t>
      </w:r>
      <w:r>
        <w:rPr>
          <w:b/>
        </w:rPr>
        <w:t>10</w:t>
      </w:r>
      <w:r>
        <w:rPr/>
        <w:t xml:space="preserve"> {{field-on:bible}}und alles, was mein </w:t>
      </w:r>
      <w:r>
        <w:rPr>
          <w:b/>
          <w:color w:val="808080"/>
        </w:rPr>
        <w:t>[</w:t>
      </w:r>
      <w:r>
        <w:rPr/>
        <w:t>ist</w:t>
      </w:r>
      <w:r>
        <w:rPr>
          <w:b/>
          <w:color w:val="808080"/>
        </w:rPr>
        <w:t>]</w:t>
      </w:r>
      <w:r>
        <w:rPr/>
        <w:t xml:space="preserve">, Dein ist, und das Deine mein, und ich in ihnen verherrlicht </w:t>
      </w:r>
      <w:r>
        <w:rPr>
          <w:color w:val="808080"/>
        </w:rPr>
        <w:t>(worden)</w:t>
      </w:r>
      <w:r>
        <w:rPr/>
        <w:t xml:space="preserve"> bin.{{field-off:bible}} </w:t>
        <w:br/>
        <w:t>[[@BibleTOBIBLE:Jn 17:11]]</w:t>
      </w:r>
      <w:r>
        <w:rPr>
          <w:b/>
        </w:rPr>
        <w:t>11</w:t>
      </w:r>
      <w:r>
        <w:rPr/>
        <w:t xml:space="preserve"> {{field-on:bible}}Und nicht mehr bin ich in der Welt, und sie sind in der Welt, und ich gehe </w:t>
      </w:r>
      <w:r>
        <w:rPr>
          <w:color w:val="808080"/>
        </w:rPr>
        <w:t>(komme)</w:t>
      </w:r>
      <w:r>
        <w:rPr/>
        <w:t xml:space="preserve"> zu Dir. Heiliger Vater, bewahre sie in Deinem Namen, den Du mir gegeben hast, damit sie eins sind wie wir.{{field-off:bible}} </w:t>
        <w:br/>
        <w:t>[[@BibleTOBIBLE:Jn 17:12]]</w:t>
      </w:r>
      <w:r>
        <w:rPr>
          <w:b/>
        </w:rPr>
        <w:t>12</w:t>
      </w:r>
      <w:r>
        <w:rPr/>
        <w:t xml:space="preserve"> {{field-on:bible}}Solange ich in mit ihnen war, habe ich sie in dem Namen bewahrt, den Du mir gegeben hast, und ich habe gewacht </w:t>
      </w:r>
      <w:r>
        <w:rPr>
          <w:color w:val="808080"/>
        </w:rPr>
        <w:t>(</w:t>
      </w:r>
      <w:r>
        <w:rPr>
          <w:b/>
          <w:color w:val="808080"/>
        </w:rPr>
        <w:t>[</w:t>
      </w:r>
      <w:r>
        <w:rPr>
          <w:color w:val="808080"/>
        </w:rPr>
        <w:t>sie</w:t>
      </w:r>
      <w:r>
        <w:rPr>
          <w:b/>
          <w:color w:val="808080"/>
        </w:rPr>
        <w:t>]</w:t>
      </w:r>
      <w:r>
        <w:rPr>
          <w:color w:val="808080"/>
        </w:rPr>
        <w:t xml:space="preserve"> beschützt)</w:t>
      </w:r>
      <w:r>
        <w:rPr/>
        <w:t xml:space="preserve">, und keiner von </w:t>
      </w:r>
      <w:r>
        <w:rPr>
          <w:color w:val="808080"/>
        </w:rPr>
        <w:t>(aus)</w:t>
      </w:r>
      <w:r>
        <w:rPr/>
        <w:t xml:space="preserve"> ihnen ging verloren </w:t>
      </w:r>
      <w:r>
        <w:rPr>
          <w:color w:val="808080"/>
        </w:rPr>
        <w:t>(zugrunde)</w:t>
      </w:r>
      <w:r>
        <w:rPr/>
        <w:t xml:space="preserve">, außer dem Sohn der Verlorenheit </w:t>
      </w:r>
      <w:r>
        <w:rPr>
          <w:color w:val="808080"/>
        </w:rPr>
        <w:t>(des Verderbens)</w:t>
      </w:r>
      <w:r>
        <w:rPr/>
        <w:t xml:space="preserve">, damit die Schrift erfüllt werde.{{field-off:bible}} </w:t>
        <w:br/>
        <w:t>[[@BibleTOBIBLE:Jn 17:13]]</w:t>
      </w:r>
      <w:r>
        <w:rPr>
          <w:b/>
        </w:rPr>
        <w:t>13</w:t>
      </w:r>
      <w:r>
        <w:rPr/>
        <w:t xml:space="preserve"> {{field-on:bible}}Jetzt aber komme </w:t>
      </w:r>
      <w:r>
        <w:rPr>
          <w:color w:val="808080"/>
        </w:rPr>
        <w:t>(gehe)</w:t>
      </w:r>
      <w:r>
        <w:rPr/>
        <w:t xml:space="preserve"> ich zu Dir, und dies </w:t>
      </w:r>
      <w:r>
        <w:rPr>
          <w:color w:val="808080"/>
        </w:rPr>
        <w:t>(diese Dinge)</w:t>
      </w:r>
      <w:r>
        <w:rPr/>
        <w:t xml:space="preserve"> sage ich in der Welt, damit sie meine Freude in sich vollkommen </w:t>
      </w:r>
      <w:r>
        <w:rPr>
          <w:color w:val="808080"/>
        </w:rPr>
        <w:t>(erfüllt)</w:t>
      </w:r>
      <w:r>
        <w:rPr/>
        <w:t xml:space="preserve"> haben.{{field-off:bible}} </w:t>
        <w:br/>
        <w:t>[[@BibleTOBIBLE:Jn 17:14]]</w:t>
      </w:r>
      <w:r>
        <w:rPr>
          <w:b/>
        </w:rPr>
        <w:t>14</w:t>
      </w:r>
      <w:r>
        <w:rPr/>
        <w:t xml:space="preserve"> {{field-on:bible}}Ich habe ihnen Dein Wort gegeben, und die Welt hat sie gehaßt, weil sie nicht aus </w:t>
      </w:r>
      <w:r>
        <w:rPr>
          <w:color w:val="808080"/>
        </w:rPr>
        <w:t>(von)</w:t>
      </w:r>
      <w:r>
        <w:rPr/>
        <w:t xml:space="preserve"> der Welt sind, wie </w:t>
      </w:r>
      <w:r>
        <w:rPr>
          <w:b/>
          <w:color w:val="808080"/>
        </w:rPr>
        <w:t>[</w:t>
      </w:r>
      <w:r>
        <w:rPr/>
        <w:t>auch</w:t>
      </w:r>
      <w:r>
        <w:rPr>
          <w:b/>
          <w:color w:val="808080"/>
        </w:rPr>
        <w:t>]</w:t>
      </w:r>
      <w:r>
        <w:rPr/>
        <w:t xml:space="preserve"> ich nicht aus </w:t>
      </w:r>
      <w:r>
        <w:rPr>
          <w:color w:val="808080"/>
        </w:rPr>
        <w:t>(von)</w:t>
      </w:r>
      <w:r>
        <w:rPr/>
        <w:t xml:space="preserve"> der Welt bin.{{field-off:bible}} </w:t>
        <w:br/>
        <w:t>[[@BibleTOBIBLE:Jn 17:15]]</w:t>
      </w:r>
      <w:r>
        <w:rPr>
          <w:b/>
        </w:rPr>
        <w:t>15</w:t>
      </w:r>
      <w:r>
        <w:rPr/>
        <w:t xml:space="preserve"> {{field-on:bible}}Nicht bitte ich </w:t>
      </w:r>
      <w:r>
        <w:rPr>
          <w:b/>
          <w:color w:val="808080"/>
        </w:rPr>
        <w:t>[</w:t>
      </w:r>
      <w:r>
        <w:rPr/>
        <w:t>darum</w:t>
      </w:r>
      <w:r>
        <w:rPr>
          <w:b/>
          <w:color w:val="808080"/>
        </w:rPr>
        <w:t>]</w:t>
      </w:r>
      <w:r>
        <w:rPr/>
        <w:t xml:space="preserve">, daß Du sie aus der Welt nimmst, sondern daß Du sie bewahrst vor </w:t>
      </w:r>
      <w:r>
        <w:rPr>
          <w:color w:val="808080"/>
        </w:rPr>
        <w:t>(aus)</w:t>
      </w:r>
      <w:r>
        <w:rPr/>
        <w:t xml:space="preserve"> dem Bösen </w:t>
      </w:r>
      <w:r>
        <w:rPr>
          <w:color w:val="808080"/>
        </w:rPr>
        <w:t>(Schlechten)</w:t>
      </w:r>
      <w:r>
        <w:rPr/>
        <w:t xml:space="preserve">.{{field-off:bible}} </w:t>
        <w:br/>
        <w:t>[[@BibleTOBIBLE:Jn 17:16]]</w:t>
      </w:r>
      <w:r>
        <w:rPr>
          <w:b/>
        </w:rPr>
        <w:t>16</w:t>
      </w:r>
      <w:r>
        <w:rPr/>
        <w:t xml:space="preserve"> {{field-on:bible}}Aus </w:t>
      </w:r>
      <w:r>
        <w:rPr>
          <w:color w:val="808080"/>
        </w:rPr>
        <w:t>(Von)</w:t>
      </w:r>
      <w:r>
        <w:rPr/>
        <w:t xml:space="preserve"> der Welt sind sie nicht, wie ich nicht aus </w:t>
      </w:r>
      <w:r>
        <w:rPr>
          <w:color w:val="808080"/>
        </w:rPr>
        <w:t>(von)</w:t>
      </w:r>
      <w:r>
        <w:rPr/>
        <w:t xml:space="preserve"> der Welt bin.{{field-off:bible}} </w:t>
        <w:br/>
        <w:t>[[@BibleTOBIBLE:Jn 17:17]]</w:t>
      </w:r>
      <w:r>
        <w:rPr>
          <w:b/>
        </w:rPr>
        <w:t>17</w:t>
      </w:r>
      <w:r>
        <w:rPr/>
        <w:t xml:space="preserve"> {{field-on:bible}}Heilige sie in der Wahrheit: Dein Wort ist Wahrheit.{{field-off:bible}} </w:t>
        <w:br/>
        <w:t>[[@BibleTOBIBLE:Jn 17:18]]</w:t>
      </w:r>
      <w:r>
        <w:rPr>
          <w:b/>
        </w:rPr>
        <w:t>18</w:t>
      </w:r>
      <w:r>
        <w:rPr/>
        <w:t xml:space="preserve"> {{field-on:bible}}Wie Du mich in die Welt gesandt hast, </w:t>
      </w:r>
      <w:r>
        <w:rPr>
          <w:b/>
          <w:color w:val="808080"/>
        </w:rPr>
        <w:t>[</w:t>
      </w:r>
      <w:r>
        <w:rPr/>
        <w:t>so</w:t>
      </w:r>
      <w:r>
        <w:rPr>
          <w:b/>
          <w:color w:val="808080"/>
        </w:rPr>
        <w:t>]</w:t>
      </w:r>
      <w:r>
        <w:rPr/>
        <w:t xml:space="preserve"> habe auch ich sie in die Welt gesandt.{{field-off:bible}} </w:t>
        <w:br/>
        <w:t>[[@BibleTOBIBLE:Jn 17:19]]</w:t>
      </w:r>
      <w:r>
        <w:rPr>
          <w:b/>
        </w:rPr>
        <w:t>19</w:t>
      </w:r>
      <w:r>
        <w:rPr/>
        <w:t xml:space="preserve"> {{field-on:bible}}Und für sie heilige ich mich selbst, damit auch sie in Wahrheit geheiligt seien.{{field-off:bible}}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5122"/>
        <w:t>b</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5123"/>
        <w:t>c</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5124"/>
        <w:t>d</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5125"/>
        <w:t>e</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5126"/>
        <w:t>f</w:t>
      </w:r>
      <w:r>
        <w:rPr/>
        <w:t xml:space="preserve"> </w:t>
      </w:r>
      <w:r>
        <w:rPr>
          <w:b/>
          <w:color w:val="808080"/>
        </w:rPr>
        <w:t>[</w:t>
      </w:r>
      <w:r>
        <w:rPr/>
        <w:t>der</w:t>
      </w:r>
      <w:r>
        <w:rPr>
          <w:b/>
          <w:color w:val="808080"/>
        </w:rPr>
        <w:t>]</w:t>
      </w:r>
      <w:r>
        <w:rPr/>
        <w:t xml:space="preserve"> Welt</w:t>
      </w:r>
      <w:r>
        <w:rPr>
          <w:rStyle w:val="Funotenanker"/>
        </w:rPr>
        <w:footnoteReference w:customMarkFollows="1" w:id="5127"/>
        <w:t>g</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5128"/>
        <w:t>h</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5129"/>
        <w:t>Status</w:t>
      </w:r>
      <w:r>
        <w:rPr/>
        <w:t xml:space="preserve"> Nachdem </w:t>
      </w:r>
      <w:r>
        <w:rPr>
          <w:color w:val="808080"/>
        </w:rPr>
        <w:t>(als)</w:t>
      </w:r>
      <w:r>
        <w:rPr/>
        <w:t xml:space="preserve"> Jesus das gesagt hatte,</w:t>
      </w:r>
      <w:r>
        <w:rPr>
          <w:rStyle w:val="Funotenanker"/>
        </w:rPr>
        <w:footnoteReference w:customMarkFollows="1" w:id="5130"/>
        <w:t>a</w:t>
      </w:r>
      <w:r>
        <w:rPr/>
        <w:t xml:space="preserve"> ging er mit seinen Jüngern hinaus, auf die andere Seite </w:t>
      </w:r>
      <w:r>
        <w:rPr>
          <w:color w:val="808080"/>
        </w:rPr>
        <w:t>(über, durch)</w:t>
      </w:r>
      <w:r>
        <w:rPr/>
        <w:t xml:space="preserve"> des Kidrontals</w:t>
      </w:r>
      <w:r>
        <w:rPr>
          <w:rStyle w:val="Funotenanker"/>
        </w:rPr>
        <w:footnoteReference w:customMarkFollows="1" w:id="5131"/>
        <w:t>b</w:t>
      </w:r>
      <w:r>
        <w:rPr/>
        <w:t xml:space="preserve">, wo ein Olivenhain </w:t>
      </w:r>
      <w:r>
        <w:rPr>
          <w:color w:val="808080"/>
        </w:rPr>
        <w:t>(Garten)</w:t>
      </w:r>
      <w:r>
        <w:rPr/>
        <w:t xml:space="preserve"> </w:t>
      </w:r>
      <w:r>
        <w:rPr>
          <w:rStyle w:val="Funotenanker"/>
        </w:rPr>
        <w:footnoteReference w:customMarkFollows="1" w:id="5132"/>
        <w:t>c</w:t>
      </w:r>
      <w:r>
        <w:rPr/>
        <w:t xml:space="preserve"> war, in den er und seine Jünger hineingingen</w:t>
      </w:r>
      <w:r>
        <w:rPr>
          <w:rStyle w:val="Funotenanker"/>
        </w:rPr>
        <w:footnoteReference w:customMarkFollows="1" w:id="5133"/>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5134"/>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5135"/>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5136"/>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5137"/>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5138"/>
        <w:t>i</w:t>
      </w:r>
      <w:r>
        <w:rPr/>
        <w:t xml:space="preserve"> kam</w:t>
      </w:r>
      <w:r>
        <w:rPr>
          <w:rStyle w:val="Funotenanker"/>
        </w:rPr>
        <w:footnoteReference w:customMarkFollows="1" w:id="5139"/>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5140"/>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5141"/>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5142"/>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5143"/>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5144"/>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5145"/>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5146"/>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5147"/>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5148"/>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5149"/>
        <w:t>t</w:t>
      </w:r>
      <w:r>
        <w:rPr/>
        <w:t xml:space="preserve"> {{field-off:bible}} </w:t>
        <w:br/>
        <w:t>[[@BibleTOBIBLE:Jn 18:15]]</w:t>
      </w:r>
      <w:r>
        <w:rPr>
          <w:b/>
        </w:rPr>
        <w:t>15</w:t>
      </w:r>
      <w:r>
        <w:rPr/>
        <w:t xml:space="preserve"> {{field-on:bible}} </w:t>
      </w:r>
      <w:r>
        <w:rPr>
          <w:b/>
          <w:color w:val="808080"/>
        </w:rPr>
        <w:t>[</w:t>
      </w:r>
      <w:r>
        <w:rPr/>
        <w:t>Es</w:t>
      </w:r>
      <w:r>
        <w:rPr>
          <w:b/>
          <w:color w:val="808080"/>
        </w:rPr>
        <w:t>]</w:t>
      </w:r>
      <w:r>
        <w:rPr/>
        <w:t xml:space="preserve"> folgte aber dem Jesus Simon Petrus und ein anderer Jünger. Jener Jünger aber war dem Hohenpriester bekannt und ging zusammen mit </w:t>
      </w:r>
      <w:r>
        <w:rPr>
          <w:strike/>
          <w:color w:val="808080"/>
        </w:rPr>
        <w:t>{dem}</w:t>
      </w:r>
      <w:r>
        <w:rPr/>
        <w:t xml:space="preserve"> Jesus in den Hof des Hohenpriesters.{{field-off:bible}} </w:t>
        <w:br/>
        <w:t>[[@BibleTOBIBLE:Jn 18:16]]</w:t>
      </w:r>
      <w:r>
        <w:rPr>
          <w:b/>
        </w:rPr>
        <w:t>16</w:t>
      </w:r>
      <w:r>
        <w:rPr/>
        <w:t xml:space="preserve"> {{field-on:bible}} </w:t>
      </w:r>
      <w:r>
        <w:rPr>
          <w:strike/>
          <w:color w:val="808080"/>
        </w:rPr>
        <w:t>{Der}</w:t>
      </w:r>
      <w:r>
        <w:rPr/>
        <w:t xml:space="preserve"> Petrus aber stand draußen bei der Tür. </w:t>
      </w:r>
      <w:r>
        <w:rPr>
          <w:b/>
          <w:color w:val="808080"/>
        </w:rPr>
        <w:t>[</w:t>
      </w:r>
      <w:r>
        <w:rPr/>
        <w:t>Es</w:t>
      </w:r>
      <w:r>
        <w:rPr>
          <w:b/>
          <w:color w:val="808080"/>
        </w:rPr>
        <w:t>]</w:t>
      </w:r>
      <w:r>
        <w:rPr/>
        <w:t xml:space="preserve"> kam also der andere Jünger, der Bekannte des Hohenpriesters, heraus und sprach </w:t>
      </w:r>
      <w:r>
        <w:rPr>
          <w:b/>
          <w:color w:val="808080"/>
        </w:rPr>
        <w:t>[</w:t>
      </w:r>
      <w:r>
        <w:rPr/>
        <w:t>mit</w:t>
      </w:r>
      <w:r>
        <w:rPr>
          <w:b/>
          <w:color w:val="808080"/>
        </w:rPr>
        <w:t>]</w:t>
      </w:r>
      <w:r>
        <w:rPr/>
        <w:t xml:space="preserve"> der Türhüterin und führte </w:t>
      </w:r>
      <w:r>
        <w:rPr>
          <w:strike/>
          <w:color w:val="808080"/>
        </w:rPr>
        <w:t>{den}</w:t>
      </w:r>
      <w:r>
        <w:rPr/>
        <w:t xml:space="preserve"> Petrus hinein.{{field-off:bible}} </w:t>
        <w:br/>
        <w:t>[[@BibleTOBIBLE:Jn 18:17]]</w:t>
      </w:r>
      <w:r>
        <w:rPr>
          <w:b/>
        </w:rPr>
        <w:t>17</w:t>
      </w:r>
      <w:r>
        <w:rPr/>
        <w:t xml:space="preserve"> {{field-on:bible}}Die Magd, die Türhüterin sagt also zu </w:t>
      </w:r>
      <w:r>
        <w:rPr>
          <w:strike/>
          <w:color w:val="808080"/>
        </w:rPr>
        <w:t>{dem}</w:t>
      </w:r>
      <w:r>
        <w:rPr/>
        <w:t xml:space="preserve"> Petrus: Bist nicht </w:t>
      </w:r>
      <w:r>
        <w:rPr>
          <w:color w:val="808080"/>
        </w:rPr>
        <w:t>(etwa)</w:t>
      </w:r>
      <w:r>
        <w:rPr/>
        <w:t xml:space="preserve"> auch Du einer der Jünger </w:t>
      </w:r>
      <w:r>
        <w:rPr>
          <w:color w:val="808080"/>
        </w:rPr>
        <w:t>(aus den Jüngern)</w:t>
      </w:r>
      <w:r>
        <w:rPr/>
        <w:t xml:space="preserve"> dieses Menschen? Sagt jener: </w:t>
      </w:r>
      <w:r>
        <w:rPr>
          <w:b/>
          <w:color w:val="808080"/>
        </w:rPr>
        <w:t>[</w:t>
      </w:r>
      <w:r>
        <w:rPr/>
        <w:t>Das</w:t>
      </w:r>
      <w:r>
        <w:rPr>
          <w:b/>
          <w:color w:val="808080"/>
        </w:rPr>
        <w:t>]</w:t>
      </w:r>
      <w:r>
        <w:rPr/>
        <w:t xml:space="preserve"> bin ich nicht.{{field-off:bible}} </w:t>
        <w:br/>
        <w:t>[[@BibleTOBIBLE:Jn 18:18]]</w:t>
      </w:r>
      <w:r>
        <w:rPr>
          <w:b/>
        </w:rPr>
        <w:t>18</w:t>
      </w:r>
      <w:r>
        <w:rPr/>
        <w:t xml:space="preserve"> {{field-on:bible}} </w:t>
      </w:r>
      <w:r>
        <w:rPr>
          <w:b/>
          <w:color w:val="808080"/>
        </w:rPr>
        <w:t>[</w:t>
      </w:r>
      <w:r>
        <w:rPr/>
        <w:t>Es</w:t>
      </w:r>
      <w:r>
        <w:rPr>
          <w:b/>
          <w:color w:val="808080"/>
        </w:rPr>
        <w:t>]</w:t>
      </w:r>
      <w:r>
        <w:rPr/>
        <w:t xml:space="preserve"> standen </w:t>
      </w:r>
      <w:r>
        <w:rPr>
          <w:b/>
          <w:color w:val="808080"/>
        </w:rPr>
        <w:t>[</w:t>
      </w:r>
      <w:r>
        <w:rPr/>
        <w:t>da</w:t>
      </w:r>
      <w:r>
        <w:rPr>
          <w:b/>
          <w:color w:val="808080"/>
        </w:rPr>
        <w:t>]</w:t>
      </w:r>
      <w:r>
        <w:rPr/>
        <w:t xml:space="preserve"> aber die Knechte und Diener, die ein Kohlfeuer gemacht hatten, weil es kalt war, und wärmten sich. </w:t>
      </w:r>
      <w:r>
        <w:rPr>
          <w:b/>
          <w:color w:val="808080"/>
        </w:rPr>
        <w:t>[</w:t>
      </w:r>
      <w:r>
        <w:rPr/>
        <w:t>Es</w:t>
      </w:r>
      <w:r>
        <w:rPr>
          <w:b/>
          <w:color w:val="808080"/>
        </w:rPr>
        <w:t>]</w:t>
      </w:r>
      <w:r>
        <w:rPr/>
        <w:t xml:space="preserve"> stand aber auch </w:t>
      </w:r>
      <w:r>
        <w:rPr>
          <w:strike/>
          <w:color w:val="808080"/>
        </w:rPr>
        <w:t>{der}</w:t>
      </w:r>
      <w:r>
        <w:rPr/>
        <w:t xml:space="preserve"> Petrus bei </w:t>
      </w:r>
      <w:r>
        <w:rPr>
          <w:color w:val="808080"/>
        </w:rPr>
        <w:t>(mit)</w:t>
      </w:r>
      <w:r>
        <w:rPr/>
        <w:t xml:space="preserve"> ihnen und wärmte sich.{{field-off:bible}} </w:t>
        <w:br/>
        <w:t>[[@BibleTOBIBLE:Jn 18:19]]</w:t>
      </w:r>
      <w:r>
        <w:rPr>
          <w:b/>
        </w:rPr>
        <w:t>19</w:t>
      </w:r>
      <w:r>
        <w:rPr/>
        <w:t xml:space="preserve"> {{field-on:bible}}Der Hohepriester also fragte </w:t>
      </w:r>
      <w:r>
        <w:rPr>
          <w:strike/>
          <w:color w:val="808080"/>
        </w:rPr>
        <w:t>{den}</w:t>
      </w:r>
      <w:r>
        <w:rPr/>
        <w:t xml:space="preserve"> Jesus über seine Jünger und über seine Lehre.{{field-off:bible}} </w:t>
        <w:br/>
        <w:t>[[@BibleTOBIBLE:Jn 18:20]]</w:t>
      </w:r>
      <w:r>
        <w:rPr>
          <w:b/>
        </w:rPr>
        <w:t>20</w:t>
      </w:r>
      <w:r>
        <w:rPr/>
        <w:t xml:space="preserve"> {{field-on:bible}}Jesus antwortete ihm: Ich habe öffentlich </w:t>
      </w:r>
      <w:r>
        <w:rPr>
          <w:color w:val="808080"/>
        </w:rPr>
        <w:t>(offen, mit Offenheit)</w:t>
      </w:r>
      <w:r>
        <w:rPr/>
        <w:t xml:space="preserve"> zur Welt gesprochen </w:t>
      </w:r>
      <w:r>
        <w:rPr>
          <w:color w:val="808080"/>
        </w:rPr>
        <w:t>(geredet)</w:t>
      </w:r>
      <w:r>
        <w:rPr/>
        <w:t xml:space="preserve">. Ich habe immer in einer Synagoge und im Tempel gelehrt, wo alle </w:t>
      </w:r>
      <w:r>
        <w:rPr>
          <w:strike/>
          <w:color w:val="808080"/>
        </w:rPr>
        <w:t>{die}</w:t>
      </w:r>
      <w:r>
        <w:rPr/>
        <w:t xml:space="preserve"> Juden zusammenkommen, und im Geheimen </w:t>
      </w:r>
      <w:r>
        <w:rPr>
          <w:color w:val="808080"/>
        </w:rPr>
        <w:t>(Verborgenen)</w:t>
      </w:r>
      <w:r>
        <w:rPr/>
        <w:t xml:space="preserve"> habe ich nichts gesprochen </w:t>
      </w:r>
      <w:r>
        <w:rPr>
          <w:color w:val="808080"/>
        </w:rPr>
        <w:t>(geredet)</w:t>
      </w:r>
      <w:r>
        <w:rPr/>
        <w:t xml:space="preserve">.{{field-off:bible}} </w:t>
        <w:br/>
        <w:t>[[@BibleTOBIBLE:Jn 18:21]]</w:t>
      </w:r>
      <w:r>
        <w:rPr>
          <w:b/>
        </w:rPr>
        <w:t>21</w:t>
      </w:r>
      <w:r>
        <w:rPr/>
        <w:t xml:space="preserve"> {{field-on:bible}}Was </w:t>
      </w:r>
      <w:r>
        <w:rPr>
          <w:color w:val="808080"/>
        </w:rPr>
        <w:t>(weshalb)</w:t>
      </w:r>
      <w:r>
        <w:rPr/>
        <w:t xml:space="preserve"> fragst Du mich? Frage diejenigen, die gehört haben, was ich </w:t>
      </w:r>
      <w:r>
        <w:rPr>
          <w:b/>
          <w:color w:val="808080"/>
        </w:rPr>
        <w:t>[</w:t>
      </w:r>
      <w:r>
        <w:rPr/>
        <w:t>zu</w:t>
      </w:r>
      <w:r>
        <w:rPr>
          <w:b/>
          <w:color w:val="808080"/>
        </w:rPr>
        <w:t>]</w:t>
      </w:r>
      <w:r>
        <w:rPr/>
        <w:t xml:space="preserve"> ihnen gesagt </w:t>
      </w:r>
      <w:r>
        <w:rPr>
          <w:color w:val="808080"/>
        </w:rPr>
        <w:t>(gesprochen, geredet)</w:t>
      </w:r>
      <w:r>
        <w:rPr/>
        <w:t xml:space="preserve"> habe. Sieh, diese wissen, was ich gesagt habe.{{field-off:bible}} </w:t>
        <w:br/>
        <w:t>[[@BibleTOBIBLE:Jn 18:22]]</w:t>
      </w:r>
      <w:r>
        <w:rPr>
          <w:b/>
        </w:rPr>
        <w:t>22</w:t>
      </w:r>
      <w:r>
        <w:rPr/>
        <w:t xml:space="preserve"> {{field-on:bible}}Als er aber dies </w:t>
      </w:r>
      <w:r>
        <w:rPr>
          <w:color w:val="808080"/>
        </w:rPr>
        <w:t>(diese Dinge)</w:t>
      </w:r>
      <w:r>
        <w:rPr/>
        <w:t xml:space="preserve"> gesagt hatte, gab einer der Diener, die dabeistanden, </w:t>
      </w:r>
      <w:r>
        <w:rPr>
          <w:strike/>
          <w:color w:val="808080"/>
        </w:rPr>
        <w:t>{dem}</w:t>
      </w:r>
      <w:r>
        <w:rPr/>
        <w:t xml:space="preserve"> Jesus eine Ohrfeige </w:t>
      </w:r>
      <w:r>
        <w:rPr>
          <w:color w:val="808080"/>
        </w:rPr>
        <w:t>(einen Backenstreich)</w:t>
      </w:r>
      <w:r>
        <w:rPr/>
        <w:t xml:space="preserve">, wobei er sagte: So antwortest Du dem Hohenpriester?{{field-off:bible}} </w:t>
        <w:br/>
        <w:t>[[@BibleTOBIBLE:Jn 18:23]]</w:t>
      </w:r>
      <w:r>
        <w:rPr>
          <w:b/>
        </w:rPr>
        <w:t>23</w:t>
      </w:r>
      <w:r>
        <w:rPr/>
        <w:t xml:space="preserve"> {{field-on:bible}}Jesus antwortete ihm: Wenn ich schlecht </w:t>
      </w:r>
      <w:r>
        <w:rPr>
          <w:color w:val="808080"/>
        </w:rPr>
        <w:t>(böse)</w:t>
      </w:r>
      <w:r>
        <w:rPr/>
        <w:t xml:space="preserve"> gesprochen habe, gib Zeugnis über </w:t>
      </w:r>
      <w:r>
        <w:rPr>
          <w:color w:val="808080"/>
        </w:rPr>
        <w:t>(bezeuge)</w:t>
      </w:r>
      <w:r>
        <w:rPr/>
        <w:t xml:space="preserve"> das Schlechte </w:t>
      </w:r>
      <w:r>
        <w:rPr>
          <w:color w:val="808080"/>
        </w:rPr>
        <w:t>(Böse)</w:t>
      </w:r>
      <w:r>
        <w:rPr/>
        <w:t xml:space="preserve">. Wenn aber gut </w:t>
      </w:r>
      <w:r>
        <w:rPr>
          <w:color w:val="808080"/>
        </w:rPr>
        <w:t>(schön, recht)</w:t>
      </w:r>
      <w:r>
        <w:rPr/>
        <w:t xml:space="preserve"> – weshalb </w:t>
      </w:r>
      <w:r>
        <w:rPr>
          <w:color w:val="808080"/>
        </w:rPr>
        <w:t>(was)</w:t>
      </w:r>
      <w:r>
        <w:rPr/>
        <w:t xml:space="preserve"> schlägst </w:t>
      </w:r>
      <w:r>
        <w:rPr>
          <w:color w:val="808080"/>
        </w:rPr>
        <w:t>(prügelst)</w:t>
      </w:r>
      <w:r>
        <w:rPr/>
        <w:t xml:space="preserve"> Du mich?{{field-off:bible}} </w:t>
        <w:br/>
        <w:t>[[@BibleTOBIBLE:Jn 18:24]]</w:t>
      </w:r>
      <w:r>
        <w:rPr>
          <w:b/>
        </w:rPr>
        <w:t>24</w:t>
      </w:r>
      <w:r>
        <w:rPr/>
        <w:t xml:space="preserve"> {{field-on:bible}} </w:t>
      </w:r>
      <w:r>
        <w:rPr>
          <w:strike/>
          <w:color w:val="808080"/>
        </w:rPr>
        <w:t>{Der}</w:t>
      </w:r>
      <w:r>
        <w:rPr/>
        <w:t xml:space="preserve"> Hannas schickte ihn also gebunden </w:t>
      </w:r>
      <w:r>
        <w:rPr>
          <w:color w:val="808080"/>
        </w:rPr>
        <w:t>(weg)</w:t>
      </w:r>
      <w:r>
        <w:rPr/>
        <w:t xml:space="preserve"> zu Kajafas, dem Hohenpriester.{{field-off:bible}} </w:t>
        <w:br/>
        <w:t>[[@BibleTOBIBLE:Jn 18:25]]</w:t>
      </w:r>
      <w:r>
        <w:rPr>
          <w:b/>
        </w:rPr>
        <w:t>25</w:t>
      </w:r>
      <w:r>
        <w:rPr/>
        <w:t xml:space="preserve"> {{field-on:bible}}Simon Petrus aber stand </w:t>
      </w:r>
      <w:r>
        <w:rPr>
          <w:b/>
          <w:color w:val="808080"/>
        </w:rPr>
        <w:t>[</w:t>
      </w:r>
      <w:r>
        <w:rPr/>
        <w:t>da</w:t>
      </w:r>
      <w:r>
        <w:rPr>
          <w:b/>
          <w:color w:val="808080"/>
        </w:rPr>
        <w:t>]</w:t>
      </w:r>
      <w:r>
        <w:rPr/>
        <w:t xml:space="preserve"> und wärmte sich. Sie sagten im also: Bist nicht </w:t>
      </w:r>
      <w:r>
        <w:rPr>
          <w:color w:val="808080"/>
        </w:rPr>
        <w:t>(etwa)</w:t>
      </w:r>
      <w:r>
        <w:rPr/>
        <w:t xml:space="preserve"> auch Du </w:t>
      </w:r>
      <w:r>
        <w:rPr>
          <w:b/>
          <w:color w:val="808080"/>
        </w:rPr>
        <w:t>[</w:t>
      </w:r>
      <w:r>
        <w:rPr/>
        <w:t>einer</w:t>
      </w:r>
      <w:r>
        <w:rPr>
          <w:b/>
          <w:color w:val="808080"/>
        </w:rPr>
        <w:t>]</w:t>
      </w:r>
      <w:r>
        <w:rPr/>
        <w:t xml:space="preserve"> von </w:t>
      </w:r>
      <w:r>
        <w:rPr>
          <w:color w:val="808080"/>
        </w:rPr>
        <w:t>(aus)</w:t>
      </w:r>
      <w:r>
        <w:rPr/>
        <w:t xml:space="preserve"> seinen Jüngern? Jener leugnete und sagte: </w:t>
      </w:r>
      <w:r>
        <w:rPr>
          <w:b/>
          <w:color w:val="808080"/>
        </w:rPr>
        <w:t>[</w:t>
      </w:r>
      <w:r>
        <w:rPr/>
        <w:t>Das</w:t>
      </w:r>
      <w:r>
        <w:rPr>
          <w:b/>
          <w:color w:val="808080"/>
        </w:rPr>
        <w:t>]</w:t>
      </w:r>
      <w:r>
        <w:rPr/>
        <w:t xml:space="preserve"> bin ich nicht.{{field-off:bible}} </w:t>
        <w:br/>
        <w:t>[[@BibleTOBIBLE:Jn 18:26]]</w:t>
      </w:r>
      <w:r>
        <w:rPr>
          <w:b/>
        </w:rPr>
        <w:t>26</w:t>
      </w:r>
      <w:r>
        <w:rPr/>
        <w:t xml:space="preserve"> {{field-on:bible}} </w:t>
      </w:r>
      <w:r>
        <w:rPr>
          <w:b/>
          <w:color w:val="808080"/>
        </w:rPr>
        <w:t>[</w:t>
      </w:r>
      <w:r>
        <w:rPr/>
        <w:t>Da</w:t>
      </w:r>
      <w:r>
        <w:rPr>
          <w:b/>
          <w:color w:val="808080"/>
        </w:rPr>
        <w:t>]</w:t>
      </w:r>
      <w:r>
        <w:rPr/>
        <w:t xml:space="preserve"> sagt einer der Knechte </w:t>
      </w:r>
      <w:r>
        <w:rPr>
          <w:color w:val="808080"/>
        </w:rPr>
        <w:t>(aus, von den Knechten)</w:t>
      </w:r>
      <w:r>
        <w:rPr/>
        <w:t xml:space="preserve"> des Hohenpriesters, der ein Verwandter dessen war, dem Petrus das Ohr abgeschlagen hatte: Habe ich Dich nicht in dem Garten mit ihm gesehen?{{field-off:bible}} </w:t>
        <w:br/>
        <w:t>[[@BibleTOBIBLE:Jn 18:27]]</w:t>
      </w:r>
      <w:r>
        <w:rPr>
          <w:b/>
        </w:rPr>
        <w:t>27</w:t>
      </w:r>
      <w:r>
        <w:rPr/>
        <w:t xml:space="preserve"> {{field-on:bible}}Wieder </w:t>
      </w:r>
      <w:r>
        <w:rPr>
          <w:color w:val="808080"/>
        </w:rPr>
        <w:t>(wiederum)</w:t>
      </w:r>
      <w:r>
        <w:rPr/>
        <w:t xml:space="preserve"> also leugnete Petrus. Und sogleich krähte </w:t>
      </w:r>
      <w:r>
        <w:rPr>
          <w:color w:val="808080"/>
        </w:rPr>
        <w:t>(tönte)</w:t>
      </w:r>
      <w:r>
        <w:rPr/>
        <w:t xml:space="preserve"> ein Hahn.{{field-off:bible}} </w:t>
        <w:br/>
        <w:t>[[@BibleTOBIBLE:Jn 18:28]]</w:t>
      </w:r>
      <w:r>
        <w:rPr>
          <w:b/>
        </w:rPr>
        <w:t>28</w:t>
      </w:r>
      <w:r>
        <w:rPr/>
        <w:t xml:space="preserve"> {{field-on:bible}}Sie führen also </w:t>
      </w:r>
      <w:r>
        <w:rPr>
          <w:strike/>
          <w:color w:val="808080"/>
        </w:rPr>
        <w:t>{den}</w:t>
      </w:r>
      <w:r>
        <w:rPr/>
        <w:t xml:space="preserve"> Jesus von </w:t>
      </w:r>
      <w:r>
        <w:rPr>
          <w:strike/>
          <w:color w:val="808080"/>
        </w:rPr>
        <w:t>{dem}</w:t>
      </w:r>
      <w:r>
        <w:rPr/>
        <w:t xml:space="preserve"> Kajafas in das Prätorium. Es war aber frühmorgens </w:t>
      </w:r>
      <w:r>
        <w:rPr>
          <w:color w:val="808080"/>
        </w:rPr>
        <w:t>(früh)</w:t>
      </w:r>
      <w:r>
        <w:rPr/>
        <w:t xml:space="preserve">. Und sie gingen nicht in das Prätorium hinein, damit sie sich nicht verunreinigten, sondern das Pascha essen konnten </w:t>
      </w:r>
      <w:r>
        <w:rPr>
          <w:color w:val="808080"/>
        </w:rPr>
        <w:t>(könnten)</w:t>
      </w:r>
      <w:r>
        <w:rPr/>
        <w:t xml:space="preserve">.{{field-off:bible}} </w:t>
        <w:br/>
        <w:t>[[@BibleTOBIBLE:Jn 18:29]]</w:t>
      </w:r>
      <w:r>
        <w:rPr>
          <w:b/>
        </w:rPr>
        <w:t>29</w:t>
      </w:r>
      <w:r>
        <w:rPr/>
        <w:t xml:space="preserve"> {{field-on:bible}} </w:t>
      </w:r>
      <w:r>
        <w:rPr>
          <w:b/>
          <w:color w:val="808080"/>
        </w:rPr>
        <w:t>[</w:t>
      </w:r>
      <w:r>
        <w:rPr/>
        <w:t>Es</w:t>
      </w:r>
      <w:r>
        <w:rPr>
          <w:b/>
          <w:color w:val="808080"/>
        </w:rPr>
        <w:t>]</w:t>
      </w:r>
      <w:r>
        <w:rPr/>
        <w:t xml:space="preserve"> kam also </w:t>
      </w:r>
      <w:r>
        <w:rPr>
          <w:strike/>
          <w:color w:val="808080"/>
        </w:rPr>
        <w:t>{der}</w:t>
      </w:r>
      <w:r>
        <w:rPr/>
        <w:t xml:space="preserve"> Pilatus heraus zu ihnen und sagt: Welche Anklage bringt Ihr gegen diesen Menschen vor?{{field-off:bible}} </w:t>
        <w:br/>
        <w:t>[[@BibleTOBIBLE:Jn 18:30]]</w:t>
      </w:r>
      <w:r>
        <w:rPr>
          <w:b/>
        </w:rPr>
        <w:t>30</w:t>
      </w:r>
      <w:r>
        <w:rPr/>
        <w:t xml:space="preserve"> {{field-on:bible}}Sie antworteten und sagten ihm: Wenn dieser nicht ein Übeltäter wäre </w:t>
      </w:r>
      <w:r>
        <w:rPr>
          <w:color w:val="808080"/>
        </w:rPr>
        <w:t>(einer wäre, der Böses tut)</w:t>
      </w:r>
      <w:r>
        <w:rPr/>
        <w:t xml:space="preserve">, hätten wir ihn Dir nicht übergeben.{{field-off:bible}} </w:t>
        <w:br/>
        <w:t>[[@BibleTOBIBLE:Jn 18:31]]</w:t>
      </w:r>
      <w:r>
        <w:rPr>
          <w:b/>
        </w:rPr>
        <w:t>31</w:t>
      </w:r>
      <w:r>
        <w:rPr/>
        <w:t xml:space="preserve"> {{field-on:bible}} </w:t>
      </w:r>
      <w:r>
        <w:rPr>
          <w:b/>
          <w:color w:val="808080"/>
        </w:rPr>
        <w:t>[</w:t>
      </w:r>
      <w:r>
        <w:rPr/>
        <w:t>Es</w:t>
      </w:r>
      <w:r>
        <w:rPr>
          <w:b/>
          <w:color w:val="808080"/>
        </w:rPr>
        <w:t>]</w:t>
      </w:r>
      <w:r>
        <w:rPr/>
        <w:t xml:space="preserve"> sagte ihnen also </w:t>
      </w:r>
      <w:r>
        <w:rPr>
          <w:strike/>
          <w:color w:val="808080"/>
        </w:rPr>
        <w:t>{der}</w:t>
      </w:r>
      <w:r>
        <w:rPr/>
        <w:t xml:space="preserve"> Pilatus: Nehmt Ihr ihn und richtet </w:t>
      </w:r>
      <w:r>
        <w:rPr>
          <w:color w:val="808080"/>
        </w:rPr>
        <w:t>(verurteilt)</w:t>
      </w:r>
      <w:r>
        <w:rPr/>
        <w:t xml:space="preserve"> ihn nach Eurem Gesetz. </w:t>
      </w:r>
      <w:r>
        <w:rPr>
          <w:b/>
          <w:color w:val="808080"/>
        </w:rPr>
        <w:t>[</w:t>
      </w:r>
      <w:r>
        <w:rPr/>
        <w:t>Es</w:t>
      </w:r>
      <w:r>
        <w:rPr>
          <w:b/>
          <w:color w:val="808080"/>
        </w:rPr>
        <w:t>]</w:t>
      </w:r>
      <w:r>
        <w:rPr/>
        <w:t xml:space="preserve"> sagten ihm die Juden: Uns ist es nicht erlaubt, jemanden zu töten.{{field-off:bible}} </w:t>
        <w:br/>
        <w:t>[[@BibleTOBIBLE:Jn 18:32]]</w:t>
      </w:r>
      <w:r>
        <w:rPr>
          <w:b/>
        </w:rPr>
        <w:t>32</w:t>
      </w:r>
      <w:r>
        <w:rPr/>
        <w:t xml:space="preserve"> {{field-on:bible}}Damit das Wort Jesu </w:t>
      </w:r>
      <w:r>
        <w:rPr>
          <w:color w:val="808080"/>
        </w:rPr>
        <w:t>(des Jesus)</w:t>
      </w:r>
      <w:r>
        <w:rPr/>
        <w:t xml:space="preserve"> erfüllt würde, das er sagte um anzudeuten </w:t>
      </w:r>
      <w:r>
        <w:rPr>
          <w:color w:val="808080"/>
        </w:rPr>
        <w:t>(anzuzeigen; andeutend, anzeigend)</w:t>
      </w:r>
      <w:r>
        <w:rPr/>
        <w:t xml:space="preserve">, </w:t>
      </w:r>
      <w:r>
        <w:rPr>
          <w:color w:val="808080"/>
        </w:rPr>
        <w:t>(durch)</w:t>
      </w:r>
      <w:r>
        <w:rPr/>
        <w:t xml:space="preserve"> welchen Tod er im Begriff war, zu sterben </w:t>
      </w:r>
      <w:r>
        <w:rPr>
          <w:color w:val="808080"/>
        </w:rPr>
        <w:t>(sterben sollte)</w:t>
      </w:r>
      <w:r>
        <w:rPr/>
        <w:t xml:space="preserve">.{{field-off:bible}} </w:t>
        <w:br/>
        <w:t>[[@BibleTOBIBLE:Jn 18:33]]</w:t>
      </w:r>
      <w:r>
        <w:rPr>
          <w:b/>
        </w:rPr>
        <w:t>33</w:t>
      </w:r>
      <w:r>
        <w:rPr/>
        <w:t xml:space="preserve"> {{field-on:bible}} </w:t>
      </w:r>
      <w:r>
        <w:rPr>
          <w:b/>
          <w:color w:val="808080"/>
        </w:rPr>
        <w:t>[</w:t>
      </w:r>
      <w:r>
        <w:rPr/>
        <w:t>Es</w:t>
      </w:r>
      <w:r>
        <w:rPr>
          <w:b/>
          <w:color w:val="808080"/>
        </w:rPr>
        <w:t>]</w:t>
      </w:r>
      <w:r>
        <w:rPr/>
        <w:t xml:space="preserve"> ging also </w:t>
      </w:r>
      <w:r>
        <w:rPr>
          <w:strike/>
          <w:color w:val="808080"/>
        </w:rPr>
        <w:t>{der}</w:t>
      </w:r>
      <w:r>
        <w:rPr/>
        <w:t xml:space="preserve"> Pilatus wieder </w:t>
      </w:r>
      <w:r>
        <w:rPr>
          <w:color w:val="808080"/>
        </w:rPr>
        <w:t>(wiederum)</w:t>
      </w:r>
      <w:r>
        <w:rPr/>
        <w:t xml:space="preserve"> in das Prätorium und rief </w:t>
      </w:r>
      <w:r>
        <w:rPr>
          <w:strike/>
          <w:color w:val="808080"/>
        </w:rPr>
        <w:t>{den}</w:t>
      </w:r>
      <w:r>
        <w:rPr/>
        <w:t xml:space="preserve"> Jesus und sagte ihm: Du bist der König der Juden?{{field-off:bible}} </w:t>
        <w:br/>
        <w:t>[[@BibleTOBIBLE:Jn 18:34]]</w:t>
      </w:r>
      <w:r>
        <w:rPr>
          <w:b/>
        </w:rPr>
        <w:t>34</w:t>
      </w:r>
      <w:r>
        <w:rPr/>
        <w:t xml:space="preserve"> {{field-on:bible}}Jesus antwortete: Sagst Du das von Dir aus, oder haben andere zu Dir über mich gesprochen </w:t>
      </w:r>
      <w:r>
        <w:rPr>
          <w:color w:val="808080"/>
        </w:rPr>
        <w:t xml:space="preserve">(Dir </w:t>
      </w:r>
      <w:r>
        <w:rPr>
          <w:b/>
          <w:color w:val="808080"/>
        </w:rPr>
        <w:t>[</w:t>
      </w:r>
      <w:r>
        <w:rPr>
          <w:color w:val="808080"/>
        </w:rPr>
        <w:t>das</w:t>
      </w:r>
      <w:r>
        <w:rPr>
          <w:b/>
          <w:color w:val="808080"/>
        </w:rPr>
        <w:t>]</w:t>
      </w:r>
      <w:r>
        <w:rPr>
          <w:color w:val="808080"/>
        </w:rPr>
        <w:t xml:space="preserve"> über mich gesagt)</w:t>
      </w:r>
      <w:r>
        <w:rPr/>
        <w:t xml:space="preserve">?{{field-off:bible}} </w:t>
        <w:br/>
        <w:t>[[@BibleTOBIBLE:Jn 18:35]]</w:t>
      </w:r>
      <w:r>
        <w:rPr>
          <w:b/>
        </w:rPr>
        <w:t>35</w:t>
      </w:r>
      <w:r>
        <w:rPr/>
        <w:t xml:space="preserve"> {{field-on:bible}} </w:t>
      </w:r>
      <w:r>
        <w:rPr>
          <w:strike/>
          <w:color w:val="808080"/>
        </w:rPr>
        <w:t>{Der}</w:t>
      </w:r>
      <w:r>
        <w:rPr/>
        <w:t xml:space="preserve"> Pilatus antwortete: Bin ich etwa ein Jude? Dein Volk und die Hohenpriester haben Dich mir übergeben. Was hast Du getan?{{field-off:bible}} </w:t>
        <w:br/>
        <w:t>[[@BibleTOBIBLE:Jn 18:36]]</w:t>
      </w:r>
      <w:r>
        <w:rPr>
          <w:b/>
        </w:rPr>
        <w:t>36</w:t>
      </w:r>
      <w:r>
        <w:rPr/>
        <w:t xml:space="preserve"> {{field-on:bible}}Jesus antwortete: Mein Königreich </w:t>
      </w:r>
      <w:r>
        <w:rPr>
          <w:color w:val="808080"/>
        </w:rPr>
        <w:t>(Königtum, Reich)</w:t>
      </w:r>
      <w:r>
        <w:rPr/>
        <w:t xml:space="preserve"> ist nicht aus dieser Welt. Wenn mein Königreich </w:t>
      </w:r>
      <w:r>
        <w:rPr>
          <w:color w:val="808080"/>
        </w:rPr>
        <w:t>(Königtum, Reich)</w:t>
      </w:r>
      <w:r>
        <w:rPr/>
        <w:t xml:space="preserve"> aus dieser Welt wäre, hätten </w:t>
      </w:r>
      <w:r>
        <w:rPr>
          <w:color w:val="808080"/>
        </w:rPr>
        <w:t>(würden)</w:t>
      </w:r>
      <w:r>
        <w:rPr/>
        <w:t xml:space="preserve"> meine Diener gekämpft </w:t>
      </w:r>
      <w:r>
        <w:rPr>
          <w:color w:val="808080"/>
        </w:rPr>
        <w:t>(kämpfen)</w:t>
      </w:r>
      <w:r>
        <w:rPr/>
        <w:t xml:space="preserve">, damit ich nicht den Juden übergeben würde. Nun aber ist mein Königreich </w:t>
      </w:r>
      <w:r>
        <w:rPr>
          <w:color w:val="808080"/>
        </w:rPr>
        <w:t>(Königtum, Reich)</w:t>
      </w:r>
      <w:r>
        <w:rPr/>
        <w:t xml:space="preserve"> nicht von hier.{{field-off:bible}} </w:t>
        <w:br/>
        <w:t>[[@BibleTOBIBLE:Jn 18:37]]</w:t>
      </w:r>
      <w:r>
        <w:rPr>
          <w:b/>
        </w:rPr>
        <w:t>37</w:t>
      </w:r>
      <w:r>
        <w:rPr/>
        <w:t xml:space="preserve"> {{field-on:bible}} </w:t>
      </w:r>
      <w:r>
        <w:rPr>
          <w:b/>
          <w:color w:val="808080"/>
        </w:rPr>
        <w:t>[</w:t>
      </w:r>
      <w:r>
        <w:rPr/>
        <w:t>Es</w:t>
      </w:r>
      <w:r>
        <w:rPr>
          <w:b/>
          <w:color w:val="808080"/>
        </w:rPr>
        <w:t>]</w:t>
      </w:r>
      <w:r>
        <w:rPr/>
        <w:t xml:space="preserve"> sagte ihm also </w:t>
      </w:r>
      <w:r>
        <w:rPr>
          <w:strike/>
          <w:color w:val="808080"/>
        </w:rPr>
        <w:t>{der}</w:t>
      </w:r>
      <w:r>
        <w:rPr/>
        <w:t xml:space="preserve"> Pilatus: Folglich bist Du also ein König? </w:t>
      </w:r>
      <w:r>
        <w:rPr>
          <w:strike/>
          <w:color w:val="808080"/>
        </w:rPr>
        <w:t>{Der}</w:t>
      </w:r>
      <w:r>
        <w:rPr/>
        <w:t xml:space="preserve"> Jesus antwortete: Du sagst, dass ich ein König bin. Ich bin dazu geboren und dazu in die Welt gekommen, dass ich für die Wahrheit Zeugnis ablege. Jeder, der aus der Wahrheit ist, hört meine Stimme.{{field-off:bible}} </w:t>
        <w:br/>
        <w:t>[[@BibleTOBIBLE:Jn 18:38]]</w:t>
      </w:r>
      <w:r>
        <w:rPr>
          <w:b/>
        </w:rPr>
        <w:t>38</w:t>
      </w:r>
      <w:r>
        <w:rPr/>
        <w:t xml:space="preserve"> {{field-on:bible}} </w:t>
      </w:r>
      <w:r>
        <w:rPr>
          <w:strike/>
          <w:color w:val="808080"/>
        </w:rPr>
        <w:t>{Der}</w:t>
      </w:r>
      <w:r>
        <w:rPr/>
        <w:t xml:space="preserve"> Pilatus sagt ihm: Was ist Wahrheit? Und nachdem er das gesagt hatte, ging er wieder </w:t>
      </w:r>
      <w:r>
        <w:rPr>
          <w:color w:val="808080"/>
        </w:rPr>
        <w:t>(wiederum)</w:t>
      </w:r>
      <w:r>
        <w:rPr/>
        <w:t xml:space="preserve"> zu den Juden und sagt ihnen: Ich finde keine Schuld in ihm.{{field-off:bible}} </w:t>
        <w:br/>
        <w:t>[[@BibleTOBIBLE:Jn 18:39]]</w:t>
      </w:r>
      <w:r>
        <w:rPr>
          <w:b/>
        </w:rPr>
        <w:t>39</w:t>
      </w:r>
      <w:r>
        <w:rPr/>
        <w:t xml:space="preserve"> {{field-on:bible}}Es ist </w:t>
      </w:r>
      <w:r>
        <w:rPr>
          <w:color w:val="808080"/>
        </w:rPr>
        <w:t>(gibt)</w:t>
      </w:r>
      <w:r>
        <w:rPr/>
        <w:t xml:space="preserve"> aber </w:t>
      </w:r>
      <w:r>
        <w:rPr>
          <w:color w:val="808080"/>
        </w:rPr>
        <w:t>(einen)</w:t>
      </w:r>
      <w:r>
        <w:rPr/>
        <w:t xml:space="preserve"> Brauch bei Euch, dass ich Euch einen am Paschafest </w:t>
      </w:r>
      <w:r>
        <w:rPr>
          <w:color w:val="808080"/>
        </w:rPr>
        <w:t>(Pascha)</w:t>
      </w:r>
      <w:r>
        <w:rPr/>
        <w:t xml:space="preserve"> freilasse. Wollt Ihr also, dass ich den König der Juden freilasse?{{field-off:bible}} </w:t>
        <w:br/>
        <w:t>[[@BibleTOBIBLE:Jn 18:40]]</w:t>
      </w:r>
      <w:r>
        <w:rPr>
          <w:b/>
        </w:rPr>
        <w:t>40</w:t>
      </w:r>
      <w:r>
        <w:rPr/>
        <w:t xml:space="preserve"> {{field-on:bible}}Sie schrien also wieder </w:t>
      </w:r>
      <w:r>
        <w:rPr>
          <w:color w:val="808080"/>
        </w:rPr>
        <w:t>(wiederum)</w:t>
      </w:r>
      <w:r>
        <w:rPr/>
        <w:t xml:space="preserve">, indem sie sagten: Nicht diesen sondern </w:t>
      </w:r>
      <w:r>
        <w:rPr>
          <w:strike/>
          <w:color w:val="808080"/>
        </w:rPr>
        <w:t>{den}</w:t>
      </w:r>
      <w:r>
        <w:rPr/>
        <w:t xml:space="preserve"> Barabbas. </w:t>
      </w:r>
      <w:r>
        <w:rPr>
          <w:b/>
          <w:color w:val="808080"/>
        </w:rPr>
        <w:t>[</w:t>
      </w:r>
      <w:r>
        <w:rPr/>
        <w:t>Es</w:t>
      </w:r>
      <w:r>
        <w:rPr>
          <w:b/>
          <w:color w:val="808080"/>
        </w:rPr>
        <w:t>]</w:t>
      </w:r>
      <w:r>
        <w:rPr/>
        <w:t xml:space="preserve"> war aber </w:t>
      </w:r>
      <w:r>
        <w:rPr>
          <w:strike/>
          <w:color w:val="808080"/>
        </w:rPr>
        <w:t>{der}</w:t>
      </w:r>
      <w:r>
        <w:rPr/>
        <w:t xml:space="preserve"> Barabbas ein Räuber.{{field-off:bible}} </w:t>
      </w:r>
    </w:p>
    <w:p>
      <w:pPr>
        <w:pStyle w:val="Berschrift3"/>
        <w:rPr/>
      </w:pPr>
      <w:r>
        <w:rPr/>
        <w:t>[[@BibleTOBIBLE:Jn 19]]Kapitel 19</w:t>
      </w:r>
    </w:p>
    <w:p>
      <w:pPr>
        <w:pStyle w:val="Textkrper"/>
        <w:rPr/>
      </w:pPr>
      <w:r>
        <w:rPr/>
        <w:br/>
        <w:t>[[@BibleTOBIBLE:Jn 19:1]]</w:t>
      </w:r>
      <w:r>
        <w:rPr>
          <w:b/>
        </w:rPr>
        <w:t>1</w:t>
      </w:r>
      <w:r>
        <w:rPr/>
        <w:t xml:space="preserve"> {{field-on:bible}} </w:t>
      </w:r>
      <w:r>
        <w:rPr>
          <w:rStyle w:val="Funotenanker"/>
        </w:rPr>
        <w:footnoteReference w:customMarkFollows="1" w:id="5150"/>
        <w:t>Status</w:t>
      </w:r>
      <w:r>
        <w:rPr/>
        <w:t xml:space="preserve"> Dann also nahm </w:t>
      </w:r>
      <w:r>
        <w:rPr>
          <w:strike/>
          <w:color w:val="808080"/>
        </w:rPr>
        <w:t>{der}</w:t>
      </w:r>
      <w:r>
        <w:rPr/>
        <w:t xml:space="preserve"> Pilatus </w:t>
      </w:r>
      <w:r>
        <w:rPr>
          <w:strike/>
          <w:color w:val="808080"/>
        </w:rPr>
        <w:t>{den}</w:t>
      </w:r>
      <w:r>
        <w:rPr/>
        <w:t xml:space="preserve"> Jesus und ließ ihn geißeln </w:t>
      </w:r>
      <w:r>
        <w:rPr>
          <w:color w:val="808080"/>
        </w:rPr>
        <w:t>(ließ ihn auspeitschen; geißelte ihn, peitschte ihn aus)</w:t>
      </w:r>
      <w:r>
        <w:rPr/>
        <w:t xml:space="preserve">.{{field-off:bible}} </w:t>
        <w:br/>
        <w:t>[[@BibleTOBIBLE:Jn 19:2]]</w:t>
      </w:r>
      <w:r>
        <w:rPr>
          <w:b/>
        </w:rPr>
        <w:t>2</w:t>
      </w:r>
      <w:r>
        <w:rPr/>
        <w:t xml:space="preserve"> {{field-on:bible}}Und die Soldaten flochten eine Krone </w:t>
      </w:r>
      <w:r>
        <w:rPr>
          <w:color w:val="808080"/>
        </w:rPr>
        <w:t>(einen Kranz)</w:t>
      </w:r>
      <w:r>
        <w:rPr/>
        <w:t xml:space="preserve"> aus Dornen und setzten sie </w:t>
      </w:r>
      <w:r>
        <w:rPr>
          <w:color w:val="808080"/>
        </w:rPr>
        <w:t>(ihn)</w:t>
      </w:r>
      <w:r>
        <w:rPr/>
        <w:t xml:space="preserve"> auf sein Haupt </w:t>
      </w:r>
      <w:r>
        <w:rPr>
          <w:color w:val="808080"/>
        </w:rPr>
        <w:t>(seinen Kopf)</w:t>
      </w:r>
      <w:r>
        <w:rPr/>
        <w:t xml:space="preserve">, und sie legten </w:t>
      </w:r>
      <w:r>
        <w:rPr>
          <w:color w:val="808080"/>
        </w:rPr>
        <w:t>(warfen)</w:t>
      </w:r>
      <w:r>
        <w:rPr/>
        <w:t xml:space="preserve"> ihm einen purpurnen Mantel </w:t>
      </w:r>
      <w:r>
        <w:rPr>
          <w:color w:val="808080"/>
        </w:rPr>
        <w:t>(ein purpurnes Gewandt)</w:t>
      </w:r>
      <w:r>
        <w:rPr/>
        <w:t xml:space="preserve"> an </w:t>
      </w:r>
      <w:r>
        <w:rPr>
          <w:color w:val="808080"/>
        </w:rPr>
        <w:t>(um)</w:t>
      </w:r>
      <w:r>
        <w:rPr/>
        <w:t xml:space="preserve">,{{field-off:bible}} </w:t>
        <w:br/>
        <w:t>[[@BibleTOBIBLE:Jn 19:3]]</w:t>
      </w:r>
      <w:r>
        <w:rPr>
          <w:b/>
        </w:rPr>
        <w:t>3</w:t>
      </w:r>
      <w:r>
        <w:rPr/>
        <w:t xml:space="preserve"> {{field-on:bible}}und sie kamen zu ihm und sagten: Sei gegrüßt, </w:t>
      </w:r>
      <w:r>
        <w:rPr>
          <w:strike/>
          <w:color w:val="808080"/>
        </w:rPr>
        <w:t>{der}</w:t>
      </w:r>
      <w:r>
        <w:rPr/>
        <w:t xml:space="preserve"> König der Juden. Und sie gaben ihm Ohrfeigen </w:t>
      </w:r>
      <w:r>
        <w:rPr>
          <w:color w:val="808080"/>
        </w:rPr>
        <w:t>(Backenstreiche)</w:t>
      </w:r>
      <w:r>
        <w:rPr/>
        <w:t xml:space="preserve">.{{field-off:bible}} </w:t>
        <w:br/>
        <w:t>[[@BibleTOBIBLE:Jn 19:4]]</w:t>
      </w:r>
      <w:r>
        <w:rPr>
          <w:b/>
        </w:rPr>
        <w:t>4</w:t>
      </w:r>
      <w:r>
        <w:rPr/>
        <w:t xml:space="preserve"> {{field-on:bible}}Und wieder </w:t>
      </w:r>
      <w:r>
        <w:rPr>
          <w:color w:val="808080"/>
        </w:rPr>
        <w:t>(wiederum)</w:t>
      </w:r>
      <w:r>
        <w:rPr/>
        <w:t xml:space="preserve"> ging </w:t>
      </w:r>
      <w:r>
        <w:rPr>
          <w:color w:val="808080"/>
        </w:rPr>
        <w:t>(kam)</w:t>
      </w:r>
      <w:r>
        <w:rPr/>
        <w:t xml:space="preserve"> </w:t>
      </w:r>
      <w:r>
        <w:rPr>
          <w:strike/>
          <w:color w:val="808080"/>
        </w:rPr>
        <w:t>{der}</w:t>
      </w:r>
      <w:r>
        <w:rPr/>
        <w:t xml:space="preserve"> Pilatus heraus </w:t>
      </w:r>
      <w:r>
        <w:rPr>
          <w:color w:val="808080"/>
        </w:rPr>
        <w:t>(hinaus)</w:t>
      </w:r>
      <w:r>
        <w:rPr/>
        <w:t xml:space="preserve"> und sagt ihnen: Sieh </w:t>
      </w:r>
      <w:r>
        <w:rPr>
          <w:color w:val="808080"/>
        </w:rPr>
        <w:t>(Seht)</w:t>
      </w:r>
      <w:r>
        <w:rPr/>
        <w:t xml:space="preserve"> ich bringe Euch ihn heraus, damit Ihr erkennt </w:t>
      </w:r>
      <w:r>
        <w:rPr>
          <w:color w:val="808080"/>
        </w:rPr>
        <w:t>(wißt)</w:t>
      </w:r>
      <w:r>
        <w:rPr/>
        <w:t xml:space="preserve">, dass ich keine Schuld in ihm finde.{{field-off:bible}} </w:t>
        <w:br/>
        <w:t>[[@BibleTOBIBLE:Jn 19:5]]</w:t>
      </w:r>
      <w:r>
        <w:rPr>
          <w:b/>
        </w:rPr>
        <w:t>5</w:t>
      </w:r>
      <w:r>
        <w:rPr/>
        <w:t xml:space="preserve"> {{field-on:bible}} </w:t>
      </w:r>
      <w:r>
        <w:rPr>
          <w:b/>
          <w:color w:val="808080"/>
        </w:rPr>
        <w:t>[</w:t>
      </w:r>
      <w:r>
        <w:rPr/>
        <w:t>Es</w:t>
      </w:r>
      <w:r>
        <w:rPr>
          <w:b/>
          <w:color w:val="808080"/>
        </w:rPr>
        <w:t>]</w:t>
      </w:r>
      <w:r>
        <w:rPr/>
        <w:t xml:space="preserve"> kam also </w:t>
      </w:r>
      <w:r>
        <w:rPr>
          <w:strike/>
          <w:color w:val="808080"/>
        </w:rPr>
        <w:t>{der}</w:t>
      </w:r>
      <w:r>
        <w:rPr/>
        <w:t xml:space="preserve"> Jesus heraus, angetan mit der Dornenkrone </w:t>
      </w:r>
      <w:r>
        <w:rPr>
          <w:color w:val="808080"/>
        </w:rPr>
        <w:t>(dem Dornenkranz)</w:t>
      </w:r>
      <w:r>
        <w:rPr/>
        <w:t xml:space="preserve"> und dem purpurnen Mantel </w:t>
      </w:r>
      <w:r>
        <w:rPr>
          <w:color w:val="808080"/>
        </w:rPr>
        <w:t>(Gewandt)</w:t>
      </w:r>
      <w:r>
        <w:rPr/>
        <w:t xml:space="preserve"> </w:t>
      </w:r>
      <w:r>
        <w:rPr>
          <w:color w:val="808080"/>
        </w:rPr>
        <w:t>(und trug die Dornenkrone und den purpurnen Mantel)</w:t>
      </w:r>
      <w:r>
        <w:rPr/>
        <w:t>. Und er</w:t>
      </w:r>
      <w:r>
        <w:rPr>
          <w:rStyle w:val="Funotenanker"/>
        </w:rPr>
        <w:footnoteReference w:customMarkFollows="1" w:id="5151"/>
        <w:t>a</w:t>
      </w:r>
      <w:r>
        <w:rPr/>
        <w:t xml:space="preserve"> sagt ihnen: Sieh </w:t>
      </w:r>
      <w:r>
        <w:rPr>
          <w:color w:val="808080"/>
        </w:rPr>
        <w:t>(Seht)</w:t>
      </w:r>
      <w:r>
        <w:rPr/>
        <w:t xml:space="preserve">, der Mensch!{{field-off:bible}} </w:t>
        <w:br/>
        <w:t>[[@BibleTOBIBLE:Jn 19:6]]</w:t>
      </w:r>
      <w:r>
        <w:rPr>
          <w:b/>
        </w:rPr>
        <w:t>6</w:t>
      </w:r>
      <w:r>
        <w:rPr/>
        <w:t xml:space="preserve"> {{field-on:bible}}Als ihn also die Hohenpriester und die Diener sahen, schrien sie und sagten: Kreuzige, kreuzige! </w:t>
      </w:r>
      <w:r>
        <w:rPr>
          <w:strike/>
          <w:color w:val="808080"/>
        </w:rPr>
        <w:t>{Der}</w:t>
      </w:r>
      <w:r>
        <w:rPr/>
        <w:t xml:space="preserve"> Pilatus sagt ihnen: Nehmt Ihr ihn und kreuzigt </w:t>
      </w:r>
      <w:r>
        <w:rPr>
          <w:b/>
          <w:color w:val="808080"/>
        </w:rPr>
        <w:t>[</w:t>
      </w:r>
      <w:r>
        <w:rPr/>
        <w:t>ihn</w:t>
      </w:r>
      <w:r>
        <w:rPr>
          <w:b/>
          <w:color w:val="808080"/>
        </w:rPr>
        <w:t>]</w:t>
      </w:r>
      <w:r>
        <w:rPr/>
        <w:t xml:space="preserve">, ich nämlich finde in ihm keine Schuld.{{field-off:bible}} </w:t>
        <w:br/>
        <w:t>[[@BibleTOBIBLE:Jn 19:7]]</w:t>
      </w:r>
      <w:r>
        <w:rPr>
          <w:b/>
        </w:rPr>
        <w:t>7</w:t>
      </w:r>
      <w:r>
        <w:rPr/>
        <w:t xml:space="preserve"> {{field-on:bible}} </w:t>
      </w:r>
      <w:r>
        <w:rPr>
          <w:b/>
          <w:color w:val="808080"/>
        </w:rPr>
        <w:t>[</w:t>
      </w:r>
      <w:r>
        <w:rPr/>
        <w:t>Es</w:t>
      </w:r>
      <w:r>
        <w:rPr>
          <w:b/>
          <w:color w:val="808080"/>
        </w:rPr>
        <w:t>]</w:t>
      </w:r>
      <w:r>
        <w:rPr/>
        <w:t xml:space="preserve"> antworteten ihm die Juden: Wir haben ein Gesetz und nach dem Gesetz muß er sterben, weil er sich Sohn Gottes gemacht hat.{{field-off:bible}} </w:t>
        <w:br/>
        <w:t>[[@BibleTOBIBLE:Jn 19:8]]</w:t>
      </w:r>
      <w:r>
        <w:rPr>
          <w:b/>
        </w:rPr>
        <w:t>8</w:t>
      </w:r>
      <w:r>
        <w:rPr/>
        <w:t xml:space="preserve"> {{field-on:bible}}Als also </w:t>
      </w:r>
      <w:r>
        <w:rPr>
          <w:strike/>
          <w:color w:val="808080"/>
        </w:rPr>
        <w:t>{der}</w:t>
      </w:r>
      <w:r>
        <w:rPr/>
        <w:t xml:space="preserve"> Pilatus dieses Wort hörte, fürchtete er sich mehr{{field-off:bible}} </w:t>
        <w:br/>
        <w:t>[[@BibleTOBIBLE:Jn 19:9]]</w:t>
      </w:r>
      <w:r>
        <w:rPr>
          <w:b/>
        </w:rPr>
        <w:t>9</w:t>
      </w:r>
      <w:r>
        <w:rPr/>
        <w:t xml:space="preserve"> {{field-on:bible}}und ging wieder </w:t>
      </w:r>
      <w:r>
        <w:rPr>
          <w:color w:val="808080"/>
        </w:rPr>
        <w:t>(wiederum)</w:t>
      </w:r>
      <w:r>
        <w:rPr/>
        <w:t xml:space="preserve"> in das Prätorium hinein und sagt zu </w:t>
      </w:r>
      <w:r>
        <w:rPr>
          <w:color w:val="808080"/>
        </w:rPr>
        <w:t>(dem)</w:t>
      </w:r>
      <w:r>
        <w:rPr/>
        <w:t xml:space="preserve"> Jesus: Woher bist Du? </w:t>
      </w:r>
      <w:r>
        <w:rPr>
          <w:strike/>
          <w:color w:val="808080"/>
        </w:rPr>
        <w:t>{Der}</w:t>
      </w:r>
      <w:r>
        <w:rPr/>
        <w:t xml:space="preserve"> Jesus aber gab ihm keine Antwort.{{field-off:bible}} </w:t>
        <w:br/>
        <w:t>[[@BibleTOBIBLE:Jn 19:10]]</w:t>
      </w:r>
      <w:r>
        <w:rPr>
          <w:b/>
        </w:rPr>
        <w:t>10</w:t>
      </w:r>
      <w:r>
        <w:rPr/>
        <w:t xml:space="preserve"> {{field-on:bible}} </w:t>
      </w:r>
      <w:r>
        <w:rPr>
          <w:b/>
          <w:color w:val="808080"/>
        </w:rPr>
        <w:t>[</w:t>
      </w:r>
      <w:r>
        <w:rPr/>
        <w:t>Es</w:t>
      </w:r>
      <w:r>
        <w:rPr>
          <w:b/>
          <w:color w:val="808080"/>
        </w:rPr>
        <w:t>]</w:t>
      </w:r>
      <w:r>
        <w:rPr/>
        <w:t xml:space="preserve"> sagt ihm also </w:t>
      </w:r>
      <w:r>
        <w:rPr>
          <w:strike/>
          <w:color w:val="808080"/>
        </w:rPr>
        <w:t>{der}</w:t>
      </w:r>
      <w:r>
        <w:rPr/>
        <w:t xml:space="preserve"> Pilatus: Mit mir sprichst Du nicht? Weißt Du nicht, dass ich Macht </w:t>
      </w:r>
      <w:r>
        <w:rPr>
          <w:color w:val="808080"/>
        </w:rPr>
        <w:t>(Vollmacht)</w:t>
      </w:r>
      <w:r>
        <w:rPr/>
        <w:t xml:space="preserve"> habe, Dich freizulassen, und Macht </w:t>
      </w:r>
      <w:r>
        <w:rPr>
          <w:color w:val="808080"/>
        </w:rPr>
        <w:t>(Vollmacht)</w:t>
      </w:r>
      <w:r>
        <w:rPr/>
        <w:t xml:space="preserve">, Dich zu kreuzigen?{{field-off:bible}} </w:t>
        <w:br/>
        <w:t>[[@BibleTOBIBLE:Jn 19:11]]</w:t>
      </w:r>
      <w:r>
        <w:rPr>
          <w:b/>
        </w:rPr>
        <w:t>11</w:t>
      </w:r>
      <w:r>
        <w:rPr/>
        <w:t xml:space="preserve"> {{field-on:bible}} </w:t>
      </w:r>
      <w:r>
        <w:rPr>
          <w:b/>
          <w:color w:val="808080"/>
        </w:rPr>
        <w:t>[</w:t>
      </w:r>
      <w:r>
        <w:rPr/>
        <w:t>Es</w:t>
      </w:r>
      <w:r>
        <w:rPr>
          <w:b/>
          <w:color w:val="808080"/>
        </w:rPr>
        <w:t>]</w:t>
      </w:r>
      <w:r>
        <w:rPr/>
        <w:t xml:space="preserve"> antwortete ihm Jesus: Du hättest keine Macht </w:t>
      </w:r>
      <w:r>
        <w:rPr>
          <w:color w:val="808080"/>
        </w:rPr>
        <w:t>(Vollmacht)</w:t>
      </w:r>
      <w:r>
        <w:rPr/>
        <w:t xml:space="preserve"> über mich, wenn es</w:t>
      </w:r>
      <w:r>
        <w:rPr>
          <w:rStyle w:val="Funotenanker"/>
        </w:rPr>
        <w:footnoteReference w:customMarkFollows="1" w:id="5152"/>
        <w:t>b</w:t>
      </w:r>
      <w:r>
        <w:rPr/>
        <w:t xml:space="preserve"> Dir nicht von oben gegeben worden wäre. Deshalb hat der, der mich Dir übergeben </w:t>
      </w:r>
      <w:r>
        <w:rPr>
          <w:color w:val="808080"/>
        </w:rPr>
        <w:t>(überliefert)</w:t>
      </w:r>
      <w:r>
        <w:rPr/>
        <w:t xml:space="preserve"> hat, größere Schuld </w:t>
      </w:r>
      <w:r>
        <w:rPr>
          <w:color w:val="808080"/>
        </w:rPr>
        <w:t>(Sünde)</w:t>
      </w:r>
      <w:r>
        <w:rPr/>
        <w:t xml:space="preserve">.{{field-off:bible}} </w:t>
        <w:br/>
        <w:t>[[@BibleTOBIBLE:Jn 19:12]]</w:t>
      </w:r>
      <w:r>
        <w:rPr>
          <w:b/>
        </w:rPr>
        <w:t>12</w:t>
      </w:r>
      <w:r>
        <w:rPr/>
        <w:t xml:space="preserve"> {{field-on:bible}}Aus diesem </w:t>
      </w:r>
      <w:r>
        <w:rPr>
          <w:b/>
          <w:color w:val="808080"/>
        </w:rPr>
        <w:t>[</w:t>
      </w:r>
      <w:r>
        <w:rPr/>
        <w:t>Grund</w:t>
      </w:r>
      <w:r>
        <w:rPr>
          <w:b/>
          <w:color w:val="808080"/>
        </w:rPr>
        <w:t>]</w:t>
      </w:r>
      <w:r>
        <w:rPr/>
        <w:t xml:space="preserve"> </w:t>
      </w:r>
      <w:r>
        <w:rPr>
          <w:color w:val="808080"/>
        </w:rPr>
        <w:t>(deshalb, von da an)</w:t>
      </w:r>
      <w:r>
        <w:rPr/>
        <w:t xml:space="preserve"> versuchte </w:t>
      </w:r>
      <w:r>
        <w:rPr>
          <w:color w:val="808080"/>
        </w:rPr>
        <w:t>(suchte)</w:t>
      </w:r>
      <w:r>
        <w:rPr/>
        <w:t xml:space="preserve"> </w:t>
      </w:r>
      <w:r>
        <w:rPr>
          <w:strike/>
          <w:color w:val="808080"/>
        </w:rPr>
        <w:t>{der}</w:t>
      </w:r>
      <w:r>
        <w:rPr/>
        <w:t xml:space="preserve"> Pilatus ihn freizulassen. Die Juden aber schrien und sagten: Wenn Du diesen freiläßt, bist Du kein Freund des Kaisers </w:t>
      </w:r>
      <w:r>
        <w:rPr>
          <w:color w:val="808080"/>
        </w:rPr>
        <w:t>(Caesars)</w:t>
      </w:r>
      <w:r>
        <w:rPr/>
        <w:t xml:space="preserve">. Jeder, der sich </w:t>
      </w:r>
      <w:r>
        <w:rPr>
          <w:color w:val="808080"/>
        </w:rPr>
        <w:t>(zum)</w:t>
      </w:r>
      <w:r>
        <w:rPr/>
        <w:t xml:space="preserve"> König macht, handelt gegen den </w:t>
      </w:r>
      <w:r>
        <w:rPr>
          <w:color w:val="808080"/>
        </w:rPr>
        <w:t>(widersteht, widerspricht dem)</w:t>
      </w:r>
      <w:r>
        <w:rPr/>
        <w:t xml:space="preserve"> Kaiser </w:t>
      </w:r>
      <w:r>
        <w:rPr>
          <w:color w:val="808080"/>
        </w:rPr>
        <w:t>(Caesar)</w:t>
      </w:r>
      <w:r>
        <w:rPr/>
        <w:t xml:space="preserve">.{{field-off:bible}} </w:t>
        <w:br/>
        <w:t>[[@BibleTOBIBLE:Jn 19:13]]</w:t>
      </w:r>
      <w:r>
        <w:rPr>
          <w:b/>
        </w:rPr>
        <w:t>13</w:t>
      </w:r>
      <w:r>
        <w:rPr/>
        <w:t xml:space="preserve"> {{field-on:bible}}Als Pilatus also diese Worte gehört hatte </w:t>
      </w:r>
      <w:r>
        <w:rPr>
          <w:color w:val="808080"/>
        </w:rPr>
        <w:t>(hörte)</w:t>
      </w:r>
      <w:r>
        <w:rPr/>
        <w:t xml:space="preserve">, führte er </w:t>
      </w:r>
      <w:r>
        <w:rPr>
          <w:strike/>
          <w:color w:val="808080"/>
        </w:rPr>
        <w:t>{den}</w:t>
      </w:r>
      <w:r>
        <w:rPr/>
        <w:t xml:space="preserve"> Jesus heraus, und setzte sich </w:t>
      </w:r>
      <w:r>
        <w:rPr>
          <w:color w:val="808080"/>
        </w:rPr>
        <w:t>(ihn</w:t>
      </w:r>
      <w:r>
        <w:rPr/>
        <w:t xml:space="preserve"> </w:t>
      </w:r>
      <w:r>
        <w:rPr>
          <w:rStyle w:val="Funotenanker"/>
        </w:rPr>
        <w:footnoteReference w:customMarkFollows="1" w:id="5153"/>
        <w:t>c</w:t>
      </w:r>
      <w:r>
        <w:rPr/>
        <w:t xml:space="preserve"> </w:t>
      </w:r>
      <w:r>
        <w:rPr>
          <w:color w:val="808080"/>
        </w:rPr>
        <w:t>)</w:t>
      </w:r>
      <w:r>
        <w:rPr/>
        <w:t xml:space="preserve"> auf den Richtstuhl auf einem </w:t>
      </w:r>
      <w:r>
        <w:rPr>
          <w:color w:val="808080"/>
        </w:rPr>
        <w:t>(an einen)</w:t>
      </w:r>
      <w:r>
        <w:rPr/>
        <w:t xml:space="preserve"> Platz, der Lithostrotos genannt wird, auf Hebräisch aber Gabbata.{{field-off:bible}} </w:t>
        <w:br/>
        <w:t>[[@BibleTOBIBLE:Jn 19:14]]</w:t>
      </w:r>
      <w:r>
        <w:rPr>
          <w:b/>
        </w:rPr>
        <w:t>14</w:t>
      </w:r>
      <w:r>
        <w:rPr/>
        <w:t xml:space="preserve"> {{field-on:bible}}Es war aber Rüsttag</w:t>
      </w:r>
      <w:r>
        <w:rPr>
          <w:rStyle w:val="Funotenanker"/>
        </w:rPr>
        <w:footnoteReference w:customMarkFollows="1" w:id="5154"/>
        <w:t>d</w:t>
      </w:r>
      <w:r>
        <w:rPr/>
        <w:t xml:space="preserve"> des Pascha, es war ungefähr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5155"/>
        <w:t>e</w:t>
      </w:r>
      <w:r>
        <w:rPr/>
        <w:t xml:space="preserve"> Kreuzige ihn! Pilatus spricht zu ihnen: Euren König soll ich kreuzigen? Die Hohenpriester antworteten: Wir haben keinen König außer </w:t>
      </w:r>
      <w:r>
        <w:rPr>
          <w:b/>
          <w:color w:val="808080"/>
        </w:rPr>
        <w:t>[</w:t>
      </w:r>
      <w:r>
        <w:rPr/>
        <w:t>dem</w:t>
      </w:r>
      <w:r>
        <w:rPr>
          <w:b/>
          <w:color w:val="808080"/>
        </w:rPr>
        <w:t>]</w:t>
      </w:r>
      <w:r>
        <w:rPr/>
        <w:t xml:space="preserve"> Kaiser.</w:t>
      </w:r>
      <w:r>
        <w:rPr>
          <w:rStyle w:val="Funotenanker"/>
        </w:rPr>
        <w:footnoteReference w:customMarkFollows="1" w:id="5156"/>
        <w:t>f</w:t>
      </w:r>
      <w:r>
        <w:rPr/>
        <w:t xml:space="preserve"> {{field-off:bible}} </w:t>
        <w:br/>
        <w:t>[[@BibleTOBIBLE:Jn 19:16]]</w:t>
      </w:r>
      <w:r>
        <w:rPr>
          <w:b/>
        </w:rPr>
        <w:t>16</w:t>
      </w:r>
      <w:r>
        <w:rPr/>
        <w:t xml:space="preserve"> {{field-on:bible}}Dann also übergab er ihn ihnen, damit er gekreuzigt würde. Sie übernahmen also </w:t>
      </w:r>
      <w:r>
        <w:rPr>
          <w:strike/>
          <w:color w:val="808080"/>
        </w:rPr>
        <w:t>{den}</w:t>
      </w:r>
      <w:r>
        <w:rPr/>
        <w:t xml:space="preserve"> Jesus.{{field-off:bible}} </w:t>
        <w:br/>
        <w:t>[[@BibleTOBIBLE:Jn 19:17]]</w:t>
      </w:r>
      <w:r>
        <w:rPr>
          <w:b/>
        </w:rPr>
        <w:t>17</w:t>
      </w:r>
      <w:r>
        <w:rPr/>
        <w:t xml:space="preserve"> {{field-on:bible}}Und das Kreuz selbst </w:t>
      </w:r>
      <w:r>
        <w:rPr>
          <w:color w:val="808080"/>
        </w:rPr>
        <w:t>(allein)</w:t>
      </w:r>
      <w:r>
        <w:rPr/>
        <w:t xml:space="preserve"> tragend ging er hinaus zu dem Ort, der Schädelstätte genannt wird – was auf Hebräisch Golgotha heißt,{{field-off:bible}} </w:t>
        <w:br/>
        <w:t>[[@BibleTOBIBLE:Jn 19:18]]</w:t>
      </w:r>
      <w:r>
        <w:rPr>
          <w:b/>
        </w:rPr>
        <w:t>18</w:t>
      </w:r>
      <w:r>
        <w:rPr/>
        <w:t xml:space="preserve"> {{field-on:bible}}wo sie ihn kreuzigten, und mit ihm andere zwei auf der einen und der anderen Seite </w:t>
      </w:r>
      <w:r>
        <w:rPr>
          <w:color w:val="808080"/>
        </w:rPr>
        <w:t>(von dort und von dort)</w:t>
      </w:r>
      <w:r>
        <w:rPr/>
        <w:t xml:space="preserve">, inmitten </w:t>
      </w:r>
      <w:r>
        <w:rPr>
          <w:color w:val="808080"/>
        </w:rPr>
        <w:t>(in der Mitte)</w:t>
      </w:r>
      <w:r>
        <w:rPr/>
        <w:t xml:space="preserve"> aber </w:t>
      </w:r>
      <w:r>
        <w:rPr>
          <w:strike/>
          <w:color w:val="808080"/>
        </w:rPr>
        <w:t>{den}</w:t>
      </w:r>
      <w:r>
        <w:rPr/>
        <w:t xml:space="preserve"> Jesus.{{field-off:bible}} </w:t>
        <w:br/>
        <w:t>[[@BibleTOBIBLE:Jn 19:19]]</w:t>
      </w:r>
      <w:r>
        <w:rPr>
          <w:b/>
        </w:rPr>
        <w:t>19</w:t>
      </w:r>
      <w:r>
        <w:rPr/>
        <w:t xml:space="preserve"> {{field-on:bible}} </w:t>
      </w:r>
      <w:r>
        <w:rPr>
          <w:b/>
          <w:color w:val="808080"/>
        </w:rPr>
        <w:t>[</w:t>
      </w:r>
      <w:r>
        <w:rPr/>
        <w:t>Es</w:t>
      </w:r>
      <w:r>
        <w:rPr>
          <w:b/>
          <w:color w:val="808080"/>
        </w:rPr>
        <w:t>]</w:t>
      </w:r>
      <w:r>
        <w:rPr/>
        <w:t xml:space="preserve"> schrieb </w:t>
      </w:r>
      <w:r>
        <w:rPr>
          <w:color w:val="808080"/>
        </w:rPr>
        <w:t>(ließ aber)</w:t>
      </w:r>
      <w:r>
        <w:rPr/>
        <w:t xml:space="preserve"> </w:t>
      </w:r>
      <w:r>
        <w:rPr>
          <w:strike/>
          <w:color w:val="808080"/>
        </w:rPr>
        <w:t>{der}</w:t>
      </w:r>
      <w:r>
        <w:rPr/>
        <w:t xml:space="preserve"> Pilatus aber auch eine Aufschrift </w:t>
      </w:r>
      <w:r>
        <w:rPr>
          <w:color w:val="808080"/>
        </w:rPr>
        <w:t>(schreiben)</w:t>
      </w:r>
      <w:r>
        <w:rPr/>
        <w:t xml:space="preserve"> und befestigte </w:t>
      </w:r>
      <w:r>
        <w:rPr>
          <w:color w:val="808080"/>
        </w:rPr>
        <w:t>(setzte)</w:t>
      </w:r>
      <w:r>
        <w:rPr/>
        <w:t xml:space="preserve"> </w:t>
      </w:r>
      <w:r>
        <w:rPr>
          <w:b/>
          <w:color w:val="808080"/>
        </w:rPr>
        <w:t>[</w:t>
      </w:r>
      <w:r>
        <w:rPr/>
        <w:t>sie</w:t>
      </w:r>
      <w:r>
        <w:rPr>
          <w:b/>
          <w:color w:val="808080"/>
        </w:rPr>
        <w:t>]</w:t>
      </w:r>
      <w:r>
        <w:rPr/>
        <w:t xml:space="preserve"> an dem </w:t>
      </w:r>
      <w:r>
        <w:rPr>
          <w:color w:val="808080"/>
        </w:rPr>
        <w:t>(auf das)</w:t>
      </w:r>
      <w:r>
        <w:rPr/>
        <w:t xml:space="preserve"> Kreuz </w:t>
      </w:r>
      <w:r>
        <w:rPr>
          <w:color w:val="808080"/>
        </w:rPr>
        <w:t>(befestigen; setzen)</w:t>
      </w:r>
      <w:r>
        <w:rPr/>
        <w:t xml:space="preserve">. Es war aber geschrieben: Jesus der Nazoräer, der König der Juden.{{field-off:bible}} </w:t>
        <w:br/>
        <w:t>[[@BibleTOBIBLE:Jn 19:20]]</w:t>
      </w:r>
      <w:r>
        <w:rPr>
          <w:b/>
        </w:rPr>
        <w:t>20</w:t>
      </w:r>
      <w:r>
        <w:rPr/>
        <w:t xml:space="preserve"> {{field-on:bible}}Diese Aufschrift also lasen viele der Juden, weil der Ort, wo Jesus gekreuzigt wurde, nahe der Stadt war. Und es war geschrieben in Hebräisch, Römisch, Griechisch.{{field-off:bible}} </w:t>
        <w:br/>
        <w:t>[[@BibleTOBIBLE:Jn 19:21]]</w:t>
      </w:r>
      <w:r>
        <w:rPr>
          <w:b/>
        </w:rPr>
        <w:t>21</w:t>
      </w:r>
      <w:r>
        <w:rPr/>
        <w:t xml:space="preserve"> {{field-on:bible}} </w:t>
      </w:r>
      <w:r>
        <w:rPr>
          <w:b/>
          <w:color w:val="808080"/>
        </w:rPr>
        <w:t>[</w:t>
      </w:r>
      <w:r>
        <w:rPr/>
        <w:t>Es</w:t>
      </w:r>
      <w:r>
        <w:rPr>
          <w:b/>
          <w:color w:val="808080"/>
        </w:rPr>
        <w:t>]</w:t>
      </w:r>
      <w:r>
        <w:rPr/>
        <w:t xml:space="preserve"> sagten also die Hohenpriester der Juden zu </w:t>
      </w:r>
      <w:r>
        <w:rPr>
          <w:strike/>
          <w:color w:val="808080"/>
        </w:rPr>
        <w:t>{dem}</w:t>
      </w:r>
      <w:r>
        <w:rPr/>
        <w:t xml:space="preserve"> Pilatus: Schreib nicht: Der König der Juden, sondern, dass jener behauptete </w:t>
      </w:r>
      <w:r>
        <w:rPr>
          <w:color w:val="808080"/>
        </w:rPr>
        <w:t>(sagte)</w:t>
      </w:r>
      <w:r>
        <w:rPr/>
        <w:t xml:space="preserve">, König der Juden zu sein </w:t>
      </w:r>
      <w:r>
        <w:rPr>
          <w:color w:val="808080"/>
        </w:rPr>
        <w:t>(bin ich)</w:t>
      </w:r>
      <w:r>
        <w:rPr/>
        <w:t xml:space="preserve">.{{field-off:bible}} </w:t>
        <w:br/>
        <w:t>[[@BibleTOBIBLE:Jn 19:22]]</w:t>
      </w:r>
      <w:r>
        <w:rPr>
          <w:b/>
        </w:rPr>
        <w:t>22</w:t>
      </w:r>
      <w:r>
        <w:rPr/>
        <w:t xml:space="preserve"> {{field-on:bible}}Pilatus antwortete: Was ich geschrieben habe, habe ich geschrieben.{{field-off:bible}} </w:t>
        <w:br/>
        <w:t>[[@BibleTOBIBLE:Jn 19:23]]</w:t>
      </w:r>
      <w:r>
        <w:rPr>
          <w:b/>
        </w:rPr>
        <w:t>23</w:t>
      </w:r>
      <w:r>
        <w:rPr/>
        <w:t xml:space="preserve"> {{field-on:bible}}Die Soldaten also, als sie </w:t>
      </w:r>
      <w:r>
        <w:rPr>
          <w:strike/>
          <w:color w:val="808080"/>
        </w:rPr>
        <w:t>{den}</w:t>
      </w:r>
      <w:r>
        <w:rPr/>
        <w:t xml:space="preserve"> Jesus gekreuzigt hatten, nahmen seine Kleider </w:t>
      </w:r>
      <w:r>
        <w:rPr>
          <w:color w:val="808080"/>
        </w:rPr>
        <w:t>(Obergewänder)</w:t>
      </w:r>
      <w:r>
        <w:rPr/>
        <w:t xml:space="preserve"> und machten vier Teile, einem jedem Soldaten einen Teil, und das Untergewand. Das Untergewand war aber ohne Naht von oben an als Ganzes </w:t>
      </w:r>
      <w:r>
        <w:rPr>
          <w:color w:val="808080"/>
        </w:rPr>
        <w:t>(ganz durch)</w:t>
      </w:r>
      <w:r>
        <w:rPr/>
        <w:t xml:space="preserve"> gewebt.{{field-off:bible}} </w:t>
        <w:br/>
        <w:t>[[@BibleTOBIBLE:Jn 19:24]]</w:t>
      </w:r>
      <w:r>
        <w:rPr>
          <w:b/>
        </w:rPr>
        <w:t>24</w:t>
      </w:r>
      <w:r>
        <w:rPr/>
        <w:t xml:space="preserve"> {{field-on:bible}}Sie sagten also zueinander: Laßt uns es nicht zerteilen, sondern durch Los über es bestimmen </w:t>
      </w:r>
      <w:r>
        <w:rPr>
          <w:color w:val="808080"/>
        </w:rPr>
        <w:t>(über es losen)</w:t>
      </w:r>
      <w:r>
        <w:rPr/>
        <w:t xml:space="preserve">, wem es gehören wird </w:t>
      </w:r>
      <w:r>
        <w:rPr>
          <w:color w:val="808080"/>
        </w:rPr>
        <w:t>(wessen es sein wird)</w:t>
      </w:r>
      <w:r>
        <w:rPr/>
        <w:t xml:space="preserve">. Damit die Schrift erfüllt werde, die sagt: Sie verteilten meine Kleider </w:t>
      </w:r>
      <w:r>
        <w:rPr>
          <w:color w:val="808080"/>
        </w:rPr>
        <w:t>(Obergewänder)</w:t>
      </w:r>
      <w:r>
        <w:rPr/>
        <w:t xml:space="preserve"> unter sich und über meine Kleidung warfen sie ein Los. Die Soldaten also taten das </w:t>
      </w:r>
      <w:r>
        <w:rPr>
          <w:color w:val="808080"/>
        </w:rPr>
        <w:t>(machten diese Dinge)</w:t>
      </w:r>
      <w:r>
        <w:rPr/>
        <w:t xml:space="preserve">.{{field-off:bible}} </w:t>
        <w:br/>
        <w:t>[[@BibleTOBIBLE:Jn 19:25]]</w:t>
      </w:r>
      <w:r>
        <w:rPr>
          <w:b/>
        </w:rPr>
        <w:t>25</w:t>
      </w:r>
      <w:r>
        <w:rPr/>
        <w:t xml:space="preserve"> {{field-on:bible}} </w:t>
      </w:r>
      <w:r>
        <w:rPr>
          <w:b/>
          <w:color w:val="808080"/>
        </w:rPr>
        <w:t>[</w:t>
      </w:r>
      <w:r>
        <w:rPr/>
        <w:t>Es</w:t>
      </w:r>
      <w:r>
        <w:rPr>
          <w:b/>
          <w:color w:val="808080"/>
        </w:rPr>
        <w:t>]</w:t>
      </w:r>
      <w:r>
        <w:rPr/>
        <w:t xml:space="preserve"> standen aber bei dem Kreuz Jesu seine Mutter und die Schwester seiner Mutter, Maria, die des Klopas und Maria </w:t>
      </w:r>
      <w:r>
        <w:rPr>
          <w:color w:val="808080"/>
        </w:rPr>
        <w:t>(die)</w:t>
      </w:r>
      <w:r>
        <w:rPr/>
        <w:t xml:space="preserve"> Magdalena.{{field-off:bible}} </w:t>
        <w:br/>
        <w:t>[[@BibleTOBIBLE:Jn 19:26]]</w:t>
      </w:r>
      <w:r>
        <w:rPr>
          <w:b/>
        </w:rPr>
        <w:t>26</w:t>
      </w:r>
      <w:r>
        <w:rPr/>
        <w:t xml:space="preserve"> {{field-on:bible}}Als Jesus also die Mutter und dabeistehend den Jünger, den er liebte, sah, sagt er der Mutter: Frau, sieh Deinen Sohn.{{field-off:bible}} </w:t>
        <w:br/>
        <w:t>[[@BibleTOBIBLE:Jn 19:27]]</w:t>
      </w:r>
      <w:r>
        <w:rPr>
          <w:b/>
        </w:rPr>
        <w:t>27</w:t>
      </w:r>
      <w:r>
        <w:rPr/>
        <w:t xml:space="preserve"> {{field-on:bible}}Darauf sagt er dem Jünger: Sieh, Deine Mutter. Und von jener Stunde an nahm der Jünger sie zu sich </w:t>
      </w:r>
      <w:r>
        <w:rPr>
          <w:color w:val="808080"/>
        </w:rPr>
        <w:t>(in sein Eigenes</w:t>
      </w:r>
      <w:r>
        <w:rPr/>
        <w:t xml:space="preserve"> </w:t>
      </w:r>
      <w:r>
        <w:rPr>
          <w:rStyle w:val="Funotenanker"/>
        </w:rPr>
        <w:footnoteReference w:customMarkFollows="1" w:id="5157"/>
        <w:t>g</w:t>
      </w:r>
      <w:r>
        <w:rPr/>
        <w:t xml:space="preserve"> </w:t>
      </w:r>
      <w:r>
        <w:rPr>
          <w:color w:val="808080"/>
        </w:rPr>
        <w:t>)</w:t>
      </w:r>
      <w:r>
        <w:rPr/>
        <w:t xml:space="preserve">.{{field-off:bible}} </w:t>
        <w:br/>
        <w:t>[[@BibleTOBIBLE:Jn 19:28]]</w:t>
      </w:r>
      <w:r>
        <w:rPr>
          <w:b/>
        </w:rPr>
        <w:t>28</w:t>
      </w:r>
      <w:r>
        <w:rPr/>
        <w:t xml:space="preserve"> {{field-on:bible}}Danach, da Jesus wußte, daß schon alles</w:t>
      </w:r>
      <w:r>
        <w:rPr>
          <w:rStyle w:val="Funotenanker"/>
        </w:rPr>
        <w:footnoteReference w:customMarkFollows="1" w:id="5158"/>
        <w:t>h</w:t>
      </w:r>
      <w:r>
        <w:rPr/>
        <w:t xml:space="preserve"> vollendet war, sagt er, damit die Schrift erfüllt würde: Ich habe Durst </w:t>
      </w:r>
      <w:r>
        <w:rPr>
          <w:color w:val="808080"/>
        </w:rPr>
        <w:t>(dürste)</w:t>
      </w:r>
      <w:r>
        <w:rPr/>
        <w:t xml:space="preserve">.{{field-off:bible}} </w:t>
        <w:br/>
        <w:t>[[@BibleTOBIBLE:Jn 19:29]]</w:t>
      </w:r>
      <w:r>
        <w:rPr>
          <w:b/>
        </w:rPr>
        <w:t>29</w:t>
      </w:r>
      <w:r>
        <w:rPr/>
        <w:t xml:space="preserve"> {{field-on:bible}}Ein Gefäß stand </w:t>
      </w:r>
      <w:r>
        <w:rPr>
          <w:b/>
          <w:color w:val="808080"/>
        </w:rPr>
        <w:t>[</w:t>
      </w:r>
      <w:r>
        <w:rPr/>
        <w:t>da</w:t>
      </w:r>
      <w:r>
        <w:rPr>
          <w:b/>
          <w:color w:val="808080"/>
        </w:rPr>
        <w:t>]</w:t>
      </w:r>
      <w:r>
        <w:rPr/>
        <w:t xml:space="preserve"> gefüllt mit Essig. Sie steckten also einen Schwamm gefüllt mit dem Essig auf einen Ysop und näherten </w:t>
      </w:r>
      <w:r>
        <w:rPr>
          <w:b/>
          <w:color w:val="808080"/>
        </w:rPr>
        <w:t>[</w:t>
      </w:r>
      <w:r>
        <w:rPr/>
        <w:t>ihn</w:t>
      </w:r>
      <w:r>
        <w:rPr>
          <w:b/>
          <w:color w:val="808080"/>
        </w:rPr>
        <w:t>]</w:t>
      </w:r>
      <w:r>
        <w:rPr/>
        <w:t xml:space="preserve"> seinem Mund.{{field-off:bible}} </w:t>
        <w:br/>
        <w:t>[[@BibleTOBIBLE:Jn 19:30]]</w:t>
      </w:r>
      <w:r>
        <w:rPr>
          <w:b/>
        </w:rPr>
        <w:t>30</w:t>
      </w:r>
      <w:r>
        <w:rPr/>
        <w:t xml:space="preserve"> {{field-on:bible}}Als also Jesus den Essig genommen hatte, sagte er: Es ist vollendet, und, indem er das Haupt neigte, übergab er den Geist.{{field-off:bible}} </w:t>
        <w:br/>
        <w:t>[[@BibleTOBIBLE:Jn 19:31]]</w:t>
      </w:r>
      <w:r>
        <w:rPr>
          <w:b/>
        </w:rPr>
        <w:t>31</w:t>
      </w:r>
      <w:r>
        <w:rPr/>
        <w:t xml:space="preserve"> {{field-on:bible}}Die Juden also, da Rüsttag war, </w:t>
      </w:r>
      <w:r>
        <w:rPr>
          <w:b/>
          <w:color w:val="808080"/>
        </w:rPr>
        <w:t>[</w:t>
      </w:r>
      <w:r>
        <w:rPr/>
        <w:t>und</w:t>
      </w:r>
      <w:r>
        <w:rPr>
          <w:b/>
          <w:color w:val="808080"/>
        </w:rPr>
        <w:t>]</w:t>
      </w:r>
      <w:r>
        <w:rPr/>
        <w:t xml:space="preserve"> damit die Körper nicht auf dem Kreuz an dem Sabbat blieben – es war nämlich jener Tag des Sabbats bedeutend </w:t>
      </w:r>
      <w:r>
        <w:rPr>
          <w:color w:val="808080"/>
        </w:rPr>
        <w:t>(groß)</w:t>
      </w:r>
      <w:r>
        <w:rPr/>
        <w:t xml:space="preserve"> – baten den Pilatus, daß man </w:t>
      </w:r>
      <w:r>
        <w:rPr>
          <w:color w:val="808080"/>
        </w:rPr>
        <w:t>(sie)</w:t>
      </w:r>
      <w:r>
        <w:rPr/>
        <w:t xml:space="preserve"> ihre Beine</w:t>
      </w:r>
      <w:r>
        <w:rPr>
          <w:rStyle w:val="Funotenanker"/>
        </w:rPr>
        <w:footnoteReference w:customMarkFollows="1" w:id="5159"/>
        <w:t>i</w:t>
      </w:r>
      <w:r>
        <w:rPr/>
        <w:t xml:space="preserve"> zerschlage </w:t>
      </w:r>
      <w:r>
        <w:rPr>
          <w:color w:val="808080"/>
        </w:rPr>
        <w:t>(zerschlagen)</w:t>
      </w:r>
      <w:r>
        <w:rPr/>
        <w:t xml:space="preserve"> und </w:t>
      </w:r>
      <w:r>
        <w:rPr>
          <w:b/>
          <w:color w:val="808080"/>
        </w:rPr>
        <w:t>[</w:t>
      </w:r>
      <w:r>
        <w:rPr/>
        <w:t xml:space="preserve">sie </w:t>
      </w:r>
      <w:r>
        <w:rPr>
          <w:rStyle w:val="Funotenanker"/>
        </w:rPr>
        <w:footnoteReference w:customMarkFollows="1" w:id="5160"/>
        <w:t>j</w:t>
      </w:r>
      <w:r>
        <w:rPr/>
        <w:t xml:space="preserve"> dann</w:t>
      </w:r>
      <w:r>
        <w:rPr>
          <w:b/>
          <w:color w:val="808080"/>
        </w:rPr>
        <w:t>]</w:t>
      </w:r>
      <w:r>
        <w:rPr/>
        <w:t xml:space="preserve"> wegnehme </w:t>
      </w:r>
      <w:r>
        <w:rPr>
          <w:color w:val="808080"/>
        </w:rPr>
        <w:t>(wegnehmen)</w:t>
      </w:r>
      <w:r>
        <w:rPr/>
        <w:t xml:space="preserve">.{{field-off:bible}} </w:t>
        <w:br/>
        <w:t>[[@BibleTOBIBLE:Jn 19:32]]</w:t>
      </w:r>
      <w:r>
        <w:rPr>
          <w:b/>
        </w:rPr>
        <w:t>32</w:t>
      </w:r>
      <w:r>
        <w:rPr/>
        <w:t xml:space="preserve"> {{field-on:bible}} </w:t>
      </w:r>
      <w:r>
        <w:rPr>
          <w:b/>
          <w:color w:val="808080"/>
        </w:rPr>
        <w:t>[</w:t>
      </w:r>
      <w:r>
        <w:rPr/>
        <w:t>Es</w:t>
      </w:r>
      <w:r>
        <w:rPr>
          <w:b/>
          <w:color w:val="808080"/>
        </w:rPr>
        <w:t>]</w:t>
      </w:r>
      <w:r>
        <w:rPr/>
        <w:t xml:space="preserve"> kamen also die Soldaten und sie zerschlugen zwar die Beine des ersten und </w:t>
      </w:r>
      <w:r>
        <w:rPr>
          <w:b/>
          <w:color w:val="808080"/>
        </w:rPr>
        <w:t>[</w:t>
      </w:r>
      <w:r>
        <w:rPr/>
        <w:t>die</w:t>
      </w:r>
      <w:r>
        <w:rPr>
          <w:b/>
          <w:color w:val="808080"/>
        </w:rPr>
        <w:t>]</w:t>
      </w:r>
      <w:r>
        <w:rPr/>
        <w:t xml:space="preserve"> des anderen, der mit ihm gekreuzigt worden war;{{field-off:bible}} </w:t>
        <w:br/>
        <w:t>[[@BibleTOBIBLE:Jn 19:33]]</w:t>
      </w:r>
      <w:r>
        <w:rPr>
          <w:b/>
        </w:rPr>
        <w:t>33</w:t>
      </w:r>
      <w:r>
        <w:rPr/>
        <w:t xml:space="preserve"> {{field-on:bible}}als sie aber zu </w:t>
      </w:r>
      <w:r>
        <w:rPr>
          <w:b/>
          <w:color w:val="808080"/>
        </w:rPr>
        <w:t>[</w:t>
      </w:r>
      <w:r>
        <w:rPr/>
        <w:t>dem</w:t>
      </w:r>
      <w:r>
        <w:rPr>
          <w:b/>
          <w:color w:val="808080"/>
        </w:rPr>
        <w:t>]</w:t>
      </w:r>
      <w:r>
        <w:rPr/>
        <w:t xml:space="preserve"> Jesus kamen und sahen, daß er schon gestorben war, zerschlugen sie seine Beine nicht,{{field-off:bible}} </w:t>
        <w:br/>
        <w:t>[[@BibleTOBIBLE:Jn 19:34]]</w:t>
      </w:r>
      <w:r>
        <w:rPr>
          <w:b/>
        </w:rPr>
        <w:t>34</w:t>
      </w:r>
      <w:r>
        <w:rPr/>
        <w:t xml:space="preserve"> {{field-on:bible}}aber einer der Soldaten stach </w:t>
      </w:r>
      <w:r>
        <w:rPr>
          <w:color w:val="808080"/>
        </w:rPr>
        <w:t>(stieß)</w:t>
      </w:r>
      <w:r>
        <w:rPr/>
        <w:t xml:space="preserve"> mit einer Lanze </w:t>
      </w:r>
      <w:r>
        <w:rPr>
          <w:b/>
          <w:color w:val="808080"/>
        </w:rPr>
        <w:t>[</w:t>
      </w:r>
      <w:r>
        <w:rPr/>
        <w:t>in</w:t>
      </w:r>
      <w:r>
        <w:rPr>
          <w:b/>
          <w:color w:val="808080"/>
        </w:rPr>
        <w:t>]</w:t>
      </w:r>
      <w:r>
        <w:rPr/>
        <w:t xml:space="preserve"> seine Seite und sogleich kam Blut und Wasser heraus.{{field-off:bible}} </w:t>
        <w:br/>
        <w:t>[[@BibleTOBIBLE:Jn 19:35]]</w:t>
      </w:r>
      <w:r>
        <w:rPr>
          <w:b/>
        </w:rPr>
        <w:t>35</w:t>
      </w:r>
      <w:r>
        <w:rPr/>
        <w:t xml:space="preserve"> {{field-on:bible}}Und der </w:t>
      </w:r>
      <w:r>
        <w:rPr>
          <w:b/>
          <w:color w:val="808080"/>
        </w:rPr>
        <w:t>[</w:t>
      </w:r>
      <w:r>
        <w:rPr/>
        <w:t>es</w:t>
      </w:r>
      <w:r>
        <w:rPr>
          <w:b/>
          <w:color w:val="808080"/>
        </w:rPr>
        <w:t>]</w:t>
      </w:r>
      <w:r>
        <w:rPr/>
        <w:t xml:space="preserve"> gesehen hat, hat </w:t>
      </w:r>
      <w:r>
        <w:rPr>
          <w:b/>
          <w:color w:val="808080"/>
        </w:rPr>
        <w:t>[</w:t>
      </w:r>
      <w:r>
        <w:rPr/>
        <w:t>es</w:t>
      </w:r>
      <w:r>
        <w:rPr>
          <w:b/>
          <w:color w:val="808080"/>
        </w:rPr>
        <w:t>]</w:t>
      </w:r>
      <w:r>
        <w:rPr/>
        <w:t xml:space="preserve"> bezeugt, und sein Zeugnis ist wahr, und jener weiß, dass er Wahres </w:t>
      </w:r>
      <w:r>
        <w:rPr>
          <w:color w:val="808080"/>
        </w:rPr>
        <w:t>(wahre Dinge)</w:t>
      </w:r>
      <w:r>
        <w:rPr/>
        <w:t xml:space="preserve"> sagt, damit auch ihr glaubt.{{field-off:bible}} </w:t>
        <w:br/>
        <w:t>[[@BibleTOBIBLE:Jn 19:36]]</w:t>
      </w:r>
      <w:r>
        <w:rPr>
          <w:b/>
        </w:rPr>
        <w:t>36</w:t>
      </w:r>
      <w:r>
        <w:rPr/>
        <w:t xml:space="preserve"> {{field-on:bible}}Es geschah </w:t>
      </w:r>
      <w:r>
        <w:rPr>
          <w:color w:val="808080"/>
        </w:rPr>
        <w:t>(geschahen)</w:t>
      </w:r>
      <w:r>
        <w:rPr/>
        <w:t xml:space="preserve"> nämlich dies </w:t>
      </w:r>
      <w:r>
        <w:rPr>
          <w:color w:val="808080"/>
        </w:rPr>
        <w:t>(diese Dinge)</w:t>
      </w:r>
      <w:r>
        <w:rPr/>
        <w:t xml:space="preserve">, damit die Schrift erfüllt würde.{{field-off:bible}} </w:t>
        <w:br/>
        <w:t>[[@BibleTOBIBLE:Jn 19:37]]</w:t>
      </w:r>
      <w:r>
        <w:rPr>
          <w:b/>
        </w:rPr>
        <w:t>37</w:t>
      </w:r>
      <w:r>
        <w:rPr/>
        <w:t xml:space="preserve"> {{field-on:bible}}Und wieder </w:t>
      </w:r>
      <w:r>
        <w:rPr>
          <w:color w:val="808080"/>
        </w:rPr>
        <w:t>(wiederum)</w:t>
      </w:r>
      <w:r>
        <w:rPr/>
        <w:t xml:space="preserve"> sagt eine andere Schrift: Sie werden auf den sehen, den sie durchbohrten.{{field-off:bible}} </w:t>
        <w:br/>
        <w:t>[[@BibleTOBIBLE:Jn 19:38]]</w:t>
      </w:r>
      <w:r>
        <w:rPr>
          <w:b/>
        </w:rPr>
        <w:t>38</w:t>
      </w:r>
      <w:r>
        <w:rPr/>
        <w:t xml:space="preserve"> {{field-on:bible}}Nach diesen Dingen aber </w:t>
      </w:r>
      <w:r>
        <w:rPr>
          <w:color w:val="808080"/>
        </w:rPr>
        <w:t>(Danach aber)</w:t>
      </w:r>
      <w:r>
        <w:rPr/>
        <w:t xml:space="preserve"> bat </w:t>
      </w:r>
      <w:r>
        <w:rPr>
          <w:color w:val="808080"/>
        </w:rPr>
        <w:t>(fragte)</w:t>
      </w:r>
      <w:r>
        <w:rPr/>
        <w:t xml:space="preserve"> Josef von Arimatäa</w:t>
      </w:r>
      <w:r>
        <w:rPr>
          <w:rStyle w:val="Funotenanker"/>
        </w:rPr>
        <w:footnoteReference w:customMarkFollows="1" w:id="5161"/>
        <w:t>k</w:t>
      </w:r>
      <w:r>
        <w:rPr/>
        <w:t xml:space="preserve">, der ein Jünger Jesu </w:t>
      </w:r>
      <w:r>
        <w:rPr>
          <w:color w:val="808080"/>
        </w:rPr>
        <w:t>(des Jesus)</w:t>
      </w:r>
      <w:r>
        <w:rPr/>
        <w:t xml:space="preserve"> war, aber ein geheimer </w:t>
      </w:r>
      <w:r>
        <w:rPr>
          <w:color w:val="808080"/>
        </w:rPr>
        <w:t>(versteckter)</w:t>
      </w:r>
      <w:r>
        <w:rPr/>
        <w:t xml:space="preserve"> wegen der Furcht vor den </w:t>
      </w:r>
      <w:r>
        <w:rPr>
          <w:color w:val="808080"/>
        </w:rPr>
        <w:t>(der)</w:t>
      </w:r>
      <w:r>
        <w:rPr/>
        <w:t xml:space="preserve"> Juden, </w:t>
      </w:r>
      <w:r>
        <w:rPr>
          <w:strike/>
          <w:color w:val="808080"/>
        </w:rPr>
        <w:t>{den}</w:t>
      </w:r>
      <w:r>
        <w:rPr/>
        <w:t xml:space="preserve"> Pilatus, den Körper </w:t>
      </w:r>
      <w:r>
        <w:rPr>
          <w:color w:val="808080"/>
        </w:rPr>
        <w:t>(Leib)</w:t>
      </w:r>
      <w:r>
        <w:rPr/>
        <w:t xml:space="preserve"> Jesu </w:t>
      </w:r>
      <w:r>
        <w:rPr>
          <w:color w:val="808080"/>
        </w:rPr>
        <w:t>(des Jesus)</w:t>
      </w:r>
      <w:r>
        <w:rPr/>
        <w:t xml:space="preserve"> zu holen </w:t>
      </w:r>
      <w:r>
        <w:rPr>
          <w:color w:val="808080"/>
        </w:rPr>
        <w:t>(wegzunehmen)</w:t>
      </w:r>
      <w:r>
        <w:rPr/>
        <w:t xml:space="preserve">. Und Pilatus überließ ihn </w:t>
      </w:r>
      <w:r>
        <w:rPr>
          <w:color w:val="808080"/>
        </w:rPr>
        <w:t>(ließ es zu)</w:t>
      </w:r>
      <w:r>
        <w:rPr/>
        <w:t xml:space="preserve">. Er kam also und holte </w:t>
      </w:r>
      <w:r>
        <w:rPr>
          <w:color w:val="808080"/>
        </w:rPr>
        <w:t>(nahm)</w:t>
      </w:r>
      <w:r>
        <w:rPr/>
        <w:t xml:space="preserve"> seinen Körper </w:t>
      </w:r>
      <w:r>
        <w:rPr>
          <w:color w:val="808080"/>
        </w:rPr>
        <w:t>(Leib)</w:t>
      </w:r>
      <w:r>
        <w:rPr/>
        <w:t xml:space="preserve">.{{field-off:bible}} </w:t>
        <w:br/>
        <w:t>[[@BibleTOBIBLE:Jn 19:39]]</w:t>
      </w:r>
      <w:r>
        <w:rPr>
          <w:b/>
        </w:rPr>
        <w:t>39</w:t>
      </w:r>
      <w:r>
        <w:rPr/>
        <w:t xml:space="preserve"> {{field-on:bible}} </w:t>
      </w:r>
      <w:r>
        <w:rPr>
          <w:b/>
          <w:color w:val="808080"/>
        </w:rPr>
        <w:t>[</w:t>
      </w:r>
      <w:r>
        <w:rPr/>
        <w:t>Es</w:t>
      </w:r>
      <w:r>
        <w:rPr>
          <w:b/>
          <w:color w:val="808080"/>
        </w:rPr>
        <w:t>]</w:t>
      </w:r>
      <w:r>
        <w:rPr/>
        <w:t xml:space="preserve"> kam aber auch Nikodemus, der zuerst nachts zu ihm gekommen war, und brachte eine Mischung von Myrrhe und Aloe, ungefähr hundert Pfund.{{field-off:bible}} </w:t>
        <w:br/>
        <w:t>[[@BibleTOBIBLE:Jn 19:40]]</w:t>
      </w:r>
      <w:r>
        <w:rPr>
          <w:b/>
        </w:rPr>
        <w:t>40</w:t>
      </w:r>
      <w:r>
        <w:rPr/>
        <w:t xml:space="preserve"> {{field-on:bible}}Sie nahmen also den Körper </w:t>
      </w:r>
      <w:r>
        <w:rPr>
          <w:color w:val="808080"/>
        </w:rPr>
        <w:t>(Leib)</w:t>
      </w:r>
      <w:r>
        <w:rPr/>
        <w:t xml:space="preserve"> Jesu </w:t>
      </w:r>
      <w:r>
        <w:rPr>
          <w:color w:val="808080"/>
        </w:rPr>
        <w:t>(des Jesus)</w:t>
      </w:r>
      <w:r>
        <w:rPr/>
        <w:t xml:space="preserve"> und wickelten </w:t>
      </w:r>
      <w:r>
        <w:rPr>
          <w:color w:val="808080"/>
        </w:rPr>
        <w:t>(banden)</w:t>
      </w:r>
      <w:r>
        <w:rPr/>
        <w:t xml:space="preserve"> ihn </w:t>
      </w:r>
      <w:r>
        <w:rPr>
          <w:color w:val="808080"/>
        </w:rPr>
        <w:t>(zusammen)</w:t>
      </w:r>
      <w:r>
        <w:rPr/>
        <w:t xml:space="preserve"> mit den wohlriechenden Gewürzen in </w:t>
      </w:r>
      <w:r>
        <w:rPr>
          <w:color w:val="808080"/>
        </w:rPr>
        <w:t>(mit)</w:t>
      </w:r>
      <w:r>
        <w:rPr/>
        <w:t xml:space="preserve"> Leinenbinden, wie es Brauch ist bei den Juden bei Bestattungen </w:t>
      </w:r>
      <w:r>
        <w:rPr>
          <w:color w:val="808080"/>
        </w:rPr>
        <w:t>(um zu bestatten)</w:t>
      </w:r>
      <w:r>
        <w:rPr/>
        <w:t xml:space="preserve">.{{field-off:bible}} </w:t>
        <w:br/>
        <w:t>[[@BibleTOBIBLE:Jn 19:41]]</w:t>
      </w:r>
      <w:r>
        <w:rPr>
          <w:b/>
        </w:rPr>
        <w:t>41</w:t>
      </w:r>
      <w:r>
        <w:rPr/>
        <w:t xml:space="preserve"> {{field-on:bible}}Es gab </w:t>
      </w:r>
      <w:r>
        <w:rPr>
          <w:color w:val="808080"/>
        </w:rPr>
        <w:t>(war)</w:t>
      </w:r>
      <w:r>
        <w:rPr/>
        <w:t xml:space="preserve"> aber an dem Ort, wo er gekreuzigt worden war, einen </w:t>
      </w:r>
      <w:r>
        <w:rPr>
          <w:color w:val="808080"/>
        </w:rPr>
        <w:t>(ein)</w:t>
      </w:r>
      <w:r>
        <w:rPr/>
        <w:t xml:space="preserve"> Garten, und in dem Garten ein neues Grab, in dem noch niemand begraben worden war.{{field-off:bible}} </w:t>
        <w:br/>
        <w:t>[[@BibleTOBIBLE:Jn 19:42]]</w:t>
      </w:r>
      <w:r>
        <w:rPr>
          <w:b/>
        </w:rPr>
        <w:t>42</w:t>
      </w:r>
      <w:r>
        <w:rPr/>
        <w:t xml:space="preserve"> {{field-on:bible}}Dort also – wegen des Vortags der Juden, weil das Grab nahe war – begruben sie </w:t>
      </w:r>
      <w:r>
        <w:rPr>
          <w:b/>
          <w:color w:val="808080"/>
        </w:rPr>
        <w:t>[</w:t>
      </w:r>
      <w:r>
        <w:rPr/>
        <w:t>den</w:t>
      </w:r>
      <w:r>
        <w:rPr>
          <w:b/>
          <w:color w:val="808080"/>
        </w:rPr>
        <w:t>]</w:t>
      </w:r>
      <w:r>
        <w:rPr/>
        <w:t xml:space="preserve"> Jesus.{{field-off:bible}}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5162"/>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5163"/>
        <w:t>a</w:t>
      </w:r>
      <w:r>
        <w:rPr/>
        <w:t xml:space="preserve"> zum Grab und sah, dass der Stein vom Grab entfernt worden war.</w:t>
      </w:r>
      <w:r>
        <w:rPr>
          <w:rStyle w:val="Funotenanker"/>
        </w:rPr>
        <w:footnoteReference w:customMarkFollows="1" w:id="5164"/>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5165"/>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5166"/>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5167"/>
        <w:t>e</w:t>
      </w:r>
      <w:r>
        <w:rPr/>
        <w:t xml:space="preserve"> und betrat </w:t>
      </w:r>
      <w:r>
        <w:rPr>
          <w:color w:val="808080"/>
        </w:rPr>
        <w:t>(ging hinein in)</w:t>
      </w:r>
      <w:r>
        <w:rPr/>
        <w:t xml:space="preserve"> das Grab, und er sah sich die daliegenden Leinentücher an,</w:t>
      </w:r>
      <w:r>
        <w:rPr>
          <w:rStyle w:val="Funotenanker"/>
        </w:rPr>
        <w:footnoteReference w:customMarkFollows="1" w:id="5168"/>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5169"/>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5170"/>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5171"/>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5172"/>
        <w:t>j</w:t>
      </w:r>
      <w:r>
        <w:rPr/>
        <w:t xml:space="preserve"> aber sie wusste </w:t>
      </w:r>
      <w:r>
        <w:rPr>
          <w:color w:val="808080"/>
        </w:rPr>
        <w:t>(erkannte)</w:t>
      </w:r>
      <w:r>
        <w:rPr/>
        <w:t xml:space="preserve"> nicht, dass es Jesus war</w:t>
      </w:r>
      <w:r>
        <w:rPr>
          <w:rStyle w:val="Funotenanker"/>
        </w:rPr>
        <w:footnoteReference w:customMarkFollows="1" w:id="5173"/>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5174"/>
        <w:t>l</w:t>
      </w:r>
      <w:r>
        <w:rPr/>
        <w:t xml:space="preserve"> dachte, dass er der Gärtner war</w:t>
      </w:r>
      <w:r>
        <w:rPr>
          <w:rStyle w:val="Funotenanker"/>
        </w:rPr>
        <w:footnoteReference w:customMarkFollows="1" w:id="5175"/>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5176"/>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5177"/>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5178"/>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5179"/>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5180"/>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5181"/>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5182"/>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5183"/>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5184"/>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5185"/>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5186"/>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5187"/>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5188"/>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5189"/>
        <w:t>aa</w:t>
      </w:r>
      <w:r>
        <w:rPr/>
        <w:t>.</w:t>
      </w:r>
      <w:r>
        <w:rPr>
          <w:color w:val="808080"/>
        </w:rPr>
        <w:t>(?)</w:t>
      </w:r>
      <w:r>
        <w:rPr/>
        <w:t xml:space="preserve"> </w:t>
      </w:r>
      <w:r>
        <w:rPr>
          <w:rStyle w:val="Funotenanker"/>
        </w:rPr>
        <w:footnoteReference w:customMarkFollows="1" w:id="5190"/>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5191"/>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5192"/>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5193"/>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5194"/>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5195"/>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5196"/>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5197"/>
        <w:t>e</w:t>
      </w:r>
      <w:r>
        <w:rPr/>
        <w:t xml:space="preserve"> er ihnen zu: „Männer </w:t>
      </w:r>
      <w:r>
        <w:rPr>
          <w:color w:val="808080"/>
        </w:rPr>
        <w:t>(Kinder)</w:t>
      </w:r>
      <w:r>
        <w:rPr/>
        <w:t xml:space="preserve"> </w:t>
      </w:r>
      <w:r>
        <w:rPr>
          <w:rStyle w:val="Funotenanker"/>
        </w:rPr>
        <w:footnoteReference w:customMarkFollows="1" w:id="5198"/>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5199"/>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5200"/>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5201"/>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5202"/>
        <w:t>j</w:t>
      </w:r>
      <w:r>
        <w:rPr/>
        <w:t xml:space="preserve"> und stürzte sich ins Meer </w:t>
      </w:r>
      <w:r>
        <w:rPr>
          <w:color w:val="808080"/>
        </w:rPr>
        <w:t>(in den See)</w:t>
      </w:r>
      <w:r>
        <w:rPr/>
        <w:t xml:space="preserve"> </w:t>
      </w:r>
      <w:r>
        <w:rPr>
          <w:rStyle w:val="Funotenanker"/>
        </w:rPr>
        <w:footnoteReference w:customMarkFollows="1" w:id="5203"/>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5204"/>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5205"/>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5206"/>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5207"/>
        <w:t>o</w:t>
      </w:r>
      <w:r>
        <w:rPr/>
        <w:t>, und obwohl es so viele waren,</w:t>
      </w:r>
      <w:r>
        <w:rPr>
          <w:rStyle w:val="Funotenanker"/>
        </w:rPr>
        <w:footnoteReference w:customMarkFollows="1" w:id="5208"/>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5209"/>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5210"/>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5211"/>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5212"/>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5213"/>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5214"/>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5215"/>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5216"/>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5217"/>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5218"/>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5219"/>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5220"/>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5221"/>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{{field-on:bible}}Das erste Buch</w:t>
      </w:r>
      <w:r>
        <w:rPr>
          <w:rStyle w:val="Funotenanker"/>
        </w:rPr>
        <w:footnoteReference w:customMarkFollows="1" w:id="5222"/>
        <w:t>a</w:t>
      </w:r>
      <w:r>
        <w:rPr/>
        <w:t xml:space="preserve"> </w:t>
      </w:r>
      <w:r>
        <w:rPr>
          <w:strike/>
          <w:color w:val="808080"/>
        </w:rPr>
        <w:t>{zwar}</w:t>
      </w:r>
      <w:r>
        <w:rPr/>
        <w:t xml:space="preserve"> </w:t>
      </w:r>
      <w:r>
        <w:rPr>
          <w:rStyle w:val="Funotenanker"/>
        </w:rPr>
        <w:footnoteReference w:customMarkFollows="1" w:id="5223"/>
        <w:t>b</w:t>
      </w:r>
      <w:r>
        <w:rPr/>
        <w:t xml:space="preserve"> habe ich </w:t>
      </w:r>
      <w:r>
        <w:rPr>
          <w:color w:val="808080"/>
        </w:rPr>
        <w:t>(gemacht =)</w:t>
      </w:r>
      <w:r>
        <w:rPr/>
        <w:t xml:space="preserve"> verfasst von allem, </w:t>
      </w:r>
      <w:r>
        <w:rPr>
          <w:color w:val="808080"/>
        </w:rPr>
        <w:t>(o)</w:t>
      </w:r>
      <w:r>
        <w:rPr/>
        <w:t xml:space="preserve"> lieber Theophilos, was Jesus </w:t>
      </w:r>
      <w:r>
        <w:rPr>
          <w:strike/>
          <w:color w:val="808080"/>
        </w:rPr>
        <w:t>{begann}</w:t>
      </w:r>
      <w:r>
        <w:rPr/>
        <w:t xml:space="preserve"> </w:t>
      </w:r>
      <w:r>
        <w:rPr>
          <w:rStyle w:val="Funotenanker"/>
        </w:rPr>
        <w:footnoteReference w:customMarkFollows="1" w:id="5224"/>
        <w:t>c</w:t>
      </w:r>
      <w:r>
        <w:rPr/>
        <w:t xml:space="preserve"> tat und lehrte,{{field-off:bible}} </w:t>
        <w:br/>
        <w:t>[[@BibleTOBIBLE:Ac 1:2]]</w:t>
      </w:r>
      <w:r>
        <w:rPr>
          <w:b/>
        </w:rPr>
        <w:t>2</w:t>
      </w:r>
      <w:r>
        <w:rPr/>
        <w:t xml:space="preserve"> {{field-on:bible}}bis zu dem Tag, als</w:t>
      </w:r>
      <w:r>
        <w:rPr>
          <w:rStyle w:val="Funotenanker"/>
        </w:rPr>
        <w:footnoteReference w:customMarkFollows="1" w:id="5225"/>
        <w:t>d</w:t>
      </w:r>
      <w:r>
        <w:rPr/>
        <w:t xml:space="preserve"> er entrückt </w:t>
      </w:r>
      <w:r>
        <w:rPr>
          <w:color w:val="808080"/>
        </w:rPr>
        <w:t>(in die Höhe genommen, aufgenommen)</w:t>
      </w:r>
      <w:r>
        <w:rPr/>
        <w:t xml:space="preserve"> wurde, nachdem</w:t>
      </w:r>
      <w:r>
        <w:rPr>
          <w:rStyle w:val="Funotenanker"/>
        </w:rPr>
        <w:footnoteReference w:customMarkFollows="1" w:id="5226"/>
        <w:t>e</w:t>
      </w:r>
      <w:r>
        <w:rPr/>
        <w:t xml:space="preserve"> er den Aposteln, die er ausgewählt hatte, durch den heiligen Geist Anweisungen gab </w:t>
      </w:r>
      <w:r>
        <w:rPr>
          <w:color w:val="808080"/>
        </w:rPr>
        <w:t>(befahl)</w:t>
      </w:r>
      <w:r>
        <w:rPr/>
        <w:t xml:space="preserve">.{{field-off:bible}} </w:t>
        <w:br/>
        <w:t>[[@BibleTOBIBLE:Ac 1:3]]</w:t>
      </w:r>
      <w:r>
        <w:rPr>
          <w:b/>
        </w:rPr>
        <w:t>3</w:t>
      </w:r>
      <w:r>
        <w:rPr/>
        <w:t xml:space="preserve"> {{field-on:bible}}Ihnen erwies er sich </w:t>
      </w:r>
      <w:r>
        <w:rPr>
          <w:strike/>
          <w:color w:val="808080"/>
        </w:rPr>
        <w:t>{auch}</w:t>
      </w:r>
      <w:r>
        <w:rPr/>
        <w:t xml:space="preserve"> als lebendig </w:t>
      </w:r>
      <w:r>
        <w:rPr>
          <w:color w:val="808080"/>
        </w:rPr>
        <w:t>(Lebender)</w:t>
      </w:r>
      <w:r>
        <w:rPr/>
        <w:t xml:space="preserve"> </w:t>
      </w:r>
      <w:r>
        <w:rPr>
          <w:rStyle w:val="Funotenanker"/>
        </w:rPr>
        <w:footnoteReference w:customMarkFollows="1" w:id="5227"/>
        <w:t>f</w:t>
      </w:r>
      <w:r>
        <w:rPr/>
        <w:t xml:space="preserve"> nach seinem Sterben</w:t>
      </w:r>
      <w:r>
        <w:rPr>
          <w:rStyle w:val="Funotenanker"/>
        </w:rPr>
        <w:footnoteReference w:customMarkFollows="1" w:id="5228"/>
        <w:t>g</w:t>
      </w:r>
      <w:r>
        <w:rPr/>
        <w:t xml:space="preserve"> durch viele Beweise. Während</w:t>
      </w:r>
      <w:r>
        <w:rPr>
          <w:rStyle w:val="Funotenanker"/>
        </w:rPr>
        <w:footnoteReference w:customMarkFollows="1" w:id="5229"/>
        <w:t>h</w:t>
      </w:r>
      <w:r>
        <w:rPr/>
        <w:t xml:space="preserve"> vierzig Tagen erschien er ihnen und sprach zu ihnen über das </w:t>
      </w:r>
      <w:r>
        <w:rPr>
          <w:color w:val="808080"/>
        </w:rPr>
        <w:t>(König)</w:t>
      </w:r>
      <w:r>
        <w:rPr/>
        <w:t xml:space="preserve">Reich Gottes.{{field-off:bible}} </w:t>
        <w:br/>
        <w:t>[[@BibleTOBIBLE:Ac 1:4]]</w:t>
      </w:r>
      <w:r>
        <w:rPr>
          <w:b/>
        </w:rPr>
        <w:t>4</w:t>
      </w:r>
      <w:r>
        <w:rPr/>
        <w:t xml:space="preserve"> {{field-on:bible}}Und während </w:t>
      </w:r>
      <w:r>
        <w:rPr>
          <w:color w:val="808080"/>
        </w:rPr>
        <w:t>(als)</w:t>
      </w:r>
      <w:r>
        <w:rPr/>
        <w:t xml:space="preserve"> er mit ihnen </w:t>
      </w:r>
      <w:r>
        <w:rPr>
          <w:color w:val="808080"/>
        </w:rPr>
        <w:t>(zusammensaß)</w:t>
      </w:r>
      <w:r>
        <w:rPr/>
        <w:t xml:space="preserve"> zusammen aß</w:t>
      </w:r>
      <w:r>
        <w:rPr>
          <w:rStyle w:val="Funotenanker"/>
        </w:rPr>
        <w:footnoteReference w:customMarkFollows="1" w:id="5230"/>
        <w:t>i</w:t>
      </w:r>
      <w:r>
        <w:rPr/>
        <w:t>, befahl er ihnen, nicht von Jerusalem fortzugehen, sondern die Verheißung des Vaters</w:t>
      </w:r>
      <w:r>
        <w:rPr>
          <w:rStyle w:val="Funotenanker"/>
        </w:rPr>
        <w:footnoteReference w:customMarkFollows="1" w:id="5231"/>
        <w:t>j</w:t>
      </w:r>
      <w:r>
        <w:rPr/>
        <w:t xml:space="preserve"> zu erwarten, „die ihr von mir gehört habt.{{field-off:bible}} </w:t>
        <w:br/>
        <w:t>[[@BibleTOBIBLE:Ac 1:5]]</w:t>
      </w:r>
      <w:r>
        <w:rPr>
          <w:b/>
        </w:rPr>
        <w:t>5</w:t>
      </w:r>
      <w:r>
        <w:rPr/>
        <w:t xml:space="preserve"> {{field-on:bible}}Denn Johannes hat </w:t>
      </w:r>
      <w:r>
        <w:rPr>
          <w:strike/>
          <w:color w:val="808080"/>
        </w:rPr>
        <w:t>{zwar}</w:t>
      </w:r>
      <w:r>
        <w:rPr/>
        <w:t xml:space="preserve"> mit Wasser getauft, ihr aber werdet mit heiligem Geist getauft werden </w:t>
      </w:r>
      <w:r>
        <w:rPr>
          <w:color w:val="808080"/>
        </w:rPr>
        <w:t>(nicht lange nach diesen Tagen =)</w:t>
      </w:r>
      <w:r>
        <w:rPr/>
        <w:t xml:space="preserve"> in wenigen Tagen“.{{field-off:bible}} </w:t>
        <w:br/>
        <w:t>[[@BibleTOBIBLE:Ac 1:6]]</w:t>
      </w:r>
      <w:r>
        <w:rPr>
          <w:b/>
        </w:rPr>
        <w:t>6</w:t>
      </w:r>
      <w:r>
        <w:rPr/>
        <w:t xml:space="preserve"> {{field-on:bible}}Die </w:t>
      </w:r>
      <w:r>
        <w:rPr>
          <w:strike/>
          <w:color w:val="808080"/>
        </w:rPr>
        <w:t>{zwar}</w:t>
      </w:r>
      <w:r>
        <w:rPr/>
        <w:t xml:space="preserve"> nun</w:t>
      </w:r>
      <w:r>
        <w:rPr>
          <w:rStyle w:val="Funotenanker"/>
        </w:rPr>
        <w:footnoteReference w:customMarkFollows="1" w:id="5232"/>
        <w:t>k</w:t>
      </w:r>
      <w:r>
        <w:rPr/>
        <w:t xml:space="preserve"> zusammengekommen waren, fragten ihn </w:t>
      </w:r>
      <w:r>
        <w:rPr>
          <w:strike/>
          <w:color w:val="808080"/>
        </w:rPr>
        <w:t>{und sprachen}</w:t>
      </w:r>
      <w:r>
        <w:rPr/>
        <w:t xml:space="preserve">: „Herr, wirst du </w:t>
      </w:r>
      <w:r>
        <w:rPr>
          <w:color w:val="808080"/>
        </w:rPr>
        <w:t>(zu dieser Zeit =)</w:t>
      </w:r>
      <w:r>
        <w:rPr/>
        <w:t xml:space="preserve"> jetzt die Königsherrschaft für</w:t>
      </w:r>
      <w:r>
        <w:rPr>
          <w:rStyle w:val="Funotenanker"/>
        </w:rPr>
        <w:footnoteReference w:customMarkFollows="1" w:id="5233"/>
        <w:t>l</w:t>
      </w:r>
      <w:r>
        <w:rPr/>
        <w:t xml:space="preserve"> Israel wiederherstellen</w:t>
      </w:r>
      <w:r>
        <w:rPr>
          <w:rStyle w:val="Funotenanker"/>
        </w:rPr>
        <w:footnoteReference w:customMarkFollows="1" w:id="5234"/>
        <w:t>m</w:t>
      </w:r>
      <w:r>
        <w:rPr/>
        <w:t xml:space="preserve">?“{{field-off:bible}} </w:t>
        <w:br/>
        <w:t>[[@BibleTOBIBLE:Ac 1:7]]</w:t>
      </w:r>
      <w:r>
        <w:rPr>
          <w:b/>
        </w:rPr>
        <w:t>7</w:t>
      </w:r>
      <w:r>
        <w:rPr/>
        <w:t xml:space="preserve"> {{field-on:bible}}Er aber sprach zu ihnen: „Euch ist nicht </w:t>
      </w:r>
      <w:r>
        <w:rPr>
          <w:b/>
          <w:color w:val="808080"/>
        </w:rPr>
        <w:t>[</w:t>
      </w:r>
      <w:r>
        <w:rPr/>
        <w:t>gegeben</w:t>
      </w:r>
      <w:r>
        <w:rPr>
          <w:b/>
          <w:color w:val="808080"/>
        </w:rPr>
        <w:t>]</w:t>
      </w:r>
      <w:r>
        <w:rPr/>
        <w:t xml:space="preserve">, die Zeiträume oder Zeitpunkte zu kennen, die der Vater in seiner </w:t>
      </w:r>
      <w:r>
        <w:rPr>
          <w:color w:val="808080"/>
        </w:rPr>
        <w:t>(Voll)</w:t>
      </w:r>
      <w:r>
        <w:rPr/>
        <w:t xml:space="preserve">Macht festgelegt hat,{{field-off:bible}} </w:t>
        <w:br/>
        <w:t>[[@BibleTOBIBLE:Ac 1:8]]</w:t>
      </w:r>
      <w:r>
        <w:rPr>
          <w:b/>
        </w:rPr>
        <w:t>8</w:t>
      </w:r>
      <w:r>
        <w:rPr/>
        <w:t xml:space="preserve"> {{field-on:bible}}aber </w:t>
      </w:r>
      <w:r>
        <w:rPr>
          <w:color w:val="808080"/>
        </w:rPr>
        <w:t>(sondern)</w:t>
      </w:r>
      <w:r>
        <w:rPr/>
        <w:t xml:space="preserve"> ihr sollt </w:t>
      </w:r>
      <w:r>
        <w:rPr>
          <w:color w:val="808080"/>
        </w:rPr>
        <w:t>(werdet)</w:t>
      </w:r>
      <w:r>
        <w:rPr/>
        <w:t xml:space="preserve"> die Kraft </w:t>
      </w:r>
      <w:r>
        <w:rPr>
          <w:color w:val="808080"/>
        </w:rPr>
        <w:t>(Macht)</w:t>
      </w:r>
      <w:r>
        <w:rPr/>
        <w:t xml:space="preserve"> des heiligen Geistes empfangen, der</w:t>
      </w:r>
      <w:r>
        <w:rPr>
          <w:rStyle w:val="Funotenanker"/>
        </w:rPr>
        <w:footnoteReference w:customMarkFollows="1" w:id="5235"/>
        <w:t>n</w:t>
      </w:r>
      <w:r>
        <w:rPr/>
        <w:t xml:space="preserve"> über euch kommen wird, und ihr sollt </w:t>
      </w:r>
      <w:r>
        <w:rPr>
          <w:color w:val="808080"/>
        </w:rPr>
        <w:t>(werdet)</w:t>
      </w:r>
      <w:r>
        <w:rPr/>
        <w:t xml:space="preserve"> meine Zeugen sein sowohl in Jerusalem als auch in ganz Judäa und Samarien und bis zum fernsten Land </w:t>
      </w:r>
      <w:r>
        <w:rPr>
          <w:color w:val="808080"/>
        </w:rPr>
        <w:t>(Ende der Erde)</w:t>
      </w:r>
      <w:r>
        <w:rPr/>
        <w:t xml:space="preserve">“.{{field-off:bible}} </w:t>
        <w:br/>
        <w:t>[[@BibleTOBIBLE:Ac 1:9]]</w:t>
      </w:r>
      <w:r>
        <w:rPr>
          <w:b/>
        </w:rPr>
        <w:t>9</w:t>
      </w:r>
      <w:r>
        <w:rPr/>
        <w:t xml:space="preserve"> {{field-on:bible}}Und nachdem</w:t>
      </w:r>
      <w:r>
        <w:rPr>
          <w:rStyle w:val="Funotenanker"/>
        </w:rPr>
        <w:footnoteReference w:customMarkFollows="1" w:id="5236"/>
        <w:t>o</w:t>
      </w:r>
      <w:r>
        <w:rPr/>
        <w:t xml:space="preserve"> er dies gesagt hatte, sahen sie, wie </w:t>
      </w:r>
      <w:r>
        <w:rPr>
          <w:color w:val="808080"/>
        </w:rPr>
        <w:t>(dass)</w:t>
      </w:r>
      <w:r>
        <w:rPr/>
        <w:t xml:space="preserve"> er aufgehoben wurde und eine Wolke ihn vor ihren Augen verbarg.{{field-off:bible}} </w:t>
        <w:br/>
        <w:t>[[@BibleTOBIBLE:Ac 1:10]]</w:t>
      </w:r>
      <w:r>
        <w:rPr>
          <w:b/>
        </w:rPr>
        <w:t>10</w:t>
      </w:r>
      <w:r>
        <w:rPr/>
        <w:t xml:space="preserve"> {{field-on:bible}}Und während</w:t>
      </w:r>
      <w:r>
        <w:rPr>
          <w:rStyle w:val="Funotenanker"/>
        </w:rPr>
        <w:footnoteReference w:customMarkFollows="1" w:id="5237"/>
        <w:t>p</w:t>
      </w:r>
      <w:r>
        <w:rPr/>
        <w:t xml:space="preserve"> sie gespannt in den Himmel blickten, wohin</w:t>
      </w:r>
      <w:r>
        <w:rPr>
          <w:rStyle w:val="Funotenanker"/>
        </w:rPr>
        <w:footnoteReference w:customMarkFollows="1" w:id="5238"/>
        <w:t>q</w:t>
      </w:r>
      <w:r>
        <w:rPr/>
        <w:t xml:space="preserve"> er gegangen war, da, </w:t>
      </w:r>
      <w:r>
        <w:rPr>
          <w:color w:val="808080"/>
        </w:rPr>
        <w:t>(siehe =)</w:t>
      </w:r>
      <w:r>
        <w:rPr/>
        <w:t xml:space="preserve"> plötzlich, standen zwei Männer</w:t>
      </w:r>
      <w:r>
        <w:rPr>
          <w:rStyle w:val="Funotenanker"/>
        </w:rPr>
        <w:footnoteReference w:customMarkFollows="1" w:id="5239"/>
        <w:t>r</w:t>
      </w:r>
      <w:r>
        <w:rPr/>
        <w:t xml:space="preserve"> bei ihnen in weißer Kleidung </w:t>
      </w:r>
      <w:r>
        <w:rPr>
          <w:color w:val="808080"/>
        </w:rPr>
        <w:t>(weißen Gewändern)</w:t>
      </w:r>
      <w:r>
        <w:rPr/>
        <w:t xml:space="preserve">,{{field-off:bible}} </w:t>
        <w:br/>
        <w:t>[[@BibleTOBIBLE:Ac 1:11]]</w:t>
      </w:r>
      <w:r>
        <w:rPr>
          <w:b/>
        </w:rPr>
        <w:t>11</w:t>
      </w:r>
      <w:r>
        <w:rPr/>
        <w:t xml:space="preserve"> {{field-on:bible}}die </w:t>
      </w:r>
      <w:r>
        <w:rPr>
          <w:strike/>
          <w:color w:val="808080"/>
        </w:rPr>
        <w:t>{auch}</w:t>
      </w:r>
      <w:r>
        <w:rPr/>
        <w:t xml:space="preserve"> </w:t>
      </w:r>
      <w:r>
        <w:rPr>
          <w:rStyle w:val="Funotenanker"/>
        </w:rPr>
        <w:footnoteReference w:customMarkFollows="1" w:id="5240"/>
        <w:t>s</w:t>
      </w:r>
      <w:r>
        <w:rPr/>
        <w:t xml:space="preserve"> sprachen: „Ihr Galiläer, was steht ihr da und</w:t>
      </w:r>
      <w:r>
        <w:rPr>
          <w:rStyle w:val="Funotenanker"/>
        </w:rPr>
        <w:footnoteReference w:customMarkFollows="1" w:id="5241"/>
        <w:t>t</w:t>
      </w:r>
      <w:r>
        <w:rPr/>
        <w:t xml:space="preserve"> schaut zum Himmel? Dieser Jesus, der von euch in den Himmel aufgenommen wurde, wird so </w:t>
      </w:r>
      <w:r>
        <w:rPr>
          <w:b/>
          <w:color w:val="808080"/>
        </w:rPr>
        <w:t>[</w:t>
      </w:r>
      <w:r>
        <w:rPr/>
        <w:t>wieder</w:t>
      </w:r>
      <w:r>
        <w:rPr>
          <w:b/>
          <w:color w:val="808080"/>
        </w:rPr>
        <w:t>]</w:t>
      </w:r>
      <w:r>
        <w:rPr/>
        <w:t xml:space="preserve">kommen, </w:t>
      </w:r>
      <w:r>
        <w:rPr>
          <w:color w:val="808080"/>
        </w:rPr>
        <w:t>(auf welche Weise =)</w:t>
      </w:r>
      <w:r>
        <w:rPr/>
        <w:t xml:space="preserve"> wie ihr ihn in den Himmel gehen saht“.{{field-off:bible}} </w:t>
        <w:br/>
        <w:t>[[@BibleTOBIBLE:Ac 1:12]]</w:t>
      </w:r>
      <w:r>
        <w:rPr>
          <w:b/>
        </w:rPr>
        <w:t>12</w:t>
      </w:r>
      <w:r>
        <w:rPr/>
        <w:t xml:space="preserve"> {{field-on:bible}}Dann kehrten sie nach Jerusalem zurück vom Berg, der Ölberg genannt wird, der ist nahe bei Jerusalem, einen Sabbatweg</w:t>
      </w:r>
      <w:r>
        <w:rPr>
          <w:rStyle w:val="Funotenanker"/>
        </w:rPr>
        <w:footnoteReference w:customMarkFollows="1" w:id="5242"/>
        <w:t>u</w:t>
      </w:r>
      <w:r>
        <w:rPr/>
        <w:t xml:space="preserve">.{{field-off:bible}} </w:t>
        <w:br/>
        <w:t>[[@BibleTOBIBLE:Ac 1:13]]</w:t>
      </w:r>
      <w:r>
        <w:rPr>
          <w:b/>
        </w:rPr>
        <w:t>13</w:t>
      </w:r>
      <w:r>
        <w:rPr/>
        <w:t xml:space="preserve"> {{field-on:bible}}Und als sie hineinkamen</w:t>
      </w:r>
      <w:r>
        <w:rPr>
          <w:rStyle w:val="Funotenanker"/>
        </w:rPr>
        <w:footnoteReference w:customMarkFollows="1" w:id="5243"/>
        <w:t>v</w:t>
      </w:r>
      <w:r>
        <w:rPr/>
        <w:t>, stiegen sie zum Obergemach hinauf, wo sie sich gewöhnlich</w:t>
      </w:r>
      <w:r>
        <w:rPr>
          <w:rStyle w:val="Funotenanker"/>
        </w:rPr>
        <w:footnoteReference w:customMarkFollows="1" w:id="5244"/>
        <w:t>w</w:t>
      </w:r>
      <w:r>
        <w:rPr/>
        <w:t xml:space="preserve"> aufhielten, Petrus </w:t>
      </w:r>
      <w:r>
        <w:rPr>
          <w:strike/>
          <w:color w:val="808080"/>
        </w:rPr>
        <w:t>{und}</w:t>
      </w:r>
      <w:r>
        <w:rPr/>
        <w:t xml:space="preserve">, Johannes </w:t>
      </w:r>
      <w:r>
        <w:rPr>
          <w:strike/>
          <w:color w:val="808080"/>
        </w:rPr>
        <w:t>{und}</w:t>
      </w:r>
      <w:r>
        <w:rPr/>
        <w:t xml:space="preserve">, Jakobus und Andreas, Philippus und Thomas, Bartholomäus und Matthäus, Jakobus Alphaios, Simon, der Zelot </w:t>
      </w:r>
      <w:r>
        <w:rPr>
          <w:color w:val="808080"/>
        </w:rPr>
        <w:t>(Eiferer)</w:t>
      </w:r>
      <w:r>
        <w:rPr/>
        <w:t xml:space="preserve"> und Judas, </w:t>
      </w:r>
      <w:r>
        <w:rPr>
          <w:b/>
          <w:color w:val="808080"/>
        </w:rPr>
        <w:t>[</w:t>
      </w:r>
      <w:r>
        <w:rPr/>
        <w:t>der Sohn</w:t>
      </w:r>
      <w:r>
        <w:rPr>
          <w:b/>
          <w:color w:val="808080"/>
        </w:rPr>
        <w:t>]</w:t>
      </w:r>
      <w:r>
        <w:rPr/>
        <w:t xml:space="preserve"> des Jakobus.{{field-off:bible}} </w:t>
        <w:br/>
        <w:t>[[@BibleTOBIBLE:Ac 1:14]]</w:t>
      </w:r>
      <w:r>
        <w:rPr>
          <w:b/>
        </w:rPr>
        <w:t>14</w:t>
      </w:r>
      <w:r>
        <w:rPr/>
        <w:t xml:space="preserve"> {{field-on:bible}}Diese alle blieben beharrlich beim Gebet mit den Frauen und Maria, der Mutter Jesu, und seinen Brüdern.{{field-off:bible}} </w:t>
        <w:br/>
        <w:t>[[@BibleTOBIBLE:Ac 1:15]]</w:t>
      </w:r>
      <w:r>
        <w:rPr>
          <w:b/>
        </w:rPr>
        <w:t>15</w:t>
      </w:r>
      <w:r>
        <w:rPr/>
        <w:t xml:space="preserve"> {{field-on:bible}}Und in jenen Tagen stellte sich Petrus in die Mitte der Brüder </w:t>
      </w:r>
      <w:r>
        <w:rPr>
          <w:b/>
          <w:color w:val="808080"/>
        </w:rPr>
        <w:t>[</w:t>
      </w:r>
      <w:r>
        <w:rPr/>
        <w:t>und</w:t>
      </w:r>
      <w:r>
        <w:rPr>
          <w:b/>
          <w:color w:val="808080"/>
        </w:rPr>
        <w:t>]</w:t>
      </w:r>
      <w:r>
        <w:rPr/>
        <w:t xml:space="preserve"> sprach – es war </w:t>
      </w:r>
      <w:r>
        <w:rPr>
          <w:strike/>
          <w:color w:val="808080"/>
        </w:rPr>
        <w:t>{auch}</w:t>
      </w:r>
      <w:r>
        <w:rPr/>
        <w:t xml:space="preserve"> die Menge der Namen </w:t>
      </w:r>
      <w:r>
        <w:rPr>
          <w:color w:val="808080"/>
        </w:rPr>
        <w:t>(Personen)</w:t>
      </w:r>
      <w:r>
        <w:rPr/>
        <w:t xml:space="preserve"> </w:t>
      </w:r>
      <w:r>
        <w:rPr>
          <w:b/>
          <w:color w:val="808080"/>
        </w:rPr>
        <w:t>[</w:t>
      </w:r>
      <w:r>
        <w:rPr/>
        <w:t>in der</w:t>
      </w:r>
      <w:r>
        <w:rPr>
          <w:b/>
          <w:color w:val="808080"/>
        </w:rPr>
        <w:t>]</w:t>
      </w:r>
      <w:r>
        <w:rPr/>
        <w:t xml:space="preserve"> Gemeinschaft </w:t>
      </w:r>
      <w:r>
        <w:rPr>
          <w:color w:val="808080"/>
        </w:rPr>
        <w:t>(?, beisammen)</w:t>
      </w:r>
      <w:r>
        <w:rPr/>
        <w:t xml:space="preserve"> </w:t>
      </w:r>
      <w:r>
        <w:rPr>
          <w:rStyle w:val="Funotenanker"/>
        </w:rPr>
        <w:footnoteReference w:customMarkFollows="1" w:id="5245"/>
        <w:t>x</w:t>
      </w:r>
      <w:r>
        <w:rPr/>
        <w:t xml:space="preserve"> ungefähr 120 –:{{field-off:bible}} </w:t>
        <w:br/>
        <w:t>[[@BibleTOBIBLE:Ac 1:16]]</w:t>
      </w:r>
      <w:r>
        <w:rPr>
          <w:b/>
        </w:rPr>
        <w:t>16</w:t>
      </w:r>
      <w:r>
        <w:rPr/>
        <w:t xml:space="preserve"> {{field-on:bible}}Liebe Brüder</w:t>
      </w:r>
      <w:r>
        <w:rPr>
          <w:rStyle w:val="Funotenanker"/>
        </w:rPr>
        <w:footnoteReference w:customMarkFollows="1" w:id="5246"/>
        <w:t>y</w:t>
      </w:r>
      <w:r>
        <w:rPr/>
        <w:t xml:space="preserve">, es musste die Schrift erfüllt werden, die der Heilige Geist vorhersagte </w:t>
      </w:r>
      <w:r>
        <w:rPr>
          <w:color w:val="808080"/>
        </w:rPr>
        <w:t>(im voraus sagte)</w:t>
      </w:r>
      <w:r>
        <w:rPr/>
        <w:t xml:space="preserve"> durch den Mund Davids über Judas, der zum Führer der Häscher </w:t>
      </w:r>
      <w:r>
        <w:rPr>
          <w:color w:val="808080"/>
        </w:rPr>
        <w:t>(Greifer)</w:t>
      </w:r>
      <w:r>
        <w:rPr/>
        <w:t xml:space="preserve"> Jesu wurde,{{field-off:bible}} </w:t>
        <w:br/>
        <w:t>[[@BibleTOBIBLE:Ac 1:17]]</w:t>
      </w:r>
      <w:r>
        <w:rPr>
          <w:b/>
        </w:rPr>
        <w:t>17</w:t>
      </w:r>
      <w:r>
        <w:rPr/>
        <w:t xml:space="preserve"> {{field-on:bible}}denn er gehörte zu uns und empfing den Lohn dieses Dienstes.{{field-off:bible}} </w:t>
        <w:br/>
        <w:t>[[@BibleTOBIBLE:Ac 1:18]]</w:t>
      </w:r>
      <w:r>
        <w:rPr>
          <w:b/>
        </w:rPr>
        <w:t>18</w:t>
      </w:r>
      <w:r>
        <w:rPr/>
        <w:t xml:space="preserve"> {{field-on:bible}}Dieser nämlich</w:t>
      </w:r>
      <w:r>
        <w:rPr>
          <w:rStyle w:val="Funotenanker"/>
        </w:rPr>
        <w:footnoteReference w:customMarkFollows="1" w:id="5247"/>
        <w:t>z</w:t>
      </w:r>
      <w:r>
        <w:rPr/>
        <w:t xml:space="preserve"> kaufte einen Acker vom </w:t>
      </w:r>
      <w:r>
        <w:rPr>
          <w:color w:val="808080"/>
        </w:rPr>
        <w:t>(Lohn der Ungerechtigkeit =)</w:t>
      </w:r>
      <w:r>
        <w:rPr/>
        <w:t xml:space="preserve"> ungerechten Lohn, und als er vornüber stürzte</w:t>
      </w:r>
      <w:r>
        <w:rPr>
          <w:rStyle w:val="Funotenanker"/>
        </w:rPr>
        <w:footnoteReference w:customMarkFollows="1" w:id="5248"/>
        <w:t>aa</w:t>
      </w:r>
      <w:r>
        <w:rPr/>
        <w:t xml:space="preserve">, zerbarst er krachend in der </w:t>
      </w:r>
      <w:r>
        <w:rPr>
          <w:color w:val="808080"/>
        </w:rPr>
        <w:t>(Leibes)</w:t>
      </w:r>
      <w:r>
        <w:rPr/>
        <w:t xml:space="preserve">Mitte, und seine Eingeweide quollen heraus </w:t>
      </w:r>
      <w:r>
        <w:rPr>
          <w:color w:val="808080"/>
        </w:rPr>
        <w:t>(ergossen sich)</w:t>
      </w:r>
      <w:r>
        <w:rPr/>
        <w:t xml:space="preserve">.{{field-off:bible}} </w:t>
        <w:br/>
        <w:t>[[@BibleTOBIBLE:Ac 1:19]]</w:t>
      </w:r>
      <w:r>
        <w:rPr>
          <w:b/>
        </w:rPr>
        <w:t>19</w:t>
      </w:r>
      <w:r>
        <w:rPr/>
        <w:t xml:space="preserve"> {{field-on:bible}} </w:t>
      </w:r>
      <w:r>
        <w:rPr>
          <w:strike/>
          <w:color w:val="808080"/>
        </w:rPr>
        <w:t>{Und}</w:t>
      </w:r>
      <w:r>
        <w:rPr/>
        <w:t xml:space="preserve"> das wurde allen Bewohnern Jerusalems bekannt, sodass jener Acker in ihrer eigenen Sprache „Akeldamach“ genannt wird, das bedeutet Blutacker.{{field-off:bible}} </w:t>
        <w:br/>
        <w:t>[[@BibleTOBIBLE:Ac 1:20]]</w:t>
      </w:r>
      <w:r>
        <w:rPr>
          <w:b/>
        </w:rPr>
        <w:t>20</w:t>
      </w:r>
      <w:r>
        <w:rPr/>
        <w:t xml:space="preserve"> {{field-on:bible}}Denn es steht im Psalmbuch </w:t>
      </w:r>
      <w:r>
        <w:rPr>
          <w:strike/>
          <w:color w:val="808080"/>
        </w:rPr>
        <w:t>{geschrieben}</w:t>
      </w:r>
      <w:r>
        <w:rPr/>
        <w:t xml:space="preserve">: </w:t>
        <w:br/>
        <w:t>„Sein Gehöft soll wüst werden</w:t>
        <w:br/>
        <w:t xml:space="preserve">und </w:t>
      </w:r>
      <w:r>
        <w:rPr>
          <w:color w:val="808080"/>
        </w:rPr>
        <w:t>(es soll keiner sein, der in ihm wohnt =)</w:t>
      </w:r>
      <w:r>
        <w:rPr/>
        <w:t xml:space="preserve"> keiner mehr in ihm wohnen“,</w:t>
        <w:br/>
        <w:t xml:space="preserve">und: </w:t>
        <w:br/>
        <w:t xml:space="preserve">„sein Aufsichtsamt soll ein anderer empfangen“. </w:t>
      </w:r>
      <w:r>
        <w:rPr>
          <w:position w:val="8"/>
          <w:sz w:val="19"/>
        </w:rPr>
        <w:t>[[ ℘ &gt;&gt; BibleTOBIBLE:Ps 29:26]][[ ℘ &gt;&gt; BibleTOBIBLE:Ps 109:8]]</w:t>
      </w:r>
      <w:r>
        <w:rPr/>
        <w:t xml:space="preserve"> </w:t>
        <w:br/>
        <w:t xml:space="preserve">{{field-off:bible}} </w:t>
        <w:br/>
        <w:t>[[@BibleTOBIBLE:Ac 1:21]]</w:t>
      </w:r>
      <w:r>
        <w:rPr>
          <w:b/>
        </w:rPr>
        <w:t>21</w:t>
      </w:r>
      <w:r>
        <w:rPr/>
        <w:t xml:space="preserve"> {{field-on:bible}}Es muss nun von allen den Männern,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t xml:space="preserve">Nachdem die 120 Jünger Matthias als Nachfolger des Judas gewählt haben (s. Apg 1,15-26), haben sich ihre Wege wieder getrennt. In Apg 2,1-13 kommen sie alle zum jüdischen Wochenfest wieder zusammen. Das kommt nicht von ungefähr: Nach Ex 23,16f. sollen zu diesem Erntedankfest alle Juden auch aus fernen Ländern nach Jerusalem „zu </w:t>
      </w:r>
      <w:r>
        <w:rPr>
          <w:rStyle w:val="Funotenanker"/>
        </w:rPr>
        <w:footnoteReference w:customMarkFollows="1" w:id="5249"/>
        <w:t>a</w:t>
      </w:r>
      <w:r>
        <w:rPr/>
        <w:t>“ kommen, also in den Tempel. Der Hinweis auf das Datum macht damit erstens plausibel, warum sich in Apg 2 alle Jünger und so viele ausländische Juden in Jerusalem aufhalten. Zweitens fällt so, nachdem bereits das Letzte Abendmahl mit dem jüdischen Pesachfest zusammengefallen ist (s. Lk 22,7-38), nun ein weiteres „frühchristliches Großereignis“ mit gleich mit dem nächsten großen jüdischen Festtag zusammen. Jüdische und christliche Heilsgeschichte entsprechen sich, wie das schon Leo der Große gesehen hat: „Daraus kann der aufmerksame Christ unschwer ersehen, daß der Anfang des Alten Bundes ein Vorbild des Beginns des Evangeliums war, daß der zweite Bund von demselben Geiste gegründet wurde, von dem auch der erste aufgerichtet worden ist.“ (Sermo LXXV: Predigt über das Pfingstfest). In diesem Rahmen also ereignet sich das „Pfingstwunder“: Der Heilige Geist erfüllt die Jünger, diese werden daraufhin mit der Gabe der „Xenoglossie“ erfüllt (also der Gabe, in fremden Sprachen sprechen zu können, obwohl man sie gar nicht beherrscht) und auf diese Weise befähigt, den verwundert zusammenströmenden Juden aus aller Welt die Frohe Botschaft zu verkündigen und so den Grundstock für eine Mission der Juden in aller Welt zu legen. Die Reaktion der „Anderen“ in V. 13 ist absurd: Die Verse 2-4.6.8.11-12 machen ganz klar, dass sich hier in der Tat etwas Wunderbares ereignet. Dass sie es dennoch mit einer angeblichen Betrunkenheit der Jünger erklären wollen, stimmt damit überhaupt nicht zusammen. Noch gesteigert wird diese Absurdität durch die Verwendung von gleukos in V. 13 (s. FN 13): Nicht von Wein sollen die Jünger betrunken sein, sondern von Traubensaft. Das ist ganz so, als würde heute jemand eine eindeutige Wundertat am Morgen abtun mit: „Der hat ja nur einen Kaffeerausch!“ Das ist nicht die angemessene Reaktion; dass Jesus der Messias ist, als solcher von Gott auferweckt wurde und so auch nach seinem Tod ein Wunder wirkt, kann man „mit Sicherheit“ erkennen (V. 36). Petrus nimmt diese Reaktion dennoch zur Vorlage für seine erste große Missionsrede in Vv. 14-36; die Reaktion auf sie wird in Vv. 37-41 geschildert. Ausgehend vor allem von Joel 3,1-5 und Ps 16,8-11, die beide als prophetische Texte verstanden werden, aus denen sich Gottes Heilsplan ablesen lässt (s. FN al), legt er den versammelten Juden diesen Heilsplan Gottes dar. Diese Darlegungen müssen vor dem Hintergrund der Theologie des Lukas verstanden werden: (1) Jesus ist für Lukas zunächst nicht „präexistenter Gott“, sondern ein „Mann“ (V. 22), der Gott klar untergeordnet ist (vgl. Conzelmann 1977, S. 161f.) – wenn auch freilich einer, dessen Rolle in Gottes Heilsplan von Anfang an feststeht: Er ist der erste Träger des Heiligen Geistes (s. Lk 1,35), stammt aus dem Geschlecht Davids und ist daher der verheißene Messias (V. 30; s. auch Lk 1,31-33), also der, der der Welt das „Heil“ bringen wird. Als solcher leitet er mit seiner Geburt einen neuen Abschnitt in Gottes Heilsplan ein (s. FN r zu Lk 1,51-54) und als diesen hat Gott ihn auch wiederholt „beglaubigt durch die Machttaten und Wunder, die er durch ihn vollbracht hat“ (V. 22). (2) Zu diesem Heilsplan Gottes gehört außerdem zweierlei: Der verheißene Messias muss getötet werden (V. 23); gleichzeitig ist von ihm aber in Ps 16 verheißen, dass er nicht sterben wird (Vv. 25-28), weshalb ihn Gott nach seiner Tötung gerade noch rechtzeitig (s. FN ap) wieder auferweckt hat (V. 24.31f.). (3) Und ein Drittes gilt für Jesu Rolle in Gottes Heilsplan: Es wurde „verheißen“ (V. 33), dass Jesus den Heiligen Geist, dessen Träger schon er selbst war, an seine Jünger weitergeben würde. Aus diesem Grund erweckt ihn Gott nicht nur vom Tod, sondern nimmt ihn auch noch in den Himmel auf und „macht“ (!) ihn damit endgültig zum „Herrn und Christus“ (Vv. 34-36; vgl. besonders gut Zwiep 2010, S. 143f.156). Mit dieser Ausgießung des Heiligen Geistes bricht ein weiterer Abschnitt in Gottes Heilsplan an: Die „Letzten Tage“ (Vv. 17f.) haben nun begonnen (s. FN x; vgl. Fitzmyer 1998, S. 250); jene Zeitspanne, die dem „Ende der Zeit“ unmittelbar vorangehen. Sie sind allerdings noch nicht im vollen Schwange; was in Vv. 19f. geschildert wird, steht noch aus. Das Ziel dieser Darlegungen ist klar; Petrus spricht es in V. 21 und Vv. 38-40 gleich doppelt aus: Das Ende droht; für die Menschen gilt daher: Sie sollen umkehren und sich zu Jesus Christus bekennen, denn dann „werden sie gerettet werden“ (vgl. Kilgallen 2002, S. 86f.). Dieses umkehren-Müssen wird noch zusätzlich durch obigen Aspekt (2) forciert: Durch die Tötung des „von Gott beglaubigten Heiligen“ (Vv. 23.36) hat man größte Schuld auf sich geladen; umso drängender wird darum die Notwendigkeit zur Umkehr. Der Erfolg von Petri Predigt ist gewaltig. Wie gewaltig, berichten Vv. 41-47: 3000 weitere Christen schließen sich der Urgemeinde an; auf einen Schlag versechsundzwanzigfacht sich also ihre Zahl (V. 41). Dass sie nicht nur kurz überwältigt waren von der Wucht der Predigt, sagt V. 42: Beständig halten sie „sehr fest“ an der urchristlichen Theologie, am urchristlichen Kult und am urchristlichen Gebet: Sie werden auf einen Schlag zu vorbildlichen Christen – so vorbildlich, dass dies „in allen Seelen“ Ehrfurcht auslöst, was noch zusätzlich verstärkt wird durch die Wundermächtigkeit der Apostel (V. 43). Und nicht nur in religiösen Belangen sind diese frühesten Christen vorbildlich; auch im „alltäglichen“ Leben: Vv. 44f. spielen auf das alte und häufige</w:t>
      </w:r>
      <w:r>
        <w:rPr>
          <w:rStyle w:val="Funotenanker"/>
        </w:rPr>
        <w:footnoteReference w:customMarkFollows="1" w:id="5250"/>
        <w:t>b</w:t>
      </w:r>
      <w:r>
        <w:rPr/>
        <w:t xml:space="preserve"> griechische Ideal der Gütergemeinschaft an (das ist deutlicher bei Apg 4,32-37; s. daher dazu die Anmerkungen zu diesem Abschnitt). Bei den Christen, sagt Lukas, war das realisiert: Man hatte „alles gemeinsam“. &lt;small&gt;Es ist gut möglich, dass hier nicht nur ein Idealzustand geschildert wird, sondern dass Lukas Darstellung tatsächlich der Realität entsprach: Bei den Essenern, einer alten jüdischen Sekte, war eine solche Gütergemeinschaft ebenfalls realisiert, was Lukas Darstellung plausibel macht.</w:t>
      </w:r>
      <w:r>
        <w:rPr>
          <w:rStyle w:val="Funotenanker"/>
        </w:rPr>
        <w:footnoteReference w:customMarkFollows="1" w:id="5251"/>
        <w:t>c</w:t>
      </w:r>
      <w:r>
        <w:rPr/>
        <w:t xml:space="preserve"> Man vergleiche z.B.:&lt;/small&gt; : &lt;small&gt;1QS VI 18-20: 18 Hat [einer ein Jahr bei den Essenern verbracht] [...] 19 bringe er auch seinen Besitz darin ein und seine Arbeits(erträge), (und zwar) zu Händen des 20 Aufsehers über die Arbeit der Vollmitglieder.&lt;/small&gt;&lt;small&gt;1QS VII 6-8: [... Wenn einer sich] 6 gegenüber einem Besitztum der [Essener] fahrlässig verhält, so daß es verloren geht, dann erstattet er es 7 persönlich. ... 8 Und falls er es nicht zu erstatten vermag, wird er sechzig Tage bestraft.&lt;/small&gt; : &lt;small&gt;CD XIV 12-16: 12 Einen Lohn 13 von zwei Tagen mindestens für jeden Monat gebe man zu Händen des Aufsehers und der Richter. 14 Davon soll man erstatten ihren Verlust und davon soll man unterstützen den Elenden und den Armen, den Alten, 15 der gebrechlich ist, den Mann, der geschlagen ist, den, der zu einem fremden Volk verschleppt worden ist, die Jungfrau, die 16 keinen Löser hat, und den Knaben, um den keiner sich kümmert, und jede Arbeit der Gemeinschaft.</w:t>
      </w:r>
      <w:r>
        <w:rPr>
          <w:rStyle w:val="Funotenanker"/>
        </w:rPr>
        <w:footnoteReference w:customMarkFollows="1" w:id="5252"/>
        <w:t>d</w:t>
      </w:r>
      <w:r>
        <w:rPr/>
        <w:t>&lt;/small&gt; &lt;small&gt;Die Verhältnisse, die sich aus diesen Stellen rekonstruieren lassen, dürften in etwa denen entsprechen, die auch Lukas in Apg darstellt: Mit dem Eintritt in die christliche Gemeinschaft verkaufte man etwas (s. Apg 5,1-11;</w:t>
      </w:r>
      <w:r>
        <w:rPr>
          <w:rStyle w:val="Funotenanker"/>
        </w:rPr>
        <w:footnoteReference w:customMarkFollows="1" w:id="5253"/>
        <w:t>e</w:t>
      </w:r>
      <w:r>
        <w:rPr/>
        <w:t xml:space="preserve"> bes. V. 4 und vgl. CD XIV 12f.; eigener Besitz neben dem Gemeinschaftsbesitz ist auch für 1QS vorauszusetzen, s. 1QS VII 6-8) von seinen Eigentümern und übergab es zur Verwaltung den Aposteln (s. Apg 4,34f. und vgl. 1QS VI 20; CD XIV 13). Hatte jemand über das hinaus, was er ohnehin noch besaß, Not, wurde er aus diesem Gemeinschaftsbesitz unterstützt (s. Apg 2,45; 4,34f. und vgl. CD XIV 14-16). Typische Empfänger solcher Unterstützungen waren die sozial benachteiligten Gruppen: In Apg werden die Witwen erwähnt (Apg 6,1); in CD XIV 14-16 findet sich eine sehr viel längere Liste.&lt;/small&gt; Vv. 46f. schließlich stellen abschließend noch eine Art psychologisches Gutachten für die Gemeinde der Urchristen aus: Nicht nur leben sie vorbildlich, sondern es geht ihnen auch noch gut damit (sie sind „freudigen Herzens“, V. 46); auch vonseiten ihrer Mitbürger genießen sie allgemeine Anerkennung für ihren Lebensstil (V. 47). Wenig überraschend, dass sich ob dieses Gemeindeprofils immer mehr Menschen der Gemeinde der „Geretteten“ anschließen. </w:t>
        <w:br/>
        <w:br/>
        <w:t>[[@BibleTOBIBLE:Ac 2:1]]</w:t>
      </w:r>
      <w:r>
        <w:rPr>
          <w:b/>
        </w:rPr>
        <w:t>1</w:t>
      </w:r>
      <w:r>
        <w:rPr/>
        <w:t xml:space="preserve"> {{field-on:bible}} </w:t>
      </w:r>
      <w:r>
        <w:rPr>
          <w:rStyle w:val="Funotenanker"/>
        </w:rPr>
        <w:footnoteReference w:customMarkFollows="1" w:id="5254"/>
        <w:t>Status</w:t>
      </w:r>
      <w:r>
        <w:rPr/>
        <w:t xml:space="preserve"> Und als sich der Tag des Wochenfests</w:t>
      </w:r>
      <w:r>
        <w:rPr>
          <w:rStyle w:val="Funotenanker"/>
        </w:rPr>
        <w:footnoteReference w:customMarkFollows="1" w:id="5255"/>
        <w:t>f</w:t>
      </w:r>
      <w:r>
        <w:rPr/>
        <w:t xml:space="preserve"> erfüllte </w:t>
      </w:r>
      <w:r>
        <w:rPr>
          <w:color w:val="808080"/>
        </w:rPr>
        <w:t>(zu Ende ging)</w:t>
      </w:r>
      <w:r>
        <w:rPr/>
        <w:t>,</w:t>
      </w:r>
      <w:r>
        <w:rPr>
          <w:rStyle w:val="Funotenanker"/>
        </w:rPr>
        <w:footnoteReference w:customMarkFollows="1" w:id="5256"/>
        <w:t>g</w:t>
      </w:r>
      <w:r>
        <w:rPr/>
        <w:t xml:space="preserve"> waren alle zusammen </w:t>
      </w:r>
      <w:r>
        <w:rPr>
          <w:b/>
          <w:color w:val="808080"/>
        </w:rPr>
        <w:t>[</w:t>
      </w:r>
      <w:r>
        <w:rPr/>
        <w:t>als</w:t>
      </w:r>
      <w:r>
        <w:rPr>
          <w:b/>
          <w:color w:val="808080"/>
        </w:rPr>
        <w:t>]</w:t>
      </w:r>
      <w:r>
        <w:rPr/>
        <w:t xml:space="preserve"> Gemeinschaft </w:t>
      </w:r>
      <w:r>
        <w:rPr>
          <w:color w:val="808080"/>
        </w:rPr>
        <w:t>(?, beisammen)</w:t>
      </w:r>
      <w:r>
        <w:rPr/>
        <w:t>.</w:t>
      </w:r>
      <w:r>
        <w:rPr>
          <w:rStyle w:val="Funotenanker"/>
        </w:rPr>
        <w:footnoteReference w:customMarkFollows="1" w:id="5257"/>
        <w:t>h</w:t>
      </w:r>
      <w:r>
        <w:rPr/>
        <w:t xml:space="preserve"> {{field-off:bible}} </w:t>
        <w:br/>
        <w:t>[[@BibleTOBIBLE:Ac 2:2]]</w:t>
      </w:r>
      <w:r>
        <w:rPr>
          <w:b/>
        </w:rPr>
        <w:t>2</w:t>
      </w:r>
      <w:r>
        <w:rPr/>
        <w:t xml:space="preserve"> {{field-on:bible}}Und plötzlich kam </w:t>
      </w:r>
      <w:r>
        <w:rPr>
          <w:color w:val="808080"/>
        </w:rPr>
        <w:t>(entstand; ereignete sich)</w:t>
      </w:r>
      <w:r>
        <w:rPr/>
        <w:t xml:space="preserve"> vom Himmel her ein Geräusch </w:t>
      </w:r>
      <w:r>
        <w:rPr>
          <w:color w:val="808080"/>
        </w:rPr>
        <w:t>(Lärm)</w:t>
      </w:r>
      <w:r>
        <w:rPr/>
        <w:t xml:space="preserve"> wie das Wehen eines heftigen Windes und füllte das ganze Haus, in dem sie </w:t>
      </w:r>
      <w:r>
        <w:rPr>
          <w:b/>
          <w:color w:val="808080"/>
        </w:rPr>
        <w:t>[</w:t>
      </w:r>
      <w:r>
        <w:rPr/>
        <w:t>gerade</w:t>
      </w:r>
      <w:r>
        <w:rPr>
          <w:b/>
          <w:color w:val="808080"/>
        </w:rPr>
        <w:t>]</w:t>
      </w:r>
      <w:r>
        <w:rPr/>
        <w:t xml:space="preserve"> saßen</w:t>
      </w:r>
      <w:r>
        <w:rPr>
          <w:rStyle w:val="Funotenanker"/>
        </w:rPr>
        <w:footnoteReference w:customMarkFollows="1" w:id="5258"/>
        <w:t>i</w:t>
      </w:r>
      <w:r>
        <w:rPr/>
        <w:t xml:space="preserve"> {{field-off:bible}} </w:t>
        <w:br/>
        <w:t>[[@BibleTOBIBLE:Ac 2:3]]</w:t>
      </w:r>
      <w:r>
        <w:rPr>
          <w:b/>
        </w:rPr>
        <w:t>3</w:t>
      </w:r>
      <w:r>
        <w:rPr/>
        <w:t xml:space="preserve"> {{field-on:bible}}und ihnen erschienen sich verteilende </w:t>
      </w:r>
      <w:r>
        <w:rPr>
          <w:color w:val="808080"/>
        </w:rPr>
        <w:t>(teilende)</w:t>
      </w:r>
      <w:r>
        <w:rPr/>
        <w:t xml:space="preserve"> Zungen wie </w:t>
      </w:r>
      <w:r>
        <w:rPr>
          <w:b/>
          <w:color w:val="808080"/>
        </w:rPr>
        <w:t>[</w:t>
      </w:r>
      <w:r>
        <w:rPr/>
        <w:t>von</w:t>
      </w:r>
      <w:r>
        <w:rPr>
          <w:b/>
          <w:color w:val="808080"/>
        </w:rPr>
        <w:t>]</w:t>
      </w:r>
      <w:r>
        <w:rPr/>
        <w:t xml:space="preserve"> Feuer und sie setzten sich auf einen jeden von ihnen{{field-off:bible}} </w:t>
        <w:br/>
        <w:t>[[@BibleTOBIBLE:Ac 2:4]]</w:t>
      </w:r>
      <w:r>
        <w:rPr>
          <w:b/>
        </w:rPr>
        <w:t>4</w:t>
      </w:r>
      <w:r>
        <w:rPr/>
        <w:t xml:space="preserve"> {{field-on:bible}}und alle wurden mit heiligen Geist</w:t>
      </w:r>
      <w:r>
        <w:rPr>
          <w:rStyle w:val="Funotenanker"/>
        </w:rPr>
        <w:footnoteReference w:customMarkFollows="1" w:id="5259"/>
        <w:t>j</w:t>
      </w:r>
      <w:r>
        <w:rPr/>
        <w:t xml:space="preserve"> erfüllt und begannen, </w:t>
      </w:r>
      <w:r>
        <w:rPr>
          <w:b/>
          <w:color w:val="808080"/>
        </w:rPr>
        <w:t>[</w:t>
      </w:r>
      <w:r>
        <w:rPr/>
        <w:t>so</w:t>
      </w:r>
      <w:r>
        <w:rPr>
          <w:b/>
          <w:color w:val="808080"/>
        </w:rPr>
        <w:t>]</w:t>
      </w:r>
      <w:r>
        <w:rPr/>
        <w:t xml:space="preserve"> </w:t>
      </w:r>
      <w:r>
        <w:rPr>
          <w:b/>
          <w:color w:val="808080"/>
        </w:rPr>
        <w:t>[</w:t>
      </w:r>
      <w:r>
        <w:rPr/>
        <w:t>in</w:t>
      </w:r>
      <w:r>
        <w:rPr>
          <w:b/>
          <w:color w:val="808080"/>
        </w:rPr>
        <w:t>]</w:t>
      </w:r>
      <w:r>
        <w:rPr/>
        <w:t xml:space="preserve"> anderen Zungen zu sprechen, wie der Geist ihnen zu prophezeien </w:t>
      </w:r>
      <w:r>
        <w:rPr>
          <w:color w:val="808080"/>
        </w:rPr>
        <w:t>(äußern)</w:t>
      </w:r>
      <w:r>
        <w:rPr/>
        <w:t xml:space="preserve"> eingab.</w:t>
      </w:r>
      <w:r>
        <w:rPr>
          <w:rStyle w:val="Funotenanker"/>
        </w:rPr>
        <w:footnoteReference w:customMarkFollows="1" w:id="5260"/>
        <w:t>k</w:t>
      </w:r>
      <w:r>
        <w:rPr/>
        <w:t xml:space="preserve"> {{field-off:bible}} </w:t>
        <w:br/>
        <w:t>[[@BibleTOBIBLE:Ac 2:5]]</w:t>
      </w:r>
      <w:r>
        <w:rPr>
          <w:b/>
        </w:rPr>
        <w:t>5</w:t>
      </w:r>
      <w:r>
        <w:rPr/>
        <w:t xml:space="preserve"> {{field-on:bible}}Es hielten sich </w:t>
      </w:r>
      <w:r>
        <w:rPr>
          <w:b/>
          <w:color w:val="808080"/>
        </w:rPr>
        <w:t>[</w:t>
      </w:r>
      <w:r>
        <w:rPr/>
        <w:t>gerade</w:t>
      </w:r>
      <w:r>
        <w:rPr>
          <w:b/>
          <w:color w:val="808080"/>
        </w:rPr>
        <w:t>]</w:t>
      </w:r>
      <w:r>
        <w:rPr/>
        <w:t xml:space="preserve"> auf </w:t>
      </w:r>
      <w:r>
        <w:rPr>
          <w:color w:val="808080"/>
        </w:rPr>
        <w:t>(wohnten)</w:t>
      </w:r>
      <w:r>
        <w:rPr/>
        <w:t xml:space="preserve"> </w:t>
      </w:r>
      <w:r>
        <w:rPr>
          <w:rStyle w:val="Funotenanker"/>
        </w:rPr>
        <w:footnoteReference w:customMarkFollows="1" w:id="5261"/>
        <w:t>l</w:t>
      </w:r>
      <w:r>
        <w:rPr/>
        <w:t xml:space="preserve"> </w:t>
      </w:r>
      <w:r>
        <w:rPr>
          <w:strike/>
          <w:color w:val="808080"/>
        </w:rPr>
        <w:t>{aber}</w:t>
      </w:r>
      <w:r>
        <w:rPr/>
        <w:t xml:space="preserve"> Juden in Jerusalem, fromme</w:t>
      </w:r>
      <w:r>
        <w:rPr>
          <w:rStyle w:val="Funotenanker"/>
        </w:rPr>
        <w:footnoteReference w:customMarkFollows="1" w:id="5262"/>
        <w:t>m</w:t>
      </w:r>
      <w:r>
        <w:rPr/>
        <w:t xml:space="preserve"> Männer aus allen Völkern unter dem Himmel,{{field-off:bible}} </w:t>
        <w:br/>
        <w:t>[[@BibleTOBIBLE:Ac 2:6]]</w:t>
      </w:r>
      <w:r>
        <w:rPr>
          <w:b/>
        </w:rPr>
        <w:t>6</w:t>
      </w:r>
      <w:r>
        <w:rPr/>
        <w:t xml:space="preserve"> {{field-on:bible}} </w:t>
      </w:r>
      <w:r>
        <w:rPr>
          <w:b/>
          <w:color w:val="808080"/>
        </w:rPr>
        <w:t>[</w:t>
      </w:r>
      <w:r>
        <w:rPr/>
        <w:t>und</w:t>
      </w:r>
      <w:r>
        <w:rPr>
          <w:b/>
          <w:color w:val="808080"/>
        </w:rPr>
        <w:t>]</w:t>
      </w:r>
      <w:r>
        <w:rPr/>
        <w:t xml:space="preserve"> als </w:t>
      </w:r>
      <w:r>
        <w:rPr>
          <w:strike/>
          <w:color w:val="808080"/>
        </w:rPr>
        <w:t>{aber}</w:t>
      </w:r>
      <w:r>
        <w:rPr/>
        <w:t xml:space="preserve"> dieses Getön</w:t>
      </w:r>
      <w:r>
        <w:rPr>
          <w:rStyle w:val="Funotenanker"/>
        </w:rPr>
        <w:footnoteReference w:customMarkFollows="1" w:id="5263"/>
        <w:t>n</w:t>
      </w:r>
      <w:r>
        <w:rPr/>
        <w:t xml:space="preserve"> entstand, kam die Menge zusammengelaufen und war bestürzt </w:t>
      </w:r>
      <w:r>
        <w:rPr>
          <w:color w:val="808080"/>
        </w:rPr>
        <w:t>(verstört, verwirrt)</w:t>
      </w:r>
      <w:r>
        <w:rPr/>
        <w:t xml:space="preserve">, denn ein jeder hörte sie in der eigenen Sprache sprechen.{{field-off:bible}} </w:t>
        <w:br/>
        <w:t>[[@BibleTOBIBLE:Ac 2:7]]</w:t>
      </w:r>
      <w:r>
        <w:rPr>
          <w:b/>
        </w:rPr>
        <w:t>7</w:t>
      </w:r>
      <w:r>
        <w:rPr/>
        <w:t xml:space="preserve"> {{field-on:bible}}Sie </w:t>
      </w:r>
      <w:r>
        <w:rPr>
          <w:color w:val="808080"/>
        </w:rPr>
        <w:t>(Alle)</w:t>
      </w:r>
      <w:r>
        <w:rPr/>
        <w:t xml:space="preserve"> </w:t>
      </w:r>
      <w:r>
        <w:rPr>
          <w:rStyle w:val="Funotenanker"/>
        </w:rPr>
        <w:footnoteReference w:customMarkFollows="1" w:id="5264"/>
        <w:t>o</w:t>
      </w:r>
      <w:r>
        <w:rPr/>
        <w:t xml:space="preserve"> waren </w:t>
      </w:r>
      <w:r>
        <w:rPr>
          <w:strike/>
          <w:color w:val="808080"/>
        </w:rPr>
        <w:t>{aber}</w:t>
      </w:r>
      <w:r>
        <w:rPr/>
        <w:t xml:space="preserve"> außer sich </w:t>
      </w:r>
      <w:r>
        <w:rPr>
          <w:color w:val="808080"/>
        </w:rPr>
        <w:t>(fassungslos, erstaunt)</w:t>
      </w:r>
      <w:r>
        <w:rPr/>
        <w:t xml:space="preserve"> und wunderten </w:t>
      </w:r>
      <w:r>
        <w:rPr>
          <w:color w:val="808080"/>
        </w:rPr>
        <w:t>(erstaunten)</w:t>
      </w:r>
      <w:r>
        <w:rPr/>
        <w:t xml:space="preserve"> sich, </w:t>
      </w:r>
      <w:r>
        <w:rPr>
          <w:b/>
          <w:color w:val="808080"/>
        </w:rPr>
        <w:t>[</w:t>
      </w:r>
      <w:r>
        <w:rPr/>
        <w:t>indem sie</w:t>
      </w:r>
      <w:r>
        <w:rPr>
          <w:b/>
          <w:color w:val="808080"/>
        </w:rPr>
        <w:t>]</w:t>
      </w:r>
      <w:r>
        <w:rPr/>
        <w:t xml:space="preserve"> sagten: „Siehe! Sind nicht alle diese Sprechenden Galiläer?{{field-off:bible}} </w:t>
        <w:br/>
        <w:t>[[@BibleTOBIBLE:Ac 2:8]]</w:t>
      </w:r>
      <w:r>
        <w:rPr>
          <w:b/>
        </w:rPr>
        <w:t>8</w:t>
      </w:r>
      <w:r>
        <w:rPr/>
        <w:t xml:space="preserve"> {{field-on:bible}}Und wie hören wir </w:t>
      </w:r>
      <w:r>
        <w:rPr>
          <w:b/>
          <w:color w:val="808080"/>
        </w:rPr>
        <w:t>[</w:t>
      </w:r>
      <w:r>
        <w:rPr/>
        <w:t>sie dann</w:t>
      </w:r>
      <w:r>
        <w:rPr>
          <w:b/>
          <w:color w:val="808080"/>
        </w:rPr>
        <w:t>]</w:t>
      </w:r>
      <w:r>
        <w:rPr/>
        <w:t xml:space="preserve"> jeder in unserer eigenen Sprache, in der wir geboren wurden?{{field-off:bible}} </w:t>
        <w:br/>
        <w:t>[[@BibleTOBIBLE:Ac 2:9]]</w:t>
      </w:r>
      <w:r>
        <w:rPr>
          <w:b/>
        </w:rPr>
        <w:t>9</w:t>
      </w:r>
      <w:r>
        <w:rPr/>
        <w:t xml:space="preserve"> {{field-on:bible}} </w:t>
      </w:r>
      <w:r>
        <w:rPr>
          <w:b/>
          <w:color w:val="808080"/>
        </w:rPr>
        <w:t>[</w:t>
      </w:r>
      <w:r>
        <w:rPr/>
        <w:t>Wir sind ja</w:t>
      </w:r>
      <w:r>
        <w:rPr>
          <w:b/>
          <w:color w:val="808080"/>
        </w:rPr>
        <w:t>]</w:t>
      </w:r>
      <w:r>
        <w:rPr/>
        <w:t xml:space="preserve"> Parther</w:t>
      </w:r>
      <w:r>
        <w:rPr>
          <w:rStyle w:val="Funotenanker"/>
        </w:rPr>
        <w:footnoteReference w:customMarkFollows="1" w:id="5265"/>
        <w:t>p</w:t>
      </w:r>
      <w:r>
        <w:rPr/>
        <w:t xml:space="preserve"> und Meder und Elamiter und die Bewohner von Mesopotamien, vom Judäischen</w:t>
      </w:r>
      <w:r>
        <w:rPr>
          <w:rStyle w:val="Funotenanker"/>
        </w:rPr>
        <w:footnoteReference w:customMarkFollows="1" w:id="5266"/>
        <w:t>q</w:t>
      </w:r>
      <w:r>
        <w:rPr/>
        <w:t xml:space="preserve"> und auch Kappadozien, von Pontus und Asien,{{field-off:bible}} </w:t>
        <w:br/>
        <w:t>[[@BibleTOBIBLE:Ac 2:10]]</w:t>
      </w:r>
      <w:r>
        <w:rPr>
          <w:b/>
        </w:rPr>
        <w:t>10</w:t>
      </w:r>
      <w:r>
        <w:rPr/>
        <w:t xml:space="preserve"> {{field-on:bible}}von Phrygien und auch Pamphylien, von Ägypten und den Gebieten Lybiens um Zyrene, und die sich </w:t>
      </w:r>
      <w:r>
        <w:rPr>
          <w:b/>
          <w:color w:val="808080"/>
        </w:rPr>
        <w:t>[</w:t>
      </w:r>
      <w:r>
        <w:rPr/>
        <w:t>hier</w:t>
      </w:r>
      <w:r>
        <w:rPr>
          <w:b/>
          <w:color w:val="808080"/>
        </w:rPr>
        <w:t>]</w:t>
      </w:r>
      <w:r>
        <w:rPr/>
        <w:t xml:space="preserve"> aufhaltenden Römer,{{field-off:bible}} </w:t>
        <w:br/>
        <w:t>[[@BibleTOBIBLE:Ac 2:11]]</w:t>
      </w:r>
      <w:r>
        <w:rPr>
          <w:b/>
        </w:rPr>
        <w:t>11</w:t>
      </w:r>
      <w:r>
        <w:rPr/>
        <w:t xml:space="preserve"> {{field-on:bible}}Juden und auch Proselyten,</w:t>
      </w:r>
      <w:r>
        <w:rPr>
          <w:rStyle w:val="Funotenanker"/>
        </w:rPr>
        <w:footnoteReference w:customMarkFollows="1" w:id="5267"/>
        <w:t>r</w:t>
      </w:r>
      <w:r>
        <w:rPr/>
        <w:t xml:space="preserve"> Kreter und Araber - wir hören sie in unseren Zungen die Großtaten Gottes rühmen!“</w:t>
      </w:r>
      <w:r>
        <w:rPr>
          <w:rStyle w:val="Funotenanker"/>
        </w:rPr>
        <w:footnoteReference w:customMarkFollows="1" w:id="5268"/>
        <w:t>s</w:t>
      </w:r>
      <w:r>
        <w:rPr/>
        <w:t xml:space="preserve"> {{field-off:bible}} </w:t>
        <w:br/>
        <w:t>[[@BibleTOBIBLE:Ac 2:12]]</w:t>
      </w:r>
      <w:r>
        <w:rPr>
          <w:b/>
        </w:rPr>
        <w:t>12</w:t>
      </w:r>
      <w:r>
        <w:rPr/>
        <w:t xml:space="preserve"> {{field-on:bible}}Alle waren </w:t>
      </w:r>
      <w:r>
        <w:rPr>
          <w:strike/>
          <w:color w:val="808080"/>
        </w:rPr>
        <w:t>{aber}</w:t>
      </w:r>
      <w:r>
        <w:rPr/>
        <w:t xml:space="preserve"> außer sich </w:t>
      </w:r>
      <w:r>
        <w:rPr>
          <w:color w:val="808080"/>
        </w:rPr>
        <w:t>(fassungslos, erstaunt)</w:t>
      </w:r>
      <w:r>
        <w:rPr/>
        <w:t xml:space="preserve"> und ratlos, </w:t>
      </w:r>
      <w:r>
        <w:rPr>
          <w:b/>
          <w:color w:val="808080"/>
        </w:rPr>
        <w:t>[</w:t>
      </w:r>
      <w:r>
        <w:rPr/>
        <w:t>indem</w:t>
      </w:r>
      <w:r>
        <w:rPr>
          <w:b/>
          <w:color w:val="808080"/>
        </w:rPr>
        <w:t>]</w:t>
      </w:r>
      <w:r>
        <w:rPr/>
        <w:t xml:space="preserve"> sie zueinander sagten: „Was mag dies sein!?“</w:t>
      </w:r>
      <w:r>
        <w:rPr>
          <w:rStyle w:val="Funotenanker"/>
        </w:rPr>
        <w:footnoteReference w:customMarkFollows="1" w:id="5269"/>
        <w:t>t</w:t>
      </w:r>
      <w:r>
        <w:rPr/>
        <w:t xml:space="preserve"> {{field-off:bible}} </w:t>
        <w:br/>
        <w:t>[[@BibleTOBIBLE:Ac 2:13]]</w:t>
      </w:r>
      <w:r>
        <w:rPr>
          <w:b/>
        </w:rPr>
        <w:t>13</w:t>
      </w:r>
      <w:r>
        <w:rPr/>
        <w:t xml:space="preserve"> {{field-on:bible}}Andere aber sagten spottend: „Mit Traubensaft </w:t>
      </w:r>
      <w:r>
        <w:rPr>
          <w:color w:val="808080"/>
        </w:rPr>
        <w:t>(Wein?)</w:t>
      </w:r>
      <w:r>
        <w:rPr/>
        <w:t xml:space="preserve"> </w:t>
      </w:r>
      <w:r>
        <w:rPr>
          <w:rStyle w:val="Funotenanker"/>
        </w:rPr>
        <w:footnoteReference w:customMarkFollows="1" w:id="5270"/>
        <w:t>u</w:t>
      </w:r>
      <w:r>
        <w:rPr/>
        <w:t xml:space="preserve"> sind sie voll </w:t>
      </w:r>
      <w:r>
        <w:rPr>
          <w:color w:val="808080"/>
        </w:rPr>
        <w:t>(angefüllt)</w:t>
      </w:r>
      <w:r>
        <w:rPr/>
        <w:t xml:space="preserve">!“{{field-off:bible}} </w:t>
        <w:br/>
        <w:t>[[@BibleTOBIBLE:Ac 2:14]]</w:t>
      </w:r>
      <w:r>
        <w:rPr>
          <w:b/>
        </w:rPr>
        <w:t>14</w:t>
      </w:r>
      <w:r>
        <w:rPr/>
        <w:t xml:space="preserve"> {{field-on:bible}}Petrus jedoch stellte sich mit den </w:t>
      </w:r>
      <w:r>
        <w:rPr>
          <w:b/>
          <w:color w:val="808080"/>
        </w:rPr>
        <w:t>[</w:t>
      </w:r>
      <w:r>
        <w:rPr/>
        <w:t>anderen</w:t>
      </w:r>
      <w:r>
        <w:rPr>
          <w:b/>
          <w:color w:val="808080"/>
        </w:rPr>
        <w:t>]</w:t>
      </w:r>
      <w:r>
        <w:rPr/>
        <w:t xml:space="preserve"> Elf hin, erhob seine Stimme</w:t>
      </w:r>
      <w:r>
        <w:rPr>
          <w:rStyle w:val="Funotenanker"/>
        </w:rPr>
        <w:footnoteReference w:customMarkFollows="1" w:id="5271"/>
        <w:t>v</w:t>
      </w:r>
      <w:r>
        <w:rPr/>
        <w:t xml:space="preserve"> und prophezeite </w:t>
      </w:r>
      <w:r>
        <w:rPr>
          <w:color w:val="808080"/>
        </w:rPr>
        <w:t>(äußerte)</w:t>
      </w:r>
      <w:r>
        <w:rPr/>
        <w:t xml:space="preserve"> ihnen: „</w:t>
      </w:r>
      <w:r>
        <w:rPr>
          <w:b/>
          <w:color w:val="808080"/>
        </w:rPr>
        <w:t>[</w:t>
      </w:r>
      <w:r>
        <w:rPr/>
        <w:t>Liebe</w:t>
      </w:r>
      <w:r>
        <w:rPr>
          <w:b/>
          <w:color w:val="808080"/>
        </w:rPr>
        <w:t>]</w:t>
      </w:r>
      <w:r>
        <w:rPr/>
        <w:t xml:space="preserve"> Judäer </w:t>
      </w:r>
      <w:r>
        <w:rPr>
          <w:color w:val="808080"/>
        </w:rPr>
        <w:t>(Juden)</w:t>
      </w:r>
      <w:r>
        <w:rPr/>
        <w:t xml:space="preserve"> </w:t>
      </w:r>
      <w:r>
        <w:rPr>
          <w:rStyle w:val="Funotenanker"/>
        </w:rPr>
        <w:footnoteReference w:customMarkFollows="1" w:id="5272"/>
        <w:t>w</w:t>
      </w:r>
      <w:r>
        <w:rPr/>
        <w:t xml:space="preserve"> und all </w:t>
      </w:r>
      <w:r>
        <w:rPr>
          <w:b/>
          <w:color w:val="808080"/>
        </w:rPr>
        <w:t>[</w:t>
      </w:r>
      <w:r>
        <w:rPr/>
        <w:t>ihr</w:t>
      </w:r>
      <w:r>
        <w:rPr>
          <w:b/>
          <w:color w:val="808080"/>
        </w:rPr>
        <w:t>]</w:t>
      </w:r>
      <w:r>
        <w:rPr/>
        <w:t xml:space="preserve"> euch in Jerusalem Aufhaltenden </w:t>
      </w:r>
      <w:r>
        <w:rPr>
          <w:color w:val="808080"/>
        </w:rPr>
        <w:t xml:space="preserve">(all </w:t>
      </w:r>
      <w:r>
        <w:rPr>
          <w:b/>
          <w:color w:val="808080"/>
        </w:rPr>
        <w:t>[</w:t>
      </w:r>
      <w:r>
        <w:rPr>
          <w:color w:val="808080"/>
        </w:rPr>
        <w:t>ihr</w:t>
      </w:r>
      <w:r>
        <w:rPr>
          <w:b/>
          <w:color w:val="808080"/>
        </w:rPr>
        <w:t>]</w:t>
      </w:r>
      <w:r>
        <w:rPr>
          <w:color w:val="808080"/>
        </w:rPr>
        <w:t xml:space="preserve"> Wohnenden)</w:t>
      </w:r>
      <w:r>
        <w:rPr/>
        <w:t>!</w:t>
      </w:r>
      <w:r>
        <w:rPr>
          <w:rStyle w:val="Funotenanker"/>
        </w:rPr>
        <w:footnoteReference w:customMarkFollows="1" w:id="5273"/>
        <w:t>x</w:t>
      </w:r>
      <w:r>
        <w:rPr/>
        <w:t xml:space="preserve"> Dies sei euch bekannt, </w:t>
      </w:r>
      <w:r>
        <w:rPr>
          <w:strike/>
          <w:color w:val="808080"/>
        </w:rPr>
        <w:t>{und}</w:t>
      </w:r>
      <w:r>
        <w:rPr/>
        <w:t xml:space="preserve"> vernehmt meine Worte!{{field-off:bible}} </w:t>
        <w:br/>
        <w:t>[[@BibleTOBIBLE:Ac 2:15]]</w:t>
      </w:r>
      <w:r>
        <w:rPr>
          <w:b/>
        </w:rPr>
        <w:t>15</w:t>
      </w:r>
      <w:r>
        <w:rPr/>
        <w:t xml:space="preserve"> {{field-on:bible}}Diese sind nämlich nicht, wie ihr annehmt, betrunken – es ist ja </w:t>
      </w:r>
      <w:r>
        <w:rPr>
          <w:color w:val="808080"/>
        </w:rPr>
        <w:t>(nämlich)</w:t>
      </w:r>
      <w:r>
        <w:rPr/>
        <w:t xml:space="preserve"> </w:t>
      </w:r>
      <w:r>
        <w:rPr>
          <w:b/>
          <w:color w:val="808080"/>
        </w:rPr>
        <w:t>[</w:t>
      </w:r>
      <w:r>
        <w:rPr/>
        <w:t>erst</w:t>
      </w:r>
      <w:r>
        <w:rPr>
          <w:b/>
          <w:color w:val="808080"/>
        </w:rPr>
        <w:t>]</w:t>
      </w:r>
      <w:r>
        <w:rPr/>
        <w:t xml:space="preserve"> die dritte Stunde des Tages</w:t>
      </w:r>
      <w:r>
        <w:rPr>
          <w:rStyle w:val="Funotenanker"/>
        </w:rPr>
        <w:footnoteReference w:customMarkFollows="1" w:id="5274"/>
        <w:t>y</w:t>
      </w:r>
      <w:r>
        <w:rPr/>
        <w:t xml:space="preserve"> –,{{field-off:bible}} </w:t>
        <w:br/>
        <w:t>[[@BibleTOBIBLE:Ac 2:16]]</w:t>
      </w:r>
      <w:r>
        <w:rPr>
          <w:b/>
        </w:rPr>
        <w:t>16</w:t>
      </w:r>
      <w:r>
        <w:rPr/>
        <w:t xml:space="preserve"> {{field-on:bible}}sondern: Dies ist</w:t>
      </w:r>
      <w:r>
        <w:rPr>
          <w:rStyle w:val="Funotenanker"/>
        </w:rPr>
        <w:footnoteReference w:customMarkFollows="1" w:id="5275"/>
        <w:t>z</w:t>
      </w:r>
      <w:r>
        <w:rPr/>
        <w:t xml:space="preserve"> das durch den Propheten Joel Vorhergesagte:</w:t>
      </w:r>
      <w:r>
        <w:rPr>
          <w:rStyle w:val="Funotenanker"/>
        </w:rPr>
        <w:footnoteReference w:customMarkFollows="1" w:id="5276"/>
        <w:t>aa</w:t>
      </w:r>
      <w:r>
        <w:rPr/>
        <w:t xml:space="preserve"> </w:t>
        <w:br/>
        <w:t xml:space="preserve">{{field-off:bible}} </w:t>
        <w:br/>
        <w:t>[[@BibleTOBIBLE:Ac 2:17]]</w:t>
      </w:r>
      <w:r>
        <w:rPr>
          <w:b/>
        </w:rPr>
        <w:t>17</w:t>
      </w:r>
      <w:r>
        <w:rPr/>
        <w:t xml:space="preserve"> {{field-on:bible}} </w:t>
        <w:br/>
        <w:t>»»Und es wird sein</w:t>
      </w:r>
      <w:r>
        <w:rPr>
          <w:rStyle w:val="Funotenanker"/>
        </w:rPr>
        <w:footnoteReference w:customMarkFollows="1" w:id="5277"/>
        <w:t>ab</w:t>
      </w:r>
      <w:r>
        <w:rPr/>
        <w:t xml:space="preserve"> in den Letzten Tagen:«</w:t>
      </w:r>
      <w:r>
        <w:rPr>
          <w:rStyle w:val="Funotenanker"/>
        </w:rPr>
        <w:footnoteReference w:customMarkFollows="1" w:id="5278"/>
        <w:t>ac</w:t>
      </w:r>
      <w:r>
        <w:rPr/>
        <w:t xml:space="preserve"> – sagt Gott</w:t>
      </w:r>
      <w:r>
        <w:rPr>
          <w:rStyle w:val="Funotenanker"/>
        </w:rPr>
        <w:footnoteReference w:customMarkFollows="1" w:id="5279"/>
        <w:t>ad</w:t>
      </w:r>
      <w:r>
        <w:rPr/>
        <w:t xml:space="preserve"> –</w:t>
        <w:br/>
        <w:t xml:space="preserve">»Ich werde ausgießen </w:t>
      </w:r>
      <w:r>
        <w:rPr>
          <w:b/>
          <w:color w:val="808080"/>
        </w:rPr>
        <w:t>[</w:t>
      </w:r>
      <w:r>
        <w:rPr/>
        <w:t>etwas</w:t>
      </w:r>
      <w:r>
        <w:rPr>
          <w:b/>
          <w:color w:val="808080"/>
        </w:rPr>
        <w:t>]</w:t>
      </w:r>
      <w:r>
        <w:rPr/>
        <w:t xml:space="preserve"> von meinem Geist auf alles Fleisch,</w:t>
      </w:r>
      <w:r>
        <w:rPr>
          <w:rStyle w:val="Funotenanker"/>
        </w:rPr>
        <w:footnoteReference w:customMarkFollows="1" w:id="5280"/>
        <w:t>ae</w:t>
      </w:r>
      <w:r>
        <w:rPr/>
        <w:t>Und prophezeien werden eure Söhne und eure Töchter</w:t>
        <w:br/>
        <w:t xml:space="preserve">Und eure jungen </w:t>
      </w:r>
      <w:r>
        <w:rPr>
          <w:b/>
          <w:color w:val="808080"/>
        </w:rPr>
        <w:t>[</w:t>
      </w:r>
      <w:r>
        <w:rPr/>
        <w:t>Menschen</w:t>
      </w:r>
      <w:r>
        <w:rPr>
          <w:b/>
          <w:color w:val="808080"/>
        </w:rPr>
        <w:t>]</w:t>
      </w:r>
      <w:r>
        <w:rPr/>
        <w:t xml:space="preserve"> werden Visionen sehenUnd eure alten </w:t>
      </w:r>
      <w:r>
        <w:rPr>
          <w:b/>
          <w:color w:val="808080"/>
        </w:rPr>
        <w:t>[</w:t>
      </w:r>
      <w:r>
        <w:rPr/>
        <w:t>Menschen</w:t>
      </w:r>
      <w:r>
        <w:rPr>
          <w:b/>
          <w:color w:val="808080"/>
        </w:rPr>
        <w:t>]</w:t>
      </w:r>
      <w:r>
        <w:rPr/>
        <w:t xml:space="preserve"> werden durch Träume träumen.</w:t>
        <w:br/>
        <w:t xml:space="preserve">{{field-off:bible}} </w:t>
        <w:br/>
        <w:t>[[@BibleTOBIBLE:Ac 2:18]]</w:t>
      </w:r>
      <w:r>
        <w:rPr>
          <w:b/>
        </w:rPr>
        <w:t>18</w:t>
      </w:r>
      <w:r>
        <w:rPr/>
        <w:t xml:space="preserve"> {{field-on:bible}} </w:t>
        <w:br/>
        <w:t xml:space="preserve">Und auch </w:t>
      </w:r>
      <w:r>
        <w:rPr>
          <w:color w:val="808080"/>
        </w:rPr>
        <w:t>(selbst)</w:t>
      </w:r>
      <w:r>
        <w:rPr/>
        <w:t xml:space="preserve"> auf meine Sklaven und auf meine Sklavinnen</w:t>
      </w:r>
      <w:r>
        <w:rPr>
          <w:rStyle w:val="Funotenanker"/>
        </w:rPr>
        <w:footnoteReference w:customMarkFollows="1" w:id="5281"/>
        <w:t>af</w:t>
      </w:r>
      <w:r>
        <w:rPr/>
        <w:t xml:space="preserve"> werde ich in jenen Tagen </w:t>
      </w:r>
      <w:r>
        <w:rPr>
          <w:b/>
          <w:color w:val="808080"/>
        </w:rPr>
        <w:t>[</w:t>
      </w:r>
      <w:r>
        <w:rPr/>
        <w:t>etwas</w:t>
      </w:r>
      <w:r>
        <w:rPr>
          <w:b/>
          <w:color w:val="808080"/>
        </w:rPr>
        <w:t>]</w:t>
      </w:r>
      <w:r>
        <w:rPr/>
        <w:t xml:space="preserve"> von meinem Geist ausgießenUnd sie werden prophezeien.</w:t>
        <w:br/>
        <w:t xml:space="preserve">{{field-off:bible}} </w:t>
        <w:br/>
        <w:t>[[@BibleTOBIBLE:Ac 2:19]]</w:t>
      </w:r>
      <w:r>
        <w:rPr>
          <w:b/>
        </w:rPr>
        <w:t>19</w:t>
      </w:r>
      <w:r>
        <w:rPr/>
        <w:t xml:space="preserve"> {{field-on:bible}} </w:t>
        <w:br/>
        <w:t>Und ich werde darbieten</w:t>
      </w:r>
      <w:r>
        <w:rPr>
          <w:rStyle w:val="Funotenanker"/>
        </w:rPr>
        <w:footnoteReference w:customMarkFollows="1" w:id="5282"/>
        <w:t>ag</w:t>
      </w:r>
      <w:r>
        <w:rPr/>
        <w:t xml:space="preserve"> Wunder im Himmel drobenUnd Zeichen auf der Erde drunten:Blut und Feuer und Rauchqualm.</w:t>
        <w:br/>
        <w:t xml:space="preserve">{{field-off:bible}} </w:t>
        <w:br/>
        <w:t>[[@BibleTOBIBLE:Ac 2:20]]</w:t>
      </w:r>
      <w:r>
        <w:rPr>
          <w:b/>
        </w:rPr>
        <w:t>20</w:t>
      </w:r>
      <w:r>
        <w:rPr/>
        <w:t xml:space="preserve"> {{field-on:bible}} </w:t>
        <w:br/>
        <w:t>Die Sonne wird verwandelt werden zu FinsternisUnd der Mond zu Blut</w:t>
      </w:r>
      <w:r>
        <w:rPr>
          <w:rStyle w:val="Funotenanker"/>
        </w:rPr>
        <w:footnoteReference w:customMarkFollows="1" w:id="5283"/>
        <w:t>ah</w:t>
      </w:r>
      <w:r>
        <w:rPr/>
        <w:t xml:space="preserve">Vor dem Kommen des Tags des Herrn, des großen und sichtbaren </w:t>
      </w:r>
      <w:r>
        <w:rPr>
          <w:color w:val="808080"/>
        </w:rPr>
        <w:t>(prachtvollen)</w:t>
      </w:r>
      <w:r>
        <w:rPr/>
        <w:t>.</w:t>
      </w:r>
      <w:r>
        <w:rPr>
          <w:rStyle w:val="Funotenanker"/>
        </w:rPr>
        <w:footnoteReference w:customMarkFollows="1" w:id="5284"/>
        <w:t>ai</w:t>
      </w:r>
      <w:r>
        <w:rPr/>
        <w:t xml:space="preserve"> </w:t>
        <w:br/>
        <w:t xml:space="preserve">{{field-off:bible}} </w:t>
        <w:br/>
        <w:t>[[@BibleTOBIBLE:Ac 2:21]]</w:t>
      </w:r>
      <w:r>
        <w:rPr>
          <w:b/>
        </w:rPr>
        <w:t>21</w:t>
      </w:r>
      <w:r>
        <w:rPr/>
        <w:t xml:space="preserve"> {{field-on:bible}} </w:t>
        <w:br/>
      </w:r>
      <w:r>
        <w:rPr>
          <w:strike/>
          <w:color w:val="808080"/>
        </w:rPr>
        <w:t>{Und es wird sein:}</w:t>
      </w:r>
      <w:r>
        <w:rPr/>
        <w:t xml:space="preserve"> </w:t>
      </w:r>
      <w:r>
        <w:rPr>
          <w:rStyle w:val="Funotenanker"/>
        </w:rPr>
        <w:footnoteReference w:customMarkFollows="1" w:id="5285"/>
        <w:t>aj</w:t>
      </w:r>
      <w:r>
        <w:rPr/>
        <w:t xml:space="preserve"> Jeder, der den Namen des Herrn anruft,</w:t>
      </w:r>
      <w:r>
        <w:rPr>
          <w:rStyle w:val="Funotenanker"/>
        </w:rPr>
        <w:footnoteReference w:customMarkFollows="1" w:id="5286"/>
        <w:t>ak</w:t>
      </w:r>
      <w:r>
        <w:rPr/>
        <w:t xml:space="preserve"> wird gerettet werden.«« </w:t>
      </w:r>
      <w:r>
        <w:rPr>
          <w:position w:val="8"/>
          <w:sz w:val="19"/>
        </w:rPr>
        <w:t>[[ ℘ &gt;&gt; BibleTOBIBLE:Joe 3:1]]</w:t>
      </w:r>
      <w:r>
        <w:rPr/>
        <w:t xml:space="preserve"> </w:t>
        <w:br/>
        <w:t xml:space="preserve">{{field-off:bible}} </w:t>
        <w:br/>
        <w:t>[[@BibleTOBIBLE:Ac 2:22]]</w:t>
      </w:r>
      <w:r>
        <w:rPr>
          <w:b/>
        </w:rPr>
        <w:t>22</w:t>
      </w:r>
      <w:r>
        <w:rPr/>
        <w:t xml:space="preserve"> {{field-on:bible}} </w:t>
      </w:r>
      <w:r>
        <w:rPr>
          <w:b/>
          <w:color w:val="808080"/>
        </w:rPr>
        <w:t>[</w:t>
      </w:r>
      <w:r>
        <w:rPr/>
        <w:t>Liebe</w:t>
      </w:r>
      <w:r>
        <w:rPr>
          <w:b/>
          <w:color w:val="808080"/>
        </w:rPr>
        <w:t>]</w:t>
      </w:r>
      <w:r>
        <w:rPr/>
        <w:t xml:space="preserve"> Israeliten, hört diese Worte: Jesus, den Nazoräer,</w:t>
      </w:r>
      <w:r>
        <w:rPr>
          <w:rStyle w:val="Funotenanker"/>
        </w:rPr>
        <w:footnoteReference w:customMarkFollows="1" w:id="5287"/>
        <w:t>al</w:t>
      </w:r>
      <w:r>
        <w:rPr/>
        <w:t xml:space="preserve"> einen von Gott für euch beglaubigten </w:t>
      </w:r>
      <w:r>
        <w:rPr>
          <w:color w:val="808080"/>
        </w:rPr>
        <w:t>(bestellten)</w:t>
      </w:r>
      <w:r>
        <w:rPr/>
        <w:t xml:space="preserve"> Mann durch </w:t>
      </w:r>
      <w:r>
        <w:rPr>
          <w:b/>
          <w:color w:val="808080"/>
        </w:rPr>
        <w:t>[</w:t>
      </w:r>
      <w:r>
        <w:rPr/>
        <w:t>die</w:t>
      </w:r>
      <w:r>
        <w:rPr>
          <w:b/>
          <w:color w:val="808080"/>
        </w:rPr>
        <w:t>]</w:t>
      </w:r>
      <w:r>
        <w:rPr/>
        <w:t xml:space="preserve"> Machttaten und Wunder und Zeichen, welche Gott durch ihn in eurer Mitte vollbracht hat – wie ihr </w:t>
      </w:r>
      <w:r>
        <w:rPr>
          <w:b/>
          <w:color w:val="808080"/>
        </w:rPr>
        <w:t>[</w:t>
      </w:r>
      <w:r>
        <w:rPr/>
        <w:t>ja selbst</w:t>
      </w:r>
      <w:r>
        <w:rPr>
          <w:b/>
          <w:color w:val="808080"/>
        </w:rPr>
        <w:t>]</w:t>
      </w:r>
      <w:r>
        <w:rPr/>
        <w:t xml:space="preserve"> wisst –{{field-off:bible}} </w:t>
        <w:br/>
        <w:t>[[@BibleTOBIBLE:Ac 2:23]]</w:t>
      </w:r>
      <w:r>
        <w:rPr>
          <w:b/>
        </w:rPr>
        <w:t>23</w:t>
      </w:r>
      <w:r>
        <w:rPr/>
        <w:t xml:space="preserve"> {{field-on:bible}}diesen </w:t>
      </w:r>
      <w:r>
        <w:rPr>
          <w:b/>
          <w:color w:val="808080"/>
        </w:rPr>
        <w:t>[</w:t>
      </w:r>
      <w:r>
        <w:rPr/>
        <w:t>euch</w:t>
      </w:r>
      <w:r>
        <w:rPr>
          <w:b/>
          <w:color w:val="808080"/>
        </w:rPr>
        <w:t>]</w:t>
      </w:r>
      <w:r>
        <w:rPr/>
        <w:t xml:space="preserve"> – wegen dem beschlossenen </w:t>
      </w:r>
      <w:r>
        <w:rPr>
          <w:color w:val="808080"/>
        </w:rPr>
        <w:t>(festgesetzten)</w:t>
      </w:r>
      <w:r>
        <w:rPr/>
        <w:t xml:space="preserve"> Plan und dem Vorauswissen Gottes!</w:t>
      </w:r>
      <w:r>
        <w:rPr>
          <w:rStyle w:val="Funotenanker"/>
        </w:rPr>
        <w:footnoteReference w:customMarkFollows="1" w:id="5288"/>
        <w:t>am</w:t>
      </w:r>
      <w:r>
        <w:rPr/>
        <w:t xml:space="preserve"> – Ausgelieferten habt ihr getötet, indem </w:t>
      </w:r>
      <w:r>
        <w:rPr>
          <w:b/>
          <w:color w:val="808080"/>
        </w:rPr>
        <w:t>[</w:t>
      </w:r>
      <w:r>
        <w:rPr/>
        <w:t>ihr ihn</w:t>
      </w:r>
      <w:r>
        <w:rPr>
          <w:b/>
          <w:color w:val="808080"/>
        </w:rPr>
        <w:t>]</w:t>
      </w:r>
      <w:r>
        <w:rPr/>
        <w:t xml:space="preserve"> durch Hände Gesetzloser</w:t>
      </w:r>
      <w:r>
        <w:rPr>
          <w:rStyle w:val="Funotenanker"/>
        </w:rPr>
        <w:footnoteReference w:customMarkFollows="1" w:id="5289"/>
        <w:t>an</w:t>
      </w:r>
      <w:r>
        <w:rPr/>
        <w:t xml:space="preserve"> </w:t>
      </w:r>
      <w:r>
        <w:rPr>
          <w:b/>
          <w:color w:val="808080"/>
        </w:rPr>
        <w:t>[</w:t>
      </w:r>
      <w:r>
        <w:rPr/>
        <w:t>ans Kreuz</w:t>
      </w:r>
      <w:r>
        <w:rPr>
          <w:b/>
          <w:color w:val="808080"/>
        </w:rPr>
        <w:t>]</w:t>
      </w:r>
      <w:r>
        <w:rPr/>
        <w:t xml:space="preserve"> geschlagen </w:t>
      </w:r>
      <w:r>
        <w:rPr>
          <w:b/>
          <w:color w:val="808080"/>
        </w:rPr>
        <w:t>[</w:t>
      </w:r>
      <w:r>
        <w:rPr/>
        <w:t>habt</w:t>
      </w:r>
      <w:r>
        <w:rPr>
          <w:b/>
          <w:color w:val="808080"/>
        </w:rPr>
        <w:t>]</w:t>
      </w:r>
      <w:r>
        <w:rPr/>
        <w:t xml:space="preserve">;{{field-off:bible}} </w:t>
        <w:br/>
        <w:t>[[@BibleTOBIBLE:Ac 2:24]]</w:t>
      </w:r>
      <w:r>
        <w:rPr>
          <w:b/>
        </w:rPr>
        <w:t>24</w:t>
      </w:r>
      <w:r>
        <w:rPr/>
        <w:t xml:space="preserve"> {{field-on:bible}} </w:t>
      </w:r>
      <w:r>
        <w:rPr>
          <w:b/>
          <w:color w:val="808080"/>
        </w:rPr>
        <w:t>[</w:t>
      </w:r>
      <w:r>
        <w:rPr/>
        <w:t>ihn,</w:t>
      </w:r>
      <w:r>
        <w:rPr>
          <w:b/>
          <w:color w:val="808080"/>
        </w:rPr>
        <w:t>]</w:t>
      </w:r>
      <w:r>
        <w:rPr/>
        <w:t xml:space="preserve"> den Gott auferstehen ließ, indem er die Geburtswehen </w:t>
      </w:r>
      <w:r>
        <w:rPr>
          <w:color w:val="808080"/>
        </w:rPr>
        <w:t>(Fesseln?)</w:t>
      </w:r>
      <w:r>
        <w:rPr/>
        <w:t xml:space="preserve"> </w:t>
      </w:r>
      <w:r>
        <w:rPr>
          <w:rStyle w:val="Funotenanker"/>
        </w:rPr>
        <w:footnoteReference w:customMarkFollows="1" w:id="5290"/>
        <w:t>ao</w:t>
      </w:r>
      <w:r>
        <w:rPr/>
        <w:t xml:space="preserve"> des Todes löste, weil es nicht möglich war, dass er unter ihm gehalten wurde.</w:t>
      </w:r>
      <w:r>
        <w:rPr>
          <w:rStyle w:val="Funotenanker"/>
        </w:rPr>
        <w:footnoteReference w:customMarkFollows="1" w:id="5291"/>
        <w:t>ap</w:t>
      </w:r>
      <w:r>
        <w:rPr/>
        <w:t xml:space="preserve"> {{field-off:bible}} </w:t>
        <w:br/>
        <w:t>[[@BibleTOBIBLE:Ac 2:25]]</w:t>
      </w:r>
      <w:r>
        <w:rPr>
          <w:b/>
        </w:rPr>
        <w:t>25</w:t>
      </w:r>
      <w:r>
        <w:rPr/>
        <w:t xml:space="preserve"> {{field-on:bible}}Denn</w:t>
      </w:r>
      <w:r>
        <w:rPr>
          <w:rStyle w:val="Funotenanker"/>
        </w:rPr>
        <w:footnoteReference w:customMarkFollows="1" w:id="5292"/>
        <w:t>aq</w:t>
      </w:r>
      <w:r>
        <w:rPr/>
        <w:t xml:space="preserve"> David sagt über ihn: </w:t>
        <w:br/>
        <w:t>»Ich hatte den Herrn vor mir vor Augen</w:t>
      </w:r>
      <w:r>
        <w:rPr>
          <w:rStyle w:val="Funotenanker"/>
        </w:rPr>
        <w:footnoteReference w:customMarkFollows="1" w:id="5293"/>
        <w:t>ar</w:t>
      </w:r>
      <w:r>
        <w:rPr/>
        <w:t xml:space="preserve"> durch alle </w:t>
      </w:r>
      <w:r>
        <w:rPr>
          <w:b/>
          <w:color w:val="808080"/>
        </w:rPr>
        <w:t>[</w:t>
      </w:r>
      <w:r>
        <w:rPr/>
        <w:t>Zeit</w:t>
      </w:r>
      <w:r>
        <w:rPr>
          <w:b/>
          <w:color w:val="808080"/>
        </w:rPr>
        <w:t>]</w:t>
      </w:r>
      <w:r>
        <w:rPr/>
        <w:t>,Weil er zu meiner Rechten ist, damit ich nicht wanken</w:t>
      </w:r>
      <w:r>
        <w:rPr>
          <w:rStyle w:val="Funotenanker"/>
        </w:rPr>
        <w:footnoteReference w:customMarkFollows="1" w:id="5294"/>
        <w:t>as</w:t>
      </w:r>
      <w:r>
        <w:rPr/>
        <w:t xml:space="preserve"> werde.</w:t>
        <w:br/>
        <w:t xml:space="preserve">{{field-off:bible}} </w:t>
        <w:br/>
        <w:t>[[@BibleTOBIBLE:Ac 2:26]]</w:t>
      </w:r>
      <w:r>
        <w:rPr>
          <w:b/>
        </w:rPr>
        <w:t>26</w:t>
      </w:r>
      <w:r>
        <w:rPr/>
        <w:t xml:space="preserve"> {{field-on:bible}} </w:t>
        <w:br/>
        <w:t>Darum freute sich mein Herz</w:t>
      </w:r>
      <w:r>
        <w:rPr>
          <w:rStyle w:val="Funotenanker"/>
        </w:rPr>
        <w:footnoteReference w:customMarkFollows="1" w:id="5295"/>
        <w:t>at</w:t>
      </w:r>
      <w:r>
        <w:rPr/>
        <w:t xml:space="preserve">Und jubelte meine ZungeUnd noch dazu wird mein Fleisch sich niederlassen </w:t>
      </w:r>
      <w:r>
        <w:rPr>
          <w:color w:val="808080"/>
        </w:rPr>
        <w:t>(zelten)</w:t>
      </w:r>
      <w:r>
        <w:rPr/>
        <w:t xml:space="preserve"> aufgrund </w:t>
      </w:r>
      <w:r>
        <w:rPr>
          <w:b/>
          <w:color w:val="808080"/>
        </w:rPr>
        <w:t>[</w:t>
      </w:r>
      <w:r>
        <w:rPr/>
        <w:t>meiner</w:t>
      </w:r>
      <w:r>
        <w:rPr>
          <w:b/>
          <w:color w:val="808080"/>
        </w:rPr>
        <w:t>]</w:t>
      </w:r>
      <w:r>
        <w:rPr/>
        <w:t xml:space="preserve"> Zuversicht </w:t>
      </w:r>
      <w:r>
        <w:rPr>
          <w:color w:val="808080"/>
        </w:rPr>
        <w:t>(Hoffnung)</w:t>
      </w:r>
      <w:r>
        <w:rPr/>
        <w:t>,</w:t>
      </w:r>
      <w:r>
        <w:rPr>
          <w:rStyle w:val="Funotenanker"/>
        </w:rPr>
        <w:footnoteReference w:customMarkFollows="1" w:id="5296"/>
        <w:t>au</w:t>
      </w:r>
      <w:r>
        <w:rPr/>
        <w:t xml:space="preserve"> </w:t>
        <w:br/>
        <w:t xml:space="preserve">{{field-off:bible}} </w:t>
        <w:br/>
        <w:t>[[@BibleTOBIBLE:Ac 2:27]]</w:t>
      </w:r>
      <w:r>
        <w:rPr>
          <w:b/>
        </w:rPr>
        <w:t>27</w:t>
      </w:r>
      <w:r>
        <w:rPr/>
        <w:t xml:space="preserve"> {{field-on:bible}} </w:t>
        <w:br/>
        <w:t>Weil du meine Seele nicht dem Hades</w:t>
      </w:r>
      <w:r>
        <w:rPr>
          <w:rStyle w:val="Funotenanker"/>
        </w:rPr>
        <w:footnoteReference w:customMarkFollows="1" w:id="5297"/>
        <w:t>av</w:t>
      </w:r>
      <w:r>
        <w:rPr/>
        <w:t xml:space="preserve"> überlassen </w:t>
      </w:r>
      <w:r>
        <w:rPr>
          <w:color w:val="808080"/>
        </w:rPr>
        <w:t>(im Hades zurücklassen)</w:t>
      </w:r>
      <w:r>
        <w:rPr/>
        <w:t xml:space="preserve"> wirstUnd nicht zulassen wirst, dass dein Heiliger Verwesung erfährt.</w:t>
        <w:br/>
        <w:t xml:space="preserve">{{field-off:bible}} </w:t>
        <w:br/>
        <w:t>[[@BibleTOBIBLE:Ac 2:28]]</w:t>
      </w:r>
      <w:r>
        <w:rPr>
          <w:b/>
        </w:rPr>
        <w:t>28</w:t>
      </w:r>
      <w:r>
        <w:rPr/>
        <w:t xml:space="preserve"> {{field-on:bible}} </w:t>
        <w:br/>
        <w:t>Du hast mir die Wege des Lebens</w:t>
      </w:r>
      <w:r>
        <w:rPr>
          <w:rStyle w:val="Funotenanker"/>
        </w:rPr>
        <w:footnoteReference w:customMarkFollows="1" w:id="5298"/>
        <w:t>aw</w:t>
      </w:r>
      <w:r>
        <w:rPr/>
        <w:t xml:space="preserve"> kundgetan,Du wirst mich erfüllen mit Freude vor deinem Gesicht.«</w:t>
      </w:r>
      <w:r>
        <w:rPr>
          <w:rStyle w:val="Funotenanker"/>
        </w:rPr>
        <w:footnoteReference w:customMarkFollows="1" w:id="5299"/>
        <w:t>ax</w:t>
      </w:r>
      <w:r>
        <w:rPr/>
        <w:t xml:space="preserve"> </w:t>
      </w:r>
      <w:r>
        <w:rPr>
          <w:position w:val="8"/>
          <w:sz w:val="19"/>
        </w:rPr>
        <w:t>[[ ℘ &gt;&gt; BibleTOBIBLE:Ps 16:8]]</w:t>
      </w:r>
      <w:r>
        <w:rPr/>
        <w:t xml:space="preserve"> </w:t>
        <w:br/>
        <w:t xml:space="preserve">{{field-off:bible}} </w:t>
        <w:br/>
        <w:t>[[@BibleTOBIBLE:Ac 2:29]]</w:t>
      </w:r>
      <w:r>
        <w:rPr>
          <w:b/>
        </w:rPr>
        <w:t>29</w:t>
      </w:r>
      <w:r>
        <w:rPr/>
        <w:t xml:space="preserve"> {{field-on:bible}} </w:t>
      </w:r>
      <w:r>
        <w:rPr>
          <w:b/>
          <w:color w:val="808080"/>
        </w:rPr>
        <w:t>[</w:t>
      </w:r>
      <w:r>
        <w:rPr/>
        <w:t>Liebe</w:t>
      </w:r>
      <w:r>
        <w:rPr>
          <w:b/>
          <w:color w:val="808080"/>
        </w:rPr>
        <w:t>]</w:t>
      </w:r>
      <w:r>
        <w:rPr/>
        <w:t xml:space="preserve"> Brüder, man kann mit Freimut </w:t>
      </w:r>
      <w:r>
        <w:rPr>
          <w:color w:val="808080"/>
        </w:rPr>
        <w:t>(Offenheit)</w:t>
      </w:r>
      <w:r>
        <w:rPr/>
        <w:t xml:space="preserve"> zu euch über den Patriarchen David sprechen – </w:t>
      </w:r>
      <w:r>
        <w:rPr>
          <w:b/>
          <w:color w:val="808080"/>
        </w:rPr>
        <w:t>[</w:t>
      </w:r>
      <w:r>
        <w:rPr/>
        <w:t>nämlich darüber,</w:t>
      </w:r>
      <w:r>
        <w:rPr>
          <w:b/>
          <w:color w:val="808080"/>
        </w:rPr>
        <w:t>]</w:t>
      </w:r>
      <w:r>
        <w:rPr/>
        <w:t xml:space="preserve"> dass er sowohl starb als auch begraben wurde, und </w:t>
      </w:r>
      <w:r>
        <w:rPr>
          <w:b/>
          <w:color w:val="808080"/>
        </w:rPr>
        <w:t>[</w:t>
      </w:r>
      <w:r>
        <w:rPr/>
        <w:t>dass</w:t>
      </w:r>
      <w:r>
        <w:rPr>
          <w:b/>
          <w:color w:val="808080"/>
        </w:rPr>
        <w:t>]</w:t>
      </w:r>
      <w:r>
        <w:rPr/>
        <w:t xml:space="preserve"> seine Grabstätte bis zu diesem Tage bei uns ist.</w:t>
      </w:r>
      <w:r>
        <w:rPr>
          <w:rStyle w:val="Funotenanker"/>
        </w:rPr>
        <w:footnoteReference w:customMarkFollows="1" w:id="5300"/>
        <w:t>ay</w:t>
      </w:r>
      <w:r>
        <w:rPr/>
        <w:t xml:space="preserve"> {{field-off:bible}} </w:t>
        <w:br/>
        <w:t>[[@BibleTOBIBLE:Ac 2:30]]</w:t>
      </w:r>
      <w:r>
        <w:rPr>
          <w:b/>
        </w:rPr>
        <w:t>30</w:t>
      </w:r>
      <w:r>
        <w:rPr/>
        <w:t xml:space="preserve"> {{field-on:bible}}Weil er nun ein Prophet</w:t>
      </w:r>
      <w:r>
        <w:rPr>
          <w:rStyle w:val="Funotenanker"/>
        </w:rPr>
        <w:footnoteReference w:customMarkFollows="1" w:id="5301"/>
        <w:t>az</w:t>
      </w:r>
      <w:r>
        <w:rPr/>
        <w:t xml:space="preserve"> war und wusste, dass Gott ihm mit einem Eid geschworen hatte, </w:t>
      </w:r>
      <w:r>
        <w:rPr>
          <w:b/>
          <w:color w:val="808080"/>
        </w:rPr>
        <w:t>[</w:t>
      </w:r>
      <w:r>
        <w:rPr/>
        <w:t>jemanden</w:t>
      </w:r>
      <w:r>
        <w:rPr>
          <w:b/>
          <w:color w:val="808080"/>
        </w:rPr>
        <w:t>]</w:t>
      </w:r>
      <w:r>
        <w:rPr/>
        <w:t xml:space="preserve"> aus der Frucht seiner Lende auf seinen Thron zu setzen, </w:t>
      </w:r>
      <w:r>
        <w:rPr>
          <w:position w:val="8"/>
          <w:sz w:val="19"/>
        </w:rPr>
        <w:t>[[ ℘ &gt;&gt; BibleTOBIBLE:Ps 132:11]]</w:t>
      </w:r>
      <w:r>
        <w:rPr/>
        <w:t xml:space="preserve"> {{field-off:bible}} </w:t>
        <w:br/>
        <w:t>[[@BibleTOBIBLE:Ac 2:31]]</w:t>
      </w:r>
      <w:r>
        <w:rPr>
          <w:b/>
        </w:rPr>
        <w:t>31</w:t>
      </w:r>
      <w:r>
        <w:rPr/>
        <w:t xml:space="preserve"> {{field-on:bible}}sprach er im Vorhinein über die Auferstehung des Christus – </w:t>
      </w:r>
      <w:r>
        <w:rPr>
          <w:b/>
          <w:color w:val="808080"/>
        </w:rPr>
        <w:t>[</w:t>
      </w:r>
      <w:r>
        <w:rPr/>
        <w:t>nämlich,</w:t>
      </w:r>
      <w:r>
        <w:rPr>
          <w:b/>
          <w:color w:val="808080"/>
        </w:rPr>
        <w:t>]</w:t>
      </w:r>
      <w:r>
        <w:rPr/>
        <w:t xml:space="preserve"> dass er weder dem Hades überlassen werden würde </w:t>
      </w:r>
      <w:r>
        <w:rPr>
          <w:color w:val="808080"/>
        </w:rPr>
        <w:t>(im Hades zurückgelassen werden würde)</w:t>
      </w:r>
      <w:r>
        <w:rPr/>
        <w:t xml:space="preserve"> noch sein Fleisch Verwesung erfahren würde. </w:t>
      </w:r>
      <w:r>
        <w:rPr>
          <w:position w:val="8"/>
          <w:sz w:val="19"/>
        </w:rPr>
        <w:t>[[ ℘ &gt;&gt; BibleTOBIBLE:Ps 16:10]]</w:t>
      </w:r>
      <w:r>
        <w:rPr/>
        <w:t xml:space="preserve"> {{field-off:bible}} </w:t>
        <w:br/>
        <w:t>[[@BibleTOBIBLE:Ac 2:32]]</w:t>
      </w:r>
      <w:r>
        <w:rPr>
          <w:b/>
        </w:rPr>
        <w:t>32</w:t>
      </w:r>
      <w:r>
        <w:rPr/>
        <w:t xml:space="preserve"> {{field-on:bible}}Diesen Jesus hat Gott auferstehen lassen, wofür wir alle Zeugen sind.{{field-off:bible}} </w:t>
        <w:br/>
        <w:t>[[@BibleTOBIBLE:Ac 2:33]]</w:t>
      </w:r>
      <w:r>
        <w:rPr>
          <w:b/>
        </w:rPr>
        <w:t>33</w:t>
      </w:r>
      <w:r>
        <w:rPr/>
        <w:t xml:space="preserve"> {{field-on:bible}}Nachdem er nun zur Rechten </w:t>
      </w:r>
      <w:r>
        <w:rPr>
          <w:color w:val="808080"/>
        </w:rPr>
        <w:t>(durch die rechte Hand)</w:t>
      </w:r>
      <w:r>
        <w:rPr/>
        <w:t xml:space="preserve"> Gottes erhöht worden war und auch den verheißenen Heiligen Geist </w:t>
      </w:r>
      <w:r>
        <w:rPr>
          <w:color w:val="808080"/>
        </w:rPr>
        <w:t>(die Verheißung des Heiligen Geistes)</w:t>
      </w:r>
      <w:r>
        <w:rPr/>
        <w:t xml:space="preserve"> vom Vater empfangen hatte, goß er diesen aus, was </w:t>
      </w:r>
      <w:r>
        <w:rPr>
          <w:color w:val="808080"/>
        </w:rPr>
        <w:t>(den)</w:t>
      </w:r>
      <w:r>
        <w:rPr/>
        <w:t xml:space="preserve"> ihr sowohl seht als auch hört.{{field-off:bible}} </w:t>
        <w:br/>
        <w:t>[[@BibleTOBIBLE:Ac 2:34]]</w:t>
      </w:r>
      <w:r>
        <w:rPr>
          <w:b/>
        </w:rPr>
        <w:t>34</w:t>
      </w:r>
      <w:r>
        <w:rPr/>
        <w:t xml:space="preserve"> {{field-on:bible}}Denn nicht David ist in den Himmel hinaufgestiegen; stattdessen sagt er selbst: </w:t>
        <w:br/>
        <w:t xml:space="preserve">»Es sagte der Herr zu meinem Herrn: »Sitze </w:t>
      </w:r>
      <w:r>
        <w:rPr>
          <w:color w:val="808080"/>
        </w:rPr>
        <w:t>(Setze dich)</w:t>
      </w:r>
      <w:r>
        <w:rPr/>
        <w:t xml:space="preserve"> zu meiner Rechten,</w:t>
        <w:br/>
        <w:t xml:space="preserve">{{field-off:bible}} </w:t>
        <w:br/>
        <w:t>[[@BibleTOBIBLE:Ac 2:35]]</w:t>
      </w:r>
      <w:r>
        <w:rPr>
          <w:b/>
        </w:rPr>
        <w:t>35</w:t>
      </w:r>
      <w:r>
        <w:rPr/>
        <w:t xml:space="preserve"> {{field-on:bible}} </w:t>
        <w:br/>
        <w:t xml:space="preserve">bis ich deine Feinde zum Schemel für deine Füße mache!«« </w:t>
      </w:r>
      <w:r>
        <w:rPr>
          <w:position w:val="8"/>
          <w:sz w:val="19"/>
        </w:rPr>
        <w:t>[[ ℘ &gt;&gt; BibleTOBIBLE:Ps 110:1]]</w:t>
      </w:r>
      <w:r>
        <w:rPr/>
        <w:t xml:space="preserve"> </w:t>
        <w:br/>
        <w:t xml:space="preserve">{{field-off:bible}} </w:t>
        <w:br/>
        <w:t>[[@BibleTOBIBLE:Ac 2:36]]</w:t>
      </w:r>
      <w:r>
        <w:rPr>
          <w:b/>
        </w:rPr>
        <w:t>36</w:t>
      </w:r>
      <w:r>
        <w:rPr/>
        <w:t xml:space="preserve"> {{field-on:bible}}Mit Sicherheit sei nun dem ganzen Haus Israel bekannt, dass Gott ihn sowohl zum Herrn als auch zum Christus gemacht hat – diesen Jesus, den ihr gekreuzigt habt!{{field-off:bible}} </w:t>
        <w:br/>
        <w:t>[[@BibleTOBIBLE:Ac 2:37]]</w:t>
      </w:r>
      <w:r>
        <w:rPr>
          <w:b/>
        </w:rPr>
        <w:t>37</w:t>
      </w:r>
      <w:r>
        <w:rPr/>
        <w:t xml:space="preserve"> {{field-on:bible}}Als sie </w:t>
      </w:r>
      <w:r>
        <w:rPr>
          <w:strike/>
          <w:color w:val="808080"/>
        </w:rPr>
        <w:t>{aber}</w:t>
      </w:r>
      <w:r>
        <w:rPr/>
        <w:t xml:space="preserve"> </w:t>
      </w:r>
      <w:r>
        <w:rPr>
          <w:b/>
          <w:color w:val="808080"/>
        </w:rPr>
        <w:t>[</w:t>
      </w:r>
      <w:r>
        <w:rPr/>
        <w:t>dies</w:t>
      </w:r>
      <w:r>
        <w:rPr>
          <w:b/>
          <w:color w:val="808080"/>
        </w:rPr>
        <w:t>]</w:t>
      </w:r>
      <w:r>
        <w:rPr/>
        <w:t xml:space="preserve"> hörten, wurden sie im Herz durchbohrt.</w:t>
      </w:r>
      <w:r>
        <w:rPr>
          <w:rStyle w:val="Funotenanker"/>
        </w:rPr>
        <w:footnoteReference w:customMarkFollows="1" w:id="5302"/>
        <w:t>ba</w:t>
      </w:r>
      <w:r>
        <w:rPr/>
        <w:t xml:space="preserve"> Sie sagten auch zu Petrus und den übrigen Aposteln: »Was sollen wir tun, </w:t>
      </w:r>
      <w:r>
        <w:rPr>
          <w:b/>
          <w:color w:val="808080"/>
        </w:rPr>
        <w:t>[</w:t>
      </w:r>
      <w:r>
        <w:rPr/>
        <w:t>liebe</w:t>
      </w:r>
      <w:r>
        <w:rPr>
          <w:b/>
          <w:color w:val="808080"/>
        </w:rPr>
        <w:t>]</w:t>
      </w:r>
      <w:r>
        <w:rPr/>
        <w:t xml:space="preserve"> Brüder?«{{field-off:bible}} </w:t>
        <w:br/>
        <w:t>[[@BibleTOBIBLE:Ac 2:38]]</w:t>
      </w:r>
      <w:r>
        <w:rPr>
          <w:b/>
        </w:rPr>
        <w:t>38</w:t>
      </w:r>
      <w:r>
        <w:rPr/>
        <w:t xml:space="preserve"> {{field-on:bible}}Petrus </w:t>
      </w:r>
      <w:r>
        <w:rPr>
          <w:strike/>
          <w:color w:val="808080"/>
        </w:rPr>
        <w:t>{aber}</w:t>
      </w:r>
      <w:r>
        <w:rPr/>
        <w:t xml:space="preserve"> </w:t>
      </w:r>
      <w:r>
        <w:rPr>
          <w:b/>
          <w:color w:val="808080"/>
        </w:rPr>
        <w:t>[</w:t>
      </w:r>
      <w:r>
        <w:rPr/>
        <w:t>antwortete</w:t>
      </w:r>
      <w:r>
        <w:rPr>
          <w:b/>
          <w:color w:val="808080"/>
        </w:rPr>
        <w:t>]</w:t>
      </w:r>
      <w:r>
        <w:rPr/>
        <w:t xml:space="preserve"> ihnen: »Denkt um!«,</w:t>
      </w:r>
      <w:r>
        <w:rPr>
          <w:rStyle w:val="Funotenanker"/>
        </w:rPr>
        <w:footnoteReference w:customMarkFollows="1" w:id="5303"/>
        <w:t>bb</w:t>
      </w:r>
      <w:r>
        <w:rPr/>
        <w:t xml:space="preserve"> </w:t>
      </w:r>
      <w:r>
        <w:rPr>
          <w:strike/>
          <w:color w:val="808080"/>
        </w:rPr>
        <w:t>{sagt[e] er,}</w:t>
      </w:r>
      <w:r>
        <w:rPr/>
        <w:t xml:space="preserve"> </w:t>
      </w:r>
      <w:r>
        <w:rPr>
          <w:rStyle w:val="Funotenanker"/>
        </w:rPr>
        <w:footnoteReference w:customMarkFollows="1" w:id="5304"/>
        <w:t>bc</w:t>
      </w:r>
      <w:r>
        <w:rPr/>
        <w:t xml:space="preserve"> »und es lasse sich taufen ein jeder von euch auf</w:t>
      </w:r>
      <w:r>
        <w:rPr>
          <w:rStyle w:val="Funotenanker"/>
        </w:rPr>
        <w:footnoteReference w:customMarkFollows="1" w:id="5305"/>
        <w:t>bd</w:t>
      </w:r>
      <w:r>
        <w:rPr/>
        <w:t xml:space="preserve"> den Namen Jesu Christi</w:t>
      </w:r>
      <w:r>
        <w:rPr>
          <w:rStyle w:val="Funotenanker"/>
        </w:rPr>
        <w:footnoteReference w:customMarkFollows="1" w:id="5306"/>
        <w:t>be</w:t>
      </w:r>
      <w:r>
        <w:rPr/>
        <w:t xml:space="preserve"> zur Vergebung der Sünden von euch! Und ihr werdet empfangen das Geschenk, </w:t>
      </w:r>
      <w:r>
        <w:rPr>
          <w:b/>
          <w:color w:val="808080"/>
        </w:rPr>
        <w:t>[</w:t>
      </w:r>
      <w:r>
        <w:rPr/>
        <w:t>das</w:t>
      </w:r>
      <w:r>
        <w:rPr>
          <w:b/>
          <w:color w:val="808080"/>
        </w:rPr>
        <w:t>]</w:t>
      </w:r>
      <w:r>
        <w:rPr/>
        <w:t xml:space="preserve"> der Heilige Geist </w:t>
      </w:r>
      <w:r>
        <w:rPr>
          <w:b/>
          <w:color w:val="808080"/>
        </w:rPr>
        <w:t>[</w:t>
      </w:r>
      <w:r>
        <w:rPr/>
        <w:t>ist</w:t>
      </w:r>
      <w:r>
        <w:rPr>
          <w:b/>
          <w:color w:val="808080"/>
        </w:rPr>
        <w:t>]</w:t>
      </w:r>
      <w:r>
        <w:rPr/>
        <w:t xml:space="preserve">.{{field-off:bible}} </w:t>
        <w:br/>
        <w:t>[[@BibleTOBIBLE:Ac 2:39]]</w:t>
      </w:r>
      <w:r>
        <w:rPr>
          <w:b/>
        </w:rPr>
        <w:t>39</w:t>
      </w:r>
      <w:r>
        <w:rPr/>
        <w:t xml:space="preserve"> {{field-on:bible}}''Euch'' nämlich gilt die Verheißung</w:t>
      </w:r>
      <w:r>
        <w:rPr>
          <w:rStyle w:val="Funotenanker"/>
        </w:rPr>
        <w:footnoteReference w:customMarkFollows="1" w:id="5307"/>
        <w:t>bf</w:t>
      </w:r>
      <w:r>
        <w:rPr/>
        <w:t xml:space="preserve"> und euren Kindern, und allen, die fern</w:t>
      </w:r>
      <w:r>
        <w:rPr>
          <w:rStyle w:val="Funotenanker"/>
        </w:rPr>
        <w:footnoteReference w:customMarkFollows="1" w:id="5308"/>
        <w:t>bg</w:t>
      </w:r>
      <w:r>
        <w:rPr/>
        <w:t xml:space="preserve"> </w:t>
      </w:r>
      <w:r>
        <w:rPr>
          <w:b/>
          <w:color w:val="808080"/>
        </w:rPr>
        <w:t>[</w:t>
      </w:r>
      <w:r>
        <w:rPr/>
        <w:t>sind</w:t>
      </w:r>
      <w:r>
        <w:rPr>
          <w:b/>
          <w:color w:val="808080"/>
        </w:rPr>
        <w:t>]</w:t>
      </w:r>
      <w:r>
        <w:rPr/>
        <w:t>, wie viele auch hinzurufen</w:t>
      </w:r>
      <w:r>
        <w:rPr>
          <w:rStyle w:val="Funotenanker"/>
        </w:rPr>
        <w:footnoteReference w:customMarkFollows="1" w:id="5309"/>
        <w:t>bh</w:t>
      </w:r>
      <w:r>
        <w:rPr/>
        <w:t xml:space="preserve"> mag der Herr, unser Gott.«{{field-off:bible}} </w:t>
        <w:br/>
        <w:t>[[@BibleTOBIBLE:Ac 2:40]]</w:t>
      </w:r>
      <w:r>
        <w:rPr>
          <w:b/>
        </w:rPr>
        <w:t>40</w:t>
      </w:r>
      <w:r>
        <w:rPr/>
        <w:t xml:space="preserve"> {{field-on:bible}}Auch mit anderen weiteren</w:t>
      </w:r>
      <w:r>
        <w:rPr>
          <w:rStyle w:val="Funotenanker"/>
        </w:rPr>
        <w:footnoteReference w:customMarkFollows="1" w:id="5310"/>
        <w:t>bi</w:t>
      </w:r>
      <w:r>
        <w:rPr/>
        <w:t xml:space="preserve"> Worten legte er Zeugnis ab und mahnte sie </w:t>
      </w:r>
      <w:r>
        <w:rPr>
          <w:strike/>
          <w:color w:val="808080"/>
        </w:rPr>
        <w:t>{indem er sagte}</w:t>
      </w:r>
      <w:r>
        <w:rPr/>
        <w:t>: »Lasst euch retten aus diesem verkehrten Geschlecht!«</w:t>
      </w:r>
      <w:r>
        <w:rPr>
          <w:rStyle w:val="Funotenanker"/>
        </w:rPr>
        <w:footnoteReference w:customMarkFollows="1" w:id="5311"/>
        <w:t>bj</w:t>
      </w:r>
      <w:r>
        <w:rPr/>
        <w:t xml:space="preserve"> {{field-off:bible}} </w:t>
        <w:br/>
        <w:t>[[@BibleTOBIBLE:Ac 2:41]]</w:t>
      </w:r>
      <w:r>
        <w:rPr>
          <w:b/>
        </w:rPr>
        <w:t>41</w:t>
      </w:r>
      <w:r>
        <w:rPr/>
        <w:t xml:space="preserve"> {{field-on:bible}}Diejenigen nun, die seine Rede annahmen, ließen sich taufen und so wurden an jenem Tag etwa 3000 Seelen</w:t>
      </w:r>
      <w:r>
        <w:rPr>
          <w:rStyle w:val="Funotenanker"/>
        </w:rPr>
        <w:footnoteReference w:customMarkFollows="1" w:id="5312"/>
        <w:t>bk</w:t>
      </w:r>
      <w:r>
        <w:rPr/>
        <w:t xml:space="preserve"> hinzugefügt.{{field-off:bible}} </w:t>
        <w:br/>
        <w:t>[[@BibleTOBIBLE:Ac 2:42]]</w:t>
      </w:r>
      <w:r>
        <w:rPr>
          <w:b/>
        </w:rPr>
        <w:t>42</w:t>
      </w:r>
      <w:r>
        <w:rPr/>
        <w:t xml:space="preserve"> {{field-on:bible}}Sie hielten </w:t>
      </w:r>
      <w:r>
        <w:rPr>
          <w:strike/>
          <w:color w:val="808080"/>
        </w:rPr>
        <w:t>{aber}</w:t>
      </w:r>
      <w:r>
        <w:rPr/>
        <w:t xml:space="preserve"> </w:t>
      </w:r>
      <w:r>
        <w:rPr>
          <w:b/>
          <w:color w:val="808080"/>
        </w:rPr>
        <w:t>[</w:t>
      </w:r>
      <w:r>
        <w:rPr/>
        <w:t>beständig sehr</w:t>
      </w:r>
      <w:r>
        <w:rPr>
          <w:b/>
          <w:color w:val="808080"/>
        </w:rPr>
        <w:t>]</w:t>
      </w:r>
      <w:r>
        <w:rPr/>
        <w:t xml:space="preserve"> fest</w:t>
      </w:r>
      <w:r>
        <w:rPr>
          <w:rStyle w:val="Funotenanker"/>
        </w:rPr>
        <w:footnoteReference w:customMarkFollows="1" w:id="5313"/>
        <w:t>bl</w:t>
      </w:r>
      <w:r>
        <w:rPr/>
        <w:t xml:space="preserve"> an der Lehre</w:t>
      </w:r>
      <w:r>
        <w:rPr>
          <w:rStyle w:val="Funotenanker"/>
        </w:rPr>
        <w:footnoteReference w:customMarkFollows="1" w:id="5314"/>
        <w:t>bm</w:t>
      </w:r>
      <w:r>
        <w:rPr/>
        <w:t xml:space="preserve"> der Apostel und an der Gemeinschaft,</w:t>
      </w:r>
      <w:r>
        <w:rPr>
          <w:rStyle w:val="Funotenanker"/>
        </w:rPr>
        <w:footnoteReference w:customMarkFollows="1" w:id="5315"/>
        <w:t>bn</w:t>
      </w:r>
      <w:r>
        <w:rPr/>
        <w:t xml:space="preserve"> </w:t>
      </w:r>
      <w:r>
        <w:rPr>
          <w:color w:val="808080"/>
        </w:rPr>
        <w:t>(dem gemeinschaftlichen Brotbrechen)</w:t>
      </w:r>
      <w:r>
        <w:rPr/>
        <w:t xml:space="preserve"> </w:t>
      </w:r>
      <w:r>
        <w:rPr>
          <w:rStyle w:val="Funotenanker"/>
        </w:rPr>
        <w:footnoteReference w:customMarkFollows="1" w:id="5316"/>
        <w:t>bo</w:t>
      </w:r>
      <w:r>
        <w:rPr/>
        <w:t xml:space="preserve"> dem Brotbrechen</w:t>
      </w:r>
      <w:r>
        <w:rPr>
          <w:rStyle w:val="Funotenanker"/>
        </w:rPr>
        <w:footnoteReference w:customMarkFollows="1" w:id="5317"/>
        <w:t>bp</w:t>
      </w:r>
      <w:r>
        <w:rPr/>
        <w:t xml:space="preserve"> und den Gebeten.{{field-off:bible}} </w:t>
        <w:br/>
        <w:t>[[@BibleTOBIBLE:Ac 2:43]]</w:t>
      </w:r>
      <w:r>
        <w:rPr>
          <w:b/>
        </w:rPr>
        <w:t>43</w:t>
      </w:r>
      <w:r>
        <w:rPr/>
        <w:t xml:space="preserve"> {{field-on:bible}} </w:t>
      </w:r>
      <w:r>
        <w:rPr>
          <w:b/>
          <w:color w:val="808080"/>
        </w:rPr>
        <w:t>[</w:t>
      </w:r>
      <w:r>
        <w:rPr/>
        <w:t>Und</w:t>
      </w:r>
      <w:r>
        <w:rPr>
          <w:b/>
          <w:color w:val="808080"/>
        </w:rPr>
        <w:t>]</w:t>
      </w:r>
      <w:r>
        <w:rPr/>
        <w:t xml:space="preserve"> es war </w:t>
      </w:r>
      <w:r>
        <w:rPr>
          <w:color w:val="808080"/>
        </w:rPr>
        <w:t>(da entstand)</w:t>
      </w:r>
      <w:r>
        <w:rPr/>
        <w:t xml:space="preserve"> </w:t>
      </w:r>
      <w:r>
        <w:rPr>
          <w:strike/>
          <w:color w:val="808080"/>
        </w:rPr>
        <w:t>{aber}</w:t>
      </w:r>
      <w:r>
        <w:rPr/>
        <w:t xml:space="preserve"> Ehrfurcht </w:t>
      </w:r>
      <w:r>
        <w:rPr>
          <w:color w:val="808080"/>
        </w:rPr>
        <w:t>(Furcht)</w:t>
      </w:r>
      <w:r>
        <w:rPr/>
        <w:t xml:space="preserve"> </w:t>
      </w:r>
      <w:r>
        <w:rPr>
          <w:rStyle w:val="Funotenanker"/>
        </w:rPr>
        <w:footnoteReference w:customMarkFollows="1" w:id="5318"/>
        <w:t>bq</w:t>
      </w:r>
      <w:r>
        <w:rPr/>
        <w:t xml:space="preserve"> in allen Seelen; es geschahen sowohl viele Wunder als auch Zeichen durch die Apostel.{{field-off:bible}} </w:t>
        <w:br/>
        <w:t>[[@BibleTOBIBLE:Ac 2:44]]</w:t>
      </w:r>
      <w:r>
        <w:rPr>
          <w:b/>
        </w:rPr>
        <w:t>44</w:t>
      </w:r>
      <w:r>
        <w:rPr/>
        <w:t xml:space="preserve"> {{field-on:bible}} </w:t>
      </w:r>
      <w:r>
        <w:rPr>
          <w:strike/>
          <w:color w:val="808080"/>
        </w:rPr>
        <w:t>{Aber}</w:t>
      </w:r>
      <w:r>
        <w:rPr/>
        <w:t xml:space="preserve"> alle Glaubenden </w:t>
      </w:r>
      <w:r>
        <w:rPr>
          <w:strike/>
          <w:color w:val="808080"/>
        </w:rPr>
        <w:t>{waren}</w:t>
      </w:r>
      <w:r>
        <w:rPr/>
        <w:t xml:space="preserve"> </w:t>
      </w:r>
      <w:r>
        <w:rPr>
          <w:b/>
          <w:color w:val="808080"/>
        </w:rPr>
        <w:t>[</w:t>
      </w:r>
      <w:r>
        <w:rPr/>
        <w:t>als</w:t>
      </w:r>
      <w:r>
        <w:rPr>
          <w:b/>
          <w:color w:val="808080"/>
        </w:rPr>
        <w:t>]</w:t>
      </w:r>
      <w:r>
        <w:rPr/>
        <w:t xml:space="preserve"> Gemeinschaft </w:t>
      </w:r>
      <w:r>
        <w:rPr>
          <w:color w:val="808080"/>
        </w:rPr>
        <w:t>(?, zusammen)</w:t>
      </w:r>
      <w:r>
        <w:rPr/>
        <w:t xml:space="preserve"> </w:t>
      </w:r>
      <w:r>
        <w:rPr>
          <w:rStyle w:val="Funotenanker"/>
        </w:rPr>
        <w:footnoteReference w:customMarkFollows="1" w:id="5319"/>
        <w:t>br</w:t>
      </w:r>
      <w:r>
        <w:rPr/>
        <w:t xml:space="preserve"> </w:t>
      </w:r>
      <w:r>
        <w:rPr>
          <w:strike/>
          <w:color w:val="808080"/>
        </w:rPr>
        <w:t>{und}</w:t>
      </w:r>
      <w:r>
        <w:rPr/>
        <w:t xml:space="preserve"> </w:t>
      </w:r>
      <w:r>
        <w:rPr>
          <w:rStyle w:val="Funotenanker"/>
        </w:rPr>
        <w:footnoteReference w:customMarkFollows="1" w:id="5320"/>
        <w:t>bs</w:t>
      </w:r>
      <w:r>
        <w:rPr/>
        <w:t xml:space="preserve"> sie hatten alles gemeinsam:</w:t>
      </w:r>
      <w:r>
        <w:rPr>
          <w:rStyle w:val="Funotenanker"/>
        </w:rPr>
        <w:footnoteReference w:customMarkFollows="1" w:id="5321"/>
        <w:t>bt</w:t>
      </w:r>
      <w:r>
        <w:rPr/>
        <w:t xml:space="preserve"> {{field-off:bible}} </w:t>
        <w:br/>
        <w:t>[[@BibleTOBIBLE:Ac 2:45]]</w:t>
      </w:r>
      <w:r>
        <w:rPr>
          <w:b/>
        </w:rPr>
        <w:t>45</w:t>
      </w:r>
      <w:r>
        <w:rPr/>
        <w:t xml:space="preserve"> {{field-on:bible}} </w:t>
      </w:r>
      <w:r>
        <w:rPr>
          <w:strike/>
          <w:color w:val="808080"/>
        </w:rPr>
        <w:t>{Und}</w:t>
      </w:r>
      <w:r>
        <w:rPr/>
        <w:t xml:space="preserve"> </w:t>
      </w:r>
      <w:r>
        <w:rPr>
          <w:b/>
          <w:color w:val="808080"/>
        </w:rPr>
        <w:t>[</w:t>
      </w:r>
      <w:r>
        <w:rPr/>
        <w:t>immer wieder</w:t>
      </w:r>
      <w:r>
        <w:rPr>
          <w:b/>
          <w:color w:val="808080"/>
        </w:rPr>
        <w:t>]</w:t>
      </w:r>
      <w:r>
        <w:rPr/>
        <w:t xml:space="preserve"> </w:t>
      </w:r>
      <w:r>
        <w:rPr>
          <w:rStyle w:val="Funotenanker"/>
        </w:rPr>
        <w:footnoteReference w:customMarkFollows="1" w:id="5322"/>
        <w:t>bu</w:t>
      </w:r>
      <w:r>
        <w:rPr/>
        <w:t xml:space="preserve"> verkauften sie die Habe und die Besitztümer und verteilten sie an alle, wie jemand Bedarf hatte.{{field-off:bible}} </w:t>
        <w:br/>
        <w:t>[[@BibleTOBIBLE:Ac 2:46]]</w:t>
      </w:r>
      <w:r>
        <w:rPr>
          <w:b/>
        </w:rPr>
        <w:t>46</w:t>
      </w:r>
      <w:r>
        <w:rPr/>
        <w:t xml:space="preserve"> {{field-on:bible}}Indem sie sich täglich einmütig </w:t>
      </w:r>
      <w:r>
        <w:rPr>
          <w:color w:val="808080"/>
        </w:rPr>
        <w:t>(einträchtig)</w:t>
      </w:r>
      <w:r>
        <w:rPr/>
        <w:t xml:space="preserve"> im Tempel aufhielten und im Haus</w:t>
      </w:r>
      <w:r>
        <w:rPr>
          <w:rStyle w:val="Funotenanker"/>
        </w:rPr>
        <w:footnoteReference w:customMarkFollows="1" w:id="5323"/>
        <w:t>bv</w:t>
      </w:r>
      <w:r>
        <w:rPr/>
        <w:t xml:space="preserve"> Brot brachen, nahmen sie Speise in Jubel und Schlichtheit des Herzens </w:t>
      </w:r>
      <w:r>
        <w:rPr>
          <w:color w:val="808080"/>
        </w:rPr>
        <w:t>(jubelnd und mit lauterem Herzen)</w:t>
      </w:r>
      <w:r>
        <w:rPr/>
        <w:t xml:space="preserve"> zu sich;{{field-off:bible}} </w:t>
        <w:br/>
        <w:t>[[@BibleTOBIBLE:Ac 2:47]]</w:t>
      </w:r>
      <w:r>
        <w:rPr>
          <w:b/>
        </w:rPr>
        <w:t>47</w:t>
      </w:r>
      <w:r>
        <w:rPr/>
        <w:t xml:space="preserve"> {{field-on:bible}}sie lobten Gott und hatten Ansehen beim </w:t>
      </w:r>
      <w:r>
        <w:rPr>
          <w:color w:val="808080"/>
        </w:rPr>
        <w:t>(waren gefällig dem)</w:t>
      </w:r>
      <w:r>
        <w:rPr/>
        <w:t xml:space="preserve"> ganzen Volk. </w:t>
      </w:r>
      <w:r>
        <w:rPr>
          <w:b/>
          <w:color w:val="808080"/>
        </w:rPr>
        <w:t>[</w:t>
      </w:r>
      <w:r>
        <w:rPr/>
        <w:t>Und</w:t>
      </w:r>
      <w:r>
        <w:rPr>
          <w:b/>
          <w:color w:val="808080"/>
        </w:rPr>
        <w:t>]</w:t>
      </w:r>
      <w:r>
        <w:rPr/>
        <w:t xml:space="preserve"> der Herr </w:t>
      </w:r>
      <w:r>
        <w:rPr>
          <w:strike/>
          <w:color w:val="808080"/>
        </w:rPr>
        <w:t>{aber}</w:t>
      </w:r>
      <w:r>
        <w:rPr/>
        <w:t xml:space="preserve"> fügte täglich Gerettete</w:t>
      </w:r>
      <w:r>
        <w:rPr>
          <w:rStyle w:val="Funotenanker"/>
        </w:rPr>
        <w:footnoteReference w:customMarkFollows="1" w:id="5324"/>
        <w:t>bw</w:t>
      </w:r>
      <w:r>
        <w:rPr/>
        <w:t xml:space="preserve"> hinzu zur Gemeinschaft </w:t>
      </w:r>
      <w:r>
        <w:rPr>
          <w:color w:val="808080"/>
        </w:rPr>
        <w:t>(?, zusammen?)</w:t>
      </w:r>
      <w:r>
        <w:rPr/>
        <w:t xml:space="preserve">. “{{field-off:bible}} </w:t>
      </w:r>
    </w:p>
    <w:p>
      <w:pPr>
        <w:pStyle w:val="Berschrift3"/>
        <w:rPr/>
      </w:pPr>
      <w:r>
        <w:rPr/>
        <w:t>[[@BibleTOBIBLE:Ac 4]]Kapitel 4</w:t>
      </w:r>
    </w:p>
    <w:p>
      <w:pPr>
        <w:pStyle w:val="Textkrper"/>
        <w:rPr/>
      </w:pPr>
      <w:r>
        <w:rPr/>
        <w:br/>
        <w:t>[[@BibleTOBIBLE:Ac 4:8]]</w:t>
      </w:r>
      <w:r>
        <w:rPr>
          <w:b/>
        </w:rPr>
        <w:t>8</w:t>
      </w:r>
      <w:r>
        <w:rPr/>
        <w:t xml:space="preserve"> {{field-on:bible}}Da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5]]Kapitel 5</w:t>
      </w:r>
    </w:p>
    <w:p>
      <w:pPr>
        <w:pStyle w:val="Textkrper"/>
        <w:rPr/>
      </w:pPr>
      <w:r>
        <w:rPr/>
        <w:br/>
        <w:t>[[@BibleTOBIBLE:Ac 5:1]]</w:t>
      </w:r>
      <w:r>
        <w:rPr>
          <w:b/>
        </w:rPr>
        <w:t>1</w:t>
      </w:r>
      <w:r>
        <w:rPr/>
        <w:t xml:space="preserve"> {{field-on:bible}}Da war ein Mann namens Hananias und seine Frau Saphira. Er verkaufte ein Grundstück{{field-off:bible}} </w:t>
        <w:br/>
        <w:t>[[@BibleTOBIBLE:Ac 5:2]]</w:t>
      </w:r>
      <w:r>
        <w:rPr>
          <w:b/>
        </w:rPr>
        <w:t>2</w:t>
      </w:r>
      <w:r>
        <w:rPr/>
        <w:t xml:space="preserve"> {{field-on:bible}}und behielt etwas von dem Erlös für sich und seine Frau wusste davon. Dann nahm er den </w:t>
      </w:r>
      <w:r>
        <w:rPr>
          <w:b/>
          <w:color w:val="808080"/>
        </w:rPr>
        <w:t>[</w:t>
      </w:r>
      <w:r>
        <w:rPr/>
        <w:t>übrigen</w:t>
      </w:r>
      <w:r>
        <w:rPr>
          <w:b/>
          <w:color w:val="808080"/>
        </w:rPr>
        <w:t>]</w:t>
      </w:r>
      <w:r>
        <w:rPr/>
        <w:t xml:space="preserve"> Teil und gab ihn den Aposteln </w:t>
      </w:r>
      <w:r>
        <w:rPr>
          <w:rStyle w:val="Funotenanker"/>
        </w:rPr>
        <w:footnoteReference w:customMarkFollows="1" w:id="5325"/>
        <w:t>a</w:t>
      </w:r>
      <w:r>
        <w:rPr/>
        <w:t xml:space="preserve">.{{field-off:bible}} </w:t>
        <w:br/>
        <w:t>[[@BibleTOBIBLE:Ac 5:3]]</w:t>
      </w:r>
      <w:r>
        <w:rPr>
          <w:b/>
        </w:rPr>
        <w:t>3</w:t>
      </w:r>
      <w:r>
        <w:rPr/>
        <w:t xml:space="preserve"> {{field-on:bible}}Da sagte Petrus: „Hananias, warum hat der Satan dein Herz erfüllt, den Heiligen Geist zu belügen und einen Teil von dem Erlös des Feldes für dich zu behalten?{{field-off:bible}} </w:t>
        <w:br/>
        <w:t>[[@BibleTOBIBLE:Ac 5:4]]</w:t>
      </w:r>
      <w:r>
        <w:rPr>
          <w:b/>
        </w:rPr>
        <w:t>4</w:t>
      </w:r>
      <w:r>
        <w:rPr/>
        <w:t xml:space="preserve"> {{field-on:bible}}Ist es nicht so, dass es dir gehören würde, wenn du es nicht verkauft hättest? Und </w:t>
      </w:r>
      <w:r>
        <w:rPr>
          <w:b/>
          <w:color w:val="808080"/>
        </w:rPr>
        <w:t>[</w:t>
      </w:r>
      <w:r>
        <w:rPr/>
        <w:t>selbst</w:t>
      </w:r>
      <w:r>
        <w:rPr>
          <w:b/>
          <w:color w:val="808080"/>
        </w:rPr>
        <w:t>]</w:t>
      </w:r>
      <w:r>
        <w:rPr/>
        <w:t xml:space="preserve"> als du es verkauft hattest, stand </w:t>
      </w:r>
      <w:r>
        <w:rPr>
          <w:b/>
          <w:color w:val="808080"/>
        </w:rPr>
        <w:t>[</w:t>
      </w:r>
      <w:r>
        <w:rPr/>
        <w:t>das Geld</w:t>
      </w:r>
      <w:r>
        <w:rPr>
          <w:b/>
          <w:color w:val="808080"/>
        </w:rPr>
        <w:t>]</w:t>
      </w:r>
      <w:r>
        <w:rPr/>
        <w:t xml:space="preserve"> nicht dir zur Verfügung? Wieso hast du dir diese Sache </w:t>
      </w:r>
      <w:r>
        <w:rPr>
          <w:strike/>
          <w:color w:val="808080"/>
        </w:rPr>
        <w:t>{in deinem Herzen}</w:t>
      </w:r>
      <w:r>
        <w:rPr/>
        <w:t xml:space="preserve"> vorgenommen? Du hast nicht Menschen belogen, sondern Gott!“{{field-off:bible}} </w:t>
        <w:br/>
        <w:t>[[@BibleTOBIBLE:Ac 5:5]]</w:t>
      </w:r>
      <w:r>
        <w:rPr>
          <w:b/>
        </w:rPr>
        <w:t>5</w:t>
      </w:r>
      <w:r>
        <w:rPr/>
        <w:t xml:space="preserve"> {{field-on:bible}}Als Hananias das hörte, fiel er um und starb. Alle, die davon hörten, hatten große Angst.{{field-off:bible}} </w:t>
        <w:br/>
        <w:t>[[@BibleTOBIBLE:Ac 5:12]]</w:t>
      </w:r>
      <w:r>
        <w:rPr>
          <w:b/>
        </w:rPr>
        <w:t>12</w:t>
      </w:r>
      <w:r>
        <w:rPr/>
        <w:t xml:space="preserve"> {{field-on:bible}}Durch aber die Hände der Apostel geschahen viele Zeichen und Wunder unter </w:t>
      </w:r>
      <w:r>
        <w:rPr>
          <w:color w:val="808080"/>
        </w:rPr>
        <w:t>(in)</w:t>
      </w:r>
      <w:r>
        <w:rPr/>
        <w:t xml:space="preserve"> dem Volk. Und einmütig waren alle </w:t>
      </w:r>
      <w:r>
        <w:rPr>
          <w:b/>
          <w:color w:val="808080"/>
        </w:rPr>
        <w:t>[</w:t>
      </w:r>
      <w:r>
        <w:rPr/>
        <w:t xml:space="preserve">zusammen </w:t>
      </w:r>
      <w:r>
        <w:rPr>
          <w:color w:val="808080"/>
        </w:rPr>
        <w:t>(versammelt)</w:t>
      </w:r>
      <w:r>
        <w:rPr>
          <w:b/>
          <w:color w:val="808080"/>
        </w:rPr>
        <w:t>]</w:t>
      </w:r>
      <w:r>
        <w:rPr/>
        <w:t xml:space="preserve"> in der Säulenhalle </w:t>
      </w:r>
      <w:r>
        <w:rPr>
          <w:color w:val="808080"/>
        </w:rPr>
        <w:t>(Stoa)</w:t>
      </w:r>
      <w:r>
        <w:rPr/>
        <w:t xml:space="preserve"> Salomos.{{field-off:bible}} </w:t>
        <w:br/>
        <w:t>[[@BibleTOBIBLE:Ac 5:13]]</w:t>
      </w:r>
      <w:r>
        <w:rPr>
          <w:b/>
        </w:rPr>
        <w:t>13</w:t>
      </w:r>
      <w:r>
        <w:rPr/>
        <w:t xml:space="preserve"> {{field-on:bible}}Von den übrigen aber wagte keiner, sich ihnen anzuschließen, aber das Volk pries sie.{{field-off:bible}} </w:t>
        <w:br/>
        <w:t>[[@BibleTOBIBLE:Ac 5:14]]</w:t>
      </w:r>
      <w:r>
        <w:rPr>
          <w:b/>
        </w:rPr>
        <w:t>14</w:t>
      </w:r>
      <w:r>
        <w:rPr/>
        <w:t xml:space="preserve"> {{field-on:bible}}Darüber hinaus </w:t>
      </w:r>
      <w:r>
        <w:rPr>
          <w:color w:val="808080"/>
        </w:rPr>
        <w:t>(Mehr noch)</w:t>
      </w:r>
      <w:r>
        <w:rPr/>
        <w:t xml:space="preserve"> aber</w:t>
      </w:r>
      <w:r>
        <w:rPr>
          <w:color w:val="808080"/>
        </w:rPr>
        <w:t>(: es)</w:t>
      </w:r>
      <w:r>
        <w:rPr/>
        <w:t xml:space="preserve"> wurden Gläubige dem Herrn hinzugefügt</w:t>
      </w:r>
      <w:r>
        <w:rPr>
          <w:rStyle w:val="Funotenanker"/>
        </w:rPr>
        <w:footnoteReference w:customMarkFollows="1" w:id="5326"/>
        <w:t>b</w:t>
      </w:r>
      <w:r>
        <w:rPr/>
        <w:t xml:space="preserve">, eine Menge von Männern und Frauen,{{field-off:bible}} </w:t>
        <w:br/>
        <w:t>[[@BibleTOBIBLE:Ac 5:15]]</w:t>
      </w:r>
      <w:r>
        <w:rPr>
          <w:b/>
        </w:rPr>
        <w:t>15</w:t>
      </w:r>
      <w:r>
        <w:rPr/>
        <w:t xml:space="preserve"> {{field-on:bible}}so dass sie auch auf </w:t>
      </w:r>
      <w:r>
        <w:rPr>
          <w:color w:val="808080"/>
        </w:rPr>
        <w:t>(in)</w:t>
      </w:r>
      <w:r>
        <w:rPr/>
        <w:t xml:space="preserve"> die Plätze </w:t>
      </w:r>
      <w:r>
        <w:rPr>
          <w:color w:val="808080"/>
        </w:rPr>
        <w:t>(Straßen)</w:t>
      </w:r>
      <w:r>
        <w:rPr/>
        <w:t xml:space="preserve"> die Kranken hinaustrugen und sie auf Betten und Bahren </w:t>
      </w:r>
      <w:r>
        <w:rPr>
          <w:color w:val="808080"/>
        </w:rPr>
        <w:t>(Pritschen)</w:t>
      </w:r>
      <w:r>
        <w:rPr/>
        <w:t xml:space="preserve"> legten, damit, wenn Petrus kommt, wenigstens </w:t>
      </w:r>
      <w:r>
        <w:rPr>
          <w:color w:val="808080"/>
        </w:rPr>
        <w:t xml:space="preserve">(und wenn auch </w:t>
      </w:r>
      <w:r>
        <w:rPr>
          <w:b/>
          <w:color w:val="808080"/>
        </w:rPr>
        <w:t>[</w:t>
      </w:r>
      <w:r>
        <w:rPr>
          <w:color w:val="808080"/>
        </w:rPr>
        <w:t>nur</w:t>
      </w:r>
      <w:r>
        <w:rPr>
          <w:b/>
          <w:color w:val="808080"/>
        </w:rPr>
        <w:t>]</w:t>
      </w:r>
      <w:r>
        <w:rPr>
          <w:color w:val="808080"/>
        </w:rPr>
        <w:t>)</w:t>
      </w:r>
      <w:r>
        <w:rPr/>
        <w:t xml:space="preserve"> der Schatten einen von ihnen beschatte.{{field-off:bible}} </w:t>
        <w:br/>
        <w:t>[[@BibleTOBIBLE:Ac 5:16]]</w:t>
      </w:r>
      <w:r>
        <w:rPr>
          <w:b/>
        </w:rPr>
        <w:t>16</w:t>
      </w:r>
      <w:r>
        <w:rPr/>
        <w:t xml:space="preserve"> {{field-on:bible}}Es kam aber auch die Menge der umliegenden Städte Jerusalems </w:t>
      </w:r>
      <w:r>
        <w:rPr>
          <w:color w:val="808080"/>
        </w:rPr>
        <w:t>(der um Jerusalem liegenden Städte)</w:t>
      </w:r>
      <w:r>
        <w:rPr/>
        <w:t xml:space="preserve"> und brachte Kranke und von unreinen Geistern Bedrängte, welche alle geheilt wurden.{{field-off:bible}} </w:t>
      </w:r>
    </w:p>
    <w:p>
      <w:pPr>
        <w:pStyle w:val="Berschrift3"/>
        <w:rPr/>
      </w:pPr>
      <w:r>
        <w:rPr/>
        <w:t>[[@BibleTOBIBLE:Ac 6]]Kapitel 6</w:t>
      </w:r>
    </w:p>
    <w:p>
      <w:pPr>
        <w:pStyle w:val="Textkrper"/>
        <w:rPr/>
      </w:pPr>
      <w:r>
        <w:rPr/>
        <w:br/>
        <w:t>[[@BibleTOBIBLE:Ac 6:8]]</w:t>
      </w:r>
      <w:r>
        <w:rPr>
          <w:b/>
        </w:rPr>
        <w:t>8</w:t>
      </w:r>
      <w:r>
        <w:rPr/>
        <w:t xml:space="preserve"> {{field-on:bible}}Stephanus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8:26]]</w:t>
      </w:r>
      <w:r>
        <w:rPr>
          <w:b/>
        </w:rPr>
        <w:t>26</w:t>
      </w:r>
      <w:r>
        <w:rPr/>
        <w:t xml:space="preserve"> {{field-on:bible}}Der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5327"/>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5328"/>
        <w:t>b</w:t>
      </w:r>
      <w:r>
        <w:rPr/>
        <w:t>, der nach Jerusalem gekommen war, um anzubeten</w:t>
      </w:r>
      <w:r>
        <w:rPr>
          <w:rStyle w:val="Funotenanker"/>
        </w:rPr>
        <w:footnoteReference w:customMarkFollows="1" w:id="5329"/>
        <w:t>c</w:t>
      </w:r>
      <w:r>
        <w:rPr/>
        <w:t xml:space="preserve"> </w:t>
      </w:r>
      <w:r>
        <w:rPr>
          <w:rStyle w:val="Funotenanker"/>
        </w:rPr>
        <w:footnoteReference w:customMarkFollows="1" w:id="5330"/>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5331"/>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5332"/>
        <w:t>f</w:t>
      </w:r>
      <w:r>
        <w:rPr/>
        <w:t xml:space="preserve">, hörte er, wie er </w:t>
      </w:r>
      <w:r>
        <w:rPr>
          <w:color w:val="808080"/>
        </w:rPr>
        <w:t>(dass er)</w:t>
      </w:r>
      <w:r>
        <w:rPr/>
        <w:t xml:space="preserve"> den Propheten Jesaja las</w:t>
      </w:r>
      <w:r>
        <w:rPr>
          <w:rStyle w:val="Funotenanker"/>
        </w:rPr>
        <w:footnoteReference w:customMarkFollows="1" w:id="5333"/>
        <w:t>g</w:t>
      </w:r>
      <w:r>
        <w:rPr/>
        <w:t xml:space="preserve"> und sprach: „Verstehst du denn auch, was du liest?“</w:t>
      </w:r>
      <w:r>
        <w:rPr>
          <w:rStyle w:val="Funotenanker"/>
        </w:rPr>
        <w:footnoteReference w:customMarkFollows="1" w:id="5334"/>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5335"/>
        <w:t>i</w:t>
      </w:r>
      <w:r>
        <w:rPr/>
        <w:t xml:space="preserve"> seinen Mund und begann</w:t>
      </w:r>
      <w:r>
        <w:rPr>
          <w:rStyle w:val="Funotenanker"/>
        </w:rPr>
        <w:footnoteReference w:customMarkFollows="1" w:id="5336"/>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5337"/>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5338"/>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5339"/>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5340"/>
        <w:t>n</w:t>
      </w:r>
      <w:r>
        <w:rPr/>
        <w:t xml:space="preserve"> durch alle Städte und evangelisierte </w:t>
      </w:r>
      <w:r>
        <w:rPr>
          <w:color w:val="808080"/>
        </w:rPr>
        <w:t>(verkündigte)</w:t>
      </w:r>
      <w:r>
        <w:rPr/>
        <w:t xml:space="preserve">, bis er nach Cäsarea kam.{{field-off:bible}} </w:t>
      </w:r>
    </w:p>
    <w:p>
      <w:pPr>
        <w:pStyle w:val="Berschrift3"/>
        <w:rPr/>
      </w:pPr>
      <w:r>
        <w:rPr/>
        <w:t>[[@BibleTOBIBLE:Ac 17]]Kapitel 17</w:t>
      </w:r>
    </w:p>
    <w:p>
      <w:pPr>
        <w:pStyle w:val="Textkrper"/>
        <w:rPr/>
      </w:pPr>
      <w:r>
        <w:rPr/>
        <w:br/>
        <w:t>[[@BibleTOBIBLE:Ac 17:16]]</w:t>
      </w:r>
      <w:r>
        <w:rPr>
          <w:b/>
        </w:rPr>
        <w:t>16</w:t>
      </w:r>
      <w:r>
        <w:rPr/>
        <w:t xml:space="preserve"> {{field-on:bible}}Als Paulus sie aber in Athen erwartete, geriet sein Geist in ihm in Wallung</w:t>
      </w:r>
      <w:r>
        <w:rPr>
          <w:rStyle w:val="Funotenanker"/>
        </w:rPr>
        <w:footnoteReference w:customMarkFollows="1" w:id="5341"/>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5342"/>
        <w:t>b</w:t>
      </w:r>
      <w:r>
        <w:rPr/>
        <w:t xml:space="preserve"> und auf dem Markt täglich</w:t>
      </w:r>
      <w:r>
        <w:rPr>
          <w:rStyle w:val="Funotenanker"/>
        </w:rPr>
        <w:footnoteReference w:customMarkFollows="1" w:id="5343"/>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5344"/>
        <w:t>d</w:t>
      </w:r>
      <w:r>
        <w:rPr/>
        <w:t xml:space="preserve"> Andere aber: „Er scheint ein Verkünder fremder Gottheiten zu sein“, weil er Jesus und die Auferstehung</w:t>
      </w:r>
      <w:r>
        <w:rPr>
          <w:rStyle w:val="Funotenanker"/>
        </w:rPr>
        <w:footnoteReference w:customMarkFollows="1" w:id="5345"/>
        <w:t>e</w:t>
      </w:r>
      <w:r>
        <w:rPr/>
        <w:t xml:space="preserve"> verkündigte.{{field-off:bible}} </w:t>
        <w:br/>
        <w:t>[[@BibleTOBIBLE:Ac 17:19]]</w:t>
      </w:r>
      <w:r>
        <w:rPr>
          <w:b/>
        </w:rPr>
        <w:t>19</w:t>
      </w:r>
      <w:r>
        <w:rPr/>
        <w:t xml:space="preserve"> {{field-on:bible}}Und nachdem sie ihn ergriffen</w:t>
      </w:r>
      <w:r>
        <w:rPr>
          <w:rStyle w:val="Funotenanker"/>
        </w:rPr>
        <w:footnoteReference w:customMarkFollows="1" w:id="5346"/>
        <w:t>f</w:t>
      </w:r>
      <w:r>
        <w:rPr/>
        <w:t xml:space="preserve"> hatten, nahmen sie ihn mit zum Areopag</w:t>
      </w:r>
      <w:r>
        <w:rPr>
          <w:rStyle w:val="Funotenanker"/>
        </w:rPr>
        <w:footnoteReference w:customMarkFollows="1" w:id="5347"/>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5348"/>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5349"/>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5350"/>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5351"/>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5352"/>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5353"/>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5354"/>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5355"/>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{{field-on:bible}}Es geschah aber, während Apollos in Korinth war</w:t>
      </w:r>
      <w:r>
        <w:rPr>
          <w:rStyle w:val="Funotenanker"/>
        </w:rPr>
        <w:footnoteReference w:customMarkFollows="1" w:id="5356"/>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5357"/>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5358"/>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t xml:space="preserve">16-38 Paulus verabschiedet sich hier von den der Leitung der Gemeinde, die er selbst gegründet hat. Es ist die einzige Rede in der Apostelgeschichte, die an Christen gerichtet ist; aus diesem Grund hat sie starke Ähnlichkeiten mit den Briefen des Paulus. Anhand seines Vorbildes ermahnt er die Gemeinde zur Nachfolge. Lukas berichtet nur diese Abschiedsrede, obwohl sich Paulus auf der Reise nach Jerusalem sich auch mit anderen Gemeinden getroffen hat. </w:t>
        <w:br/>
        <w:br/>
        <w:t>[[@BibleTOBIBLE:Ac 20:16]]</w:t>
      </w:r>
      <w:r>
        <w:rPr>
          <w:b/>
        </w:rPr>
        <w:t>16</w:t>
      </w:r>
      <w:r>
        <w:rPr/>
        <w:t xml:space="preserve"> {{field-on:bible}}Denn Paulus hatte es sich vorgenommen </w:t>
      </w:r>
      <w:r>
        <w:rPr>
          <w:color w:val="808080"/>
        </w:rPr>
        <w:t>(entschieden)</w:t>
      </w:r>
      <w:r>
        <w:rPr/>
        <w:t xml:space="preserve">, an Ephesus vorbei zu fahren, um keine Zeit in </w:t>
      </w:r>
      <w:r>
        <w:rPr>
          <w:b/>
          <w:color w:val="808080"/>
        </w:rPr>
        <w:t>[</w:t>
      </w:r>
      <w:r>
        <w:rPr/>
        <w:t>der Provinz</w:t>
      </w:r>
      <w:r>
        <w:rPr>
          <w:b/>
          <w:color w:val="808080"/>
        </w:rPr>
        <w:t>]</w:t>
      </w:r>
      <w:r>
        <w:rPr/>
        <w:t xml:space="preserve"> Asien zu verlieren; denn er beeilte sich, um am Tag des Pfingstfestes in Jerusalem zu sein, wenn es </w:t>
      </w:r>
      <w:r>
        <w:rPr>
          <w:b/>
          <w:color w:val="808080"/>
        </w:rPr>
        <w:t>[</w:t>
      </w:r>
      <w:r>
        <w:rPr/>
        <w:t>ihm</w:t>
      </w:r>
      <w:r>
        <w:rPr>
          <w:b/>
          <w:color w:val="808080"/>
        </w:rPr>
        <w:t>]</w:t>
      </w:r>
      <w:r>
        <w:rPr/>
        <w:t xml:space="preserve"> möglich ist.{{field-off:bible}} </w:t>
        <w:br/>
        <w:t>[[@BibleTOBIBLE:Ac 20:17]]</w:t>
      </w:r>
      <w:r>
        <w:rPr>
          <w:b/>
        </w:rPr>
        <w:t>17</w:t>
      </w:r>
      <w:r>
        <w:rPr/>
        <w:t xml:space="preserve"> {{field-on:bible}}Von Milet </w:t>
      </w:r>
      <w:r>
        <w:rPr>
          <w:b/>
          <w:color w:val="808080"/>
        </w:rPr>
        <w:t>[</w:t>
      </w:r>
      <w:r>
        <w:rPr/>
        <w:t>aus</w:t>
      </w:r>
      <w:r>
        <w:rPr>
          <w:b/>
          <w:color w:val="808080"/>
        </w:rPr>
        <w:t>]</w:t>
      </w:r>
      <w:r>
        <w:rPr/>
        <w:t xml:space="preserve"> sandte er </w:t>
      </w:r>
      <w:r>
        <w:rPr>
          <w:b/>
          <w:color w:val="808080"/>
        </w:rPr>
        <w:t>[</w:t>
      </w:r>
      <w:r>
        <w:rPr/>
        <w:t>eine Nachricht</w:t>
      </w:r>
      <w:r>
        <w:rPr>
          <w:b/>
          <w:color w:val="808080"/>
        </w:rPr>
        <w:t>]</w:t>
      </w:r>
      <w:r>
        <w:rPr/>
        <w:t xml:space="preserve"> nach Ephesus</w:t>
      </w:r>
      <w:r>
        <w:rPr>
          <w:rStyle w:val="Funotenanker"/>
        </w:rPr>
        <w:footnoteReference w:customMarkFollows="1" w:id="5359"/>
        <w:t>a</w:t>
      </w:r>
      <w:r>
        <w:rPr/>
        <w:t xml:space="preserve">, um die Ältesten der Kirche zu sich kommen zu lassen.{{field-off:bible}} </w:t>
        <w:br/>
        <w:t>[[@BibleTOBIBLE:Ac 20:18]]</w:t>
      </w:r>
      <w:r>
        <w:rPr>
          <w:b/>
        </w:rPr>
        <w:t>18</w:t>
      </w:r>
      <w:r>
        <w:rPr/>
        <w:t xml:space="preserve"> {{field-on:bible}}Als sie bei ihm angekommen waren</w:t>
      </w:r>
      <w:r>
        <w:rPr>
          <w:rStyle w:val="Funotenanker"/>
        </w:rPr>
        <w:footnoteReference w:customMarkFollows="1" w:id="5360"/>
        <w:t>b</w:t>
      </w:r>
      <w:r>
        <w:rPr/>
        <w:t>, sagte er ihnen: „''Ihr'' wisst, wie von dem ersten Tag an, als ich Asien betrat</w:t>
      </w:r>
      <w:r>
        <w:rPr>
          <w:rStyle w:val="Funotenanker"/>
        </w:rPr>
        <w:footnoteReference w:customMarkFollows="1" w:id="5361"/>
        <w:t>c</w:t>
      </w:r>
      <w:r>
        <w:rPr/>
        <w:t xml:space="preserve">, die ganze Zeit </w:t>
      </w:r>
      <w:r>
        <w:rPr>
          <w:color w:val="808080"/>
        </w:rPr>
        <w:t>(immer)</w:t>
      </w:r>
      <w:r>
        <w:rPr/>
        <w:t xml:space="preserve"> mit </w:t>
      </w:r>
      <w:r>
        <w:rPr>
          <w:color w:val="808080"/>
        </w:rPr>
        <w:t>(bei)</w:t>
      </w:r>
      <w:r>
        <w:rPr/>
        <w:t xml:space="preserve"> euch gewesen bin,{{field-off:bible}} </w:t>
        <w:br/>
        <w:t>[[@BibleTOBIBLE:Ac 20:19]]</w:t>
      </w:r>
      <w:r>
        <w:rPr>
          <w:b/>
        </w:rPr>
        <w:t>19</w:t>
      </w:r>
      <w:r>
        <w:rPr/>
        <w:t xml:space="preserve"> {{field-on:bible}}indem ich dem Herrn diente mit aller Demut </w:t>
      </w:r>
      <w:r>
        <w:rPr>
          <w:color w:val="808080"/>
        </w:rPr>
        <w:t>(Bescheidenheit)</w:t>
      </w:r>
      <w:r>
        <w:rPr/>
        <w:t xml:space="preserve"> und </w:t>
      </w:r>
      <w:r>
        <w:rPr>
          <w:b/>
          <w:color w:val="808080"/>
        </w:rPr>
        <w:t>[</w:t>
      </w:r>
      <w:r>
        <w:rPr/>
        <w:t>unter</w:t>
      </w:r>
      <w:r>
        <w:rPr>
          <w:b/>
          <w:color w:val="808080"/>
        </w:rPr>
        <w:t>]</w:t>
      </w:r>
      <w:r>
        <w:rPr/>
        <w:t xml:space="preserve"> Tränen und Versuchungen </w:t>
      </w:r>
      <w:r>
        <w:rPr>
          <w:color w:val="808080"/>
        </w:rPr>
        <w:t>(Prüfungen, Anfechtungen)</w:t>
      </w:r>
      <w:r>
        <w:rPr/>
        <w:t xml:space="preserve"> </w:t>
      </w:r>
      <w:r>
        <w:rPr>
          <w:rStyle w:val="Funotenanker"/>
        </w:rPr>
        <w:footnoteReference w:customMarkFollows="1" w:id="5362"/>
        <w:t>d</w:t>
      </w:r>
      <w:r>
        <w:rPr/>
        <w:t xml:space="preserve">, die mir entgegentraten </w:t>
      </w:r>
      <w:r>
        <w:rPr>
          <w:color w:val="808080"/>
        </w:rPr>
        <w:t>(begegneten)</w:t>
      </w:r>
      <w:r>
        <w:rPr/>
        <w:t xml:space="preserve"> in den Anschlägen der Juden.{{field-off:bible}} </w:t>
        <w:br/>
        <w:t>[[@BibleTOBIBLE:Ac 20:20]]</w:t>
      </w:r>
      <w:r>
        <w:rPr>
          <w:b/>
        </w:rPr>
        <w:t>20</w:t>
      </w:r>
      <w:r>
        <w:rPr/>
        <w:t xml:space="preserve"> {{field-on:bible}} </w:t>
      </w:r>
      <w:r>
        <w:rPr>
          <w:b/>
          <w:color w:val="808080"/>
        </w:rPr>
        <w:t>[</w:t>
      </w:r>
      <w:r>
        <w:rPr/>
        <w:t>Ihr wisst auch,</w:t>
      </w:r>
      <w:r>
        <w:rPr>
          <w:b/>
          <w:color w:val="808080"/>
        </w:rPr>
        <w:t>]</w:t>
      </w:r>
      <w:r>
        <w:rPr/>
        <w:t xml:space="preserve"> wie ich nichts von dem zurückhielt </w:t>
      </w:r>
      <w:r>
        <w:rPr>
          <w:color w:val="808080"/>
        </w:rPr>
        <w:t>(vorenthielt, verschwieg)</w:t>
      </w:r>
      <w:r>
        <w:rPr/>
        <w:t>, was für euch hilfreich ist</w:t>
      </w:r>
      <w:r>
        <w:rPr>
          <w:rStyle w:val="Funotenanker"/>
        </w:rPr>
        <w:footnoteReference w:customMarkFollows="1" w:id="5363"/>
        <w:t>e</w:t>
      </w:r>
      <w:r>
        <w:rPr/>
        <w:t>, indem ich es nicht verkündige</w:t>
      </w:r>
      <w:r>
        <w:rPr>
          <w:rStyle w:val="Funotenanker"/>
        </w:rPr>
        <w:footnoteReference w:customMarkFollows="1" w:id="5364"/>
        <w:t>f</w:t>
      </w:r>
      <w:r>
        <w:rPr/>
        <w:t xml:space="preserve">. </w:t>
      </w:r>
      <w:r>
        <w:rPr>
          <w:b/>
          <w:color w:val="808080"/>
        </w:rPr>
        <w:t>[</w:t>
      </w:r>
      <w:r>
        <w:rPr/>
        <w:t xml:space="preserve">Nein, </w:t>
      </w:r>
      <w:r>
        <w:rPr>
          <w:b/>
          <w:color w:val="808080"/>
        </w:rPr>
        <w:t>]</w:t>
      </w:r>
      <w:r>
        <w:rPr/>
        <w:t xml:space="preserve"> ich habe euch gelehrt öffentlich und in </w:t>
      </w:r>
      <w:r>
        <w:rPr>
          <w:b/>
          <w:color w:val="808080"/>
        </w:rPr>
        <w:t>[</w:t>
      </w:r>
      <w:r>
        <w:rPr/>
        <w:t>euren</w:t>
      </w:r>
      <w:r>
        <w:rPr>
          <w:b/>
          <w:color w:val="808080"/>
        </w:rPr>
        <w:t>]</w:t>
      </w:r>
      <w:r>
        <w:rPr/>
        <w:t xml:space="preserve"> Häusern,{{field-off:bible}} </w:t>
        <w:br/>
        <w:t>[[@BibleTOBIBLE:Ac 20:21]]</w:t>
      </w:r>
      <w:r>
        <w:rPr>
          <w:b/>
        </w:rPr>
        <w:t>21</w:t>
      </w:r>
      <w:r>
        <w:rPr/>
        <w:t xml:space="preserve"> {{field-on:bible}}indem ich sowohl den Juden als auch den Griechen eindrücklich</w:t>
      </w:r>
      <w:r>
        <w:rPr>
          <w:rStyle w:val="Funotenanker"/>
        </w:rPr>
        <w:footnoteReference w:customMarkFollows="1" w:id="5365"/>
        <w:t>g</w:t>
      </w:r>
      <w:r>
        <w:rPr/>
        <w:t xml:space="preserve"> bezeugte, dass sie zu Gott umkehren und an unseren Herrn Jesus Christus glauben sollen.{{field-off:bible}} </w:t>
        <w:br/>
        <w:t>[[@BibleTOBIBLE:Ac 20:22]]</w:t>
      </w:r>
      <w:r>
        <w:rPr>
          <w:b/>
        </w:rPr>
        <w:t>22</w:t>
      </w:r>
      <w:r>
        <w:rPr/>
        <w:t xml:space="preserve"> {{field-on:bible}}Und nun, siehe, </w:t>
      </w:r>
      <w:r>
        <w:rPr>
          <w:b/>
          <w:color w:val="808080"/>
        </w:rPr>
        <w:t>[</w:t>
      </w:r>
      <w:r>
        <w:rPr/>
        <w:t>weil</w:t>
      </w:r>
      <w:r>
        <w:rPr>
          <w:b/>
          <w:color w:val="808080"/>
        </w:rPr>
        <w:t>]</w:t>
      </w:r>
      <w:r>
        <w:rPr/>
        <w:t xml:space="preserve"> ich an den Geist gebunden </w:t>
      </w:r>
      <w:r>
        <w:rPr>
          <w:color w:val="808080"/>
        </w:rPr>
        <w:t>(gefesselt)</w:t>
      </w:r>
      <w:r>
        <w:rPr/>
        <w:t xml:space="preserve"> bin</w:t>
      </w:r>
      <w:r>
        <w:rPr>
          <w:rStyle w:val="Funotenanker"/>
        </w:rPr>
        <w:footnoteReference w:customMarkFollows="1" w:id="5366"/>
        <w:t>h</w:t>
      </w:r>
      <w:r>
        <w:rPr/>
        <w:t xml:space="preserve">, gehe ich nach Jerusalem und weiß nicht, welche </w:t>
      </w:r>
      <w:r>
        <w:rPr>
          <w:b/>
          <w:color w:val="808080"/>
        </w:rPr>
        <w:t>[</w:t>
      </w:r>
      <w:r>
        <w:rPr/>
        <w:t>Dinge</w:t>
      </w:r>
      <w:r>
        <w:rPr>
          <w:b/>
          <w:color w:val="808080"/>
        </w:rPr>
        <w:t>]</w:t>
      </w:r>
      <w:r>
        <w:rPr/>
        <w:t xml:space="preserve"> mir dort geschehen werden.{{field-off:bible}} </w:t>
        <w:br/>
        <w:t>[[@BibleTOBIBLE:Ac 20:23]]</w:t>
      </w:r>
      <w:r>
        <w:rPr>
          <w:b/>
        </w:rPr>
        <w:t>23</w:t>
      </w:r>
      <w:r>
        <w:rPr/>
        <w:t xml:space="preserve"> {{field-on:bible}} </w:t>
      </w:r>
      <w:r>
        <w:rPr>
          <w:b/>
          <w:color w:val="808080"/>
        </w:rPr>
        <w:t>[</w:t>
      </w:r>
      <w:r>
        <w:rPr/>
        <w:t>Ich weiß</w:t>
      </w:r>
      <w:r>
        <w:rPr>
          <w:b/>
          <w:color w:val="808080"/>
        </w:rPr>
        <w:t>]</w:t>
      </w:r>
      <w:r>
        <w:rPr/>
        <w:t xml:space="preserve"> nur, dass der Heilige Geist mir in jeder Stadt sagt, dass mich Fesseln und Bedrängnis erwarten</w:t>
      </w:r>
      <w:r>
        <w:rPr>
          <w:rStyle w:val="Funotenanker"/>
        </w:rPr>
        <w:footnoteReference w:customMarkFollows="1" w:id="5367"/>
        <w:t>i</w:t>
      </w:r>
      <w:r>
        <w:rPr/>
        <w:t xml:space="preserve">.{{field-off:bible}} </w:t>
        <w:br/>
        <w:t>[[@BibleTOBIBLE:Ac 20:24]]</w:t>
      </w:r>
      <w:r>
        <w:rPr>
          <w:b/>
        </w:rPr>
        <w:t>24</w:t>
      </w:r>
      <w:r>
        <w:rPr/>
        <w:t xml:space="preserve"> {{field-on:bible}}Aber mein Leben ist nicht der Rede wert.</w:t>
      </w:r>
      <w:r>
        <w:rPr>
          <w:rStyle w:val="Funotenanker"/>
        </w:rPr>
        <w:footnoteReference w:customMarkFollows="1" w:id="5368"/>
        <w:t>j</w:t>
      </w:r>
      <w:r>
        <w:rPr/>
        <w:t xml:space="preserve"> Wenn ich nur meinen Lauf </w:t>
      </w:r>
      <w:r>
        <w:rPr>
          <w:color w:val="808080"/>
        </w:rPr>
        <w:t>(Wettlauf)</w:t>
      </w:r>
      <w:r>
        <w:rPr/>
        <w:t xml:space="preserve"> vollenden </w:t>
      </w:r>
      <w:r>
        <w:rPr>
          <w:color w:val="808080"/>
        </w:rPr>
        <w:t>(beenden)</w:t>
      </w:r>
      <w:r>
        <w:rPr/>
        <w:t xml:space="preserve"> </w:t>
      </w:r>
      <w:r>
        <w:rPr>
          <w:rStyle w:val="Funotenanker"/>
        </w:rPr>
        <w:footnoteReference w:customMarkFollows="1" w:id="5369"/>
        <w:t>k</w:t>
      </w:r>
      <w:r>
        <w:rPr/>
        <w:t xml:space="preserve"> könnte, den Dienst, den ich durch den Herrn Jesus bekommen habe: das Evangelium der Gnade Gottes zu bezeugen!{{field-off:bible}} </w:t>
        <w:br/>
        <w:t>[[@BibleTOBIBLE:Ac 20:25]]</w:t>
      </w:r>
      <w:r>
        <w:rPr>
          <w:b/>
        </w:rPr>
        <w:t>25</w:t>
      </w:r>
      <w:r>
        <w:rPr/>
        <w:t xml:space="preserve"> {{field-on:bible}}Und nun, siehe, ''ich'' weiß </w:t>
      </w:r>
      <w:r>
        <w:rPr>
          <w:color w:val="808080"/>
        </w:rPr>
        <w:t>(bin mir sicher)</w:t>
      </w:r>
      <w:r>
        <w:rPr/>
        <w:t xml:space="preserve">, dass keiner mehr mein Angesicht sehen wird, ihr alle, unter denen ich das Königreich </w:t>
      </w:r>
      <w:r>
        <w:rPr>
          <w:b/>
          <w:color w:val="808080"/>
        </w:rPr>
        <w:t>[</w:t>
      </w:r>
      <w:r>
        <w:rPr/>
        <w:t>Gottes</w:t>
      </w:r>
      <w:r>
        <w:rPr>
          <w:b/>
          <w:color w:val="808080"/>
        </w:rPr>
        <w:t>]</w:t>
      </w:r>
      <w:r>
        <w:rPr/>
        <w:t xml:space="preserve"> verkündet </w:t>
      </w:r>
      <w:r>
        <w:rPr>
          <w:color w:val="808080"/>
        </w:rPr>
        <w:t>(gepredigt)</w:t>
      </w:r>
      <w:r>
        <w:rPr/>
        <w:t xml:space="preserve"> habe.{{field-off:bible}} </w:t>
        <w:br/>
        <w:t>[[@BibleTOBIBLE:Ac 20:26]]</w:t>
      </w:r>
      <w:r>
        <w:rPr>
          <w:b/>
        </w:rPr>
        <w:t>26</w:t>
      </w:r>
      <w:r>
        <w:rPr/>
        <w:t xml:space="preserve"> {{field-on:bible}}Darum bezeuge ich an diesem Tag, dass ich rein </w:t>
      </w:r>
      <w:r>
        <w:rPr>
          <w:color w:val="808080"/>
        </w:rPr>
        <w:t>(unschuldig)</w:t>
      </w:r>
      <w:r>
        <w:rPr/>
        <w:t xml:space="preserve"> bin von dem Blut aller.</w:t>
      </w:r>
      <w:r>
        <w:rPr>
          <w:rStyle w:val="Funotenanker"/>
        </w:rPr>
        <w:footnoteReference w:customMarkFollows="1" w:id="5370"/>
        <w:t>l</w:t>
      </w:r>
      <w:r>
        <w:rPr/>
        <w:t xml:space="preserve"> {{field-off:bible}} </w:t>
        <w:br/>
        <w:t>[[@BibleTOBIBLE:Ac 20:27]]</w:t>
      </w:r>
      <w:r>
        <w:rPr>
          <w:b/>
        </w:rPr>
        <w:t>27</w:t>
      </w:r>
      <w:r>
        <w:rPr/>
        <w:t xml:space="preserve"> {{field-on:bible}}Denn ich habe nicht verschwiegen, sondern euch den ganzen Willen </w:t>
      </w:r>
      <w:r>
        <w:rPr>
          <w:color w:val="808080"/>
        </w:rPr>
        <w:t>(Absicht, Plan)</w:t>
      </w:r>
      <w:r>
        <w:rPr/>
        <w:t xml:space="preserve"> Gottes verkündet.{{field-off:bible}} </w:t>
        <w:br/>
        <w:t>[[@BibleTOBIBLE:Ac 20:28]]</w:t>
      </w:r>
      <w:r>
        <w:rPr>
          <w:b/>
        </w:rPr>
        <w:t>28</w:t>
      </w:r>
      <w:r>
        <w:rPr/>
        <w:t xml:space="preserve"> {{field-on:bible}}Richtet euren Sinn </w:t>
      </w:r>
      <w:r>
        <w:rPr>
          <w:color w:val="808080"/>
        </w:rPr>
        <w:t>(Gebt acht)</w:t>
      </w:r>
      <w:r>
        <w:rPr/>
        <w:t xml:space="preserve"> auf euch selbst und die ganze Herde, in der euch der Heiligen Geist zu Aufseher </w:t>
      </w:r>
      <w:r>
        <w:rPr>
          <w:color w:val="808080"/>
        </w:rPr>
        <w:t>(Bischöfe, Hirten, Pastoren)</w:t>
      </w:r>
      <w:r>
        <w:rPr/>
        <w:t xml:space="preserve"> </w:t>
      </w:r>
      <w:r>
        <w:rPr>
          <w:rStyle w:val="Funotenanker"/>
        </w:rPr>
        <w:footnoteReference w:customMarkFollows="1" w:id="5371"/>
        <w:t>m</w:t>
      </w:r>
      <w:r>
        <w:rPr/>
        <w:t xml:space="preserve"> bestellt hat, damit ihr die Gemeinde Gottes</w:t>
      </w:r>
      <w:r>
        <w:rPr>
          <w:rStyle w:val="Funotenanker"/>
        </w:rPr>
        <w:footnoteReference w:customMarkFollows="1" w:id="5372"/>
        <w:t>n</w:t>
      </w:r>
      <w:r>
        <w:rPr/>
        <w:t xml:space="preserve"> weidet </w:t>
      </w:r>
      <w:r>
        <w:rPr>
          <w:color w:val="808080"/>
        </w:rPr>
        <w:t>(für sie sorgt)</w:t>
      </w:r>
      <w:r>
        <w:rPr/>
        <w:t>, die er erwählt hat durch sein eigenes Blut</w:t>
      </w:r>
      <w:r>
        <w:rPr>
          <w:rStyle w:val="Funotenanker"/>
        </w:rPr>
        <w:footnoteReference w:customMarkFollows="1" w:id="5373"/>
        <w:t>o</w:t>
      </w:r>
      <w:r>
        <w:rPr/>
        <w:t xml:space="preserve">.{{field-off:bible}} </w:t>
        <w:br/>
        <w:t>[[@BibleTOBIBLE:Ac 20:29]]</w:t>
      </w:r>
      <w:r>
        <w:rPr>
          <w:b/>
        </w:rPr>
        <w:t>29</w:t>
      </w:r>
      <w:r>
        <w:rPr/>
        <w:t xml:space="preserve"> {{field-on:bible}}''Ich'' weiß, dass mit meiner Abreise </w:t>
      </w:r>
      <w:r>
        <w:rPr>
          <w:b/>
          <w:color w:val="808080"/>
        </w:rPr>
        <w:t>[</w:t>
      </w:r>
      <w:r>
        <w:rPr/>
        <w:t>immer wieder</w:t>
      </w:r>
      <w:r>
        <w:rPr>
          <w:b/>
          <w:color w:val="808080"/>
        </w:rPr>
        <w:t>]</w:t>
      </w:r>
      <w:r>
        <w:rPr/>
        <w:t xml:space="preserve"> </w:t>
      </w:r>
      <w:r>
        <w:rPr>
          <w:rStyle w:val="Funotenanker"/>
        </w:rPr>
        <w:footnoteReference w:customMarkFollows="1" w:id="5374"/>
        <w:t>p</w:t>
      </w:r>
      <w:r>
        <w:rPr/>
        <w:t xml:space="preserve"> gefährliche Wölfe hereinbrechen werden in eurer </w:t>
      </w:r>
      <w:r>
        <w:rPr>
          <w:b/>
          <w:color w:val="808080"/>
        </w:rPr>
        <w:t>[</w:t>
      </w:r>
      <w:r>
        <w:rPr/>
        <w:t>Mitte</w:t>
      </w:r>
      <w:r>
        <w:rPr>
          <w:b/>
          <w:color w:val="808080"/>
        </w:rPr>
        <w:t>]</w:t>
      </w:r>
      <w:r>
        <w:rPr/>
        <w:t xml:space="preserve">. Sie werden die Herde nicht verschonen.{{field-off:bible}} </w:t>
        <w:br/>
        <w:t>[[@BibleTOBIBLE:Ac 20:30]]</w:t>
      </w:r>
      <w:r>
        <w:rPr>
          <w:b/>
        </w:rPr>
        <w:t>30</w:t>
      </w:r>
      <w:r>
        <w:rPr/>
        <w:t xml:space="preserve"> {{field-on:bible}}Und aus euch selbst </w:t>
      </w:r>
      <w:r>
        <w:rPr>
          <w:color w:val="808080"/>
        </w:rPr>
        <w:t>(aus eurer Mitte)</w:t>
      </w:r>
      <w:r>
        <w:rPr/>
        <w:t xml:space="preserve"> werden Menschen auftreten, die Verdrehtes reden, um die Jünger wegzuziehen hinter ihnen her</w:t>
      </w:r>
      <w:r>
        <w:rPr>
          <w:rStyle w:val="Funotenanker"/>
        </w:rPr>
        <w:footnoteReference w:customMarkFollows="1" w:id="5375"/>
        <w:t>q</w:t>
      </w:r>
      <w:r>
        <w:rPr/>
        <w:t xml:space="preserve">.{{field-off:bible}} </w:t>
        <w:br/>
        <w:t>[[@BibleTOBIBLE:Ac 20:31]]</w:t>
      </w:r>
      <w:r>
        <w:rPr>
          <w:b/>
        </w:rPr>
        <w:t>31</w:t>
      </w:r>
      <w:r>
        <w:rPr/>
        <w:t xml:space="preserve"> {{field-on:bible}}Darum wachet; erinnert euch daran, dass ich drei Jahre lang Tag und Nacht nicht aufhörte, jeden von euch unter Tränen zu ermahnen.{{field-off:bible}} </w:t>
        <w:br/>
        <w:t>[[@BibleTOBIBLE:Ac 20:32]]</w:t>
      </w:r>
      <w:r>
        <w:rPr>
          <w:b/>
        </w:rPr>
        <w:t>32</w:t>
      </w:r>
      <w:r>
        <w:rPr/>
        <w:t xml:space="preserve"> {{field-on:bible}}Und nun vertraue ich euch Gott und dem Wort </w:t>
      </w:r>
      <w:r>
        <w:rPr>
          <w:color w:val="808080"/>
        </w:rPr>
        <w:t>(Botschaft)</w:t>
      </w:r>
      <w:r>
        <w:rPr/>
        <w:t xml:space="preserve"> seiner Gnade an, das</w:t>
      </w:r>
      <w:r>
        <w:rPr>
          <w:rStyle w:val="Funotenanker"/>
        </w:rPr>
        <w:footnoteReference w:customMarkFollows="1" w:id="5376"/>
        <w:t>r</w:t>
      </w:r>
      <w:r>
        <w:rPr/>
        <w:t xml:space="preserve"> kräftig </w:t>
      </w:r>
      <w:r>
        <w:rPr>
          <w:color w:val="808080"/>
        </w:rPr>
        <w:t>(fähig)</w:t>
      </w:r>
      <w:r>
        <w:rPr/>
        <w:t xml:space="preserve"> ist, </w:t>
      </w:r>
      <w:r>
        <w:rPr>
          <w:b/>
          <w:color w:val="808080"/>
        </w:rPr>
        <w:t>[</w:t>
      </w:r>
      <w:r>
        <w:rPr/>
        <w:t>euch</w:t>
      </w:r>
      <w:r>
        <w:rPr>
          <w:b/>
          <w:color w:val="808080"/>
        </w:rPr>
        <w:t>]</w:t>
      </w:r>
      <w:r>
        <w:rPr/>
        <w:t xml:space="preserve"> aufzubauen und </w:t>
      </w:r>
      <w:r>
        <w:rPr>
          <w:b/>
          <w:color w:val="808080"/>
        </w:rPr>
        <w:t>[</w:t>
      </w:r>
      <w:r>
        <w:rPr/>
        <w:t>euch</w:t>
      </w:r>
      <w:r>
        <w:rPr>
          <w:b/>
          <w:color w:val="808080"/>
        </w:rPr>
        <w:t>]</w:t>
      </w:r>
      <w:r>
        <w:rPr/>
        <w:t xml:space="preserve"> das Erbteil </w:t>
      </w:r>
      <w:r>
        <w:rPr>
          <w:color w:val="808080"/>
        </w:rPr>
        <w:t>(Erbe)</w:t>
      </w:r>
      <w:r>
        <w:rPr/>
        <w:t xml:space="preserve"> unter allen Geheiligten zu geben.{{field-off:bible}} </w:t>
        <w:br/>
        <w:t>[[@BibleTOBIBLE:Ac 20:33]]</w:t>
      </w:r>
      <w:r>
        <w:rPr>
          <w:b/>
        </w:rPr>
        <w:t>33</w:t>
      </w:r>
      <w:r>
        <w:rPr/>
        <w:t xml:space="preserve"> {{field-on:bible}}Silber oder Gold</w:t>
      </w:r>
      <w:r>
        <w:rPr>
          <w:rStyle w:val="Funotenanker"/>
        </w:rPr>
        <w:footnoteReference w:customMarkFollows="1" w:id="5377"/>
        <w:t>s</w:t>
      </w:r>
      <w:r>
        <w:rPr/>
        <w:t xml:space="preserve"> oder Kleidung habe ich von niemandem verlangt </w:t>
      </w:r>
      <w:r>
        <w:rPr>
          <w:color w:val="808080"/>
        </w:rPr>
        <w:t>(begehrt)</w:t>
      </w:r>
      <w:r>
        <w:rPr/>
        <w:t xml:space="preserve">. </w:t>
      </w:r>
      <w:r>
        <w:rPr>
          <w:rStyle w:val="Funotenanker"/>
        </w:rPr>
        <w:footnoteReference w:customMarkFollows="1" w:id="5378"/>
        <w:t>t</w:t>
      </w:r>
      <w:r>
        <w:rPr/>
        <w:t xml:space="preserve"> {{field-off:bible}} </w:t>
        <w:br/>
        <w:t>[[@BibleTOBIBLE:Ac 20:34]]</w:t>
      </w:r>
      <w:r>
        <w:rPr>
          <w:b/>
        </w:rPr>
        <w:t>34</w:t>
      </w:r>
      <w:r>
        <w:rPr/>
        <w:t xml:space="preserve"> {{field-on:bible}}Ihr selbst wisst, dass meinen Bedürfnissen und denen, die mit mir waren, diese meine</w:t>
      </w:r>
      <w:r>
        <w:rPr>
          <w:rStyle w:val="Funotenanker"/>
        </w:rPr>
        <w:footnoteReference w:customMarkFollows="1" w:id="5379"/>
        <w:t>u</w:t>
      </w:r>
      <w:r>
        <w:rPr/>
        <w:t xml:space="preserve"> Hände gedient haben.</w:t>
      </w:r>
      <w:r>
        <w:rPr>
          <w:rStyle w:val="Funotenanker"/>
        </w:rPr>
        <w:footnoteReference w:customMarkFollows="1" w:id="5380"/>
        <w:t>v</w:t>
      </w:r>
      <w:r>
        <w:rPr/>
        <w:t xml:space="preserve"> {{field-off:bible}} </w:t>
        <w:br/>
        <w:t>[[@BibleTOBIBLE:Ac 20:35]]</w:t>
      </w:r>
      <w:r>
        <w:rPr>
          <w:b/>
        </w:rPr>
        <w:t>35</w:t>
      </w:r>
      <w:r>
        <w:rPr/>
        <w:t xml:space="preserve"> {{field-on:bible}}Alles habe ich euch gezeigt, dass während man arbeitet </w:t>
      </w:r>
      <w:r>
        <w:rPr>
          <w:color w:val="808080"/>
        </w:rPr>
        <w:t>(sich abmüht)</w:t>
      </w:r>
      <w:r>
        <w:rPr/>
        <w:t>, es</w:t>
      </w:r>
      <w:r>
        <w:rPr>
          <w:rStyle w:val="Funotenanker"/>
        </w:rPr>
        <w:footnoteReference w:customMarkFollows="1" w:id="5381"/>
        <w:t>w</w:t>
      </w:r>
      <w:r>
        <w:rPr/>
        <w:t xml:space="preserve"> notwendig ist, den Schwachen </w:t>
      </w:r>
      <w:r>
        <w:rPr>
          <w:color w:val="808080"/>
        </w:rPr>
        <w:t>(Kranken)</w:t>
      </w:r>
      <w:r>
        <w:rPr/>
        <w:t xml:space="preserve"> zu helfen</w:t>
      </w:r>
      <w:r>
        <w:rPr>
          <w:rStyle w:val="Funotenanker"/>
        </w:rPr>
        <w:footnoteReference w:customMarkFollows="1" w:id="5382"/>
        <w:t>x</w:t>
      </w:r>
      <w:r>
        <w:rPr/>
        <w:t xml:space="preserve"> und das Wort des Herrn Jesu zu erinnern, der selbst sagte: 'Geben ist seliger </w:t>
      </w:r>
      <w:r>
        <w:rPr>
          <w:color w:val="808080"/>
        </w:rPr>
        <w:t>(macht glücklicher)</w:t>
      </w:r>
      <w:r>
        <w:rPr/>
        <w:t xml:space="preserve"> </w:t>
      </w:r>
      <w:r>
        <w:rPr>
          <w:rStyle w:val="Funotenanker"/>
        </w:rPr>
        <w:footnoteReference w:customMarkFollows="1" w:id="5383"/>
        <w:t>y</w:t>
      </w:r>
      <w:r>
        <w:rPr/>
        <w:t xml:space="preserve"> als Nehmen.'</w:t>
      </w:r>
      <w:r>
        <w:rPr>
          <w:rStyle w:val="Funotenanker"/>
        </w:rPr>
        <w:footnoteReference w:customMarkFollows="1" w:id="5384"/>
        <w:t>z</w:t>
      </w:r>
      <w:r>
        <w:rPr/>
        <w:t xml:space="preserve">“{{field-off:bible}} </w:t>
        <w:br/>
        <w:t>[[@BibleTOBIBLE:Ac 20:36]]</w:t>
      </w:r>
      <w:r>
        <w:rPr>
          <w:b/>
        </w:rPr>
        <w:t>36</w:t>
      </w:r>
      <w:r>
        <w:rPr/>
        <w:t xml:space="preserve"> {{field-on:bible}}Und als er das gesagt hatte, kniete er sich hin und betete mit ihnen allen.{{field-off:bible}} </w:t>
        <w:br/>
        <w:t>[[@BibleTOBIBLE:Ac 20:37]]</w:t>
      </w:r>
      <w:r>
        <w:rPr>
          <w:b/>
        </w:rPr>
        <w:t>37</w:t>
      </w:r>
      <w:r>
        <w:rPr/>
        <w:t xml:space="preserve"> {{field-on:bible}}Danach fingen alle laut </w:t>
      </w:r>
      <w:r>
        <w:rPr>
          <w:color w:val="808080"/>
        </w:rPr>
        <w:t>(stark, viel)</w:t>
      </w:r>
      <w:r>
        <w:rPr/>
        <w:t xml:space="preserve"> an zu weinen, sie fielen Paulus um den Hals und küssten ihn immer wieder</w:t>
      </w:r>
      <w:r>
        <w:rPr>
          <w:rStyle w:val="Funotenanker"/>
        </w:rPr>
        <w:footnoteReference w:customMarkFollows="1" w:id="5385"/>
        <w:t>aa</w:t>
      </w:r>
      <w:r>
        <w:rPr/>
        <w:t xml:space="preserve">.{{field-off:bible}} </w:t>
        <w:br/>
        <w:t>[[@BibleTOBIBLE:Ac 20:38]]</w:t>
      </w:r>
      <w:r>
        <w:rPr>
          <w:b/>
        </w:rPr>
        <w:t>38</w:t>
      </w:r>
      <w:r>
        <w:rPr/>
        <w:t xml:space="preserve"> {{field-on:bible}}Am meisten bekümmerte sie </w:t>
      </w:r>
      <w:r>
        <w:rPr>
          <w:strike/>
          <w:color w:val="808080"/>
        </w:rPr>
        <w:t>{das Wort}</w:t>
      </w:r>
      <w:r>
        <w:rPr/>
        <w:t xml:space="preserve">, dass er </w:t>
      </w:r>
      <w:r>
        <w:rPr>
          <w:strike/>
          <w:color w:val="808080"/>
        </w:rPr>
        <w:t>{ihnen}</w:t>
      </w:r>
      <w:r>
        <w:rPr/>
        <w:t xml:space="preserve"> gesagt hatte, dass sie ihn nicht mehr persönlich sehen werden. Dann begleiteten</w:t>
      </w:r>
      <w:r>
        <w:rPr>
          <w:rStyle w:val="Funotenanker"/>
        </w:rPr>
        <w:footnoteReference w:customMarkFollows="1" w:id="5386"/>
        <w:t>ab</w:t>
      </w:r>
      <w:r>
        <w:rPr/>
        <w:t xml:space="preserve"> sie ihn zum Schiff.{{field-off:bible}}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5387"/>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5388"/>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5389"/>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5390"/>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5391"/>
        <w:t>d</w:t>
      </w:r>
      <w:r>
        <w:rPr/>
        <w:t xml:space="preserve"> zum „Sohn Gottes in Macht“</w:t>
      </w:r>
      <w:r>
        <w:rPr>
          <w:rStyle w:val="Funotenanker"/>
        </w:rPr>
        <w:footnoteReference w:customMarkFollows="1" w:id="5392"/>
        <w:t>e</w:t>
      </w:r>
      <w:r>
        <w:rPr/>
        <w:t xml:space="preserve"> eingesetzt </w:t>
      </w:r>
      <w:r>
        <w:rPr>
          <w:color w:val="808080"/>
        </w:rPr>
        <w:t>(erklärt)</w:t>
      </w:r>
      <w:r>
        <w:rPr/>
        <w:t xml:space="preserve"> wurde</w:t>
      </w:r>
      <w:r>
        <w:rPr>
          <w:rStyle w:val="Funotenanker"/>
        </w:rPr>
        <w:footnoteReference w:customMarkFollows="1" w:id="5393"/>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5394"/>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5395"/>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5396"/>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5397"/>
        <w:t>j</w:t>
      </w:r>
      <w:r>
        <w:rPr/>
        <w:t xml:space="preserve">, ist ja </w:t>
      </w:r>
      <w:r>
        <w:rPr>
          <w:color w:val="808080"/>
        </w:rPr>
        <w:t>(nämlich)</w:t>
      </w:r>
      <w:r>
        <w:rPr/>
        <w:t xml:space="preserve"> mein Zeuge, dass ich beständig an euch denke</w:t>
      </w:r>
      <w:r>
        <w:rPr>
          <w:rStyle w:val="Funotenanker"/>
        </w:rPr>
        <w:footnoteReference w:customMarkFollows="1" w:id="5398"/>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5399"/>
        <w:t>l</w:t>
      </w:r>
      <w:r>
        <w:rPr/>
        <w:t xml:space="preserve"> </w:t>
      </w:r>
      <w:r>
        <w:rPr>
          <w:b/>
          <w:color w:val="808080"/>
        </w:rPr>
        <w:t>[</w:t>
      </w:r>
      <w:r>
        <w:rPr/>
        <w:t>darum</w:t>
      </w:r>
      <w:r>
        <w:rPr>
          <w:b/>
          <w:color w:val="808080"/>
        </w:rPr>
        <w:t>]</w:t>
      </w:r>
      <w:r>
        <w:rPr/>
        <w:t xml:space="preserve"> bitte,</w:t>
      </w:r>
      <w:r>
        <w:rPr>
          <w:rStyle w:val="Funotenanker"/>
        </w:rPr>
        <w:footnoteReference w:customMarkFollows="1" w:id="5400"/>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5401"/>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5402"/>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5403"/>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5404"/>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5405"/>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5406"/>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5407"/>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5408"/>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5409"/>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5410"/>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5411"/>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5412"/>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5413"/>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5414"/>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5415"/>
        <w:t>c</w:t>
      </w:r>
      <w:r>
        <w:rPr/>
        <w:t xml:space="preserve"> ihr Unglaube </w:t>
      </w:r>
      <w:r>
        <w:rPr>
          <w:color w:val="808080"/>
        </w:rPr>
        <w:t>(ihre Untreue)</w:t>
      </w:r>
      <w:r>
        <w:rPr/>
        <w:t xml:space="preserve"> die Treue Gottes</w:t>
      </w:r>
      <w:r>
        <w:rPr>
          <w:rStyle w:val="Funotenanker"/>
        </w:rPr>
        <w:footnoteReference w:customMarkFollows="1" w:id="5416"/>
        <w:t>d</w:t>
      </w:r>
      <w:r>
        <w:rPr/>
        <w:t xml:space="preserve"> aufheben?{{field-off:bible}} </w:t>
        <w:br/>
        <w:t>[[@BibleTOBIBLE:Ro 3:4]]</w:t>
      </w:r>
      <w:r>
        <w:rPr>
          <w:b/>
        </w:rPr>
        <w:t>4</w:t>
      </w:r>
      <w:r>
        <w:rPr/>
        <w:t xml:space="preserve"> {{field-on:bible}}Das ist nicht so!</w:t>
      </w:r>
      <w:r>
        <w:rPr>
          <w:rStyle w:val="Funotenanker"/>
        </w:rPr>
        <w:footnoteReference w:customMarkFollows="1" w:id="5417"/>
        <w:t>e</w:t>
      </w:r>
      <w:r>
        <w:rPr/>
        <w:t xml:space="preserve"> Aber es sei </w:t>
      </w:r>
      <w:r>
        <w:rPr>
          <w:b/>
          <w:color w:val="808080"/>
        </w:rPr>
        <w:t>[</w:t>
      </w:r>
      <w:r>
        <w:rPr/>
        <w:t>so</w:t>
      </w:r>
      <w:r>
        <w:rPr>
          <w:b/>
          <w:color w:val="808080"/>
        </w:rPr>
        <w:t>]</w:t>
      </w:r>
      <w:r>
        <w:rPr/>
        <w:t>: Gott ist wahrhaftig</w:t>
      </w:r>
      <w:r>
        <w:rPr>
          <w:rStyle w:val="Funotenanker"/>
        </w:rPr>
        <w:footnoteReference w:customMarkFollows="1" w:id="5418"/>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5419"/>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5420"/>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5421"/>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5422"/>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5423"/>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5424"/>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5425"/>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5426"/>
        <w:t>n</w:t>
      </w:r>
      <w:r>
        <w:rPr/>
        <w:t xml:space="preserve"> aus Glauben und einen Unbeschnittenen</w:t>
      </w:r>
      <w:r>
        <w:rPr>
          <w:rStyle w:val="Funotenanker"/>
        </w:rPr>
        <w:footnoteReference w:customMarkFollows="1" w:id="5427"/>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5428"/>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5429"/>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5430"/>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5431"/>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5432"/>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5433"/>
        <w:t>e</w:t>
      </w:r>
      <w:r>
        <w:rPr/>
        <w:t xml:space="preserve"> Nicht als Beschnittener, sondern als Unbeschnittener;</w:t>
      </w:r>
      <w:r>
        <w:rPr>
          <w:rStyle w:val="Funotenanker"/>
        </w:rPr>
        <w:footnoteReference w:customMarkFollows="1" w:id="5434"/>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5435"/>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5436"/>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5437"/>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5438"/>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5439"/>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5440"/>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5441"/>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5442"/>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5443"/>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5444"/>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5445"/>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5446"/>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5447"/>
        <w:t>Status</w:t>
      </w:r>
      <w:r>
        <w:rPr/>
        <w:t xml:space="preserve"> Als aufgrund von Glauben gerecht Gesprochene</w:t>
      </w:r>
      <w:r>
        <w:rPr>
          <w:rStyle w:val="Funotenanker"/>
        </w:rPr>
        <w:footnoteReference w:customMarkFollows="1" w:id="5448"/>
        <w:t>a</w:t>
      </w:r>
      <w:r>
        <w:rPr/>
        <w:t xml:space="preserve"> nun haben wir Frieden mit</w:t>
      </w:r>
      <w:r>
        <w:rPr>
          <w:rStyle w:val="Funotenanker"/>
        </w:rPr>
        <w:footnoteReference w:customMarkFollows="1" w:id="5449"/>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5450"/>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5451"/>
        <w:t>d</w:t>
      </w:r>
      <w:r>
        <w:rPr/>
        <w:t xml:space="preserve"> Gottes</w:t>
      </w:r>
      <w:r>
        <w:rPr>
          <w:rStyle w:val="Funotenanker"/>
        </w:rPr>
        <w:footnoteReference w:customMarkFollows="1" w:id="5452"/>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5453"/>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5454"/>
        <w:t>g</w:t>
      </w:r>
      <w:r>
        <w:rPr/>
        <w:t xml:space="preserve">, weil die Liebe Gottes ausgegossen </w:t>
      </w:r>
      <w:r>
        <w:rPr>
          <w:strike/>
          <w:color w:val="808080"/>
        </w:rPr>
        <w:t>{worden}</w:t>
      </w:r>
      <w:r>
        <w:rPr/>
        <w:t xml:space="preserve"> ist</w:t>
      </w:r>
      <w:r>
        <w:rPr>
          <w:rStyle w:val="Funotenanker"/>
        </w:rPr>
        <w:footnoteReference w:customMarkFollows="1" w:id="5455"/>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5456"/>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5457"/>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5458"/>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5459"/>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5460"/>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5461"/>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5462"/>
        <w:t>o</w:t>
      </w:r>
      <w:r>
        <w:rPr/>
        <w:t xml:space="preserve"> Gesetz gibt</w:t>
      </w:r>
      <w:r>
        <w:rPr>
          <w:rStyle w:val="Funotenanker"/>
        </w:rPr>
        <w:footnoteReference w:customMarkFollows="1" w:id="5463"/>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5464"/>
        <w:t>q</w:t>
      </w:r>
      <w:r>
        <w:rPr/>
        <w:t xml:space="preserve"> auf die gleiche Weise</w:t>
      </w:r>
      <w:r>
        <w:rPr>
          <w:rStyle w:val="Funotenanker"/>
        </w:rPr>
        <w:footnoteReference w:customMarkFollows="1" w:id="5465"/>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5466"/>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5467"/>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5468"/>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5469"/>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5470"/>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5471"/>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5472"/>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5473"/>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5474"/>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5475"/>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5476"/>
        <w:t>d</w:t>
      </w:r>
      <w:r>
        <w:rPr/>
        <w:t xml:space="preserve"> </w:t>
      </w:r>
      <w:r>
        <w:rPr>
          <w:color w:val="808080"/>
        </w:rPr>
        <w:t>)</w:t>
      </w:r>
      <w:r>
        <w:rPr/>
        <w:t>, dass ihr einerseits Tote seid</w:t>
      </w:r>
      <w:r>
        <w:rPr>
          <w:rStyle w:val="Funotenanker"/>
        </w:rPr>
        <w:footnoteReference w:customMarkFollows="1" w:id="5477"/>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5478"/>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5479"/>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5480"/>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5481"/>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5482"/>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5483"/>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5484"/>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5485"/>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5486"/>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5487"/>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5488"/>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5489"/>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8:28]]</w:t>
      </w:r>
      <w:r>
        <w:rPr>
          <w:b/>
        </w:rPr>
        <w:t>28</w:t>
      </w:r>
      <w:r>
        <w:rPr/>
        <w:t xml:space="preserve"> {{field-on:bible}} </w:t>
      </w:r>
      <w:r>
        <w:rPr>
          <w:rStyle w:val="Funotenanker"/>
        </w:rPr>
        <w:footnoteReference w:customMarkFollows="1" w:id="5490"/>
        <w:t>Status</w:t>
      </w:r>
      <w:r>
        <w:rPr/>
        <w:t xml:space="preserve"> Und </w:t>
      </w:r>
      <w:r>
        <w:rPr>
          <w:color w:val="808080"/>
        </w:rPr>
        <w:t>(aber)</w:t>
      </w:r>
      <w:r>
        <w:rPr/>
        <w:t xml:space="preserve"> </w:t>
      </w:r>
      <w:r>
        <w:rPr>
          <w:rStyle w:val="Funotenanker"/>
        </w:rPr>
        <w:footnoteReference w:customMarkFollows="1" w:id="5491"/>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5492"/>
        <w:t>i</w:t>
      </w:r>
      <w:r>
        <w:rPr/>
        <w:t xml:space="preserve"> alle Dinge </w:t>
      </w:r>
      <w:r>
        <w:rPr>
          <w:color w:val="808080"/>
        </w:rPr>
        <w:t>(alles)</w:t>
      </w:r>
      <w:r>
        <w:rPr/>
        <w:t xml:space="preserve"> zum Guten</w:t>
      </w:r>
      <w:r>
        <w:rPr>
          <w:rStyle w:val="Funotenanker"/>
        </w:rPr>
        <w:footnoteReference w:customMarkFollows="1" w:id="5493"/>
        <w:t>j</w:t>
      </w:r>
      <w:r>
        <w:rPr/>
        <w:t xml:space="preserve"> zusammenwirken</w:t>
      </w:r>
      <w:r>
        <w:rPr>
          <w:rStyle w:val="Funotenanker"/>
        </w:rPr>
        <w:footnoteReference w:customMarkFollows="1" w:id="5494"/>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5495"/>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5496"/>
        <w:t>m</w:t>
      </w:r>
      <w:r>
        <w:rPr/>
        <w:t xml:space="preserve"> er vorher kannte</w:t>
      </w:r>
      <w:r>
        <w:rPr>
          <w:rStyle w:val="Funotenanker"/>
        </w:rPr>
        <w:footnoteReference w:customMarkFollows="1" w:id="5497"/>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5498"/>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5499"/>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5500"/>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5501"/>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5502"/>
        <w:t>c</w:t>
      </w:r>
      <w:r>
        <w:rPr/>
        <w:t>? Denn nicht alle, die aus Israel sind</w:t>
      </w:r>
      <w:r>
        <w:rPr>
          <w:rStyle w:val="Funotenanker"/>
        </w:rPr>
        <w:footnoteReference w:customMarkFollows="1" w:id="5503"/>
        <w:t>d</w:t>
      </w:r>
      <w:r>
        <w:rPr/>
        <w:t xml:space="preserve">, diese </w:t>
      </w:r>
      <w:r>
        <w:rPr>
          <w:b/>
          <w:color w:val="808080"/>
        </w:rPr>
        <w:t>[</w:t>
      </w:r>
      <w:r>
        <w:rPr/>
        <w:t>sind</w:t>
      </w:r>
      <w:r>
        <w:rPr>
          <w:b/>
          <w:color w:val="808080"/>
        </w:rPr>
        <w:t>]</w:t>
      </w:r>
      <w:r>
        <w:rPr/>
        <w:t xml:space="preserve"> Israel</w:t>
      </w:r>
      <w:r>
        <w:rPr>
          <w:rStyle w:val="Funotenanker"/>
        </w:rPr>
        <w:footnoteReference w:customMarkFollows="1" w:id="5504"/>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5505"/>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5506"/>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5507"/>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5508"/>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5509"/>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5510"/>
        <w:t>k</w:t>
      </w:r>
      <w:r>
        <w:rPr/>
        <w:t xml:space="preserve"> wurde zu ihr gesprochen: „Der Größere wird/soll dem Geringeren Sklave sein </w:t>
      </w:r>
      <w:r>
        <w:rPr>
          <w:color w:val="808080"/>
        </w:rPr>
        <w:t>(dienen)</w:t>
      </w:r>
      <w:r>
        <w:rPr/>
        <w:t>“</w:t>
      </w:r>
      <w:r>
        <w:rPr>
          <w:rStyle w:val="Funotenanker"/>
        </w:rPr>
        <w:footnoteReference w:customMarkFollows="1" w:id="5511"/>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5512"/>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5513"/>
        <w:t>n</w:t>
      </w:r>
      <w:r>
        <w:rPr/>
        <w:t xml:space="preserve">? Ist </w:t>
      </w:r>
      <w:r>
        <w:rPr>
          <w:color w:val="808080"/>
        </w:rPr>
        <w:t>(Herrscht)</w:t>
      </w:r>
      <w:r>
        <w:rPr/>
        <w:t xml:space="preserve"> etwa Ungerechtigkeit bei Gott? So möge es nicht geschehen</w:t>
      </w:r>
      <w:r>
        <w:rPr>
          <w:rStyle w:val="Funotenanker"/>
        </w:rPr>
        <w:footnoteReference w:customMarkFollows="1" w:id="5514"/>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5515"/>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5516"/>
        <w:t>q</w:t>
      </w:r>
      <w:r>
        <w:rPr/>
        <w:t>, sondern vom erbarmenden Gott ab</w:t>
      </w:r>
      <w:r>
        <w:rPr>
          <w:rStyle w:val="Funotenanker"/>
        </w:rPr>
        <w:footnoteReference w:customMarkFollows="1" w:id="5517"/>
        <w:t>r</w:t>
      </w:r>
      <w:r>
        <w:rPr/>
        <w:t xml:space="preserve">.{{field-off:bible}} </w:t>
        <w:br/>
        <w:t>[[@BibleTOBIBLE:Ro 9:17]]</w:t>
      </w:r>
      <w:r>
        <w:rPr>
          <w:b/>
        </w:rPr>
        <w:t>17</w:t>
      </w:r>
      <w:r>
        <w:rPr/>
        <w:t xml:space="preserve"> {{field-on:bible}}Denn die Schrift sagt zum Pharao: „Eben dazu</w:t>
      </w:r>
      <w:r>
        <w:rPr>
          <w:rStyle w:val="Funotenanker"/>
        </w:rPr>
        <w:footnoteReference w:customMarkFollows="1" w:id="5518"/>
        <w:t>s</w:t>
      </w:r>
      <w:r>
        <w:rPr/>
        <w:t xml:space="preserve"> habe ich dich in Erscheinung treten lassen</w:t>
      </w:r>
      <w:r>
        <w:rPr>
          <w:rStyle w:val="Funotenanker"/>
        </w:rPr>
        <w:footnoteReference w:customMarkFollows="1" w:id="5519"/>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5520"/>
        <w:t>u</w:t>
      </w:r>
      <w:r>
        <w:rPr/>
        <w:t xml:space="preserve"> {{field-off:bible}} </w:t>
        <w:br/>
        <w:t>[[@BibleTOBIBLE:Ro 9:18]]</w:t>
      </w:r>
      <w:r>
        <w:rPr>
          <w:b/>
        </w:rPr>
        <w:t>18</w:t>
      </w:r>
      <w:r>
        <w:rPr/>
        <w:t xml:space="preserve"> {{field-on:bible}}Also</w:t>
      </w:r>
      <w:r>
        <w:rPr>
          <w:rStyle w:val="Funotenanker"/>
        </w:rPr>
        <w:footnoteReference w:customMarkFollows="1" w:id="5521"/>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5522"/>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5523"/>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5524"/>
        <w:t>y</w:t>
      </w:r>
      <w:r>
        <w:rPr/>
        <w:t>, oh Mensch</w:t>
      </w:r>
      <w:r>
        <w:rPr>
          <w:rStyle w:val="Funotenanker"/>
        </w:rPr>
        <w:footnoteReference w:customMarkFollows="1" w:id="5525"/>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5526"/>
        <w:t>aa</w:t>
      </w:r>
      <w:r>
        <w:rPr/>
        <w:t xml:space="preserve">, antworten lassend </w:t>
      </w:r>
      <w:r>
        <w:rPr>
          <w:rStyle w:val="Funotenanker"/>
        </w:rPr>
        <w:footnoteReference w:customMarkFollows="1" w:id="5527"/>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5528"/>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5529"/>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5530"/>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5531"/>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5532"/>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5533"/>
        <w:t>ah</w:t>
      </w:r>
      <w:r>
        <w:rPr/>
        <w:t xml:space="preserve"> Geliebte</w:t>
      </w:r>
      <w:r>
        <w:rPr>
          <w:rStyle w:val="Funotenanker"/>
        </w:rPr>
        <w:footnoteReference w:customMarkFollows="1" w:id="5534"/>
        <w:t>ai</w:t>
      </w:r>
      <w:r>
        <w:rPr/>
        <w:t>.“</w:t>
      </w:r>
      <w:r>
        <w:rPr>
          <w:rStyle w:val="Funotenanker"/>
        </w:rPr>
        <w:footnoteReference w:customMarkFollows="1" w:id="5535"/>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5536"/>
        <w:t>ak</w:t>
      </w:r>
      <w:r>
        <w:rPr/>
        <w:t xml:space="preserve"> gerufen </w:t>
      </w:r>
      <w:r>
        <w:rPr>
          <w:color w:val="808080"/>
        </w:rPr>
        <w:t>(genannt)</w:t>
      </w:r>
      <w:r>
        <w:rPr/>
        <w:t xml:space="preserve"> werden</w:t>
      </w:r>
      <w:r>
        <w:rPr>
          <w:rStyle w:val="Funotenanker"/>
        </w:rPr>
        <w:footnoteReference w:customMarkFollows="1" w:id="5537"/>
        <w:t>al</w:t>
      </w:r>
      <w:r>
        <w:rPr/>
        <w:t>.“</w:t>
      </w:r>
      <w:r>
        <w:rPr>
          <w:rStyle w:val="Funotenanker"/>
        </w:rPr>
        <w:footnoteReference w:customMarkFollows="1" w:id="5538"/>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5539"/>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5540"/>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5541"/>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5542"/>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5543"/>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5544"/>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5545"/>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5546"/>
        <w:t>au</w:t>
      </w:r>
      <w:r>
        <w:rPr/>
        <w:t xml:space="preserve">, und wer an </w:t>
      </w:r>
      <w:r>
        <w:rPr>
          <w:color w:val="808080"/>
        </w:rPr>
        <w:t>(auf)</w:t>
      </w:r>
      <w:r>
        <w:rPr/>
        <w:t xml:space="preserve"> ihn glaubt</w:t>
      </w:r>
      <w:r>
        <w:rPr>
          <w:rStyle w:val="Funotenanker"/>
        </w:rPr>
        <w:footnoteReference w:customMarkFollows="1" w:id="5547"/>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10]]Kapitel 10</w:t>
      </w:r>
    </w:p>
    <w:p>
      <w:pPr>
        <w:pStyle w:val="Textkrper"/>
        <w:rPr/>
      </w:pPr>
      <w:r>
        <w:rPr/>
        <w:br/>
        <w:t>[[@BibleTOBIBLE:Ro 10:1]]</w:t>
      </w:r>
      <w:r>
        <w:rPr>
          <w:b/>
        </w:rPr>
        <w:t>1</w:t>
      </w:r>
      <w:r>
        <w:rPr/>
        <w:t xml:space="preserve"> {{field-on:bible}}Brüder, der Wunsch </w:t>
      </w:r>
      <w:r>
        <w:rPr>
          <w:strike/>
          <w:color w:val="808080"/>
        </w:rPr>
        <w:t>{zwar}</w:t>
      </w:r>
      <w:r>
        <w:rPr/>
        <w:t xml:space="preserve"> meines Herzens und das Gebet zu Gott für sie </w:t>
      </w:r>
      <w:r>
        <w:rPr>
          <w:b/>
          <w:color w:val="808080"/>
        </w:rPr>
        <w:t>[</w:t>
      </w:r>
      <w:r>
        <w:rPr/>
        <w:t>ist</w:t>
      </w:r>
      <w:r>
        <w:rPr>
          <w:b/>
          <w:color w:val="808080"/>
        </w:rPr>
        <w:t>]</w:t>
      </w:r>
      <w:r>
        <w:rPr/>
        <w:t xml:space="preserve"> </w:t>
      </w:r>
      <w:r>
        <w:rPr>
          <w:strike/>
          <w:color w:val="808080"/>
        </w:rPr>
        <w:t>{für, (in)}</w:t>
      </w:r>
      <w:r>
        <w:rPr/>
        <w:t xml:space="preserve"> ihre Rettung.{{field-off:bible}} </w:t>
        <w:br/>
        <w:t>[[@BibleTOBIBLE:Ro 10:2]]</w:t>
      </w:r>
      <w:r>
        <w:rPr>
          <w:b/>
        </w:rPr>
        <w:t>2</w:t>
      </w:r>
      <w:r>
        <w:rPr/>
        <w:t xml:space="preserve"> {{field-on:bible}}Ich bezeuge nämlich über sie </w:t>
      </w:r>
      <w:r>
        <w:rPr>
          <w:color w:val="808080"/>
        </w:rPr>
        <w:t>(ihnen)</w:t>
      </w:r>
      <w:r>
        <w:rPr/>
        <w:t xml:space="preserve">, dass sie Eifer Gottes </w:t>
      </w:r>
      <w:r>
        <w:rPr>
          <w:color w:val="808080"/>
        </w:rPr>
        <w:t>(für Gott)</w:t>
      </w:r>
      <w:r>
        <w:rPr/>
        <w:t xml:space="preserve"> haben – aber ohne Erkenntnis </w:t>
      </w:r>
      <w:r>
        <w:rPr>
          <w:color w:val="808080"/>
        </w:rPr>
        <w:t xml:space="preserve">(nicht gemäß </w:t>
      </w:r>
      <w:r>
        <w:rPr>
          <w:b/>
          <w:color w:val="808080"/>
        </w:rPr>
        <w:t>[</w:t>
      </w:r>
      <w:r>
        <w:rPr>
          <w:color w:val="808080"/>
        </w:rPr>
        <w:t>der</w:t>
      </w:r>
      <w:r>
        <w:rPr>
          <w:b/>
          <w:color w:val="808080"/>
        </w:rPr>
        <w:t>]</w:t>
      </w:r>
      <w:r>
        <w:rPr>
          <w:color w:val="808080"/>
        </w:rPr>
        <w:t xml:space="preserve"> Erkenntnis)</w:t>
      </w:r>
      <w:r>
        <w:rPr/>
        <w:t xml:space="preserve">:{{field-off:bible}} </w:t>
        <w:br/>
        <w:t>[[@BibleTOBIBLE:Ro 10:3]]</w:t>
      </w:r>
      <w:r>
        <w:rPr>
          <w:b/>
        </w:rPr>
        <w:t>3</w:t>
      </w:r>
      <w:r>
        <w:rPr/>
        <w:t xml:space="preserve"> {{field-on:bible}}Indem sie nämlich die Gerechtigkeit Gottes nicht kennen </w:t>
      </w:r>
      <w:r>
        <w:rPr>
          <w:color w:val="808080"/>
        </w:rPr>
        <w:t>(verkennen)</w:t>
      </w:r>
      <w:r>
        <w:rPr/>
        <w:t xml:space="preserve"> und die eigene Gerechtigkeit aufzurichten suchen, haben sie sich der Gerechtigkeit Gottes nicht unterworfen.{{field-off:bible}} </w:t>
        <w:br/>
        <w:t>[[@BibleTOBIBLE:Ro 10:4]]</w:t>
      </w:r>
      <w:r>
        <w:rPr>
          <w:b/>
        </w:rPr>
        <w:t>4</w:t>
      </w:r>
      <w:r>
        <w:rPr/>
        <w:t xml:space="preserve"> {{field-on:bible}}Vollendung </w:t>
      </w:r>
      <w:r>
        <w:rPr>
          <w:color w:val="808080"/>
        </w:rPr>
        <w:t>(Ziel, Ende)</w:t>
      </w:r>
      <w:r>
        <w:rPr/>
        <w:t xml:space="preserve"> nämlich des Gesetzes </w:t>
      </w:r>
      <w:r>
        <w:rPr>
          <w:b/>
          <w:color w:val="808080"/>
        </w:rPr>
        <w:t>[</w:t>
      </w:r>
      <w:r>
        <w:rPr/>
        <w:t>ist</w:t>
      </w:r>
      <w:r>
        <w:rPr>
          <w:b/>
          <w:color w:val="808080"/>
        </w:rPr>
        <w:t>]</w:t>
      </w:r>
      <w:r>
        <w:rPr/>
        <w:t xml:space="preserve"> Christus, hin zu </w:t>
      </w:r>
      <w:r>
        <w:rPr>
          <w:color w:val="808080"/>
        </w:rPr>
        <w:t>(in)</w:t>
      </w:r>
      <w:r>
        <w:rPr/>
        <w:t xml:space="preserve"> Gerechtigkeit für einen jeden, der glaubt.{{field-off:bible}} </w:t>
        <w:br/>
        <w:t>[[@BibleTOBIBLE:Ro 10:5]]</w:t>
      </w:r>
      <w:r>
        <w:rPr>
          <w:b/>
        </w:rPr>
        <w:t>5</w:t>
      </w:r>
      <w:r>
        <w:rPr/>
        <w:t xml:space="preserve"> {{field-on:bible}}Moses nämlich schreibt </w:t>
      </w:r>
      <w:r>
        <w:rPr>
          <w:b/>
          <w:color w:val="808080"/>
        </w:rPr>
        <w:t>[</w:t>
      </w:r>
      <w:r>
        <w:rPr/>
        <w:t>über</w:t>
      </w:r>
      <w:r>
        <w:rPr>
          <w:b/>
          <w:color w:val="808080"/>
        </w:rPr>
        <w:t>]</w:t>
      </w:r>
      <w:r>
        <w:rPr/>
        <w:t xml:space="preserve"> die Gerechtigkeit</w:t>
      </w:r>
      <w:r>
        <w:rPr>
          <w:strike/>
          <w:color w:val="808080"/>
        </w:rPr>
        <w:t>{, die}</w:t>
      </w:r>
      <w:r>
        <w:rPr/>
        <w:t xml:space="preserve"> aus dem Gesetz: </w:t>
      </w:r>
      <w:r>
        <w:rPr>
          <w:strike/>
          <w:color w:val="808080"/>
        </w:rPr>
        <w:t>{dass}</w:t>
      </w:r>
      <w:r>
        <w:rPr/>
        <w:t xml:space="preserve"> „Der Mensch, der dies </w:t>
      </w:r>
      <w:r>
        <w:rPr>
          <w:color w:val="808080"/>
        </w:rPr>
        <w:t>(diese Dinge)</w:t>
      </w:r>
      <w:r>
        <w:rPr/>
        <w:t xml:space="preserve"> tut, wird ihretwegen </w:t>
      </w:r>
      <w:r>
        <w:rPr>
          <w:color w:val="808080"/>
        </w:rPr>
        <w:t>(in ihnen)</w:t>
      </w:r>
      <w:r>
        <w:rPr/>
        <w:t xml:space="preserve"> leben.“</w:t>
      </w:r>
      <w:r>
        <w:rPr>
          <w:rStyle w:val="Funotenanker"/>
        </w:rPr>
        <w:footnoteReference w:customMarkFollows="1" w:id="5548"/>
        <w:t>a</w:t>
      </w:r>
      <w:r>
        <w:rPr/>
        <w:t xml:space="preserve"> {{field-off:bible}} </w:t>
        <w:br/>
        <w:t>[[@BibleTOBIBLE:Ro 10:6]]</w:t>
      </w:r>
      <w:r>
        <w:rPr>
          <w:b/>
        </w:rPr>
        <w:t>6</w:t>
      </w:r>
      <w:r>
        <w:rPr/>
        <w:t xml:space="preserve"> {{field-on:bible}}Die Gerechtigkeit aber aus dem Glauben sagt: „Sag nicht in deinem Herzen</w:t>
      </w:r>
      <w:r>
        <w:rPr>
          <w:rStyle w:val="Funotenanker"/>
        </w:rPr>
        <w:footnoteReference w:customMarkFollows="1" w:id="5549"/>
        <w:t>b</w:t>
      </w:r>
      <w:r>
        <w:rPr/>
        <w:t>: »Wer wird in den Himmel hinaufsteigen?«“</w:t>
      </w:r>
      <w:r>
        <w:rPr>
          <w:rStyle w:val="Funotenanker"/>
        </w:rPr>
        <w:footnoteReference w:customMarkFollows="1" w:id="5550"/>
        <w:t>c</w:t>
      </w:r>
      <w:r>
        <w:rPr/>
        <w:t xml:space="preserve"> – Das heißt </w:t>
      </w:r>
      <w:r>
        <w:rPr>
          <w:color w:val="808080"/>
        </w:rPr>
        <w:t>(ist)</w:t>
      </w:r>
      <w:r>
        <w:rPr/>
        <w:t xml:space="preserve">, um Christus herabzuholen </w:t>
      </w:r>
      <w:r>
        <w:rPr>
          <w:color w:val="808080"/>
        </w:rPr>
        <w:t>(herabzuführen)</w:t>
      </w:r>
      <w:r>
        <w:rPr/>
        <w:t xml:space="preserve">. –{{field-off:bible}} </w:t>
        <w:br/>
        <w:t>[[@BibleTOBIBLE:Ro 10:7]]</w:t>
      </w:r>
      <w:r>
        <w:rPr>
          <w:b/>
        </w:rPr>
        <w:t>7</w:t>
      </w:r>
      <w:r>
        <w:rPr/>
        <w:t xml:space="preserve"> {{field-on:bible}}„Oder: »Wer wird in den Abgrund herabsteigen?«</w:t>
      </w:r>
      <w:r>
        <w:rPr>
          <w:rStyle w:val="Funotenanker"/>
        </w:rPr>
        <w:footnoteReference w:customMarkFollows="1" w:id="5551"/>
        <w:t>d</w:t>
      </w:r>
      <w:r>
        <w:rPr/>
        <w:t xml:space="preserve">“ – Das heißt </w:t>
      </w:r>
      <w:r>
        <w:rPr>
          <w:color w:val="808080"/>
        </w:rPr>
        <w:t>(ist)</w:t>
      </w:r>
      <w:r>
        <w:rPr/>
        <w:t xml:space="preserve">, um Christus von </w:t>
      </w:r>
      <w:r>
        <w:rPr>
          <w:color w:val="808080"/>
        </w:rPr>
        <w:t>(aus)</w:t>
      </w:r>
      <w:r>
        <w:rPr/>
        <w:t xml:space="preserve"> den Toten heraufzuholen </w:t>
      </w:r>
      <w:r>
        <w:rPr>
          <w:color w:val="808080"/>
        </w:rPr>
        <w:t>(heraufzuführen)</w:t>
      </w:r>
      <w:r>
        <w:rPr/>
        <w:t xml:space="preserve">. –{{field-off:bible}} </w:t>
        <w:br/>
        <w:t>[[@BibleTOBIBLE:Ro 10:8]]</w:t>
      </w:r>
      <w:r>
        <w:rPr>
          <w:b/>
        </w:rPr>
        <w:t>8</w:t>
      </w:r>
      <w:r>
        <w:rPr/>
        <w:t xml:space="preserve"> {{field-on:bible}}Aber was sagt sie</w:t>
      </w:r>
      <w:r>
        <w:rPr>
          <w:rStyle w:val="Funotenanker"/>
        </w:rPr>
        <w:footnoteReference w:customMarkFollows="1" w:id="5552"/>
        <w:t>e</w:t>
      </w:r>
      <w:r>
        <w:rPr/>
        <w:t>? „Dir nahe ist das Wort, in deinem Mund und in deinem Herzen“</w:t>
      </w:r>
      <w:r>
        <w:rPr>
          <w:rStyle w:val="Funotenanker"/>
        </w:rPr>
        <w:footnoteReference w:customMarkFollows="1" w:id="5553"/>
        <w:t>f</w:t>
      </w:r>
      <w:r>
        <w:rPr/>
        <w:t xml:space="preserve"> – Das heißt </w:t>
      </w:r>
      <w:r>
        <w:rPr>
          <w:color w:val="808080"/>
        </w:rPr>
        <w:t>(ist)</w:t>
      </w:r>
      <w:r>
        <w:rPr/>
        <w:t xml:space="preserve">, das Wort des Glaubens, das wir verkünden.{{field-off:bible}} </w:t>
        <w:br/>
        <w:t>[[@BibleTOBIBLE:Ro 10:9]]</w:t>
      </w:r>
      <w:r>
        <w:rPr>
          <w:b/>
        </w:rPr>
        <w:t>9</w:t>
      </w:r>
      <w:r>
        <w:rPr/>
        <w:t xml:space="preserve"> {{field-on:bible}}Denn wenn du mit deinem Mund bekennst, dass Jesus Herr ist, und in deinem Herzen glaubst, dass Gott ihn von </w:t>
      </w:r>
      <w:r>
        <w:rPr>
          <w:color w:val="808080"/>
        </w:rPr>
        <w:t>(aus)</w:t>
      </w:r>
      <w:r>
        <w:rPr/>
        <w:t xml:space="preserve"> den Toten auferweckt hat, wirst du gerettet werden.{{field-off:bible}} </w:t>
        <w:br/>
        <w:t>[[@BibleTOBIBLE:Ro 10:10]]</w:t>
      </w:r>
      <w:r>
        <w:rPr>
          <w:b/>
        </w:rPr>
        <w:t>10</w:t>
      </w:r>
      <w:r>
        <w:rPr/>
        <w:t xml:space="preserve"> {{field-on:bible}}Mit dem Herzen nämlich wird geglaubt </w:t>
      </w:r>
      <w:r>
        <w:rPr>
          <w:color w:val="808080"/>
        </w:rPr>
        <w:t>(glaubt man)</w:t>
      </w:r>
      <w:r>
        <w:rPr/>
        <w:t xml:space="preserve"> hin zu Gerechtigkeit, mit dem Mund aber wird bekannt </w:t>
      </w:r>
      <w:r>
        <w:rPr>
          <w:color w:val="808080"/>
        </w:rPr>
        <w:t>(bekennt man)</w:t>
      </w:r>
      <w:r>
        <w:rPr/>
        <w:t xml:space="preserve"> hin zu Rettung.{{field-off:bible}} </w:t>
        <w:br/>
        <w:t>[[@BibleTOBIBLE:Ro 10:11]]</w:t>
      </w:r>
      <w:r>
        <w:rPr>
          <w:b/>
        </w:rPr>
        <w:t>11</w:t>
      </w:r>
      <w:r>
        <w:rPr/>
        <w:t xml:space="preserve"> {{field-on:bible}}Es sagt nämlich die Schrift: „Jeder, der an ihn glaubt, wird nicht zuschanden </w:t>
      </w:r>
      <w:r>
        <w:rPr>
          <w:color w:val="808080"/>
        </w:rPr>
        <w:t>(beschämt)</w:t>
      </w:r>
      <w:r>
        <w:rPr/>
        <w:t xml:space="preserve"> werden“ </w:t>
      </w:r>
      <w:r>
        <w:rPr>
          <w:rStyle w:val="Funotenanker"/>
        </w:rPr>
        <w:footnoteReference w:customMarkFollows="1" w:id="5554"/>
        <w:t>g</w:t>
      </w:r>
      <w:r>
        <w:rPr/>
        <w:t xml:space="preserve"> {{field-off:bible}} </w:t>
        <w:br/>
        <w:t>[[@BibleTOBIBLE:Ro 10:12]]</w:t>
      </w:r>
      <w:r>
        <w:rPr>
          <w:b/>
        </w:rPr>
        <w:t>12</w:t>
      </w:r>
      <w:r>
        <w:rPr/>
        <w:t xml:space="preserve"> {{field-on:bible}}Es gibt </w:t>
      </w:r>
      <w:r>
        <w:rPr>
          <w:color w:val="808080"/>
        </w:rPr>
        <w:t>(ist)</w:t>
      </w:r>
      <w:r>
        <w:rPr/>
        <w:t xml:space="preserve"> nämlich keinen </w:t>
      </w:r>
      <w:r>
        <w:rPr>
          <w:color w:val="808080"/>
        </w:rPr>
        <w:t>(kein)</w:t>
      </w:r>
      <w:r>
        <w:rPr/>
        <w:t xml:space="preserve"> Unterschied zwischen einem </w:t>
      </w:r>
      <w:r>
        <w:rPr>
          <w:color w:val="808080"/>
        </w:rPr>
        <w:t>(eines)</w:t>
      </w:r>
      <w:r>
        <w:rPr/>
        <w:t xml:space="preserve"> Juden und einem </w:t>
      </w:r>
      <w:r>
        <w:rPr>
          <w:color w:val="808080"/>
        </w:rPr>
        <w:t>(eines)</w:t>
      </w:r>
      <w:r>
        <w:rPr/>
        <w:t xml:space="preserve"> Griechen, denn derselbe </w:t>
      </w:r>
      <w:r>
        <w:rPr>
          <w:b/>
          <w:color w:val="808080"/>
        </w:rPr>
        <w:t>[</w:t>
      </w:r>
      <w:r>
        <w:rPr>
          <w:color w:val="808080"/>
        </w:rPr>
        <w:t>(Herr)</w:t>
      </w:r>
      <w:r>
        <w:rPr/>
        <w:t xml:space="preserve"> ist</w:t>
      </w:r>
      <w:r>
        <w:rPr>
          <w:b/>
          <w:color w:val="808080"/>
        </w:rPr>
        <w:t>]</w:t>
      </w:r>
      <w:r>
        <w:rPr/>
        <w:t xml:space="preserve"> Herr aller, reich </w:t>
      </w:r>
      <w:r>
        <w:rPr>
          <w:strike/>
          <w:color w:val="808080"/>
        </w:rPr>
        <w:t>{seiend}</w:t>
      </w:r>
      <w:r>
        <w:rPr/>
        <w:t xml:space="preserve"> für alle, die ihn anrufen.{{field-off:bible}} </w:t>
        <w:br/>
        <w:t>[[@BibleTOBIBLE:Ro 10:13]]</w:t>
      </w:r>
      <w:r>
        <w:rPr>
          <w:b/>
        </w:rPr>
        <w:t>13</w:t>
      </w:r>
      <w:r>
        <w:rPr/>
        <w:t xml:space="preserve"> {{field-on:bible}}Jeder nämlich, „der den Namen des Herrn anruft, wird gerettet werden“ </w:t>
      </w:r>
      <w:r>
        <w:rPr>
          <w:rStyle w:val="Funotenanker"/>
        </w:rPr>
        <w:footnoteReference w:customMarkFollows="1" w:id="5555"/>
        <w:t>h</w:t>
      </w:r>
      <w:r>
        <w:rPr/>
        <w:t xml:space="preserve">.{{field-off:bible}} </w:t>
      </w:r>
    </w:p>
    <w:p>
      <w:pPr>
        <w:pStyle w:val="Berschrift3"/>
        <w:rPr/>
      </w:pPr>
      <w:r>
        <w:rPr/>
        <w:t>[[@BibleTOBIBLE:Ro 11]]Kapitel 11</w:t>
      </w:r>
    </w:p>
    <w:p>
      <w:pPr>
        <w:pStyle w:val="Textkrper"/>
        <w:rPr/>
      </w:pPr>
      <w:r>
        <w:rPr/>
        <w:br/>
        <w:t>[[@BibleTOBIBLE:Ro 11:25]]</w:t>
      </w:r>
      <w:r>
        <w:rPr>
          <w:b/>
        </w:rPr>
        <w:t>25</w:t>
      </w:r>
      <w:r>
        <w:rPr/>
        <w:t xml:space="preserve"> {{field-on:bible}}Denn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12:21]]</w:t>
      </w:r>
      <w:r>
        <w:rPr>
          <w:b/>
        </w:rPr>
        <w:t>21</w:t>
      </w:r>
      <w:r>
        <w:rPr/>
        <w:t xml:space="preserve"> {{field-on:bible}} </w:t>
      </w:r>
      <w:r>
        <w:rPr>
          <w:rStyle w:val="Funotenanker"/>
        </w:rPr>
        <w:footnoteReference w:customMarkFollows="1" w:id="5556"/>
        <w:t>Status</w:t>
      </w:r>
      <w:r>
        <w:rPr/>
        <w:t xml:space="preserve"> Nicht lasse dich besiegen </w:t>
      </w:r>
      <w:r>
        <w:rPr>
          <w:color w:val="808080"/>
        </w:rPr>
        <w:t>(unterwerfen, bezwingen, überwinden)</w:t>
      </w:r>
      <w:r>
        <w:rPr/>
        <w:t xml:space="preserve"> </w:t>
      </w:r>
      <w:r>
        <w:rPr>
          <w:rStyle w:val="Funotenanker"/>
        </w:rPr>
        <w:footnoteReference w:customMarkFollows="1" w:id="5557"/>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5558"/>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14:7]]</w:t>
      </w:r>
      <w:r>
        <w:rPr>
          <w:b/>
        </w:rPr>
        <w:t>7</w:t>
      </w:r>
      <w:r>
        <w:rPr/>
        <w:t xml:space="preserve"> {{field-on:bible}}Denn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3"/>
        <w:rPr/>
      </w:pPr>
      <w:r>
        <w:rPr/>
        <w:t>[[@BibleTOBIBLE:Ro 15]]Kapitel 15</w:t>
      </w:r>
    </w:p>
    <w:p>
      <w:pPr>
        <w:pStyle w:val="Textkrper"/>
        <w:rPr/>
      </w:pPr>
      <w:r>
        <w:rPr/>
        <w:br/>
        <w:t>[[@BibleTOBIBLE:Ro 15:22]]</w:t>
      </w:r>
      <w:r>
        <w:rPr>
          <w:b/>
        </w:rPr>
        <w:t>22</w:t>
      </w:r>
      <w:r>
        <w:rPr/>
        <w:t xml:space="preserve"> {{field-on:bible}}Darum </w:t>
      </w:r>
      <w:r>
        <w:rPr>
          <w:color w:val="808080"/>
        </w:rPr>
        <w:t>(deshalb)</w:t>
      </w:r>
      <w:r>
        <w:rPr/>
        <w:t xml:space="preserve"> bin ich auch viele Male </w:t>
      </w:r>
      <w:r>
        <w:rPr>
          <w:color w:val="808080"/>
        </w:rPr>
        <w:t>(oft, häufig)</w:t>
      </w:r>
      <w:r>
        <w:rPr/>
        <w:t xml:space="preserve"> </w:t>
      </w:r>
      <w:r>
        <w:rPr>
          <w:color w:val="808080"/>
        </w:rPr>
        <w:t>(daran)</w:t>
      </w:r>
      <w:r>
        <w:rPr/>
        <w:t xml:space="preserve"> gehindert worden, zu euch zu kommen;{{field-off:bible}} </w:t>
        <w:br/>
        <w:t>[[@BibleTOBIBLE:Ro 15:23]]</w:t>
      </w:r>
      <w:r>
        <w:rPr>
          <w:b/>
        </w:rPr>
        <w:t>23</w:t>
      </w:r>
      <w:r>
        <w:rPr/>
        <w:t xml:space="preserve"> {{field-on:bible}}Da ich nun aber keinen Wirkungsraum mehr in dieser Gegend </w:t>
      </w:r>
      <w:r>
        <w:rPr>
          <w:color w:val="808080"/>
        </w:rPr>
        <w:t>(Landstrich)</w:t>
      </w:r>
      <w:r>
        <w:rPr/>
        <w:t xml:space="preserve"> habe</w:t>
      </w:r>
      <w:r>
        <w:rPr>
          <w:rStyle w:val="Funotenanker"/>
        </w:rPr>
        <w:footnoteReference w:customMarkFollows="1" w:id="5559"/>
        <w:t>a</w:t>
      </w:r>
      <w:r>
        <w:rPr/>
        <w:t xml:space="preserve"> </w:t>
      </w:r>
      <w:r>
        <w:rPr>
          <w:b/>
          <w:color w:val="808080"/>
        </w:rPr>
        <w:t>[</w:t>
      </w:r>
      <w:r>
        <w:rPr/>
        <w:t>und</w:t>
      </w:r>
      <w:r>
        <w:rPr>
          <w:b/>
          <w:color w:val="808080"/>
        </w:rPr>
        <w:t>]</w:t>
      </w:r>
      <w:r>
        <w:rPr/>
        <w:t xml:space="preserve"> Sehnsucht </w:t>
      </w:r>
      <w:r>
        <w:rPr>
          <w:color w:val="808080"/>
        </w:rPr>
        <w:t>(Verlangen)</w:t>
      </w:r>
      <w:r>
        <w:rPr/>
        <w:t xml:space="preserve"> habe</w:t>
      </w:r>
      <w:r>
        <w:rPr>
          <w:rStyle w:val="Funotenanker"/>
        </w:rPr>
        <w:footnoteReference w:customMarkFollows="1" w:id="5560"/>
        <w:t>b</w:t>
      </w:r>
      <w:r>
        <w:rPr/>
        <w:t xml:space="preserve"> zu euch zu kommen seit vielen Jahren,{{field-off:bible}} </w:t>
        <w:br/>
        <w:t>[[@BibleTOBIBLE:Ro 15:24]]</w:t>
      </w:r>
      <w:r>
        <w:rPr>
          <w:b/>
        </w:rPr>
        <w:t>24</w:t>
      </w:r>
      <w:r>
        <w:rPr/>
        <w:t xml:space="preserve"> {{field-on:bible}}wenn </w:t>
      </w:r>
      <w:r>
        <w:rPr>
          <w:color w:val="808080"/>
        </w:rPr>
        <w:t>(falls)</w:t>
      </w:r>
      <w:r>
        <w:rPr/>
        <w:t xml:space="preserve"> ich nach Spanien Reisen werde; Denn ich hoffe, wenn ich hindurchgehe </w:t>
      </w:r>
      <w:r>
        <w:rPr>
          <w:color w:val="808080"/>
        </w:rPr>
        <w:t>(hindurchreise, auf der Durchreise bin)</w:t>
      </w:r>
      <w:r>
        <w:rPr/>
        <w:t xml:space="preserve"> </w:t>
      </w:r>
      <w:r>
        <w:rPr>
          <w:rStyle w:val="Funotenanker"/>
        </w:rPr>
        <w:footnoteReference w:customMarkFollows="1" w:id="5561"/>
        <w:t>c</w:t>
      </w:r>
      <w:r>
        <w:rPr/>
        <w:t xml:space="preserve"> euch zu sehen und von euch zur </w:t>
      </w:r>
      <w:r>
        <w:rPr>
          <w:color w:val="808080"/>
        </w:rPr>
        <w:t>(Weiter-)</w:t>
      </w:r>
      <w:r>
        <w:rPr/>
        <w:t xml:space="preserve">Reise ausgesendet </w:t>
      </w:r>
      <w:r>
        <w:rPr>
          <w:color w:val="808080"/>
        </w:rPr>
        <w:t>(ausgestattet, ge- bzw. begleitet)</w:t>
      </w:r>
      <w:r>
        <w:rPr/>
        <w:t xml:space="preserve"> zu werden, nachdem </w:t>
      </w:r>
      <w:r>
        <w:rPr>
          <w:color w:val="808080"/>
        </w:rPr>
        <w:t>(wenn)</w:t>
      </w:r>
      <w:r>
        <w:rPr/>
        <w:t xml:space="preserve"> ich mich an euch zuerst einigermaßen erfreut </w:t>
      </w:r>
      <w:r>
        <w:rPr>
          <w:color w:val="808080"/>
        </w:rPr>
        <w:t>(gestärkt, genossen)</w:t>
      </w:r>
      <w:r>
        <w:rPr/>
        <w:t xml:space="preserve"> habe.{{field-off:bible}} </w:t>
        <w:br/>
        <w:t>[[@BibleTOBIBLE:Ro 15:25]]</w:t>
      </w:r>
      <w:r>
        <w:rPr>
          <w:b/>
        </w:rPr>
        <w:t>25</w:t>
      </w:r>
      <w:r>
        <w:rPr/>
        <w:t xml:space="preserve"> {{field-on:bible}}Nun aber reise ich nach Jerusalem, um den Heiligen zu dienen </w:t>
      </w:r>
      <w:r>
        <w:rPr>
          <w:color w:val="808080"/>
        </w:rPr>
        <w:t>(helfen, unterstützen)</w:t>
      </w:r>
      <w:r>
        <w:rPr/>
        <w:t xml:space="preserve"> </w:t>
      </w:r>
      <w:r>
        <w:rPr>
          <w:rStyle w:val="Funotenanker"/>
        </w:rPr>
        <w:footnoteReference w:customMarkFollows="1" w:id="5562"/>
        <w:t>d</w:t>
      </w:r>
      <w:r>
        <w:rPr/>
        <w:t xml:space="preserve">.{{field-off:bible}} </w:t>
        <w:br/>
        <w:t>[[@BibleTOBIBLE:Ro 15:26]]</w:t>
      </w:r>
      <w:r>
        <w:rPr>
          <w:b/>
        </w:rPr>
        <w:t>26</w:t>
      </w:r>
      <w:r>
        <w:rPr/>
        <w:t xml:space="preserve"> {{field-on:bible}}Denn es haben Wohlgefallen </w:t>
      </w:r>
      <w:r>
        <w:rPr>
          <w:color w:val="808080"/>
        </w:rPr>
        <w:t>(beschlossen)</w:t>
      </w:r>
      <w:r>
        <w:rPr/>
        <w:t xml:space="preserve"> Mazedonien und Achaia eine gewisse </w:t>
      </w:r>
      <w:r>
        <w:rPr>
          <w:color w:val="808080"/>
        </w:rPr>
        <w:t>(bestimmte)</w:t>
      </w:r>
      <w:r>
        <w:rPr/>
        <w:t xml:space="preserve"> Gemeinschaft </w:t>
      </w:r>
      <w:r>
        <w:rPr>
          <w:color w:val="808080"/>
        </w:rPr>
        <w:t>(Spende, Beitrag)</w:t>
      </w:r>
      <w:r>
        <w:rPr/>
        <w:t xml:space="preserve"> durchzuführen </w:t>
      </w:r>
      <w:r>
        <w:rPr>
          <w:color w:val="808080"/>
        </w:rPr>
        <w:t>(zu leisten)</w:t>
      </w:r>
      <w:r>
        <w:rPr/>
        <w:t xml:space="preserve"> für die Armen der </w:t>
      </w:r>
      <w:r>
        <w:rPr>
          <w:color w:val="808080"/>
        </w:rPr>
        <w:t>(unter den)</w:t>
      </w:r>
      <w:r>
        <w:rPr/>
        <w:t xml:space="preserve"> Heiligen in Jerusalem.{{field-off:bible}} </w:t>
        <w:br/>
        <w:t>[[@BibleTOBIBLE:Ro 15:27]]</w:t>
      </w:r>
      <w:r>
        <w:rPr>
          <w:b/>
        </w:rPr>
        <w:t>27</w:t>
      </w:r>
      <w:r>
        <w:rPr/>
        <w:t xml:space="preserve"> {{field-on:bible}}Denn sie haben j auch beschlossen, euer Schuldner zu sein </w:t>
      </w:r>
      <w:r>
        <w:rPr>
          <w:color w:val="808080"/>
        </w:rPr>
        <w:t>(in eurer Schuld zu stehen)</w:t>
      </w:r>
      <w:r>
        <w:rPr/>
        <w:t xml:space="preserve">: denn wenn die Völker an eurem Geistlichen Anteil haben </w:t>
      </w:r>
      <w:r>
        <w:rPr>
          <w:color w:val="808080"/>
        </w:rPr>
        <w:t>(erhalten, nehmen)</w:t>
      </w:r>
      <w:r>
        <w:rPr/>
        <w:t xml:space="preserve">, sind sie auch schuldig in dem Fleischlichen euch zu dienen.{{field-off:bible}} </w:t>
        <w:br/>
        <w:t>[[@BibleTOBIBLE:Ro 15:28]]</w:t>
      </w:r>
      <w:r>
        <w:rPr>
          <w:b/>
        </w:rPr>
        <w:t>28</w:t>
      </w:r>
      <w:r>
        <w:rPr/>
        <w:t xml:space="preserve"> {{field-on:bible}}Wenn ich dies nun zum Abschluss bringe</w:t>
      </w:r>
      <w:r>
        <w:rPr>
          <w:rStyle w:val="Funotenanker"/>
        </w:rPr>
        <w:footnoteReference w:customMarkFollows="1" w:id="5563"/>
        <w:t>e</w:t>
      </w:r>
      <w:r>
        <w:rPr/>
        <w:t xml:space="preserve"> </w:t>
      </w:r>
      <w:r>
        <w:rPr>
          <w:color w:val="808080"/>
        </w:rPr>
        <w:t>(beende)</w:t>
      </w:r>
      <w:r>
        <w:rPr/>
        <w:t xml:space="preserve"> und ihnen diese Frucht versiegelt habe</w:t>
      </w:r>
      <w:r>
        <w:rPr>
          <w:rStyle w:val="Funotenanker"/>
        </w:rPr>
        <w:footnoteReference w:customMarkFollows="1" w:id="5564"/>
        <w:t>f</w:t>
      </w:r>
      <w:r>
        <w:rPr/>
        <w:t xml:space="preserve"> werde ich über euch nach Spanien gehen </w:t>
      </w:r>
      <w:r>
        <w:rPr>
          <w:color w:val="808080"/>
        </w:rPr>
        <w:t>(reisen)</w:t>
      </w:r>
      <w:r>
        <w:rPr/>
        <w:t xml:space="preserve">.{{field-off:bible}} </w:t>
        <w:br/>
        <w:t>[[@BibleTOBIBLE:Ro 15:29]]</w:t>
      </w:r>
      <w:r>
        <w:rPr>
          <w:b/>
        </w:rPr>
        <w:t>29</w:t>
      </w:r>
      <w:r>
        <w:rPr/>
        <w:t xml:space="preserve"> {{field-on:bible}}Ich weiß aber, dass wenn ich zu euch komme</w:t>
      </w:r>
      <w:r>
        <w:rPr>
          <w:rStyle w:val="Funotenanker"/>
        </w:rPr>
        <w:footnoteReference w:customMarkFollows="1" w:id="5565"/>
        <w:t>g</w:t>
      </w:r>
      <w:r>
        <w:rPr/>
        <w:t xml:space="preserve"> ich mit der Fülle des Segens Christi kommen werde.{{field-off:bible}} </w:t>
        <w:br/>
        <w:t>[[@BibleTOBIBLE:Ro 15:30]]</w:t>
      </w:r>
      <w:r>
        <w:rPr>
          <w:b/>
        </w:rPr>
        <w:t>30</w:t>
      </w:r>
      <w:r>
        <w:rPr/>
        <w:t xml:space="preserve"> {{field-on:bible}}Ich bitte </w:t>
      </w:r>
      <w:r>
        <w:rPr>
          <w:color w:val="808080"/>
        </w:rPr>
        <w:t>(ermahne, ermutige, bestärke, fordere auf)</w:t>
      </w:r>
      <w:r>
        <w:rPr/>
        <w:t xml:space="preserve"> euch aber, </w:t>
      </w:r>
      <w:r>
        <w:rPr>
          <w:b/>
          <w:color w:val="808080"/>
        </w:rPr>
        <w:t>[</w:t>
      </w:r>
      <w:r>
        <w:rPr/>
        <w:t>Brüder</w:t>
      </w:r>
      <w:r>
        <w:rPr>
          <w:b/>
          <w:color w:val="808080"/>
        </w:rPr>
        <w:t>]</w:t>
      </w:r>
      <w:r>
        <w:rPr/>
        <w:t xml:space="preserve">, durch unseren Herrn Jesus Christus und durch die Liebe des Geistes gemeinsam mit mir zu kämpfen in eure Gebet für mich </w:t>
      </w:r>
      <w:r>
        <w:rPr>
          <w:color w:val="808080"/>
        </w:rPr>
        <w:t>(mit mir)</w:t>
      </w:r>
      <w:r>
        <w:rPr/>
        <w:t xml:space="preserve"> vor Gott,{{field-off:bible}} </w:t>
        <w:br/>
        <w:t>[[@BibleTOBIBLE:Ro 15:31]]</w:t>
      </w:r>
      <w:r>
        <w:rPr>
          <w:b/>
        </w:rPr>
        <w:t>31</w:t>
      </w:r>
      <w:r>
        <w:rPr/>
        <w:t xml:space="preserve"> {{field-on:bible}}dass ich erretet </w:t>
      </w:r>
      <w:r>
        <w:rPr>
          <w:color w:val="808080"/>
        </w:rPr>
        <w:t>(bewahrt)</w:t>
      </w:r>
      <w:r>
        <w:rPr/>
        <w:t xml:space="preserve"> werde vor den </w:t>
      </w:r>
      <w:r>
        <w:rPr>
          <w:b/>
          <w:color w:val="808080"/>
        </w:rPr>
        <w:t>[</w:t>
      </w:r>
      <w:r>
        <w:rPr/>
        <w:t>Nachstellungen der</w:t>
      </w:r>
      <w:r>
        <w:rPr>
          <w:b/>
          <w:color w:val="808080"/>
        </w:rPr>
        <w:t>]</w:t>
      </w:r>
      <w:r>
        <w:rPr/>
        <w:t xml:space="preserve"> Ungehorsamen</w:t>
      </w:r>
      <w:r>
        <w:rPr>
          <w:rStyle w:val="Funotenanker"/>
        </w:rPr>
        <w:footnoteReference w:customMarkFollows="1" w:id="5566"/>
        <w:t>h</w:t>
      </w:r>
      <w:r>
        <w:rPr/>
        <w:t xml:space="preserve"> in Judäa und </w:t>
      </w:r>
      <w:r>
        <w:rPr>
          <w:b/>
          <w:color w:val="808080"/>
        </w:rPr>
        <w:t>[</w:t>
      </w:r>
      <w:r>
        <w:rPr/>
        <w:t>dass</w:t>
      </w:r>
      <w:r>
        <w:rPr>
          <w:b/>
          <w:color w:val="808080"/>
        </w:rPr>
        <w:t>]</w:t>
      </w:r>
      <w:r>
        <w:rPr/>
        <w:t xml:space="preserve"> mein Dienst in Jerusalem von den Heiligen gut aufgenommen wird,{{field-off:bible}} </w:t>
        <w:br/>
        <w:t>[[@BibleTOBIBLE:Ro 15:32]]</w:t>
      </w:r>
      <w:r>
        <w:rPr>
          <w:b/>
        </w:rPr>
        <w:t>32</w:t>
      </w:r>
      <w:r>
        <w:rPr/>
        <w:t xml:space="preserve"> {{field-on:bible}}dass ich mit Freude zu euch komme</w:t>
      </w:r>
      <w:r>
        <w:rPr>
          <w:rStyle w:val="Funotenanker"/>
        </w:rPr>
        <w:footnoteReference w:customMarkFollows="1" w:id="5567"/>
        <w:t>i</w:t>
      </w:r>
      <w:r>
        <w:rPr/>
        <w:t xml:space="preserve"> wenn Gott es will und mich bei </w:t>
      </w:r>
      <w:r>
        <w:rPr>
          <w:color w:val="808080"/>
        </w:rPr>
        <w:t>(mit)</w:t>
      </w:r>
      <w:r>
        <w:rPr/>
        <w:t xml:space="preserve"> euch ausruhen kann.{{field-off:bible}} </w:t>
        <w:br/>
        <w:t>[[@BibleTOBIBLE:Ro 15:33]]</w:t>
      </w:r>
      <w:r>
        <w:rPr>
          <w:b/>
        </w:rPr>
        <w:t>33</w:t>
      </w:r>
      <w:r>
        <w:rPr/>
        <w:t xml:space="preserve"> {{field-on:bible}}Sei aber der Gott des Friedens mit euch allen, Amen.{{field-off:bible}}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5568"/>
        <w:t>Status</w:t>
      </w:r>
      <w:r>
        <w:rPr/>
        <w:t xml:space="preserve"> Paulus, berufener Apostel Christi Jesu durch den Willen Gottes, und Sosthenes, der Bruder,</w:t>
      </w:r>
      <w:r>
        <w:rPr>
          <w:rStyle w:val="Funotenanker"/>
        </w:rPr>
        <w:footnoteReference w:customMarkFollows="1" w:id="5569"/>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5570"/>
        <w:t>b</w:t>
      </w:r>
      <w:r>
        <w:rPr/>
        <w:t xml:space="preserve"> Gemeinde Gottes</w:t>
      </w:r>
      <w:r>
        <w:rPr>
          <w:rStyle w:val="Funotenanker"/>
        </w:rPr>
        <w:footnoteReference w:customMarkFollows="1" w:id="5571"/>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5572"/>
        <w:t>d</w:t>
      </w:r>
      <w:r>
        <w:rPr/>
        <w:t xml:space="preserve"> in Christus Jesus, berufene Heilige, mit allen, die anrufen</w:t>
      </w:r>
      <w:r>
        <w:rPr>
          <w:rStyle w:val="Funotenanker"/>
        </w:rPr>
        <w:footnoteReference w:customMarkFollows="1" w:id="5573"/>
        <w:t>e</w:t>
      </w:r>
      <w:r>
        <w:rPr/>
        <w:t xml:space="preserve"> den Namen unseres Herrn Jesus Christus an jedem Ort, dem ihrigen und dem unsrigen</w:t>
      </w:r>
      <w:r>
        <w:rPr>
          <w:rStyle w:val="Funotenanker"/>
        </w:rPr>
        <w:footnoteReference w:customMarkFollows="1" w:id="5574"/>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5575"/>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5576"/>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5577"/>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5578"/>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5579"/>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5580"/>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5581"/>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5582"/>
        <w:t>n</w:t>
      </w:r>
      <w:r>
        <w:rPr/>
        <w:t xml:space="preserve"> ist es eine Dummheit, denen aber gerettet Werdenden </w:t>
      </w:r>
      <w:r>
        <w:rPr>
          <w:rStyle w:val="Funotenanker"/>
        </w:rPr>
        <w:footnoteReference w:customMarkFollows="1" w:id="5583"/>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5584"/>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5585"/>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5586"/>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5587"/>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5588"/>
        <w:t>t</w:t>
      </w:r>
      <w:r>
        <w:rPr/>
        <w:t xml:space="preserve">, den Heiden </w:t>
      </w:r>
      <w:r>
        <w:rPr>
          <w:color w:val="808080"/>
        </w:rPr>
        <w:t>(Völkern)</w:t>
      </w:r>
      <w:r>
        <w:rPr/>
        <w:t xml:space="preserve"> </w:t>
      </w:r>
      <w:r>
        <w:rPr>
          <w:rStyle w:val="Funotenanker"/>
        </w:rPr>
        <w:footnoteReference w:customMarkFollows="1" w:id="5589"/>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5590"/>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5591"/>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5592"/>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5593"/>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5594"/>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5595"/>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5596"/>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5597"/>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5598"/>
        <w:t>b</w:t>
      </w:r>
      <w:r>
        <w:rPr/>
        <w:t xml:space="preserve"> mich bei euch,{{field-off:bible}} </w:t>
        <w:br/>
        <w:t>[[@BibleTOBIBLE:1Co 2:4]]</w:t>
      </w:r>
      <w:r>
        <w:rPr>
          <w:b/>
        </w:rPr>
        <w:t>4</w:t>
      </w:r>
      <w:r>
        <w:rPr/>
        <w:t xml:space="preserve"> {{field-on:bible}}und meine Rede</w:t>
      </w:r>
      <w:r>
        <w:rPr>
          <w:rStyle w:val="Funotenanker"/>
        </w:rPr>
        <w:footnoteReference w:customMarkFollows="1" w:id="5599"/>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5600"/>
        <w:t>d</w:t>
      </w:r>
      <w:r>
        <w:rPr/>
        <w:t xml:space="preserve"> nicht in überredender, geschwätziger Weisheit</w:t>
      </w:r>
      <w:r>
        <w:rPr>
          <w:rStyle w:val="Funotenanker"/>
        </w:rPr>
        <w:footnoteReference w:customMarkFollows="1" w:id="5601"/>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5602"/>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5603"/>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5604"/>
        <w:t>h</w:t>
      </w:r>
      <w:r>
        <w:rPr/>
        <w:t xml:space="preserve"> </w:t>
        <w:br/>
        <w:t>was</w:t>
      </w:r>
      <w:r>
        <w:rPr>
          <w:rStyle w:val="Funotenanker"/>
        </w:rPr>
        <w:footnoteReference w:customMarkFollows="1" w:id="5605"/>
        <w:t>i</w:t>
      </w:r>
      <w:r>
        <w:rPr/>
        <w:t xml:space="preserve"> das Auge nicht sah und das Ohr nicht hörte</w:t>
        <w:br/>
        <w:t>und auf das Herz des Menschen nicht aufstieg</w:t>
      </w:r>
      <w:r>
        <w:rPr>
          <w:rStyle w:val="Funotenanker"/>
        </w:rPr>
        <w:footnoteReference w:customMarkFollows="1" w:id="5606"/>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5607"/>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5608"/>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5609"/>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5610"/>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5611"/>
        <w:t>o</w:t>
      </w:r>
      <w:r>
        <w:rPr/>
        <w:t xml:space="preserve"> {{field-off:bible}} </w:t>
        <w:br/>
        <w:t>[[@BibleTOBIBLE:1Co 2:14]]</w:t>
      </w:r>
      <w:r>
        <w:rPr>
          <w:b/>
        </w:rPr>
        <w:t>14</w:t>
      </w:r>
      <w:r>
        <w:rPr/>
        <w:t xml:space="preserve"> {{field-on:bible}}Ein diesseitiger</w:t>
      </w:r>
      <w:r>
        <w:rPr>
          <w:rStyle w:val="Funotenanker"/>
        </w:rPr>
        <w:footnoteReference w:customMarkFollows="1" w:id="5612"/>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5613"/>
        <w:t>q</w:t>
      </w:r>
      <w:r>
        <w:rPr/>
        <w:t xml:space="preserve"> beurteilt wird</w:t>
      </w:r>
      <w:r>
        <w:rPr>
          <w:rStyle w:val="Funotenanker"/>
        </w:rPr>
        <w:footnoteReference w:customMarkFollows="1" w:id="5614"/>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5615"/>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5616"/>
        <w:t>Status</w:t>
      </w:r>
      <w:r>
        <w:rPr/>
        <w:t xml:space="preserve"> Ich aber, Brüder, vermochte </w:t>
      </w:r>
      <w:r>
        <w:rPr>
          <w:color w:val="808080"/>
        </w:rPr>
        <w:t>(konnte)</w:t>
      </w:r>
      <w:r>
        <w:rPr/>
        <w:t xml:space="preserve"> nicht mit euch zu reden wie zu Geistlichen</w:t>
      </w:r>
      <w:r>
        <w:rPr>
          <w:rStyle w:val="Funotenanker"/>
        </w:rPr>
        <w:footnoteReference w:customMarkFollows="1" w:id="5617"/>
        <w:t>a</w:t>
      </w:r>
      <w:r>
        <w:rPr/>
        <w:t>, sondern wie zu Fleichschlichen</w:t>
      </w:r>
      <w:r>
        <w:rPr>
          <w:rStyle w:val="Funotenanker"/>
        </w:rPr>
        <w:footnoteReference w:customMarkFollows="1" w:id="5618"/>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5619"/>
        <w:t>c</w:t>
      </w:r>
      <w:r>
        <w:rPr/>
        <w:t xml:space="preserve"> nämlich in euch Aggressivität </w:t>
      </w:r>
      <w:r>
        <w:rPr>
          <w:color w:val="808080"/>
        </w:rPr>
        <w:t>(Streitlust)</w:t>
      </w:r>
      <w:r>
        <w:rPr/>
        <w:t xml:space="preserve"> </w:t>
      </w:r>
      <w:r>
        <w:rPr>
          <w:rStyle w:val="Funotenanker"/>
        </w:rPr>
        <w:footnoteReference w:customMarkFollows="1" w:id="5620"/>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5621"/>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5622"/>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5623"/>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5624"/>
        <w:t>Status</w:t>
      </w:r>
      <w:r>
        <w:rPr/>
        <w:t xml:space="preserve"> So</w:t>
      </w:r>
      <w:r>
        <w:rPr>
          <w:rStyle w:val="Funotenanker"/>
        </w:rPr>
        <w:footnoteReference w:customMarkFollows="1" w:id="5625"/>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5626"/>
        <w:t>b</w:t>
      </w:r>
      <w:r>
        <w:rPr/>
        <w:t>, ob</w:t>
      </w:r>
      <w:r>
        <w:rPr>
          <w:rStyle w:val="Funotenanker"/>
        </w:rPr>
        <w:footnoteReference w:customMarkFollows="1" w:id="5627"/>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5628"/>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5629"/>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5630"/>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5631"/>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5632"/>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5633"/>
        <w:t>i</w:t>
      </w:r>
      <w:r>
        <w:rPr/>
        <w:t xml:space="preserve"> gegen den anderen</w:t>
      </w:r>
      <w:r>
        <w:rPr>
          <w:rStyle w:val="Funotenanker"/>
        </w:rPr>
        <w:footnoteReference w:customMarkFollows="1" w:id="5634"/>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5635"/>
        <w:t>k</w:t>
      </w:r>
      <w:r>
        <w:rPr/>
        <w:t xml:space="preserve">?{{field-off:bible}} </w:t>
        <w:br/>
        <w:t>[[@BibleTOBIBLE:1Co 4:8]]</w:t>
      </w:r>
      <w:r>
        <w:rPr>
          <w:b/>
        </w:rPr>
        <w:t>8</w:t>
      </w:r>
      <w:r>
        <w:rPr/>
        <w:t xml:space="preserve"> {{field-on:bible}}Schon seid ihr satt!</w:t>
      </w:r>
      <w:r>
        <w:rPr>
          <w:rStyle w:val="Funotenanker"/>
        </w:rPr>
        <w:footnoteReference w:customMarkFollows="1" w:id="5636"/>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5637"/>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5638"/>
        <w:t>n</w:t>
      </w:r>
      <w:r>
        <w:rPr/>
        <w:t xml:space="preserve"> der Welt geworden, der Unrat </w:t>
      </w:r>
      <w:r>
        <w:rPr>
          <w:color w:val="808080"/>
        </w:rPr>
        <w:t>(Schmutz, Abschaum)</w:t>
      </w:r>
      <w:r>
        <w:rPr/>
        <w:t xml:space="preserve"> </w:t>
      </w:r>
      <w:r>
        <w:rPr>
          <w:rStyle w:val="Funotenanker"/>
        </w:rPr>
        <w:footnoteReference w:customMarkFollows="1" w:id="5639"/>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5640"/>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5641"/>
        <w:t>q</w:t>
      </w:r>
      <w:r>
        <w:rPr/>
        <w:t xml:space="preserve"> in Christus habt,</w:t>
      </w:r>
      <w:r>
        <w:rPr>
          <w:rStyle w:val="Funotenanker"/>
        </w:rPr>
        <w:footnoteReference w:customMarkFollows="1" w:id="5642"/>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5643"/>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5644"/>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6]]Kapitel 6</w:t>
      </w:r>
    </w:p>
    <w:p>
      <w:pPr>
        <w:pStyle w:val="Textkrper"/>
        <w:rPr/>
      </w:pPr>
      <w:r>
        <w:rPr/>
        <w:br/>
        <w:t>[[@BibleTOBIBLE:1Co 6:4]]</w:t>
      </w:r>
      <w:r>
        <w:rPr>
          <w:b/>
        </w:rPr>
        <w:t>4</w:t>
      </w:r>
      <w:r>
        <w:rPr/>
        <w:t xml:space="preserve"> {{field-on:bible}}Wenn ihr nun Fälle des alltäglichen Lebens zu entscheiden habt, dann setzt die Übergangenen in der Gemeinde ein, diese und nicht die Ungläubigen!{{field-off:bible}} </w:t>
      </w:r>
    </w:p>
    <w:p>
      <w:pPr>
        <w:pStyle w:val="Berschrift3"/>
        <w:rPr/>
      </w:pPr>
      <w:r>
        <w:rPr/>
        <w:t>[[@BibleTOBIBLE:1Co 7]]Kapitel 7</w:t>
      </w:r>
    </w:p>
    <w:p>
      <w:pPr>
        <w:pStyle w:val="Textkrper"/>
        <w:rPr/>
      </w:pPr>
      <w:r>
        <w:rPr/>
        <w:br/>
        <w:t>[[@BibleTOBIBLE:1Co 7:1]]</w:t>
      </w:r>
      <w:r>
        <w:rPr>
          <w:b/>
        </w:rPr>
        <w:t>1</w:t>
      </w:r>
      <w:r>
        <w:rPr/>
        <w:t xml:space="preserve"> {{field-on:bible}}Zu dem, was ihr schriebt</w:t>
      </w:r>
      <w:r>
        <w:rPr>
          <w:rStyle w:val="Funotenanker"/>
        </w:rPr>
        <w:footnoteReference w:customMarkFollows="1" w:id="5645"/>
        <w:t>a</w:t>
      </w:r>
      <w:r>
        <w:rPr/>
        <w:t>, es ist gut für einen Mann</w:t>
      </w:r>
      <w:r>
        <w:rPr>
          <w:rStyle w:val="Funotenanker"/>
        </w:rPr>
        <w:footnoteReference w:customMarkFollows="1" w:id="5646"/>
        <w:t>b</w:t>
      </w:r>
      <w:r>
        <w:rPr/>
        <w:t>, eine Frau nicht zu berühren</w:t>
      </w:r>
      <w:r>
        <w:rPr>
          <w:rStyle w:val="Funotenanker"/>
        </w:rPr>
        <w:footnoteReference w:customMarkFollows="1" w:id="5647"/>
        <w:t>c</w:t>
      </w:r>
      <w:r>
        <w:rPr/>
        <w:t xml:space="preserve"> {{field-off:bible}} </w:t>
        <w:br/>
        <w:t>[[@BibleTOBIBLE:1Co 7:2]]</w:t>
      </w:r>
      <w:r>
        <w:rPr>
          <w:b/>
        </w:rPr>
        <w:t>2</w:t>
      </w:r>
      <w:r>
        <w:rPr/>
        <w:t xml:space="preserve"> {{field-on:bible}}Um der Unzucht</w:t>
      </w:r>
      <w:r>
        <w:rPr>
          <w:rStyle w:val="Funotenanker"/>
        </w:rPr>
        <w:footnoteReference w:customMarkFollows="1" w:id="5648"/>
        <w:t>d</w:t>
      </w:r>
      <w:r>
        <w:rPr/>
        <w:t xml:space="preserve"> willen soll jeder </w:t>
      </w:r>
      <w:r>
        <w:rPr>
          <w:b/>
          <w:color w:val="808080"/>
        </w:rPr>
        <w:t>[</w:t>
      </w:r>
      <w:r>
        <w:rPr/>
        <w:t>Mann</w:t>
      </w:r>
      <w:r>
        <w:rPr>
          <w:b/>
          <w:color w:val="808080"/>
        </w:rPr>
        <w:t>]</w:t>
      </w:r>
      <w:r>
        <w:rPr/>
        <w:t xml:space="preserve"> seine eigene Frau haben und jede </w:t>
      </w:r>
      <w:r>
        <w:rPr>
          <w:b/>
          <w:color w:val="808080"/>
        </w:rPr>
        <w:t>[</w:t>
      </w:r>
      <w:r>
        <w:rPr/>
        <w:t>Frau</w:t>
      </w:r>
      <w:r>
        <w:rPr>
          <w:b/>
          <w:color w:val="808080"/>
        </w:rPr>
        <w:t>]</w:t>
      </w:r>
      <w:r>
        <w:rPr/>
        <w:t xml:space="preserve"> ihren eigenen Mann.{{field-off:bible}} </w:t>
        <w:br/>
        <w:t>[[@BibleTOBIBLE:1Co 7:3]]</w:t>
      </w:r>
      <w:r>
        <w:rPr>
          <w:b/>
        </w:rPr>
        <w:t>3</w:t>
      </w:r>
      <w:r>
        <w:rPr/>
        <w:t xml:space="preserve"> {{field-on:bible}}Der Mann soll seine Pflicht der Frau gegenüber erfüllen</w:t>
      </w:r>
      <w:r>
        <w:rPr>
          <w:rStyle w:val="Funotenanker"/>
        </w:rPr>
        <w:footnoteReference w:customMarkFollows="1" w:id="5649"/>
        <w:t>e</w:t>
      </w:r>
      <w:r>
        <w:rPr/>
        <w:t xml:space="preserve">, ebenso </w:t>
      </w:r>
      <w:r>
        <w:rPr>
          <w:color w:val="808080"/>
        </w:rPr>
        <w:t>(in gleicher Weise)</w:t>
      </w:r>
      <w:r>
        <w:rPr/>
        <w:t xml:space="preserve"> die Frau dem Mann gegenüber.{{field-off:bible}} </w:t>
        <w:br/>
        <w:t>[[@BibleTOBIBLE:1Co 7:4]]</w:t>
      </w:r>
      <w:r>
        <w:rPr>
          <w:b/>
        </w:rPr>
        <w:t>4</w:t>
      </w:r>
      <w:r>
        <w:rPr/>
        <w:t xml:space="preserve"> {{field-on:bible}}Die Frau verfügt nicht </w:t>
      </w:r>
      <w:r>
        <w:rPr>
          <w:color w:val="808080"/>
        </w:rPr>
        <w:t>(hat keine Verfügungsgewalt)</w:t>
      </w:r>
      <w:r>
        <w:rPr/>
        <w:t xml:space="preserve"> über ihren </w:t>
      </w:r>
      <w:r>
        <w:rPr>
          <w:strike/>
          <w:color w:val="808080"/>
        </w:rPr>
        <w:t>{eigenen}</w:t>
      </w:r>
      <w:r>
        <w:rPr/>
        <w:t xml:space="preserve"> Körper, sondern der Mann, ebenso </w:t>
      </w:r>
      <w:r>
        <w:rPr>
          <w:color w:val="808080"/>
        </w:rPr>
        <w:t>(in gleicher Weise)</w:t>
      </w:r>
      <w:r>
        <w:rPr/>
        <w:t xml:space="preserve"> verfügt der Mann nicht </w:t>
      </w:r>
      <w:r>
        <w:rPr>
          <w:color w:val="808080"/>
        </w:rPr>
        <w:t>(hat keine Verfügungsgewalt)</w:t>
      </w:r>
      <w:r>
        <w:rPr/>
        <w:t xml:space="preserve"> über seinen </w:t>
      </w:r>
      <w:r>
        <w:rPr>
          <w:strike/>
          <w:color w:val="808080"/>
        </w:rPr>
        <w:t>{eigenen}</w:t>
      </w:r>
      <w:r>
        <w:rPr/>
        <w:t xml:space="preserve"> Körper, sondern die Frau.{{field-off:bible}} </w:t>
        <w:br/>
        <w:t>[[@BibleTOBIBLE:1Co 7:5]]</w:t>
      </w:r>
      <w:r>
        <w:rPr>
          <w:b/>
        </w:rPr>
        <w:t>5</w:t>
      </w:r>
      <w:r>
        <w:rPr/>
        <w:t xml:space="preserve"> {{field-on:bible}}Entzieht euch nicht</w:t>
      </w:r>
      <w:r>
        <w:rPr>
          <w:rStyle w:val="Funotenanker"/>
        </w:rPr>
        <w:footnoteReference w:customMarkFollows="1" w:id="5650"/>
        <w:t>f</w:t>
      </w:r>
      <w:r>
        <w:rPr/>
        <w:t xml:space="preserve"> einander, außer in gegenseitigem Einvernehmen </w:t>
      </w:r>
      <w:r>
        <w:rPr>
          <w:color w:val="808080"/>
        </w:rPr>
        <w:t>(nach Übereinkunft)</w:t>
      </w:r>
      <w:r>
        <w:rPr/>
        <w:t xml:space="preserve"> für einen begrenzten Zeitraum </w:t>
      </w:r>
      <w:r>
        <w:rPr>
          <w:color w:val="808080"/>
        </w:rPr>
        <w:t>(für den gegenwärtigen Augenblick)</w:t>
      </w:r>
      <w:r>
        <w:rPr/>
        <w:t xml:space="preserve">, um euch dem Gebet zu widmen und dann wieder zusammen zu sein, damit euch der Satan nicht versucht durch eure Geilheit </w:t>
      </w:r>
      <w:r>
        <w:rPr>
          <w:color w:val="808080"/>
        </w:rPr>
        <w:t>(Zügellosigkeit)</w:t>
      </w:r>
      <w:r>
        <w:rPr/>
        <w:t xml:space="preserve">.{{field-off:bible}} </w:t>
        <w:br/>
        <w:t>[[@BibleTOBIBLE:1Co 7:6]]</w:t>
      </w:r>
      <w:r>
        <w:rPr>
          <w:b/>
        </w:rPr>
        <w:t>6</w:t>
      </w:r>
      <w:r>
        <w:rPr/>
        <w:t xml:space="preserve"> {{field-on:bible}}Dies aber sage ich als Zugeständnis, nicht als Befehl.{{field-off:bible}} </w:t>
        <w:br/>
        <w:t>[[@BibleTOBIBLE:1Co 7:7]]</w:t>
      </w:r>
      <w:r>
        <w:rPr>
          <w:b/>
        </w:rPr>
        <w:t>7</w:t>
      </w:r>
      <w:r>
        <w:rPr/>
        <w:t xml:space="preserve"> {{field-on:bible}}Ich wollte </w:t>
      </w:r>
      <w:r>
        <w:rPr>
          <w:strike/>
          <w:color w:val="808080"/>
        </w:rPr>
        <w:t>{aber}</w:t>
      </w:r>
      <w:r>
        <w:rPr/>
        <w:t xml:space="preserve">, dass alle Menschen </w:t>
      </w:r>
      <w:r>
        <w:rPr>
          <w:color w:val="808080"/>
        </w:rPr>
        <w:t>(Männer?)</w:t>
      </w:r>
      <w:r>
        <w:rPr/>
        <w:t xml:space="preserve"> wie ich wären; aber jeder hat seine eigene Gabe von Gott, der eine so, der andere so.{{field-off:bible}} </w:t>
        <w:br/>
        <w:t>[[@BibleTOBIBLE:1Co 7:8]]</w:t>
      </w:r>
      <w:r>
        <w:rPr>
          <w:b/>
        </w:rPr>
        <w:t>8</w:t>
      </w:r>
      <w:r>
        <w:rPr/>
        <w:t xml:space="preserve"> {{field-on:bible}}Den Unverheirateten</w:t>
      </w:r>
      <w:r>
        <w:rPr>
          <w:rStyle w:val="Funotenanker"/>
        </w:rPr>
        <w:footnoteReference w:customMarkFollows="1" w:id="5651"/>
        <w:t>g</w:t>
      </w:r>
      <w:r>
        <w:rPr/>
        <w:t xml:space="preserve"> und den Witwen sage ich, dass es gut wäre, wenn sie blieben wie ich.{{field-off:bible}} </w:t>
        <w:br/>
        <w:t>[[@BibleTOBIBLE:1Co 7:9]]</w:t>
      </w:r>
      <w:r>
        <w:rPr>
          <w:b/>
        </w:rPr>
        <w:t>9</w:t>
      </w:r>
      <w:r>
        <w:rPr/>
        <w:t xml:space="preserve"> {{field-on:bible}}Wenn sie aber nicht enthaltsam sein können, sollen sie heiraten, denn es ist besser, zu heiraten als zu brennen</w:t>
      </w:r>
      <w:r>
        <w:rPr>
          <w:rStyle w:val="Funotenanker"/>
        </w:rPr>
        <w:footnoteReference w:customMarkFollows="1" w:id="5652"/>
        <w:t>h</w:t>
      </w:r>
      <w:r>
        <w:rPr/>
        <w:t xml:space="preserve">.{{field-off:bible}} </w:t>
        <w:br/>
        <w:t>[[@BibleTOBIBLE:1Co 7:10]]</w:t>
      </w:r>
      <w:r>
        <w:rPr>
          <w:b/>
        </w:rPr>
        <w:t>10</w:t>
      </w:r>
      <w:r>
        <w:rPr/>
        <w:t xml:space="preserve"> {{field-on:bible}}Den Verheirateten aber befehle </w:t>
      </w:r>
      <w:r>
        <w:rPr>
          <w:strike/>
          <w:color w:val="808080"/>
        </w:rPr>
        <w:t>{ich,}</w:t>
      </w:r>
      <w:r>
        <w:rPr/>
        <w:t xml:space="preserve"> nicht ich, sondern der Herr, dass eine Frau sich vom Mann nicht scheiden soll</w:t>
      </w:r>
      <w:r>
        <w:rPr>
          <w:rStyle w:val="Funotenanker"/>
        </w:rPr>
        <w:footnoteReference w:customMarkFollows="1" w:id="5653"/>
        <w:t>i</w:t>
      </w:r>
      <w:r>
        <w:rPr/>
        <w:t xml:space="preserve"> {{field-off:bible}} </w:t>
        <w:br/>
        <w:t>[[@BibleTOBIBLE:1Co 7:11]]</w:t>
      </w:r>
      <w:r>
        <w:rPr>
          <w:b/>
        </w:rPr>
        <w:t>11</w:t>
      </w:r>
      <w:r>
        <w:rPr/>
        <w:t xml:space="preserve"> {{field-on:bible}}- falls sie aber geschieden ist</w:t>
      </w:r>
      <w:r>
        <w:rPr>
          <w:rStyle w:val="Funotenanker"/>
        </w:rPr>
        <w:footnoteReference w:customMarkFollows="1" w:id="5654"/>
        <w:t>j</w:t>
      </w:r>
      <w:r>
        <w:rPr/>
        <w:t>, soll sie unverheiratet bleiben oder sich mit dem Mann aussöhnen -, und der Mann soll die Frau nicht verstoßen</w:t>
      </w:r>
      <w:r>
        <w:rPr>
          <w:rStyle w:val="Funotenanker"/>
        </w:rPr>
        <w:footnoteReference w:customMarkFollows="1" w:id="5655"/>
        <w:t>k</w:t>
      </w:r>
      <w:r>
        <w:rPr/>
        <w:t xml:space="preserve"> {{field-off:bible}} </w:t>
        <w:br/>
        <w:t>[[@BibleTOBIBLE:1Co 7:12]]</w:t>
      </w:r>
      <w:r>
        <w:rPr>
          <w:b/>
        </w:rPr>
        <w:t>12</w:t>
      </w:r>
      <w:r>
        <w:rPr/>
        <w:t xml:space="preserve"> {{field-on:bible}}Den übrigen</w:t>
      </w:r>
      <w:r>
        <w:rPr>
          <w:rStyle w:val="Funotenanker"/>
        </w:rPr>
        <w:footnoteReference w:customMarkFollows="1" w:id="5656"/>
        <w:t>l</w:t>
      </w:r>
      <w:r>
        <w:rPr/>
        <w:t xml:space="preserve"> aber sage ich, nicht der Herr: Wenn ein Bruder eine nichtgläubige Frau hat, und </w:t>
      </w:r>
      <w:r>
        <w:rPr>
          <w:color w:val="808080"/>
        </w:rPr>
        <w:t>(diese)</w:t>
      </w:r>
      <w:r>
        <w:rPr/>
        <w:t xml:space="preserve"> sie willigt ein, mit ihm </w:t>
      </w:r>
      <w:r>
        <w:rPr>
          <w:color w:val="808080"/>
        </w:rPr>
        <w:t>(ehelich)</w:t>
      </w:r>
      <w:r>
        <w:rPr/>
        <w:t xml:space="preserve"> zusammenzuleben, soll er sie nicht verstoßen.{{field-off:bible}} </w:t>
        <w:br/>
        <w:t>[[@BibleTOBIBLE:1Co 7:13]]</w:t>
      </w:r>
      <w:r>
        <w:rPr>
          <w:b/>
        </w:rPr>
        <w:t>13</w:t>
      </w:r>
      <w:r>
        <w:rPr/>
        <w:t xml:space="preserve"> {{field-on:bible}}Und die Frau, wenn sie einen nichtgläubigen Mann hat, und </w:t>
      </w:r>
      <w:r>
        <w:rPr>
          <w:color w:val="808080"/>
        </w:rPr>
        <w:t>(dieser)</w:t>
      </w:r>
      <w:r>
        <w:rPr/>
        <w:t xml:space="preserve"> er willigt ein, mit ihr </w:t>
      </w:r>
      <w:r>
        <w:rPr>
          <w:color w:val="808080"/>
        </w:rPr>
        <w:t>(ehelich)</w:t>
      </w:r>
      <w:r>
        <w:rPr/>
        <w:t xml:space="preserve"> zusammenzuleben, soll sie ihn nicht verstoßen.{{field-off:bible}} </w:t>
        <w:br/>
        <w:t>[[@BibleTOBIBLE:1Co 7:14]]</w:t>
      </w:r>
      <w:r>
        <w:rPr>
          <w:b/>
        </w:rPr>
        <w:t>14</w:t>
      </w:r>
      <w:r>
        <w:rPr/>
        <w:t xml:space="preserve"> {{field-on:bible}}Denn der nichtgläubige Mann wird durch die Frau geheiligt, und die nichtgläubige Frau durch den Bruder; denn sonst sind demnach ihre Kinder unrein</w:t>
      </w:r>
      <w:r>
        <w:rPr>
          <w:rStyle w:val="Funotenanker"/>
        </w:rPr>
        <w:footnoteReference w:customMarkFollows="1" w:id="5657"/>
        <w:t>m</w:t>
      </w:r>
      <w:r>
        <w:rPr/>
        <w:t xml:space="preserve">, jetzt aber sind sie heilig.{{field-off:bible}} </w:t>
        <w:br/>
        <w:t>[[@BibleTOBIBLE:1Co 7:15]]</w:t>
      </w:r>
      <w:r>
        <w:rPr>
          <w:b/>
        </w:rPr>
        <w:t>15</w:t>
      </w:r>
      <w:r>
        <w:rPr/>
        <w:t xml:space="preserve"> {{field-on:bible}}Wenn aber der Nichtgläubige sich scheiden will, soll er sich scheiden. Der Bruder oder die Schwester ist in diesem Fall nicht </w:t>
      </w:r>
      <w:r>
        <w:rPr>
          <w:b/>
          <w:color w:val="808080"/>
        </w:rPr>
        <w:t>[</w:t>
      </w:r>
      <w:r>
        <w:rPr/>
        <w:t>dem Eheversprechen</w:t>
      </w:r>
      <w:r>
        <w:rPr>
          <w:b/>
          <w:color w:val="808080"/>
        </w:rPr>
        <w:t>]</w:t>
      </w:r>
      <w:r>
        <w:rPr/>
        <w:t xml:space="preserve"> unterworfen. Gott hat euch zum </w:t>
      </w:r>
      <w:r>
        <w:rPr>
          <w:color w:val="808080"/>
        </w:rPr>
        <w:t>(im)</w:t>
      </w:r>
      <w:r>
        <w:rPr/>
        <w:t xml:space="preserve"> Frieden berufen.{{field-off:bible}} </w:t>
        <w:br/>
        <w:t>[[@BibleTOBIBLE:1Co 7:16]]</w:t>
      </w:r>
      <w:r>
        <w:rPr>
          <w:b/>
        </w:rPr>
        <w:t>16</w:t>
      </w:r>
      <w:r>
        <w:rPr/>
        <w:t xml:space="preserve"> {{field-on:bible}}Denn </w:t>
      </w:r>
      <w:r>
        <w:rPr>
          <w:strike/>
          <w:color w:val="808080"/>
        </w:rPr>
        <w:t>{was}</w:t>
      </w:r>
      <w:r>
        <w:rPr/>
        <w:t xml:space="preserve"> weißt du, Frau, ob du den Mann retten wirst? Oder </w:t>
      </w:r>
      <w:r>
        <w:rPr>
          <w:strike/>
          <w:color w:val="808080"/>
        </w:rPr>
        <w:t>{was}</w:t>
      </w:r>
      <w:r>
        <w:rPr/>
        <w:t xml:space="preserve"> weißt du, Mann, ob du die Frau retten wirst?{{field-off:bible}} </w:t>
        <w:br/>
        <w:t>[[@BibleTOBIBLE:1Co 7:17]]</w:t>
      </w:r>
      <w:r>
        <w:rPr>
          <w:b/>
        </w:rPr>
        <w:t>17</w:t>
      </w:r>
      <w:r>
        <w:rPr/>
        <w:t xml:space="preserve"> {{field-on:bible}}Doch </w:t>
      </w:r>
      <w:r>
        <w:rPr>
          <w:color w:val="808080"/>
        </w:rPr>
        <w:t>(Sondern)</w:t>
      </w:r>
      <w:r>
        <w:rPr/>
        <w:t xml:space="preserve"> </w:t>
      </w:r>
      <w:r>
        <w:rPr>
          <w:rStyle w:val="Funotenanker"/>
        </w:rPr>
        <w:footnoteReference w:customMarkFollows="1" w:id="5658"/>
        <w:t>n</w:t>
      </w:r>
      <w:r>
        <w:rPr/>
        <w:t xml:space="preserve"> jeder soll so leben </w:t>
      </w:r>
      <w:r>
        <w:rPr>
          <w:color w:val="808080"/>
        </w:rPr>
        <w:t>(wandeln)</w:t>
      </w:r>
      <w:r>
        <w:rPr/>
        <w:t xml:space="preserve">, wie der Herr es ihm zugeteilt, jeder, wie der Herr ihn berufen hat. </w:t>
      </w:r>
      <w:r>
        <w:rPr>
          <w:strike/>
          <w:color w:val="808080"/>
        </w:rPr>
        <w:t>{Und}</w:t>
      </w:r>
      <w:r>
        <w:rPr/>
        <w:t xml:space="preserve"> so ordne ich es in allen Gemeinden an.{{field-off:bible}} </w:t>
        <w:br/>
        <w:t>[[@BibleTOBIBLE:1Co 7:18]]</w:t>
      </w:r>
      <w:r>
        <w:rPr>
          <w:b/>
        </w:rPr>
        <w:t>18</w:t>
      </w:r>
      <w:r>
        <w:rPr/>
        <w:t xml:space="preserve"> {{field-on:bible}}Wer als Beschnittener berufen wurde, soll nicht die Vorhaut überziehen</w:t>
      </w:r>
      <w:r>
        <w:rPr>
          <w:rStyle w:val="Funotenanker"/>
        </w:rPr>
        <w:footnoteReference w:customMarkFollows="1" w:id="5659"/>
        <w:t>o</w:t>
      </w:r>
      <w:r>
        <w:rPr/>
        <w:t xml:space="preserve">; wer als Unbeschnittener berufen wurde, soll sich nicht beschneiden lassen.{{field-off:bible}} </w:t>
        <w:br/>
        <w:t>[[@BibleTOBIBLE:1Co 7:19]]</w:t>
      </w:r>
      <w:r>
        <w:rPr>
          <w:b/>
        </w:rPr>
        <w:t>19</w:t>
      </w:r>
      <w:r>
        <w:rPr/>
        <w:t xml:space="preserve"> {{field-on:bible}}Die Beschneidung ist nichts und die Unbeschnittenheit ist nichts, sondern die Beachtung der Gebote Gottes.{{field-off:bible}} </w:t>
        <w:br/>
        <w:t>[[@BibleTOBIBLE:1Co 7:20]]</w:t>
      </w:r>
      <w:r>
        <w:rPr>
          <w:b/>
        </w:rPr>
        <w:t>20</w:t>
      </w:r>
      <w:r>
        <w:rPr/>
        <w:t xml:space="preserve"> {{field-on:bible}}Jeder soll in der Berufung </w:t>
      </w:r>
      <w:r>
        <w:rPr>
          <w:color w:val="808080"/>
        </w:rPr>
        <w:t>(dem Beruf)</w:t>
      </w:r>
      <w:r>
        <w:rPr/>
        <w:t xml:space="preserve"> bleiben, in der er berufen wurde </w:t>
      </w:r>
      <w:r>
        <w:rPr>
          <w:color w:val="808080"/>
        </w:rPr>
        <w:t>(in dem ihn der Ruf Gottes traf)</w:t>
      </w:r>
      <w:r>
        <w:rPr/>
        <w:t xml:space="preserve">.{{field-off:bible}} </w:t>
        <w:br/>
        <w:t>[[@BibleTOBIBLE:1Co 7:21]]</w:t>
      </w:r>
      <w:r>
        <w:rPr>
          <w:b/>
        </w:rPr>
        <w:t>21</w:t>
      </w:r>
      <w:r>
        <w:rPr/>
        <w:t xml:space="preserve"> {{field-on:bible}}Du wurdest als Sklave berufen; das soll dich nicht kümmern. Aber wenn du auch Freiheit</w:t>
      </w:r>
      <w:r>
        <w:rPr>
          <w:rStyle w:val="Funotenanker"/>
        </w:rPr>
        <w:footnoteReference w:customMarkFollows="1" w:id="5660"/>
        <w:t>p</w:t>
      </w:r>
      <w:r>
        <w:rPr/>
        <w:t xml:space="preserve"> erlangen kannst, gebrauche sie </w:t>
      </w:r>
      <w:r>
        <w:rPr>
          <w:color w:val="808080"/>
        </w:rPr>
        <w:t>(die Sklaverei? die Freiheit?)</w:t>
      </w:r>
      <w:r>
        <w:rPr/>
        <w:t xml:space="preserve"> </w:t>
      </w:r>
      <w:r>
        <w:rPr>
          <w:rStyle w:val="Funotenanker"/>
        </w:rPr>
        <w:footnoteReference w:customMarkFollows="1" w:id="5661"/>
        <w:t>q</w:t>
      </w:r>
      <w:r>
        <w:rPr/>
        <w:t xml:space="preserve"> um so mehr.{{field-off:bible}} </w:t>
        <w:br/>
        <w:t>[[@BibleTOBIBLE:1Co 7:22]]</w:t>
      </w:r>
      <w:r>
        <w:rPr>
          <w:b/>
        </w:rPr>
        <w:t>22</w:t>
      </w:r>
      <w:r>
        <w:rPr/>
        <w:t xml:space="preserve"> {{field-on:bible}}Denn der Sklave, der durch den </w:t>
      </w:r>
      <w:r>
        <w:rPr>
          <w:color w:val="808080"/>
        </w:rPr>
        <w:t>(im)</w:t>
      </w:r>
      <w:r>
        <w:rPr/>
        <w:t xml:space="preserve"> Herrn berufen wurde, ist ein Freigelassener des Herrn</w:t>
      </w:r>
      <w:r>
        <w:rPr>
          <w:rStyle w:val="Funotenanker"/>
        </w:rPr>
        <w:footnoteReference w:customMarkFollows="1" w:id="5662"/>
        <w:t>r</w:t>
      </w:r>
      <w:r>
        <w:rPr/>
        <w:t xml:space="preserve">, wie </w:t>
      </w:r>
      <w:r>
        <w:rPr>
          <w:color w:val="808080"/>
        </w:rPr>
        <w:t>(in gleicher Weise)</w:t>
      </w:r>
      <w:r>
        <w:rPr/>
        <w:t xml:space="preserve"> der Freie, der berufen wurde, ein Sklave Christi ist.{{field-off:bible}} </w:t>
        <w:br/>
        <w:t>[[@BibleTOBIBLE:1Co 7:23]]</w:t>
      </w:r>
      <w:r>
        <w:rPr>
          <w:b/>
        </w:rPr>
        <w:t>23</w:t>
      </w:r>
      <w:r>
        <w:rPr/>
        <w:t xml:space="preserve"> {{field-on:bible}}Ihr seid bar bezahlt worden </w:t>
      </w:r>
      <w:r>
        <w:rPr>
          <w:color w:val="808080"/>
        </w:rPr>
        <w:t>(wurdet gegen Barzahlung erworben)</w:t>
      </w:r>
      <w:r>
        <w:rPr/>
        <w:t xml:space="preserve">; werdet nicht Sklaven von Menschen.{{field-off:bible}} </w:t>
        <w:br/>
        <w:t>[[@BibleTOBIBLE:1Co 7:24]]</w:t>
      </w:r>
      <w:r>
        <w:rPr>
          <w:b/>
        </w:rPr>
        <w:t>24</w:t>
      </w:r>
      <w:r>
        <w:rPr/>
        <w:t xml:space="preserve"> {{field-on:bible}}Jeder soll darin bleiben, Brüder, worin er von Gott berufen wurde.{{field-off:bible}} </w:t>
        <w:br/>
        <w:t>[[@BibleTOBIBLE:1Co 7:25]]</w:t>
      </w:r>
      <w:r>
        <w:rPr>
          <w:b/>
        </w:rPr>
        <w:t>25</w:t>
      </w:r>
      <w:r>
        <w:rPr/>
        <w:t xml:space="preserve"> {{field-on:bible}}Über die Jungfrauen</w:t>
      </w:r>
      <w:r>
        <w:rPr>
          <w:rStyle w:val="Funotenanker"/>
        </w:rPr>
        <w:footnoteReference w:customMarkFollows="1" w:id="5663"/>
        <w:t>s</w:t>
      </w:r>
      <w:r>
        <w:rPr/>
        <w:t xml:space="preserve"> </w:t>
      </w:r>
      <w:r>
        <w:rPr>
          <w:strike/>
          <w:color w:val="808080"/>
        </w:rPr>
        <w:t>{aber}</w:t>
      </w:r>
      <w:r>
        <w:rPr/>
        <w:t xml:space="preserve"> besitze ich kein Gebot des Herrn. Ich bin aber der Meinung</w:t>
      </w:r>
      <w:r>
        <w:rPr>
          <w:rStyle w:val="Funotenanker"/>
        </w:rPr>
        <w:footnoteReference w:customMarkFollows="1" w:id="5664"/>
        <w:t>t</w:t>
      </w:r>
      <w:r>
        <w:rPr/>
        <w:t>, dass ich ein Vertrauensmann bin</w:t>
      </w:r>
      <w:r>
        <w:rPr>
          <w:rStyle w:val="Funotenanker"/>
        </w:rPr>
        <w:footnoteReference w:customMarkFollows="1" w:id="5665"/>
        <w:t>u</w:t>
      </w:r>
      <w:r>
        <w:rPr/>
        <w:t>, weil</w:t>
      </w:r>
      <w:r>
        <w:rPr>
          <w:rStyle w:val="Funotenanker"/>
        </w:rPr>
        <w:footnoteReference w:customMarkFollows="1" w:id="5666"/>
        <w:t>v</w:t>
      </w:r>
      <w:r>
        <w:rPr/>
        <w:t xml:space="preserve"> ich vom Herrn begnadigt wurde </w:t>
      </w:r>
      <w:r>
        <w:rPr>
          <w:color w:val="808080"/>
        </w:rPr>
        <w:t>(Erbarmen fand)</w:t>
      </w:r>
      <w:r>
        <w:rPr/>
        <w:t xml:space="preserve">.{{field-off:bible}} </w:t>
        <w:br/>
        <w:t>[[@BibleTOBIBLE:1Co 7:26]]</w:t>
      </w:r>
      <w:r>
        <w:rPr>
          <w:b/>
        </w:rPr>
        <w:t>26</w:t>
      </w:r>
      <w:r>
        <w:rPr/>
        <w:t xml:space="preserve"> {{field-on:bible}}Ich meine nun, dies sei gut </w:t>
      </w:r>
      <w:r>
        <w:rPr>
          <w:color w:val="808080"/>
        </w:rPr>
        <w:t>(dass dies gut sei)</w:t>
      </w:r>
      <w:r>
        <w:rPr/>
        <w:t xml:space="preserve"> wegen der bevorstehenden Not</w:t>
      </w:r>
      <w:r>
        <w:rPr>
          <w:rStyle w:val="Funotenanker"/>
        </w:rPr>
        <w:footnoteReference w:customMarkFollows="1" w:id="5667"/>
        <w:t>w</w:t>
      </w:r>
      <w:r>
        <w:rPr/>
        <w:t xml:space="preserve">, dass es für den Menschen gut ist, wenn er bleibt, wie er ist.{{field-off:bible}} </w:t>
        <w:br/>
        <w:t>[[@BibleTOBIBLE:1Co 7:27]]</w:t>
      </w:r>
      <w:r>
        <w:rPr>
          <w:b/>
        </w:rPr>
        <w:t>27</w:t>
      </w:r>
      <w:r>
        <w:rPr/>
        <w:t xml:space="preserve"> {{field-on:bible}}Wurde dir eine Frau gegeben, suche nicht die Scheidung </w:t>
      </w:r>
      <w:r>
        <w:rPr>
          <w:color w:val="808080"/>
        </w:rPr>
        <w:t>(Trennung)</w:t>
      </w:r>
      <w:r>
        <w:rPr/>
        <w:t xml:space="preserve">; hast du dich von einer Frau getrennt </w:t>
      </w:r>
      <w:r>
        <w:rPr>
          <w:color w:val="808080"/>
        </w:rPr>
        <w:t>(frei gemacht)</w:t>
      </w:r>
      <w:r>
        <w:rPr/>
        <w:t xml:space="preserve">, suche keine Frau.{{field-off:bible}} </w:t>
        <w:br/>
        <w:t>[[@BibleTOBIBLE:1Co 7:28]]</w:t>
      </w:r>
      <w:r>
        <w:rPr>
          <w:b/>
        </w:rPr>
        <w:t>28</w:t>
      </w:r>
      <w:r>
        <w:rPr/>
        <w:t xml:space="preserve"> {{field-on:bible}}Wenn du aber heiratest, sündigst du nicht, und wenn die Jungfrau</w:t>
      </w:r>
      <w:r>
        <w:rPr>
          <w:rStyle w:val="Funotenanker"/>
        </w:rPr>
        <w:footnoteReference w:customMarkFollows="1" w:id="5668"/>
        <w:t>x</w:t>
      </w:r>
      <w:r>
        <w:rPr/>
        <w:t xml:space="preserve"> heiratet, sündigt sie nicht. Leibliche Bedrängnis werden diese aber </w:t>
      </w:r>
      <w:r>
        <w:rPr>
          <w:color w:val="808080"/>
        </w:rPr>
        <w:t>(haben =)</w:t>
      </w:r>
      <w:r>
        <w:rPr/>
        <w:t xml:space="preserve"> erleben, ich aber schone euch </w:t>
      </w:r>
      <w:r>
        <w:rPr>
          <w:color w:val="808080"/>
        </w:rPr>
        <w:t>(= würde euch gern schonen?)</w:t>
      </w:r>
      <w:r>
        <w:rPr/>
        <w:t xml:space="preserve">.{{field-off:bible}} </w:t>
        <w:br/>
        <w:t>[[@BibleTOBIBLE:1Co 7:29]]</w:t>
      </w:r>
      <w:r>
        <w:rPr>
          <w:b/>
        </w:rPr>
        <w:t>29</w:t>
      </w:r>
      <w:r>
        <w:rPr/>
        <w:t xml:space="preserve"> {{field-on:bible}}Dies aber sage ich, Brüder, die Zeit ist zusammengedrängt </w:t>
      </w:r>
      <w:r>
        <w:rPr>
          <w:color w:val="808080"/>
        </w:rPr>
        <w:t>(beschränkt)</w:t>
      </w:r>
      <w:r>
        <w:rPr/>
        <w:t xml:space="preserve">. Hinfort </w:t>
      </w:r>
      <w:r>
        <w:rPr>
          <w:color w:val="808080"/>
        </w:rPr>
        <w:t>(zukünftig)</w:t>
      </w:r>
      <w:r>
        <w:rPr/>
        <w:t xml:space="preserve"> sollen</w:t>
      </w:r>
      <w:r>
        <w:rPr>
          <w:rStyle w:val="Funotenanker"/>
        </w:rPr>
        <w:footnoteReference w:customMarkFollows="1" w:id="5669"/>
        <w:t>y</w:t>
      </w:r>
      <w:r>
        <w:rPr/>
        <w:t xml:space="preserve"> die Frauen haben sein, als hätten sie keine,{{field-off:bible}} </w:t>
        <w:br/>
        <w:t>[[@BibleTOBIBLE:1Co 7:30]]</w:t>
      </w:r>
      <w:r>
        <w:rPr>
          <w:b/>
        </w:rPr>
        <w:t>30</w:t>
      </w:r>
      <w:r>
        <w:rPr/>
        <w:t xml:space="preserve"> {{field-on:bible}}und die weinen, als weinten sie nicht, und die sich freuen, als freuten sie sich nicht, und die kaufen, als besäßen sie nicht,{{field-off:bible}} </w:t>
        <w:br/>
        <w:t>[[@BibleTOBIBLE:1Co 7:31]]</w:t>
      </w:r>
      <w:r>
        <w:rPr>
          <w:b/>
        </w:rPr>
        <w:t>31</w:t>
      </w:r>
      <w:r>
        <w:rPr/>
        <w:t xml:space="preserve"> {{field-on:bible}}und die die Welt gebrauchen, als missbrauchten</w:t>
      </w:r>
      <w:r>
        <w:rPr>
          <w:rStyle w:val="Funotenanker"/>
        </w:rPr>
        <w:footnoteReference w:customMarkFollows="1" w:id="5670"/>
        <w:t>z</w:t>
      </w:r>
      <w:r>
        <w:rPr/>
        <w:t xml:space="preserve"> sie sie nicht, denn diese Welt selbst </w:t>
      </w:r>
      <w:r>
        <w:rPr>
          <w:color w:val="808080"/>
        </w:rPr>
        <w:t>(die Gestalt, das Wesen dieser Welt)</w:t>
      </w:r>
      <w:r>
        <w:rPr/>
        <w:t xml:space="preserve"> vergeht.{{field-off:bible}} </w:t>
        <w:br/>
        <w:t>[[@BibleTOBIBLE:1Co 7:32]]</w:t>
      </w:r>
      <w:r>
        <w:rPr>
          <w:b/>
        </w:rPr>
        <w:t>32</w:t>
      </w:r>
      <w:r>
        <w:rPr/>
        <w:t xml:space="preserve"> {{field-on:bible}}Ich möchte aber, dass ihr sorglos </w:t>
      </w:r>
      <w:r>
        <w:rPr>
          <w:color w:val="808080"/>
        </w:rPr>
        <w:t>(sorgenfrei)</w:t>
      </w:r>
      <w:r>
        <w:rPr/>
        <w:t xml:space="preserve"> seid. Der Unverheiratete sorgt für </w:t>
      </w:r>
      <w:r>
        <w:rPr>
          <w:color w:val="808080"/>
        </w:rPr>
        <w:t>(trägt Sorge für)</w:t>
      </w:r>
      <w:r>
        <w:rPr/>
        <w:t xml:space="preserve"> die Angelegenheiten des Herrn, wie er dem Herrn gefallen </w:t>
      </w:r>
      <w:r>
        <w:rPr>
          <w:color w:val="808080"/>
        </w:rPr>
        <w:t>(zu Gefallen sein)</w:t>
      </w:r>
      <w:r>
        <w:rPr/>
        <w:t xml:space="preserve"> kann.{{field-off:bible}} </w:t>
        <w:br/>
        <w:t>[[@BibleTOBIBLE:1Co 7:33]]</w:t>
      </w:r>
      <w:r>
        <w:rPr>
          <w:b/>
        </w:rPr>
        <w:t>33</w:t>
      </w:r>
      <w:r>
        <w:rPr/>
        <w:t xml:space="preserve"> {{field-on:bible}}Der Verheiratete aber sorgt sich um </w:t>
      </w:r>
      <w:r>
        <w:rPr>
          <w:color w:val="808080"/>
        </w:rPr>
        <w:t>(trägt Sorge um)</w:t>
      </w:r>
      <w:r>
        <w:rPr/>
        <w:t xml:space="preserve"> die Welt, wie er der Frau gefallen </w:t>
      </w:r>
      <w:r>
        <w:rPr>
          <w:color w:val="808080"/>
        </w:rPr>
        <w:t>(zu Gefallen sein)</w:t>
      </w:r>
      <w:r>
        <w:rPr/>
        <w:t xml:space="preserve"> kann,{{field-off:bible}} </w:t>
        <w:br/>
        <w:t>[[@BibleTOBIBLE:1Co 7:34]]</w:t>
      </w:r>
      <w:r>
        <w:rPr>
          <w:b/>
        </w:rPr>
        <w:t>34</w:t>
      </w:r>
      <w:r>
        <w:rPr/>
        <w:t xml:space="preserve"> {{field-on:bible}}und ist in sich gespalten</w:t>
      </w:r>
      <w:r>
        <w:rPr>
          <w:rStyle w:val="Funotenanker"/>
        </w:rPr>
        <w:footnoteReference w:customMarkFollows="1" w:id="5671"/>
        <w:t>aa</w:t>
      </w:r>
      <w:r>
        <w:rPr/>
        <w:t xml:space="preserve">. Und die Frau, die Unverheiratete und die Jungfrau, sorgt für </w:t>
      </w:r>
      <w:r>
        <w:rPr>
          <w:color w:val="808080"/>
        </w:rPr>
        <w:t>(trägt Sorge für)</w:t>
      </w:r>
      <w:r>
        <w:rPr/>
        <w:t xml:space="preserve"> die Angelegenheiten des Herrn, damit sie heilig ist sowohl körperlich als auch geistig </w:t>
      </w:r>
      <w:r>
        <w:rPr>
          <w:color w:val="808080"/>
        </w:rPr>
        <w:t>(geistlich)</w:t>
      </w:r>
      <w:r>
        <w:rPr/>
        <w:t xml:space="preserve">. Aber die Verheiratete sorgt sich um </w:t>
      </w:r>
      <w:r>
        <w:rPr>
          <w:color w:val="808080"/>
        </w:rPr>
        <w:t>(trägt Sorge um)</w:t>
      </w:r>
      <w:r>
        <w:rPr/>
        <w:t xml:space="preserve"> die Welt, wie sie dem Mann gefallen </w:t>
      </w:r>
      <w:r>
        <w:rPr>
          <w:color w:val="808080"/>
        </w:rPr>
        <w:t>(zu Gefallen sein)</w:t>
      </w:r>
      <w:r>
        <w:rPr/>
        <w:t xml:space="preserve"> kann.{{field-off:bible}} </w:t>
        <w:br/>
        <w:t>[[@BibleTOBIBLE:1Co 7:35]]</w:t>
      </w:r>
      <w:r>
        <w:rPr>
          <w:b/>
        </w:rPr>
        <w:t>35</w:t>
      </w:r>
      <w:r>
        <w:rPr/>
        <w:t xml:space="preserve"> {{field-on:bible}}Dies aber sage ich zu eurem eigenen Vorteil </w:t>
      </w:r>
      <w:r>
        <w:rPr>
          <w:color w:val="808080"/>
        </w:rPr>
        <w:t>(Nutzen)</w:t>
      </w:r>
      <w:r>
        <w:rPr/>
        <w:t xml:space="preserve">, nicht, um euch eine Schlinge überzuwerfen, sondern damit ihr ungestört </w:t>
      </w:r>
      <w:r>
        <w:rPr>
          <w:color w:val="808080"/>
        </w:rPr>
        <w:t>(nicht abgelenkt)</w:t>
      </w:r>
      <w:r>
        <w:rPr/>
        <w:t xml:space="preserve"> anständig und beharrlich im Herrn </w:t>
      </w:r>
      <w:r>
        <w:rPr>
          <w:b/>
          <w:color w:val="808080"/>
        </w:rPr>
        <w:t>[</w:t>
      </w:r>
      <w:r>
        <w:rPr/>
        <w:t>seid</w:t>
      </w:r>
      <w:r>
        <w:rPr>
          <w:b/>
          <w:color w:val="808080"/>
        </w:rPr>
        <w:t>]</w:t>
      </w:r>
      <w:r>
        <w:rPr/>
        <w:t xml:space="preserve">.{{field-off:bible}} </w:t>
        <w:br/>
        <w:t>[[@BibleTOBIBLE:1Co 7:36]]</w:t>
      </w:r>
      <w:r>
        <w:rPr>
          <w:b/>
        </w:rPr>
        <w:t>36</w:t>
      </w:r>
      <w:r>
        <w:rPr/>
        <w:t xml:space="preserve"> {{field-on:bible}}Wenn aber einer glaubt, sich unanständig gegenüber seiner Jungfrau</w:t>
      </w:r>
      <w:r>
        <w:rPr>
          <w:rStyle w:val="Funotenanker"/>
        </w:rPr>
        <w:footnoteReference w:customMarkFollows="1" w:id="5672"/>
        <w:t>ab</w:t>
      </w:r>
      <w:r>
        <w:rPr/>
        <w:t xml:space="preserve"> zu benehmen </w:t>
      </w:r>
      <w:r>
        <w:rPr>
          <w:color w:val="808080"/>
        </w:rPr>
        <w:t>(sich seiner Jungfrau gegenüber schämen zu müssen)</w:t>
      </w:r>
      <w:r>
        <w:rPr/>
        <w:t>, wenn er überreif</w:t>
      </w:r>
      <w:r>
        <w:rPr>
          <w:rStyle w:val="Funotenanker"/>
        </w:rPr>
        <w:footnoteReference w:customMarkFollows="1" w:id="5673"/>
        <w:t>ac</w:t>
      </w:r>
      <w:r>
        <w:rPr/>
        <w:t xml:space="preserve"> ist und so geschehen muss, was er tun will, sündigt er nicht; sie sollen heiraten.{{field-off:bible}} </w:t>
        <w:br/>
        <w:t>[[@BibleTOBIBLE:1Co 7:37]]</w:t>
      </w:r>
      <w:r>
        <w:rPr>
          <w:b/>
        </w:rPr>
        <w:t>37</w:t>
      </w:r>
      <w:r>
        <w:rPr/>
        <w:t xml:space="preserve"> {{field-on:bible}}Wer aber in seinem Herz fest steht, ohne Zwang, aber Macht hat über seinen Willen und dies in seinem Herzen beschließt, seine Jungfrau zu bewahren </w:t>
      </w:r>
      <w:r>
        <w:rPr>
          <w:color w:val="808080"/>
        </w:rPr>
        <w:t>(= unberührt zu lassen)</w:t>
      </w:r>
      <w:r>
        <w:rPr/>
        <w:t xml:space="preserve">, tut recht </w:t>
      </w:r>
      <w:r>
        <w:rPr>
          <w:b/>
          <w:color w:val="808080"/>
        </w:rPr>
        <w:t>[</w:t>
      </w:r>
      <w:r>
        <w:rPr/>
        <w:t>daran</w:t>
      </w:r>
      <w:r>
        <w:rPr>
          <w:b/>
          <w:color w:val="808080"/>
        </w:rPr>
        <w:t>]</w:t>
      </w:r>
      <w:r>
        <w:rPr/>
        <w:t xml:space="preserve">.{{field-off:bible}} </w:t>
        <w:br/>
        <w:t>[[@BibleTOBIBLE:1Co 7:38]]</w:t>
      </w:r>
      <w:r>
        <w:rPr>
          <w:b/>
        </w:rPr>
        <w:t>38</w:t>
      </w:r>
      <w:r>
        <w:rPr/>
        <w:t xml:space="preserve"> {{field-on:bible}}So tut auch recht, wer seine Jungfrau heiratet, aber wer nicht heiratet, tut Besseres.{{field-off:bible}} </w:t>
        <w:br/>
        <w:t>[[@BibleTOBIBLE:1Co 7:39]]</w:t>
      </w:r>
      <w:r>
        <w:rPr>
          <w:b/>
        </w:rPr>
        <w:t>39</w:t>
      </w:r>
      <w:r>
        <w:rPr/>
        <w:t xml:space="preserve"> {{field-on:bible}}Eine Frau ist </w:t>
      </w:r>
      <w:r>
        <w:rPr>
          <w:color w:val="808080"/>
        </w:rPr>
        <w:t>(gegeben =)</w:t>
      </w:r>
      <w:r>
        <w:rPr/>
        <w:t xml:space="preserve"> gebunden, solange ihr Mann lebt; wenn aber der Mann entschlafen ist, ist sie frei, zu heiraten, wen sie will, allein</w:t>
      </w:r>
      <w:r>
        <w:rPr>
          <w:rStyle w:val="Funotenanker"/>
        </w:rPr>
        <w:footnoteReference w:customMarkFollows="1" w:id="5674"/>
        <w:t>ad</w:t>
      </w:r>
      <w:r>
        <w:rPr/>
        <w:t xml:space="preserve"> </w:t>
      </w:r>
      <w:r>
        <w:rPr>
          <w:b/>
          <w:color w:val="808080"/>
        </w:rPr>
        <w:t>[</w:t>
      </w:r>
      <w:r>
        <w:rPr/>
        <w:t>dass es</w:t>
      </w:r>
      <w:r>
        <w:rPr>
          <w:b/>
          <w:color w:val="808080"/>
        </w:rPr>
        <w:t>]</w:t>
      </w:r>
      <w:r>
        <w:rPr/>
        <w:t xml:space="preserve"> im Herrn </w:t>
      </w:r>
      <w:r>
        <w:rPr>
          <w:b/>
          <w:color w:val="808080"/>
        </w:rPr>
        <w:t>[</w:t>
      </w:r>
      <w:r>
        <w:rPr/>
        <w:t>geschieht</w:t>
      </w:r>
      <w:r>
        <w:rPr>
          <w:b/>
          <w:color w:val="808080"/>
        </w:rPr>
        <w:t>]</w:t>
      </w:r>
      <w:r>
        <w:rPr/>
        <w:t xml:space="preserve">.{{field-off:bible}} </w:t>
        <w:br/>
        <w:t>[[@BibleTOBIBLE:1Co 7:40]]</w:t>
      </w:r>
      <w:r>
        <w:rPr>
          <w:b/>
        </w:rPr>
        <w:t>40</w:t>
      </w:r>
      <w:r>
        <w:rPr/>
        <w:t xml:space="preserve"> {{field-on:bible}}Glücklicher </w:t>
      </w:r>
      <w:r>
        <w:rPr>
          <w:color w:val="808080"/>
        </w:rPr>
        <w:t>(seliger)</w:t>
      </w:r>
      <w:r>
        <w:rPr/>
        <w:t xml:space="preserve"> aber ist sie, wenn sie so</w:t>
      </w:r>
      <w:r>
        <w:rPr>
          <w:rStyle w:val="Funotenanker"/>
        </w:rPr>
        <w:footnoteReference w:customMarkFollows="1" w:id="5675"/>
        <w:t>ae</w:t>
      </w:r>
      <w:r>
        <w:rPr/>
        <w:t xml:space="preserve"> bleibt, meiner Meinung nach. Ich meine aber, dass auch ich den Geist Gottes habe.{{field-off:bible}} </w:t>
      </w:r>
    </w:p>
    <w:p>
      <w:pPr>
        <w:pStyle w:val="Berschrift3"/>
        <w:rPr/>
      </w:pPr>
      <w:r>
        <w:rPr/>
        <w:t>[[@BibleTOBIBLE:1Co 9]]Kapitel 9</w:t>
      </w:r>
    </w:p>
    <w:p>
      <w:pPr>
        <w:pStyle w:val="Textkrper"/>
        <w:rPr/>
      </w:pPr>
      <w:r>
        <w:rPr/>
        <w:br/>
        <w:t>[[@BibleTOBIBLE:1Co 9:19]]</w:t>
      </w:r>
      <w:r>
        <w:rPr>
          <w:b/>
        </w:rPr>
        <w:t>19</w:t>
      </w:r>
      <w:r>
        <w:rPr/>
        <w:t xml:space="preserve"> {{field-on:bible}}Denn weil </w:t>
      </w:r>
      <w:r>
        <w:rPr>
          <w:color w:val="808080"/>
        </w:rPr>
        <w:t>(obwohl)</w:t>
      </w:r>
      <w:r>
        <w:rPr/>
        <w:t xml:space="preserve"> </w:t>
      </w:r>
      <w:r>
        <w:rPr>
          <w:rStyle w:val="Funotenanker"/>
        </w:rPr>
        <w:footnoteReference w:customMarkFollows="1" w:id="5676"/>
        <w:t>a</w:t>
      </w:r>
      <w:r>
        <w:rPr/>
        <w:t xml:space="preserve"> ich frei bin allen gegenüber, habe ich mich allen zum Sklaven gemacht, damit ich möglichst viele gewinne.{{field-off:bible}} </w:t>
        <w:br/>
        <w:t>[[@BibleTOBIBLE:1Co 9:20]]</w:t>
      </w:r>
      <w:r>
        <w:rPr>
          <w:b/>
        </w:rPr>
        <w:t>20</w:t>
      </w:r>
      <w:r>
        <w:rPr/>
        <w:t xml:space="preserve"> {{field-on:bible}} </w:t>
      </w:r>
      <w:r>
        <w:rPr>
          <w:b/>
          <w:color w:val="808080"/>
        </w:rPr>
        <w:t>[</w:t>
      </w:r>
      <w:r>
        <w:rPr/>
        <w:t xml:space="preserve"> Das heißt:</w:t>
      </w:r>
      <w:r>
        <w:rPr>
          <w:b/>
          <w:color w:val="808080"/>
        </w:rPr>
        <w:t>]</w:t>
      </w:r>
      <w:r>
        <w:rPr/>
        <w:t xml:space="preserve"> für die Juden bin ich wie ein Jude geworden, damit ich </w:t>
      </w:r>
      <w:r>
        <w:rPr>
          <w:b/>
          <w:color w:val="808080"/>
        </w:rPr>
        <w:t>[</w:t>
      </w:r>
      <w:r>
        <w:rPr/>
        <w:t>die</w:t>
      </w:r>
      <w:r>
        <w:rPr>
          <w:b/>
          <w:color w:val="808080"/>
        </w:rPr>
        <w:t>]</w:t>
      </w:r>
      <w:r>
        <w:rPr/>
        <w:t xml:space="preserve"> Juden gewinne; für die unter dem Gesetz </w:t>
      </w:r>
      <w:r>
        <w:rPr>
          <w:b/>
          <w:color w:val="808080"/>
        </w:rPr>
        <w:t>[</w:t>
      </w:r>
      <w:r>
        <w:rPr/>
        <w:t>des Mose</w:t>
      </w:r>
      <w:r>
        <w:rPr>
          <w:b/>
          <w:color w:val="808080"/>
        </w:rPr>
        <w:t>]</w:t>
      </w:r>
      <w:r>
        <w:rPr/>
        <w:t xml:space="preserve"> bin ich wie einer unter dem Gesetz geworden – auch wenn ich selbst nicht unter dem Gesetz bin – damit ich die unter dem Gesetz gewinne;{{field-off:bible}} </w:t>
        <w:br/>
        <w:t>[[@BibleTOBIBLE:1Co 9:21]]</w:t>
      </w:r>
      <w:r>
        <w:rPr>
          <w:b/>
        </w:rPr>
        <w:t>21</w:t>
      </w:r>
      <w:r>
        <w:rPr/>
        <w:t xml:space="preserve"> {{field-on:bible}}für die ohne Gesetz wie einer ohne Gesetz – auch wenn ich nicht ohne Gesetz Gottes bin, sondern </w:t>
      </w:r>
      <w:r>
        <w:rPr>
          <w:b/>
          <w:color w:val="808080"/>
        </w:rPr>
        <w:t>[</w:t>
      </w:r>
      <w:r>
        <w:rPr/>
        <w:t>ich bin</w:t>
      </w:r>
      <w:r>
        <w:rPr>
          <w:b/>
          <w:color w:val="808080"/>
        </w:rPr>
        <w:t>]</w:t>
      </w:r>
      <w:r>
        <w:rPr/>
        <w:t xml:space="preserve"> im Gesetz Christi – damit ich die ohne Gesetz gewinne;{{field-off:bible}} </w:t>
        <w:br/>
        <w:t>[[@BibleTOBIBLE:1Co 9:22]]</w:t>
      </w:r>
      <w:r>
        <w:rPr>
          <w:b/>
        </w:rPr>
        <w:t>22</w:t>
      </w:r>
      <w:r>
        <w:rPr/>
        <w:t xml:space="preserve"> {{field-on:bible}}für die Schwachen bin ich schwach geworden, damit ich die Schwachen gewinne; für alle </w:t>
      </w:r>
      <w:r>
        <w:rPr>
          <w:b/>
          <w:color w:val="808080"/>
        </w:rPr>
        <w:t>[</w:t>
      </w:r>
      <w:r>
        <w:rPr/>
        <w:t>diese</w:t>
      </w:r>
      <w:r>
        <w:rPr>
          <w:b/>
          <w:color w:val="808080"/>
        </w:rPr>
        <w:t>]</w:t>
      </w:r>
      <w:r>
        <w:rPr/>
        <w:t xml:space="preserve"> bin ich alles geworden, damit ich von allen welche errette.{{field-off:bible}} </w:t>
        <w:br/>
        <w:t>[[@BibleTOBIBLE:1Co 9:23]]</w:t>
      </w:r>
      <w:r>
        <w:rPr>
          <w:b/>
        </w:rPr>
        <w:t>23</w:t>
      </w:r>
      <w:r>
        <w:rPr/>
        <w:t xml:space="preserve"> {{field-on:bible}}Alle diese Dinge tue ich um des Evangeliums willen, damit auch ich Anteil am Evangelium habe.{{field-off:bible}} </w:t>
        <w:br/>
        <w:t>[[@BibleTOBIBLE:1Co 9:24]]</w:t>
      </w:r>
      <w:r>
        <w:rPr>
          <w:b/>
        </w:rPr>
        <w:t>24</w:t>
      </w:r>
      <w:r>
        <w:rPr/>
        <w:t xml:space="preserve"> {{field-on:bible}}Wisst ihr </w:t>
      </w:r>
      <w:r>
        <w:rPr>
          <w:b/>
          <w:color w:val="808080"/>
        </w:rPr>
        <w:t>[</w:t>
      </w:r>
      <w:r>
        <w:rPr/>
        <w:t>denn</w:t>
      </w:r>
      <w:r>
        <w:rPr>
          <w:b/>
          <w:color w:val="808080"/>
        </w:rPr>
        <w:t>]</w:t>
      </w:r>
      <w:r>
        <w:rPr/>
        <w:t xml:space="preserve"> nicht, dass zwar alle Athleten am Wettkampf teilnehmen</w:t>
      </w:r>
      <w:r>
        <w:rPr>
          <w:rStyle w:val="Funotenanker"/>
        </w:rPr>
        <w:footnoteReference w:customMarkFollows="1" w:id="5677"/>
        <w:t>b</w:t>
      </w:r>
      <w:r>
        <w:rPr/>
        <w:t>, aber nur einer den Siegeskranz</w:t>
      </w:r>
      <w:r>
        <w:rPr>
          <w:rStyle w:val="Funotenanker"/>
        </w:rPr>
        <w:footnoteReference w:customMarkFollows="1" w:id="5678"/>
        <w:t>c</w:t>
      </w:r>
      <w:r>
        <w:rPr/>
        <w:t xml:space="preserve"> bekommt?{{field-off:bible}} </w:t>
        <w:br/>
        <w:t>[[@BibleTOBIBLE:1Co 9:25]]</w:t>
      </w:r>
      <w:r>
        <w:rPr>
          <w:b/>
        </w:rPr>
        <w:t>25</w:t>
      </w:r>
      <w:r>
        <w:rPr/>
        <w:t xml:space="preserve"> {{field-on:bible}}Jeder aber, der kämpft, übt sich in Verzicht </w:t>
      </w:r>
      <w:r>
        <w:rPr>
          <w:color w:val="808080"/>
        </w:rPr>
        <w:t>(Selbstbeherrschung)</w:t>
      </w:r>
      <w:r>
        <w:rPr/>
        <w:t xml:space="preserve"> </w:t>
      </w:r>
      <w:r>
        <w:rPr>
          <w:rStyle w:val="Funotenanker"/>
        </w:rPr>
        <w:footnoteReference w:customMarkFollows="1" w:id="5679"/>
        <w:t>d</w:t>
      </w:r>
      <w:r>
        <w:rPr/>
        <w:t xml:space="preserve"> in allen </w:t>
      </w:r>
      <w:r>
        <w:rPr>
          <w:b/>
          <w:color w:val="808080"/>
        </w:rPr>
        <w:t>[</w:t>
      </w:r>
      <w:r>
        <w:rPr/>
        <w:t>Lebensbereichen</w:t>
      </w:r>
      <w:r>
        <w:rPr>
          <w:b/>
          <w:color w:val="808080"/>
        </w:rPr>
        <w:t>]</w:t>
      </w:r>
      <w:r>
        <w:rPr/>
        <w:t>. Die Athleten tun es, damit sie einen Siegeskranz bekommen, der doch vergänglich ist</w:t>
      </w:r>
      <w:r>
        <w:rPr>
          <w:rStyle w:val="Funotenanker"/>
        </w:rPr>
        <w:footnoteReference w:customMarkFollows="1" w:id="5680"/>
        <w:t>e</w:t>
      </w:r>
      <w:r>
        <w:rPr/>
        <w:t xml:space="preserve">; wir aber für einen unvergänglichen.{{field-off:bible}} </w:t>
        <w:br/>
        <w:t>[[@BibleTOBIBLE:1Co 9:26]]</w:t>
      </w:r>
      <w:r>
        <w:rPr>
          <w:b/>
        </w:rPr>
        <w:t>26</w:t>
      </w:r>
      <w:r>
        <w:rPr/>
        <w:t xml:space="preserve"> {{field-on:bible}} </w:t>
      </w:r>
      <w:r>
        <w:rPr>
          <w:b/>
          <w:color w:val="808080"/>
        </w:rPr>
        <w:t>[</w:t>
      </w:r>
      <w:r>
        <w:rPr/>
        <w:t>Das gilt</w:t>
      </w:r>
      <w:r>
        <w:rPr>
          <w:b/>
          <w:color w:val="808080"/>
        </w:rPr>
        <w:t>]</w:t>
      </w:r>
      <w:r>
        <w:rPr/>
        <w:t xml:space="preserve"> auch für mich</w:t>
      </w:r>
      <w:r>
        <w:rPr>
          <w:rStyle w:val="Funotenanker"/>
        </w:rPr>
        <w:footnoteReference w:customMarkFollows="1" w:id="5681"/>
        <w:t>f</w:t>
      </w:r>
      <w:r>
        <w:rPr/>
        <w:t>: Ich laufe nicht wie einer, der ziellos umherirrt, ich boxe nicht wie einer, der wild um sich haut</w:t>
      </w:r>
      <w:r>
        <w:rPr>
          <w:rStyle w:val="Funotenanker"/>
        </w:rPr>
        <w:footnoteReference w:customMarkFollows="1" w:id="5682"/>
        <w:t>g</w:t>
      </w:r>
      <w:r>
        <w:rPr/>
        <w:t xml:space="preserve">;{{field-off:bible}} </w:t>
        <w:br/>
        <w:t>[[@BibleTOBIBLE:1Co 9:27]]</w:t>
      </w:r>
      <w:r>
        <w:rPr>
          <w:b/>
        </w:rPr>
        <w:t>27</w:t>
      </w:r>
      <w:r>
        <w:rPr/>
        <w:t xml:space="preserve"> {{field-on:bible}}sondern ich führe einen harten Kampf</w:t>
      </w:r>
      <w:r>
        <w:rPr>
          <w:rStyle w:val="Funotenanker"/>
        </w:rPr>
        <w:footnoteReference w:customMarkFollows="1" w:id="5683"/>
        <w:t>h</w:t>
      </w:r>
      <w:r>
        <w:rPr/>
        <w:t xml:space="preserve"> gegen mich selbst und zwinge meinen Körper, mir zu gehorchen</w:t>
      </w:r>
      <w:r>
        <w:rPr>
          <w:rStyle w:val="Funotenanker"/>
        </w:rPr>
        <w:footnoteReference w:customMarkFollows="1" w:id="5684"/>
        <w:t>i</w:t>
      </w:r>
      <w:r>
        <w:rPr/>
        <w:t xml:space="preserve">, damit ich nicht an dem, was ich anderen gepredigt habe, selbst untauglich werde </w:t>
      </w:r>
      <w:r>
        <w:rPr>
          <w:color w:val="808080"/>
        </w:rPr>
        <w:t>(scheitere)</w:t>
      </w:r>
      <w:r>
        <w:rPr/>
        <w:t xml:space="preserve">.{{field-off:bible}} </w:t>
      </w:r>
    </w:p>
    <w:p>
      <w:pPr>
        <w:pStyle w:val="Berschrift3"/>
        <w:rPr/>
      </w:pPr>
      <w:r>
        <w:rPr/>
        <w:t>[[@BibleTOBIBLE:1Co 10]]Kapitel 10</w:t>
      </w:r>
    </w:p>
    <w:p>
      <w:pPr>
        <w:pStyle w:val="Textkrper"/>
        <w:rPr/>
      </w:pPr>
      <w:r>
        <w:rPr/>
        <w:br/>
        <w:t>[[@BibleTOBIBLE:1Co 10:1]]</w:t>
      </w:r>
      <w:r>
        <w:rPr>
          <w:b/>
        </w:rPr>
        <w:t>1</w:t>
      </w:r>
      <w:r>
        <w:rPr/>
        <w:t xml:space="preserve"> {{field-on:bible}}Ich will nämlich nicht, dass ihr nicht wisst </w:t>
      </w:r>
      <w:r>
        <w:rPr>
          <w:color w:val="808080"/>
        </w:rPr>
        <w:t>(versteht)</w:t>
      </w:r>
      <w:r>
        <w:rPr/>
        <w:t xml:space="preserve">, dass eure Väter alle unter der Wolke waren und alle durch das Meer zogen{{field-off:bible}} </w:t>
        <w:br/>
        <w:t>[[@BibleTOBIBLE:1Co 10:2]]</w:t>
      </w:r>
      <w:r>
        <w:rPr>
          <w:b/>
        </w:rPr>
        <w:t>2</w:t>
      </w:r>
      <w:r>
        <w:rPr/>
        <w:t xml:space="preserve"> {{field-on:bible}}und alle auf </w:t>
      </w:r>
      <w:r>
        <w:rPr>
          <w:color w:val="808080"/>
        </w:rPr>
        <w:t>(in)</w:t>
      </w:r>
      <w:r>
        <w:rPr/>
        <w:t xml:space="preserve"> </w:t>
      </w:r>
      <w:r>
        <w:rPr>
          <w:strike/>
          <w:color w:val="808080"/>
        </w:rPr>
        <w:t>{den}</w:t>
      </w:r>
      <w:r>
        <w:rPr/>
        <w:t xml:space="preserve"> Moses </w:t>
      </w:r>
      <w:r>
        <w:rPr>
          <w:color w:val="808080"/>
        </w:rPr>
        <w:t>(hinein)</w:t>
      </w:r>
      <w:r>
        <w:rPr/>
        <w:t xml:space="preserve"> getauft wurden in der Wolke und in dem Meer{{field-off:bible}} </w:t>
        <w:br/>
        <w:t>[[@BibleTOBIBLE:1Co 10:3]]</w:t>
      </w:r>
      <w:r>
        <w:rPr>
          <w:b/>
        </w:rPr>
        <w:t>3</w:t>
      </w:r>
      <w:r>
        <w:rPr/>
        <w:t xml:space="preserve"> {{field-on:bible}}und alle dieselbe geistliche Nahrung aßen{{field-off:bible}} </w:t>
        <w:br/>
        <w:t>[[@BibleTOBIBLE:1Co 10:4]]</w:t>
      </w:r>
      <w:r>
        <w:rPr>
          <w:b/>
        </w:rPr>
        <w:t>4</w:t>
      </w:r>
      <w:r>
        <w:rPr/>
        <w:t xml:space="preserve"> {{field-on:bible}}und alle denselben geistlichen Trank tranken: Sie tranken nämlich aus einem geistlichen Felsen, der nachfolgte, der Fels aber war </w:t>
      </w:r>
      <w:r>
        <w:rPr>
          <w:strike/>
          <w:color w:val="808080"/>
        </w:rPr>
        <w:t>{der}</w:t>
      </w:r>
      <w:r>
        <w:rPr/>
        <w:t xml:space="preserve"> Christus.{{field-off:bible}} </w:t>
        <w:br/>
        <w:t>[[@BibleTOBIBLE:1Co 10:5]]</w:t>
      </w:r>
      <w:r>
        <w:rPr>
          <w:b/>
        </w:rPr>
        <w:t>5</w:t>
      </w:r>
      <w:r>
        <w:rPr/>
        <w:t xml:space="preserve"> {{field-on:bible}}Aber Gott fand nicht an </w:t>
      </w:r>
      <w:r>
        <w:rPr>
          <w:color w:val="808080"/>
        </w:rPr>
        <w:t>(in)</w:t>
      </w:r>
      <w:r>
        <w:rPr/>
        <w:t xml:space="preserve"> den meisten von ihnen Wohlgefallen, denn sie wurden in der Wüste getötet </w:t>
      </w:r>
      <w:r>
        <w:rPr>
          <w:color w:val="808080"/>
        </w:rPr>
        <w:t>(niedergestreckt)</w:t>
      </w:r>
      <w:r>
        <w:rPr/>
        <w:t xml:space="preserve">.{{field-off:bible}} </w:t>
        <w:br/>
        <w:t>[[@BibleTOBIBLE:1Co 10:13]]</w:t>
      </w:r>
      <w:r>
        <w:rPr>
          <w:b/>
        </w:rPr>
        <w:t>13</w:t>
      </w:r>
      <w:r>
        <w:rPr/>
        <w:t xml:space="preserve"> {{field-on:bible}}...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11:23]]</w:t>
      </w:r>
      <w:r>
        <w:rPr>
          <w:b/>
        </w:rPr>
        <w:t>23</w:t>
      </w:r>
      <w:r>
        <w:rPr/>
        <w:t xml:space="preserve"> {{field-on:bible}}Ich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5685"/>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5686"/>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5687"/>
        <w:t>Status</w:t>
      </w:r>
      <w:r>
        <w:rPr/>
        <w:t xml:space="preserve"> Wenn ich </w:t>
      </w:r>
      <w:r>
        <w:rPr>
          <w:color w:val="808080"/>
        </w:rPr>
        <w:t>(einer)</w:t>
      </w:r>
      <w:r>
        <w:rPr/>
        <w:t xml:space="preserve"> </w:t>
      </w:r>
      <w:r>
        <w:rPr>
          <w:rStyle w:val="Funotenanker"/>
        </w:rPr>
        <w:footnoteReference w:customMarkFollows="1" w:id="5688"/>
        <w:t>a</w:t>
      </w:r>
      <w:r>
        <w:rPr/>
        <w:t xml:space="preserve"> in den Sprachen der Menschen</w:t>
      </w:r>
      <w:r>
        <w:rPr>
          <w:rStyle w:val="Funotenanker"/>
        </w:rPr>
        <w:footnoteReference w:customMarkFollows="1" w:id="5689"/>
        <w:t>b</w:t>
      </w:r>
      <w:r>
        <w:rPr/>
        <w:t xml:space="preserve"> spräche </w:t>
      </w:r>
      <w:r>
        <w:rPr>
          <w:color w:val="808080"/>
        </w:rPr>
        <w:t>(spreche)</w:t>
      </w:r>
      <w:r>
        <w:rPr/>
        <w:t xml:space="preserve"> </w:t>
      </w:r>
      <w:r>
        <w:rPr>
          <w:rStyle w:val="Funotenanker"/>
        </w:rPr>
        <w:footnoteReference w:customMarkFollows="1" w:id="5690"/>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5691"/>
        <w:t>d</w:t>
      </w:r>
      <w:r>
        <w:rPr/>
        <w:t xml:space="preserve">, aber keine Liebe hätte </w:t>
      </w:r>
      <w:r>
        <w:rPr>
          <w:color w:val="808080"/>
        </w:rPr>
        <w:t>(habe, nicht liebte</w:t>
      </w:r>
      <w:r>
        <w:rPr/>
        <w:t xml:space="preserve"> </w:t>
      </w:r>
      <w:r>
        <w:rPr>
          <w:rStyle w:val="Funotenanker"/>
        </w:rPr>
        <w:footnoteReference w:customMarkFollows="1" w:id="5692"/>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5693"/>
        <w:t>f</w:t>
      </w:r>
      <w:r>
        <w:rPr/>
        <w:t xml:space="preserve"> oder eine klingende </w:t>
      </w:r>
      <w:r>
        <w:rPr>
          <w:color w:val="808080"/>
        </w:rPr>
        <w:t>(lärmende)</w:t>
      </w:r>
      <w:r>
        <w:rPr/>
        <w:t xml:space="preserve"> </w:t>
      </w:r>
      <w:r>
        <w:rPr>
          <w:rStyle w:val="Funotenanker"/>
        </w:rPr>
        <w:footnoteReference w:customMarkFollows="1" w:id="5694"/>
        <w:t>g</w:t>
      </w:r>
      <w:r>
        <w:rPr/>
        <w:t xml:space="preserve"> Zimbel</w:t>
      </w:r>
      <w:r>
        <w:rPr>
          <w:rStyle w:val="Funotenanker"/>
        </w:rPr>
        <w:footnoteReference w:customMarkFollows="1" w:id="5695"/>
        <w:t>h</w:t>
      </w:r>
      <w:r>
        <w:rPr/>
        <w:t xml:space="preserve"> </w:t>
      </w:r>
      <w:r>
        <w:rPr>
          <w:strike/>
          <w:color w:val="808080"/>
        </w:rPr>
        <w:t>{geworden}</w:t>
      </w:r>
      <w:r>
        <w:rPr/>
        <w:t xml:space="preserve"> </w:t>
      </w:r>
      <w:r>
        <w:rPr>
          <w:rStyle w:val="Funotenanker"/>
        </w:rPr>
        <w:footnoteReference w:customMarkFollows="1" w:id="5696"/>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5697"/>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5698"/>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5699"/>
        <w:t>l</w:t>
      </w:r>
      <w:r>
        <w:rPr/>
        <w:t xml:space="preserve">, mild </w:t>
      </w:r>
      <w:r>
        <w:rPr>
          <w:color w:val="808080"/>
        </w:rPr>
        <w:t>(freundlich)</w:t>
      </w:r>
      <w:r>
        <w:rPr/>
        <w:t xml:space="preserve"> </w:t>
      </w:r>
      <w:r>
        <w:rPr>
          <w:rStyle w:val="Funotenanker"/>
        </w:rPr>
        <w:footnoteReference w:customMarkFollows="1" w:id="5700"/>
        <w:t>m</w:t>
      </w:r>
      <w:r>
        <w:rPr/>
        <w:t xml:space="preserve"> </w:t>
      </w:r>
      <w:r>
        <w:rPr>
          <w:strike/>
          <w:color w:val="808080"/>
        </w:rPr>
        <w:t>{ist die Liebe}</w:t>
      </w:r>
      <w:r>
        <w:rPr/>
        <w:t xml:space="preserve"> </w:t>
      </w:r>
      <w:r>
        <w:rPr>
          <w:rStyle w:val="Funotenanker"/>
        </w:rPr>
        <w:footnoteReference w:customMarkFollows="1" w:id="5701"/>
        <w:t>n</w:t>
      </w:r>
      <w:r>
        <w:rPr/>
        <w:t xml:space="preserve">; die Liebe ist nicht aggressiv </w:t>
      </w:r>
      <w:r>
        <w:rPr>
          <w:color w:val="808080"/>
        </w:rPr>
        <w:t>(ereifert sich nicht?)</w:t>
      </w:r>
      <w:r>
        <w:rPr/>
        <w:t xml:space="preserve"> </w:t>
      </w:r>
      <w:r>
        <w:rPr>
          <w:rStyle w:val="Funotenanker"/>
        </w:rPr>
        <w:footnoteReference w:customMarkFollows="1" w:id="5702"/>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5703"/>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5704"/>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5705"/>
        <w:t>r</w:t>
      </w:r>
      <w:r>
        <w:rPr/>
        <w:t>, sondern sie freut sich über</w:t>
      </w:r>
      <w:r>
        <w:rPr>
          <w:rStyle w:val="Funotenanker"/>
        </w:rPr>
        <w:footnoteReference w:customMarkFollows="1" w:id="5706"/>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5707"/>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5708"/>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5709"/>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5710"/>
        <w:t>w</w:t>
      </w:r>
      <w:r>
        <w:rPr/>
        <w:t xml:space="preserve"> Als ich ein Kind</w:t>
      </w:r>
      <w:r>
        <w:rPr>
          <w:rStyle w:val="Funotenanker"/>
        </w:rPr>
        <w:footnoteReference w:customMarkFollows="1" w:id="5711"/>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5712"/>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5713"/>
        <w:t>z</w:t>
      </w:r>
      <w:r>
        <w:rPr/>
        <w:t xml:space="preserve"> durch einen </w:t>
      </w:r>
      <w:r>
        <w:rPr>
          <w:color w:val="808080"/>
        </w:rPr>
        <w:t>(in einem)</w:t>
      </w:r>
      <w:r>
        <w:rPr/>
        <w:t xml:space="preserve"> </w:t>
      </w:r>
      <w:r>
        <w:rPr>
          <w:rStyle w:val="Funotenanker"/>
        </w:rPr>
        <w:footnoteReference w:customMarkFollows="1" w:id="5714"/>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5715"/>
        <w:t>ab</w:t>
      </w:r>
      <w:r>
        <w:rPr/>
        <w:t xml:space="preserve">.{{field-off:bible}} </w:t>
        <w:br/>
        <w:t>[[@BibleTOBIBLE:1Co 13:13]]</w:t>
      </w:r>
      <w:r>
        <w:rPr>
          <w:b/>
        </w:rPr>
        <w:t>13</w:t>
      </w:r>
      <w:r>
        <w:rPr/>
        <w:t xml:space="preserve"> {{field-on:bible}}Jetzt aber bleiben</w:t>
      </w:r>
      <w:r>
        <w:rPr>
          <w:rStyle w:val="Funotenanker"/>
        </w:rPr>
        <w:footnoteReference w:customMarkFollows="1" w:id="5716"/>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3"/>
        <w:rPr/>
      </w:pPr>
      <w:r>
        <w:rPr/>
        <w:t>[[@BibleTOBIBLE:1Co 15]]Kapitel 15</w:t>
      </w:r>
    </w:p>
    <w:p>
      <w:pPr>
        <w:pStyle w:val="Textkrper"/>
        <w:rPr/>
      </w:pPr>
      <w:r>
        <w:rPr/>
        <w:br/>
        <w:t>[[@BibleTOBIBLE:1Co 15:1]]</w:t>
      </w:r>
      <w:r>
        <w:rPr>
          <w:b/>
        </w:rPr>
        <w:t>1</w:t>
      </w:r>
      <w:r>
        <w:rPr/>
        <w:t xml:space="preserve"> {{field-on:bible}}Ich lasse euch aber, </w:t>
      </w:r>
      <w:r>
        <w:rPr>
          <w:b/>
          <w:color w:val="808080"/>
        </w:rPr>
        <w:t>[</w:t>
      </w:r>
      <w:r>
        <w:rPr/>
        <w:t>Schwestern und</w:t>
      </w:r>
      <w:r>
        <w:rPr>
          <w:b/>
          <w:color w:val="808080"/>
        </w:rPr>
        <w:t>]</w:t>
      </w:r>
      <w:r>
        <w:rPr/>
        <w:t xml:space="preserve"> Brüder, die Frohbotschaft </w:t>
      </w:r>
      <w:r>
        <w:rPr>
          <w:color w:val="808080"/>
        </w:rPr>
        <w:t>(die gute Nachricht, das Evangelium)</w:t>
      </w:r>
      <w:r>
        <w:rPr/>
        <w:t xml:space="preserve"> wissen </w:t>
      </w:r>
      <w:r>
        <w:rPr>
          <w:color w:val="808080"/>
        </w:rPr>
        <w:t>(mache kund, offenbare)</w:t>
      </w:r>
      <w:r>
        <w:rPr/>
        <w:t xml:space="preserve">, die ich euch predigte, die ihr auch annahmt, in der ihr auch fest steht,{{field-off:bible}} </w:t>
        <w:br/>
        <w:t>[[@BibleTOBIBLE:1Co 15:2]]</w:t>
      </w:r>
      <w:r>
        <w:rPr>
          <w:b/>
        </w:rPr>
        <w:t>2</w:t>
      </w:r>
      <w:r>
        <w:rPr/>
        <w:t xml:space="preserve"> {{field-on:bible}}durch die ihr auch gerettet werdet, in welchem Wortlaut ich sie euch predigte, wenn ihr sie festhaltet,</w:t>
      </w:r>
      <w:r>
        <w:rPr>
          <w:rStyle w:val="Funotenanker"/>
        </w:rPr>
        <w:footnoteReference w:customMarkFollows="1" w:id="5717"/>
        <w:t>a</w:t>
      </w:r>
      <w:r>
        <w:rPr/>
        <w:t xml:space="preserve"> es sei denn, ihr glaubtet ohne Sinn und Verstand </w:t>
      </w:r>
      <w:r>
        <w:rPr>
          <w:color w:val="808080"/>
        </w:rPr>
        <w:t>(ihr wäret umsonst gläubig geworden)</w:t>
      </w:r>
      <w:r>
        <w:rPr/>
        <w:t xml:space="preserve">.{{field-off:bible}} </w:t>
        <w:br/>
        <w:t>[[@BibleTOBIBLE:1Co 15:3]]</w:t>
      </w:r>
      <w:r>
        <w:rPr>
          <w:b/>
        </w:rPr>
        <w:t>3</w:t>
      </w:r>
      <w:r>
        <w:rPr/>
        <w:t xml:space="preserve"> {{field-on:bible}}Denn ich habe euch in erster Linie </w:t>
      </w:r>
      <w:r>
        <w:rPr>
          <w:color w:val="808080"/>
        </w:rPr>
        <w:t>(unter den wichtigsten Stücken)</w:t>
      </w:r>
      <w:r>
        <w:rPr/>
        <w:t xml:space="preserve"> überliefert, was ich ich angenommen habe: </w:t>
        <w:br/>
        <w:t>„Dass Christus für unsere Sünden starb gemäß der Schrift,</w:t>
        <w:br/>
        <w:t xml:space="preserve">{{field-off:bible}} </w:t>
        <w:br/>
        <w:t>[[@BibleTOBIBLE:1Co 15:4]]</w:t>
      </w:r>
      <w:r>
        <w:rPr>
          <w:b/>
        </w:rPr>
        <w:t>4</w:t>
      </w:r>
      <w:r>
        <w:rPr/>
        <w:t xml:space="preserve"> {{field-on:bible}} </w:t>
        <w:br/>
      </w:r>
      <w:r>
        <w:rPr>
          <w:strike/>
          <w:color w:val="808080"/>
        </w:rPr>
        <w:t>{und}</w:t>
      </w:r>
      <w:r>
        <w:rPr/>
        <w:t xml:space="preserve"> dass er begraben wurde,</w:t>
        <w:br/>
      </w:r>
      <w:r>
        <w:rPr>
          <w:strike/>
          <w:color w:val="808080"/>
        </w:rPr>
        <w:t>{und}</w:t>
      </w:r>
      <w:r>
        <w:rPr/>
        <w:t xml:space="preserve"> dass er am dritten Tag auferweckt wurde gemäß der Schrift,</w:t>
        <w:br/>
        <w:t xml:space="preserve">{{field-off:bible}} </w:t>
        <w:br/>
        <w:t>[[@BibleTOBIBLE:1Co 15:5]]</w:t>
      </w:r>
      <w:r>
        <w:rPr>
          <w:b/>
        </w:rPr>
        <w:t>5</w:t>
      </w:r>
      <w:r>
        <w:rPr/>
        <w:t xml:space="preserve"> {{field-on:bible}} </w:t>
        <w:br/>
        <w:t xml:space="preserve">und dass er Kephas erschien </w:t>
      </w:r>
      <w:r>
        <w:rPr>
          <w:color w:val="808080"/>
        </w:rPr>
        <w:t>(sich zeigte)</w:t>
      </w:r>
      <w:r>
        <w:rPr/>
        <w:t>, darauf den Zwölfen“.</w:t>
        <w:br/>
        <w:t xml:space="preserve">{{field-off:bible}} </w:t>
        <w:br/>
        <w:t>[[@BibleTOBIBLE:1Co 15:6]]</w:t>
      </w:r>
      <w:r>
        <w:rPr>
          <w:b/>
        </w:rPr>
        <w:t>6</w:t>
      </w:r>
      <w:r>
        <w:rPr/>
        <w:t xml:space="preserve"> {{field-on:bible}}Darauf erschien er mehr als 500 </w:t>
      </w:r>
      <w:r>
        <w:rPr>
          <w:b/>
          <w:color w:val="808080"/>
        </w:rPr>
        <w:t>[</w:t>
      </w:r>
      <w:r>
        <w:rPr/>
        <w:t>Schwestern und</w:t>
      </w:r>
      <w:r>
        <w:rPr>
          <w:b/>
          <w:color w:val="808080"/>
        </w:rPr>
        <w:t>]</w:t>
      </w:r>
      <w:r>
        <w:rPr/>
        <w:t xml:space="preserve"> Brüdern auf einmal, von denen die meisten </w:t>
      </w:r>
      <w:r>
        <w:rPr>
          <w:color w:val="808080"/>
        </w:rPr>
        <w:t>(bis jetzt bleiben =)</w:t>
      </w:r>
      <w:r>
        <w:rPr/>
        <w:t xml:space="preserve"> noch leben, einige aber sind entschlafen.{{field-off:bible}} </w:t>
        <w:br/>
        <w:t>[[@BibleTOBIBLE:1Co 15:7]]</w:t>
      </w:r>
      <w:r>
        <w:rPr>
          <w:b/>
        </w:rPr>
        <w:t>7</w:t>
      </w:r>
      <w:r>
        <w:rPr/>
        <w:t xml:space="preserve"> {{field-on:bible}}Darauf erschien er Jakobus, dann allen Aposteln.{{field-off:bible}} </w:t>
        <w:br/>
        <w:t>[[@BibleTOBIBLE:1Co 15:8]]</w:t>
      </w:r>
      <w:r>
        <w:rPr>
          <w:b/>
        </w:rPr>
        <w:t>8</w:t>
      </w:r>
      <w:r>
        <w:rPr/>
        <w:t xml:space="preserve"> {{field-on:bible}}Als letztem von allen aber, quasi wie </w:t>
      </w:r>
      <w:r>
        <w:rPr>
          <w:color w:val="808080"/>
        </w:rPr>
        <w:t>(gleichsam als)</w:t>
      </w:r>
      <w:r>
        <w:rPr/>
        <w:t xml:space="preserve"> einer Fehlgeburt, erschien er auch mir.{{field-off:bible}} </w:t>
        <w:br/>
        <w:t>[[@BibleTOBIBLE:1Co 15:9]]</w:t>
      </w:r>
      <w:r>
        <w:rPr>
          <w:b/>
        </w:rPr>
        <w:t>9</w:t>
      </w:r>
      <w:r>
        <w:rPr/>
        <w:t xml:space="preserve"> {{field-on:bible}}Ich bin ja </w:t>
      </w:r>
      <w:r>
        <w:rPr>
          <w:color w:val="808080"/>
        </w:rPr>
        <w:t>(nämlich)</w:t>
      </w:r>
      <w:r>
        <w:rPr/>
        <w:t xml:space="preserve"> der geringste der Apostel, </w:t>
      </w:r>
      <w:r>
        <w:rPr>
          <w:strike/>
          <w:color w:val="808080"/>
        </w:rPr>
        <w:t>{der ich}</w:t>
      </w:r>
      <w:r>
        <w:rPr/>
        <w:t xml:space="preserve"> nicht einmal geeignet </w:t>
      </w:r>
      <w:r>
        <w:rPr>
          <w:strike/>
          <w:color w:val="808080"/>
        </w:rPr>
        <w:t>{bin}</w:t>
      </w:r>
      <w:r>
        <w:rPr/>
        <w:t xml:space="preserve">, Apostel genannt zu werden, weil ich die Gemeinde Gottes verfolgte.{{field-off:bible}} </w:t>
        <w:br/>
        <w:t>[[@BibleTOBIBLE:1Co 15:10]]</w:t>
      </w:r>
      <w:r>
        <w:rPr>
          <w:b/>
        </w:rPr>
        <w:t>10</w:t>
      </w:r>
      <w:r>
        <w:rPr/>
        <w:t xml:space="preserve"> {{field-on:bible}}Gott sei Dank </w:t>
      </w:r>
      <w:r>
        <w:rPr>
          <w:color w:val="808080"/>
        </w:rPr>
        <w:t>(durch Gottes Gnade)</w:t>
      </w:r>
      <w:r>
        <w:rPr/>
        <w:t xml:space="preserve"> aber bin ich, was ich bin, und seine Gnadengabe</w:t>
      </w:r>
      <w:r>
        <w:rPr>
          <w:rStyle w:val="Funotenanker"/>
        </w:rPr>
        <w:footnoteReference w:customMarkFollows="1" w:id="5718"/>
        <w:t>b</w:t>
      </w:r>
      <w:r>
        <w:rPr/>
        <w:t xml:space="preserve"> für mich </w:t>
      </w:r>
      <w:r>
        <w:rPr>
          <w:color w:val="808080"/>
        </w:rPr>
        <w:t>(geschah =)</w:t>
      </w:r>
      <w:r>
        <w:rPr/>
        <w:t xml:space="preserve"> blieb nicht ohne Erfolg, sondern mehr als alle anderen plagte ich mich </w:t>
      </w:r>
      <w:r>
        <w:rPr>
          <w:color w:val="808080"/>
        </w:rPr>
        <w:t>(arbeitete ich mich ab)</w:t>
      </w:r>
      <w:r>
        <w:rPr/>
        <w:t>, aber nicht ich, sondern Gottes Gnabengabe, die mit</w:t>
      </w:r>
      <w:r>
        <w:rPr>
          <w:rStyle w:val="Funotenanker"/>
        </w:rPr>
        <w:footnoteReference w:customMarkFollows="1" w:id="5719"/>
        <w:t>c</w:t>
      </w:r>
      <w:r>
        <w:rPr/>
        <w:t xml:space="preserve"> mir ist.{{field-off:bible}} </w:t>
        <w:br/>
        <w:t>[[@BibleTOBIBLE:1Co 15:11]]</w:t>
      </w:r>
      <w:r>
        <w:rPr>
          <w:b/>
        </w:rPr>
        <w:t>11</w:t>
      </w:r>
      <w:r>
        <w:rPr/>
        <w:t xml:space="preserve"> {{field-on:bible}}Ob nun ich oder </w:t>
      </w:r>
      <w:r>
        <w:rPr>
          <w:strike/>
          <w:color w:val="808080"/>
        </w:rPr>
        <w:t>{ob}</w:t>
      </w:r>
      <w:r>
        <w:rPr/>
        <w:t xml:space="preserve"> jene, so predigen wir, und so habt ihr geglaubt.{{field-off:bible}} </w:t>
        <w:br/>
        <w:t>[[@BibleTOBIBLE:1Co 15:12]]</w:t>
      </w:r>
      <w:r>
        <w:rPr>
          <w:b/>
        </w:rPr>
        <w:t>12</w:t>
      </w:r>
      <w:r>
        <w:rPr/>
        <w:t xml:space="preserve"> {{field-on:bible}}Wenn aber Christus verkündigt wird, dass er aus den Toten</w:t>
      </w:r>
      <w:r>
        <w:rPr>
          <w:rStyle w:val="Funotenanker"/>
        </w:rPr>
        <w:footnoteReference w:customMarkFollows="1" w:id="5720"/>
        <w:t>d</w:t>
      </w:r>
      <w:r>
        <w:rPr/>
        <w:t xml:space="preserve"> auferstanden </w:t>
      </w:r>
      <w:r>
        <w:rPr>
          <w:color w:val="808080"/>
        </w:rPr>
        <w:t>(auferweckt)</w:t>
      </w:r>
      <w:r>
        <w:rPr/>
        <w:t xml:space="preserve"> ist</w:t>
      </w:r>
      <w:r>
        <w:rPr>
          <w:rStyle w:val="Funotenanker"/>
        </w:rPr>
        <w:footnoteReference w:customMarkFollows="1" w:id="5721"/>
        <w:t>e</w:t>
      </w:r>
      <w:r>
        <w:rPr/>
        <w:t>, wie sagen einige bei euch:</w:t>
      </w:r>
      <w:r>
        <w:rPr>
          <w:rStyle w:val="Funotenanker"/>
        </w:rPr>
        <w:footnoteReference w:customMarkFollows="1" w:id="5722"/>
        <w:t>f</w:t>
      </w:r>
      <w:r>
        <w:rPr/>
        <w:t xml:space="preserve"> Es gibt keine Auferstehung der Toten </w:t>
      </w:r>
      <w:r>
        <w:rPr>
          <w:color w:val="808080"/>
        </w:rPr>
        <w:t>(Totenauferweckung)</w:t>
      </w:r>
      <w:r>
        <w:rPr/>
        <w:t xml:space="preserve">?{{field-off:bible}} </w:t>
        <w:br/>
        <w:t>[[@BibleTOBIBLE:1Co 15:13]]</w:t>
      </w:r>
      <w:r>
        <w:rPr>
          <w:b/>
        </w:rPr>
        <w:t>13</w:t>
      </w:r>
      <w:r>
        <w:rPr/>
        <w:t xml:space="preserve"> {{field-on:bible}}Wenn es aber keine Auferstehung der Toten </w:t>
      </w:r>
      <w:r>
        <w:rPr>
          <w:color w:val="808080"/>
        </w:rPr>
        <w:t>(Totenauferweckung)</w:t>
      </w:r>
      <w:r>
        <w:rPr/>
        <w:t xml:space="preserve"> gibt, ist auch Christus nicht auferstanden </w:t>
      </w:r>
      <w:r>
        <w:rPr>
          <w:color w:val="808080"/>
        </w:rPr>
        <w:t>(auferweckt)</w:t>
      </w:r>
      <w:r>
        <w:rPr/>
        <w:t xml:space="preserve">.{{field-off:bible}} </w:t>
        <w:br/>
        <w:t>[[@BibleTOBIBLE:1Co 15:14]]</w:t>
      </w:r>
      <w:r>
        <w:rPr>
          <w:b/>
        </w:rPr>
        <w:t>14</w:t>
      </w:r>
      <w:r>
        <w:rPr/>
        <w:t xml:space="preserve"> {{field-on:bible}}Wenn aber Christus nicht auferstanden </w:t>
      </w:r>
      <w:r>
        <w:rPr>
          <w:color w:val="808080"/>
        </w:rPr>
        <w:t>(auferweckt)</w:t>
      </w:r>
      <w:r>
        <w:rPr/>
        <w:t xml:space="preserve"> ist, ist folglich auch unsere Verkündigung </w:t>
      </w:r>
      <w:r>
        <w:rPr>
          <w:color w:val="808080"/>
        </w:rPr>
        <w:t>(leer =)</w:t>
      </w:r>
      <w:r>
        <w:rPr/>
        <w:t xml:space="preserve"> inhaltsleer </w:t>
      </w:r>
      <w:r>
        <w:rPr>
          <w:color w:val="808080"/>
        </w:rPr>
        <w:t>(hohl)</w:t>
      </w:r>
      <w:r>
        <w:rPr/>
        <w:t xml:space="preserve">, leer auch euer Glaube.{{field-off:bible}} </w:t>
        <w:br/>
        <w:t>[[@BibleTOBIBLE:1Co 15:15]]</w:t>
      </w:r>
      <w:r>
        <w:rPr>
          <w:b/>
        </w:rPr>
        <w:t>15</w:t>
      </w:r>
      <w:r>
        <w:rPr/>
        <w:t xml:space="preserve"> {{field-on:bible}} </w:t>
      </w:r>
      <w:r>
        <w:rPr>
          <w:color w:val="808080"/>
        </w:rPr>
        <w:t>(Wir werden aber auch gefunden =)</w:t>
      </w:r>
      <w:r>
        <w:rPr/>
        <w:t xml:space="preserve"> Wir stehen aber auch da als falsche Zeugen Gottes, denn wir haben Zeugnis </w:t>
      </w:r>
      <w:r>
        <w:rPr>
          <w:color w:val="808080"/>
        </w:rPr>
        <w:t>(gegen =)</w:t>
      </w:r>
      <w:r>
        <w:rPr/>
        <w:t xml:space="preserve"> im Widerspruch zu Gott abgelegt, dass er Christus auferweckt habe, den er nicht auferweckte, wenn </w:t>
      </w:r>
      <w:r>
        <w:rPr>
          <w:color w:val="808080"/>
        </w:rPr>
        <w:t>(anders= )</w:t>
      </w:r>
      <w:r>
        <w:rPr/>
        <w:t>, wie sie sagen,</w:t>
      </w:r>
      <w:r>
        <w:rPr>
          <w:rStyle w:val="Funotenanker"/>
        </w:rPr>
        <w:footnoteReference w:customMarkFollows="1" w:id="5723"/>
        <w:t>g</w:t>
      </w:r>
      <w:r>
        <w:rPr/>
        <w:t xml:space="preserve"> die Toten nicht auferstehen </w:t>
      </w:r>
      <w:r>
        <w:rPr>
          <w:color w:val="808080"/>
        </w:rPr>
        <w:t>(auferweckt werden)</w:t>
      </w:r>
      <w:r>
        <w:rPr/>
        <w:t xml:space="preserve">.{{field-off:bible}} </w:t>
        <w:br/>
        <w:t>[[@BibleTOBIBLE:1Co 15:16]]</w:t>
      </w:r>
      <w:r>
        <w:rPr>
          <w:b/>
        </w:rPr>
        <w:t>16</w:t>
      </w:r>
      <w:r>
        <w:rPr/>
        <w:t xml:space="preserve"> {{field-on:bible}}Denn wenn die Toten nicht auferstehen </w:t>
      </w:r>
      <w:r>
        <w:rPr>
          <w:color w:val="808080"/>
        </w:rPr>
        <w:t>(auferweckt werden)</w:t>
      </w:r>
      <w:r>
        <w:rPr/>
        <w:t xml:space="preserve">, dann ist auch Christus nicht auferstanden </w:t>
      </w:r>
      <w:r>
        <w:rPr>
          <w:color w:val="808080"/>
        </w:rPr>
        <w:t>(auferweckt worden)</w:t>
      </w:r>
      <w:r>
        <w:rPr/>
        <w:t xml:space="preserve">.{{field-off:bible}} </w:t>
        <w:br/>
        <w:t>[[@BibleTOBIBLE:1Co 15:17]]</w:t>
      </w:r>
      <w:r>
        <w:rPr>
          <w:b/>
        </w:rPr>
        <w:t>17</w:t>
      </w:r>
      <w:r>
        <w:rPr/>
        <w:t xml:space="preserve"> {{field-on:bible}}Wenn aber Christus nicht auferstand </w:t>
      </w:r>
      <w:r>
        <w:rPr>
          <w:color w:val="808080"/>
        </w:rPr>
        <w:t>(auferweckt wurde)</w:t>
      </w:r>
      <w:r>
        <w:rPr/>
        <w:t xml:space="preserve">, ist euer Glaube nichtig </w:t>
      </w:r>
      <w:r>
        <w:rPr>
          <w:color w:val="808080"/>
        </w:rPr>
        <w:t>(eitel)</w:t>
      </w:r>
      <w:r>
        <w:rPr/>
        <w:t xml:space="preserve"> </w:t>
      </w:r>
      <w:r>
        <w:rPr>
          <w:rStyle w:val="Funotenanker"/>
        </w:rPr>
        <w:footnoteReference w:customMarkFollows="1" w:id="5724"/>
        <w:t>h</w:t>
      </w:r>
      <w:r>
        <w:rPr/>
        <w:t xml:space="preserve">, dann seid ihr noch in euren Sünden,{{field-off:bible}} </w:t>
        <w:br/>
        <w:t>[[@BibleTOBIBLE:1Co 15:18]]</w:t>
      </w:r>
      <w:r>
        <w:rPr>
          <w:b/>
        </w:rPr>
        <w:t>18</w:t>
      </w:r>
      <w:r>
        <w:rPr/>
        <w:t xml:space="preserve"> {{field-on:bible}}folglich sind auch die in Christus Entschlafenen</w:t>
      </w:r>
      <w:r>
        <w:rPr>
          <w:rStyle w:val="Funotenanker"/>
        </w:rPr>
        <w:footnoteReference w:customMarkFollows="1" w:id="5725"/>
        <w:t>i</w:t>
      </w:r>
      <w:r>
        <w:rPr/>
        <w:t xml:space="preserve"> </w:t>
      </w:r>
      <w:r>
        <w:rPr>
          <w:color w:val="808080"/>
        </w:rPr>
        <w:t>(verloren =)</w:t>
      </w:r>
      <w:r>
        <w:rPr/>
        <w:t xml:space="preserve"> der Macht des Todes verfallen.{{field-off:bible}} </w:t>
        <w:br/>
        <w:t>[[@BibleTOBIBLE:1Co 15:19]]</w:t>
      </w:r>
      <w:r>
        <w:rPr>
          <w:b/>
        </w:rPr>
        <w:t>19</w:t>
      </w:r>
      <w:r>
        <w:rPr/>
        <w:t xml:space="preserve"> {{field-on:bible}}Wenn wir allein in diesem Leben auf Christus hoffen</w:t>
      </w:r>
      <w:r>
        <w:rPr>
          <w:rStyle w:val="Funotenanker"/>
        </w:rPr>
        <w:footnoteReference w:customMarkFollows="1" w:id="5726"/>
        <w:t>j</w:t>
      </w:r>
      <w:r>
        <w:rPr/>
        <w:t xml:space="preserve">, sind wir bemitleidenswerter als alle anderen Menschen.{{field-off:bible}} </w:t>
        <w:br/>
        <w:t>[[@BibleTOBIBLE:1Co 15:20]]</w:t>
      </w:r>
      <w:r>
        <w:rPr>
          <w:b/>
        </w:rPr>
        <w:t>20</w:t>
      </w:r>
      <w:r>
        <w:rPr/>
        <w:t xml:space="preserve"> {{field-on:bible}}Nun </w:t>
      </w:r>
      <w:r>
        <w:rPr>
          <w:color w:val="808080"/>
        </w:rPr>
        <w:t>(jetzt)</w:t>
      </w:r>
      <w:r>
        <w:rPr/>
        <w:t xml:space="preserve"> aber ist Christus auferstanden </w:t>
      </w:r>
      <w:r>
        <w:rPr>
          <w:color w:val="808080"/>
        </w:rPr>
        <w:t>(auferweckt worden)</w:t>
      </w:r>
      <w:r>
        <w:rPr/>
        <w:t xml:space="preserve"> von den Toten als Erster </w:t>
      </w:r>
      <w:r>
        <w:rPr>
          <w:color w:val="808080"/>
        </w:rPr>
        <w:t>(Erstling)</w:t>
      </w:r>
      <w:r>
        <w:rPr/>
        <w:t xml:space="preserve"> </w:t>
      </w:r>
      <w:r>
        <w:rPr>
          <w:rStyle w:val="Funotenanker"/>
        </w:rPr>
        <w:footnoteReference w:customMarkFollows="1" w:id="5727"/>
        <w:t>k</w:t>
      </w:r>
      <w:r>
        <w:rPr/>
        <w:t xml:space="preserve"> der Entschlafenen.{{field-off:bible}} </w:t>
      </w:r>
    </w:p>
    <w:p>
      <w:pPr>
        <w:pStyle w:val="Berschrift2"/>
        <w:rPr/>
      </w:pPr>
      <w:r>
        <w:rPr/>
        <w:t>[[@BibleTOBIBLE:2Co]]2 Korinther</w:t>
      </w:r>
    </w:p>
    <w:p>
      <w:pPr>
        <w:pStyle w:val="Berschrift3"/>
        <w:rPr/>
      </w:pPr>
      <w:r>
        <w:rPr/>
        <w:t>[[@BibleTOBIBLE:2Co 1]]Kapitel 1</w:t>
      </w:r>
    </w:p>
    <w:p>
      <w:pPr>
        <w:pStyle w:val="Textkrper"/>
        <w:rPr/>
      </w:pPr>
      <w:r>
        <w:rPr/>
        <w:br/>
        <w:t>[[@BibleTOBIBLE:2Co 1:1]]</w:t>
      </w:r>
      <w:r>
        <w:rPr>
          <w:b/>
        </w:rPr>
        <w:t>1</w:t>
      </w:r>
      <w:r>
        <w:rPr/>
        <w:t xml:space="preserve"> {{field-on:bible}}Paulus, ein Apostel </w:t>
      </w:r>
      <w:r>
        <w:rPr>
          <w:color w:val="808080"/>
        </w:rPr>
        <w:t>(Abgesandter)</w:t>
      </w:r>
      <w:r>
        <w:rPr/>
        <w:t xml:space="preserve"> </w:t>
      </w:r>
      <w:r>
        <w:rPr>
          <w:rStyle w:val="Funotenanker"/>
        </w:rPr>
        <w:footnoteReference w:customMarkFollows="1" w:id="5728"/>
        <w:t>a</w:t>
      </w:r>
      <w:r>
        <w:rPr/>
        <w:t xml:space="preserve"> Christi Jesu durch den Willen Gottes und Timotheus der Bruder, an die Gemeinde Gottes </w:t>
      </w:r>
      <w:r>
        <w:rPr>
          <w:strike/>
          <w:color w:val="808080"/>
        </w:rPr>
        <w:t>{die}</w:t>
      </w:r>
      <w:r>
        <w:rPr/>
        <w:t xml:space="preserve"> in Korinth </w:t>
      </w:r>
      <w:r>
        <w:rPr>
          <w:strike/>
          <w:color w:val="808080"/>
        </w:rPr>
        <w:t>{ist}</w:t>
      </w:r>
      <w:r>
        <w:rPr/>
        <w:t xml:space="preserve"> mit allen Heiligen, die in ganz Achaia sind,{{field-off:bible}} </w:t>
        <w:br/>
        <w:t>[[@BibleTOBIBLE:2Co 1:2]]</w:t>
      </w:r>
      <w:r>
        <w:rPr>
          <w:b/>
        </w:rPr>
        <w:t>2</w:t>
      </w:r>
      <w:r>
        <w:rPr/>
        <w:t xml:space="preserve"> {{field-on:bible}}Gnade</w:t>
      </w:r>
      <w:r>
        <w:rPr>
          <w:rStyle w:val="Funotenanker"/>
        </w:rPr>
        <w:footnoteReference w:customMarkFollows="1" w:id="5729"/>
        <w:t>b</w:t>
      </w:r>
      <w:r>
        <w:rPr/>
        <w:t xml:space="preserve"> sei mit euch und Friede</w:t>
      </w:r>
      <w:r>
        <w:rPr>
          <w:rStyle w:val="Funotenanker"/>
        </w:rPr>
        <w:footnoteReference w:customMarkFollows="1" w:id="5730"/>
        <w:t>c</w:t>
      </w:r>
      <w:r>
        <w:rPr/>
        <w:t xml:space="preserve"> von Gott, unserm Vater, und dem Herrn Jesus Christus.{{field-off:bible}} </w:t>
        <w:br/>
        <w:t>[[@BibleTOBIBLE:2Co 1:3]]</w:t>
      </w:r>
      <w:r>
        <w:rPr>
          <w:b/>
        </w:rPr>
        <w:t>3</w:t>
      </w:r>
      <w:r>
        <w:rPr/>
        <w:t xml:space="preserve"> {{field-on:bible}}Gepriesen </w:t>
      </w:r>
      <w:r>
        <w:rPr>
          <w:color w:val="808080"/>
        </w:rPr>
        <w:t>(gelobt)</w:t>
      </w:r>
      <w:r>
        <w:rPr/>
        <w:t xml:space="preserve"> sei der Gott und Vater unseres Herrn Jesus Christus, der Vater des Erbarmens und Gott allen Trostes,{{field-off:bible}} </w:t>
        <w:br/>
        <w:t>[[@BibleTOBIBLE:2Co 1:4]]</w:t>
      </w:r>
      <w:r>
        <w:rPr>
          <w:b/>
        </w:rPr>
        <w:t>4</w:t>
      </w:r>
      <w:r>
        <w:rPr/>
        <w:t xml:space="preserve"> {{field-on:bible}}der uns tröstet bei all unserer Bedrängnis, um uns zu befähigen, dass wir die in aller Bedrängnis </w:t>
      </w:r>
      <w:r>
        <w:rPr>
          <w:b/>
          <w:color w:val="808080"/>
        </w:rPr>
        <w:t>[</w:t>
      </w:r>
      <w:r>
        <w:rPr/>
        <w:t>sind</w:t>
      </w:r>
      <w:r>
        <w:rPr>
          <w:b/>
          <w:color w:val="808080"/>
        </w:rPr>
        <w:t>]</w:t>
      </w:r>
      <w:r>
        <w:rPr/>
        <w:t xml:space="preserve"> trösten durch den Trost, mit dem wir selbst getröstet wurden durch </w:t>
      </w:r>
      <w:r>
        <w:rPr>
          <w:color w:val="808080"/>
        </w:rPr>
        <w:t>(von)</w:t>
      </w:r>
      <w:r>
        <w:rPr/>
        <w:t xml:space="preserve"> Gott.{{field-off:bible}} </w:t>
        <w:br/>
        <w:t>[[@BibleTOBIBLE:2Co 1:5]]</w:t>
      </w:r>
      <w:r>
        <w:rPr>
          <w:b/>
        </w:rPr>
        <w:t>5</w:t>
      </w:r>
      <w:r>
        <w:rPr/>
        <w:t xml:space="preserve"> {{field-on:bible}}Denn wie er uns die Leiden Christi überreich zuteil werden lässt, so lässt er durch Christus auch unseren Trost überreich vorhanden sein.{{field-off:bible}} </w:t>
        <w:br/>
        <w:t>[[@BibleTOBIBLE:2Co 1:6]]</w:t>
      </w:r>
      <w:r>
        <w:rPr>
          <w:b/>
        </w:rPr>
        <w:t>6</w:t>
      </w:r>
      <w:r>
        <w:rPr/>
        <w:t xml:space="preserve"> {{field-on:bible}} </w:t>
      </w:r>
      <w:r>
        <w:rPr>
          <w:color w:val="808080"/>
        </w:rPr>
        <w:t>(Sei es, dass =)</w:t>
      </w:r>
      <w:r>
        <w:rPr/>
        <w:t xml:space="preserve"> Wenn wir in Bedrängnis geraten, </w:t>
      </w:r>
      <w:r>
        <w:rPr>
          <w:b/>
          <w:color w:val="808080"/>
        </w:rPr>
        <w:t>[</w:t>
      </w:r>
      <w:r>
        <w:rPr/>
        <w:t>geschieht dies</w:t>
      </w:r>
      <w:r>
        <w:rPr>
          <w:b/>
          <w:color w:val="808080"/>
        </w:rPr>
        <w:t>]</w:t>
      </w:r>
      <w:r>
        <w:rPr/>
        <w:t xml:space="preserve"> zu Gunsten </w:t>
      </w:r>
      <w:r>
        <w:rPr>
          <w:color w:val="808080"/>
        </w:rPr>
        <w:t>(für)</w:t>
      </w:r>
      <w:r>
        <w:rPr/>
        <w:t xml:space="preserve"> eures Trostes und Heiles </w:t>
      </w:r>
      <w:r>
        <w:rPr>
          <w:color w:val="808080"/>
        </w:rPr>
        <w:t>(Rettung)</w:t>
      </w:r>
      <w:r>
        <w:rPr/>
        <w:t xml:space="preserve">, </w:t>
      </w:r>
      <w:r>
        <w:rPr>
          <w:color w:val="808080"/>
        </w:rPr>
        <w:t>(oder =)</w:t>
      </w:r>
      <w:r>
        <w:rPr/>
        <w:t xml:space="preserve"> wenn wir getröstet werden, für </w:t>
      </w:r>
      <w:r>
        <w:rPr>
          <w:color w:val="808080"/>
        </w:rPr>
        <w:t>(zu Gunsten)</w:t>
      </w:r>
      <w:r>
        <w:rPr/>
        <w:t xml:space="preserve"> euren Trost, der sich wirksam zeigt in Standhaftigkeit in denselben Leiden, die auch wir erleiden </w:t>
      </w:r>
      <w:r>
        <w:rPr>
          <w:color w:val="808080"/>
        </w:rPr>
        <w:t>(erleben)</w:t>
      </w:r>
      <w:r>
        <w:rPr/>
        <w:t xml:space="preserve">.{{field-off:bible}} </w:t>
        <w:br/>
        <w:t>[[@BibleTOBIBLE:2Co 1:7]]</w:t>
      </w:r>
      <w:r>
        <w:rPr>
          <w:b/>
        </w:rPr>
        <w:t>7</w:t>
      </w:r>
      <w:r>
        <w:rPr/>
        <w:t xml:space="preserve"> {{field-on:bible}} </w:t>
      </w:r>
      <w:r>
        <w:rPr>
          <w:strike/>
          <w:color w:val="808080"/>
        </w:rPr>
        <w:t>{Und}</w:t>
      </w:r>
      <w:r>
        <w:rPr/>
        <w:t xml:space="preserve"> unsere Hoffnung für euch </w:t>
      </w:r>
      <w:r>
        <w:rPr>
          <w:b/>
          <w:color w:val="808080"/>
        </w:rPr>
        <w:t>[</w:t>
      </w:r>
      <w:r>
        <w:rPr/>
        <w:t>ist</w:t>
      </w:r>
      <w:r>
        <w:rPr>
          <w:b/>
          <w:color w:val="808080"/>
        </w:rPr>
        <w:t>]</w:t>
      </w:r>
      <w:r>
        <w:rPr/>
        <w:t xml:space="preserve"> fest, weil</w:t>
      </w:r>
      <w:r>
        <w:rPr>
          <w:rStyle w:val="Funotenanker"/>
        </w:rPr>
        <w:footnoteReference w:customMarkFollows="1" w:id="5731"/>
        <w:t>d</w:t>
      </w:r>
      <w:r>
        <w:rPr/>
        <w:t xml:space="preserve"> wir wissen, dass, wie ihr Genossen seid des Leides </w:t>
      </w:r>
      <w:r>
        <w:rPr>
          <w:color w:val="808080"/>
        </w:rPr>
        <w:t>(der Leiden, Leidensgenossen seid)</w:t>
      </w:r>
      <w:r>
        <w:rPr/>
        <w:t xml:space="preserve">, so auch des Trostes.{{field-off:bible}} </w:t>
        <w:br/>
        <w:t>[[@BibleTOBIBLE:2Co 1:8]]</w:t>
      </w:r>
      <w:r>
        <w:rPr>
          <w:b/>
        </w:rPr>
        <w:t>8</w:t>
      </w:r>
      <w:r>
        <w:rPr/>
        <w:t xml:space="preserve"> {{field-on:bible}}Wir wollen euch aber nicht in Unkenntnis lassen, Brüder, über unsere Bedrängnis, </w:t>
      </w:r>
      <w:r>
        <w:rPr>
          <w:color w:val="808080"/>
        </w:rPr>
        <w:t>(die geschah =)</w:t>
      </w:r>
      <w:r>
        <w:rPr/>
        <w:t xml:space="preserve"> in die wir gerieten in der </w:t>
      </w:r>
      <w:r>
        <w:rPr>
          <w:b/>
          <w:color w:val="808080"/>
        </w:rPr>
        <w:t>[</w:t>
      </w:r>
      <w:r>
        <w:rPr/>
        <w:t>Provinz</w:t>
      </w:r>
      <w:r>
        <w:rPr>
          <w:b/>
          <w:color w:val="808080"/>
        </w:rPr>
        <w:t>]</w:t>
      </w:r>
      <w:r>
        <w:rPr/>
        <w:t xml:space="preserve"> Asia, weil wir übermäßig </w:t>
      </w:r>
      <w:r>
        <w:rPr>
          <w:b/>
          <w:color w:val="808080"/>
        </w:rPr>
        <w:t>[</w:t>
      </w:r>
      <w:r>
        <w:rPr/>
        <w:t>und</w:t>
      </w:r>
      <w:r>
        <w:rPr>
          <w:b/>
          <w:color w:val="808080"/>
        </w:rPr>
        <w:t>]</w:t>
      </w:r>
      <w:r>
        <w:rPr/>
        <w:t xml:space="preserve"> über Vermögen beschwert wurden, sodass wir sogar am Leben verzweifelten.{{field-off:bible}} </w:t>
        <w:br/>
        <w:t>[[@BibleTOBIBLE:2Co 1:9]]</w:t>
      </w:r>
      <w:r>
        <w:rPr>
          <w:b/>
        </w:rPr>
        <w:t>9</w:t>
      </w:r>
      <w:r>
        <w:rPr/>
        <w:t xml:space="preserve"> {{field-on:bible}}Aber wir hatten in uns selbst das Todesurteil, damit wir nicht überzeugt von uns selbst </w:t>
      </w:r>
      <w:r>
        <w:rPr>
          <w:color w:val="808080"/>
        </w:rPr>
        <w:t>(selbstgewiss)</w:t>
      </w:r>
      <w:r>
        <w:rPr/>
        <w:t xml:space="preserve"> wären, sondern von Gott </w:t>
      </w:r>
      <w:r>
        <w:rPr>
          <w:color w:val="808080"/>
        </w:rPr>
        <w:t>(auf Gott vertrauten)</w:t>
      </w:r>
      <w:r>
        <w:rPr/>
        <w:t xml:space="preserve">, der die Toten auferweckt.{{field-off:bible}} </w:t>
        <w:br/>
        <w:t>[[@BibleTOBIBLE:2Co 1:10]]</w:t>
      </w:r>
      <w:r>
        <w:rPr>
          <w:b/>
        </w:rPr>
        <w:t>10</w:t>
      </w:r>
      <w:r>
        <w:rPr/>
        <w:t xml:space="preserve"> {{field-on:bible}}Der hat uns aus einem so großen Tod errettet und rettet </w:t>
      </w:r>
      <w:r>
        <w:rPr>
          <w:b/>
          <w:color w:val="808080"/>
        </w:rPr>
        <w:t>[</w:t>
      </w:r>
      <w:r>
        <w:rPr/>
        <w:t>weiterhin</w:t>
      </w:r>
      <w:r>
        <w:rPr>
          <w:b/>
          <w:color w:val="808080"/>
        </w:rPr>
        <w:t>]</w:t>
      </w:r>
      <w:r>
        <w:rPr/>
        <w:t xml:space="preserve">, auf den hofften wir, weil er auch noch rettet </w:t>
      </w:r>
      <w:r>
        <w:rPr>
          <w:color w:val="808080"/>
        </w:rPr>
        <w:t>(= retten wird)</w:t>
      </w:r>
      <w:r>
        <w:rPr/>
        <w:t xml:space="preserve">.{{field-off:bible}} </w:t>
        <w:br/>
        <w:t>[[@BibleTOBIBLE:2Co 1:11]]</w:t>
      </w:r>
      <w:r>
        <w:rPr>
          <w:b/>
        </w:rPr>
        <w:t>11</w:t>
      </w:r>
      <w:r>
        <w:rPr/>
        <w:t xml:space="preserve"> {{field-on:bible}}Auch ihr </w:t>
      </w:r>
      <w:r>
        <w:rPr>
          <w:b/>
          <w:color w:val="808080"/>
        </w:rPr>
        <w:t>[</w:t>
      </w:r>
      <w:r>
        <w:rPr/>
        <w:t>seid</w:t>
      </w:r>
      <w:r>
        <w:rPr>
          <w:b/>
          <w:color w:val="808080"/>
        </w:rPr>
        <w:t>]</w:t>
      </w:r>
      <w:r>
        <w:rPr/>
        <w:t xml:space="preserve"> Mithelfer für uns durch das Gebet, damit von vielen Personen für unsere Gnadengabe durch viele für uns gedankt wird.{{field-off:bible}} </w:t>
        <w:br/>
        <w:t>[[@BibleTOBIBLE:2Co 1:12]]</w:t>
      </w:r>
      <w:r>
        <w:rPr>
          <w:b/>
        </w:rPr>
        <w:t>12</w:t>
      </w:r>
      <w:r>
        <w:rPr/>
        <w:t xml:space="preserve"> {{field-on:bible}}Unser Ruhm ist dieser, das Zeugnis unseres Gewissens, dass wir in Aufrichtigkeit </w:t>
      </w:r>
      <w:r>
        <w:rPr>
          <w:color w:val="808080"/>
        </w:rPr>
        <w:t>(Schlichtheit)</w:t>
      </w:r>
      <w:r>
        <w:rPr/>
        <w:t xml:space="preserve"> und Lauterkeit Gottes - und nicht durch menschliche</w:t>
      </w:r>
      <w:r>
        <w:rPr>
          <w:rStyle w:val="Funotenanker"/>
        </w:rPr>
        <w:footnoteReference w:customMarkFollows="1" w:id="5732"/>
        <w:t>e</w:t>
      </w:r>
      <w:r>
        <w:rPr/>
        <w:t xml:space="preserve"> Weisheit, sondern durch Gottes Gnade</w:t>
      </w:r>
      <w:r>
        <w:rPr>
          <w:rStyle w:val="Funotenanker"/>
        </w:rPr>
        <w:footnoteReference w:customMarkFollows="1" w:id="5733"/>
        <w:t>f</w:t>
      </w:r>
      <w:r>
        <w:rPr/>
        <w:t xml:space="preserve"> in der Welt leben, besonders </w:t>
      </w:r>
      <w:r>
        <w:rPr>
          <w:b/>
          <w:color w:val="808080"/>
        </w:rPr>
        <w:t>[</w:t>
      </w:r>
      <w:r>
        <w:rPr/>
        <w:t>gilt das</w:t>
      </w:r>
      <w:r>
        <w:rPr>
          <w:b/>
          <w:color w:val="808080"/>
        </w:rPr>
        <w:t>]</w:t>
      </w:r>
      <w:r>
        <w:rPr/>
        <w:t xml:space="preserve"> euch gegenüber.{{field-off:bible}} </w:t>
        <w:br/>
        <w:t>[[@BibleTOBIBLE:2Co 1:13]]</w:t>
      </w:r>
      <w:r>
        <w:rPr>
          <w:b/>
        </w:rPr>
        <w:t>13</w:t>
      </w:r>
      <w:r>
        <w:rPr/>
        <w:t xml:space="preserve"> {{field-on:bible}}Denn nichts anderes schrieben wir euch als das, was ihr gelesen und verstanden </w:t>
      </w:r>
      <w:r>
        <w:rPr>
          <w:color w:val="808080"/>
        </w:rPr>
        <w:t>(erkannt)</w:t>
      </w:r>
      <w:r>
        <w:rPr/>
        <w:t xml:space="preserve"> habt; ich hoffe aber, dass ihr </w:t>
      </w:r>
      <w:r>
        <w:rPr>
          <w:b/>
          <w:color w:val="808080"/>
        </w:rPr>
        <w:t>[</w:t>
      </w:r>
      <w:r>
        <w:rPr/>
        <w:t>es</w:t>
      </w:r>
      <w:r>
        <w:rPr>
          <w:b/>
          <w:color w:val="808080"/>
        </w:rPr>
        <w:t>]</w:t>
      </w:r>
      <w:r>
        <w:rPr/>
        <w:t xml:space="preserve"> bis zum Ende verstanden </w:t>
      </w:r>
      <w:r>
        <w:rPr>
          <w:color w:val="808080"/>
        </w:rPr>
        <w:t>(erkannt)</w:t>
      </w:r>
      <w:r>
        <w:rPr/>
        <w:t xml:space="preserve"> haben werdet,{{field-off:bible}} </w:t>
        <w:br/>
        <w:t>[[@BibleTOBIBLE:2Co 1:14]]</w:t>
      </w:r>
      <w:r>
        <w:rPr>
          <w:b/>
        </w:rPr>
        <w:t>14</w:t>
      </w:r>
      <w:r>
        <w:rPr/>
        <w:t xml:space="preserve"> {{field-on:bible}}wir ihr auch uns einigermaßen </w:t>
      </w:r>
      <w:r>
        <w:rPr>
          <w:color w:val="808080"/>
        </w:rPr>
        <w:t>(teilweise)</w:t>
      </w:r>
      <w:r>
        <w:rPr/>
        <w:t xml:space="preserve"> verstanden </w:t>
      </w:r>
      <w:r>
        <w:rPr>
          <w:color w:val="808080"/>
        </w:rPr>
        <w:t>(erkannt)</w:t>
      </w:r>
      <w:r>
        <w:rPr/>
        <w:t xml:space="preserve"> habt, dass wir euer Ruhm sind, wie auch ihr unserer seid am Tag unseres Herrn Jesus.{{field-off:bible}} </w:t>
        <w:br/>
        <w:t>[[@BibleTOBIBLE:2Co 1:15]]</w:t>
      </w:r>
      <w:r>
        <w:rPr>
          <w:b/>
        </w:rPr>
        <w:t>15</w:t>
      </w:r>
      <w:r>
        <w:rPr/>
        <w:t xml:space="preserve"> {{field-on:bible}} </w:t>
      </w:r>
      <w:r>
        <w:rPr>
          <w:strike/>
          <w:color w:val="808080"/>
        </w:rPr>
        <w:t>{Und}</w:t>
      </w:r>
      <w:r>
        <w:rPr/>
        <w:t xml:space="preserve"> in diesem Vertrauen </w:t>
      </w:r>
      <w:r>
        <w:rPr>
          <w:color w:val="808080"/>
        </w:rPr>
        <w:t>(Zuversicht)</w:t>
      </w:r>
      <w:r>
        <w:rPr/>
        <w:t xml:space="preserve"> wollte ich zuerst zu euch kommen, damit ihr ein zweites Mal Freude hättet,{{field-off:bible}} </w:t>
        <w:br/>
        <w:t>[[@BibleTOBIBLE:2Co 1:16]]</w:t>
      </w:r>
      <w:r>
        <w:rPr>
          <w:b/>
        </w:rPr>
        <w:t>16</w:t>
      </w:r>
      <w:r>
        <w:rPr/>
        <w:t xml:space="preserve"> {{field-on:bible}}und durch </w:t>
      </w:r>
      <w:r>
        <w:rPr>
          <w:color w:val="808080"/>
        </w:rPr>
        <w:t>(euch =)</w:t>
      </w:r>
      <w:r>
        <w:rPr/>
        <w:t xml:space="preserve"> eure </w:t>
      </w:r>
      <w:r>
        <w:rPr>
          <w:b/>
          <w:color w:val="808080"/>
        </w:rPr>
        <w:t>[</w:t>
      </w:r>
      <w:r>
        <w:rPr/>
        <w:t>Hilfe</w:t>
      </w:r>
      <w:r>
        <w:rPr>
          <w:b/>
          <w:color w:val="808080"/>
        </w:rPr>
        <w:t>]</w:t>
      </w:r>
      <w:r>
        <w:rPr/>
        <w:t xml:space="preserve"> nach Makedonien gelangen und wieder von Makedonien zu euch kommen und durch euch weiterbefördert </w:t>
      </w:r>
      <w:r>
        <w:rPr>
          <w:color w:val="808080"/>
        </w:rPr>
        <w:t>(geleitet)</w:t>
      </w:r>
      <w:r>
        <w:rPr/>
        <w:t xml:space="preserve"> werden nach Judäa.{{field-off:bible}} </w:t>
        <w:br/>
        <w:t>[[@BibleTOBIBLE:2Co 1:17]]</w:t>
      </w:r>
      <w:r>
        <w:rPr>
          <w:b/>
        </w:rPr>
        <w:t>17</w:t>
      </w:r>
      <w:r>
        <w:rPr/>
        <w:t xml:space="preserve"> {{field-on:bible}}Weil</w:t>
      </w:r>
      <w:r>
        <w:rPr>
          <w:rStyle w:val="Funotenanker"/>
        </w:rPr>
        <w:footnoteReference w:customMarkFollows="1" w:id="5734"/>
        <w:t>g</w:t>
      </w:r>
      <w:r>
        <w:rPr/>
        <w:t xml:space="preserve"> ich </w:t>
      </w:r>
      <w:r>
        <w:rPr>
          <w:strike/>
          <w:color w:val="808080"/>
        </w:rPr>
        <w:t>{nun}</w:t>
      </w:r>
      <w:r>
        <w:rPr/>
        <w:t xml:space="preserve"> das wollte, habe ich etwa leichtfertig</w:t>
      </w:r>
      <w:r>
        <w:rPr>
          <w:rStyle w:val="Funotenanker"/>
        </w:rPr>
        <w:footnoteReference w:customMarkFollows="1" w:id="5735"/>
        <w:t>h</w:t>
      </w:r>
      <w:r>
        <w:rPr/>
        <w:t xml:space="preserve"> gehandelt? Oder </w:t>
      </w:r>
      <w:r>
        <w:rPr>
          <w:b/>
          <w:color w:val="808080"/>
        </w:rPr>
        <w:t>[</w:t>
      </w:r>
      <w:r>
        <w:rPr/>
        <w:t>ist</w:t>
      </w:r>
      <w:r>
        <w:rPr>
          <w:b/>
          <w:color w:val="808080"/>
        </w:rPr>
        <w:t>]</w:t>
      </w:r>
      <w:r>
        <w:rPr/>
        <w:t xml:space="preserve"> das, was ich will, unaufrichtig</w:t>
      </w:r>
      <w:r>
        <w:rPr>
          <w:rStyle w:val="Funotenanker"/>
        </w:rPr>
        <w:footnoteReference w:customMarkFollows="1" w:id="5736"/>
        <w:t>i</w:t>
      </w:r>
      <w:r>
        <w:rPr/>
        <w:t>, so dass</w:t>
      </w:r>
      <w:r>
        <w:rPr>
          <w:rStyle w:val="Funotenanker"/>
        </w:rPr>
        <w:footnoteReference w:customMarkFollows="1" w:id="5737"/>
        <w:t>j</w:t>
      </w:r>
      <w:r>
        <w:rPr/>
        <w:t xml:space="preserve"> bei mir das Ja Ja und das Nein Nein wäre?{{field-off:bible}} </w:t>
        <w:br/>
        <w:t>[[@BibleTOBIBLE:2Co 1:18]]</w:t>
      </w:r>
      <w:r>
        <w:rPr>
          <w:b/>
        </w:rPr>
        <w:t>18</w:t>
      </w:r>
      <w:r>
        <w:rPr/>
        <w:t xml:space="preserve"> {{field-on:bible}}Gott ist mein Zeuge </w:t>
      </w:r>
      <w:r>
        <w:rPr>
          <w:color w:val="808080"/>
        </w:rPr>
        <w:t>(bei Gottes Treue!)</w:t>
      </w:r>
      <w:r>
        <w:rPr/>
        <w:t xml:space="preserve"> </w:t>
      </w:r>
      <w:r>
        <w:rPr>
          <w:rStyle w:val="Funotenanker"/>
        </w:rPr>
        <w:footnoteReference w:customMarkFollows="1" w:id="5738"/>
        <w:t>k</w:t>
      </w:r>
      <w:r>
        <w:rPr/>
        <w:t xml:space="preserve"> dass unser Wort an euch nicht Ja und Nein ist.{{field-off:bible}} </w:t>
        <w:br/>
        <w:t>[[@BibleTOBIBLE:2Co 1:19]]</w:t>
      </w:r>
      <w:r>
        <w:rPr>
          <w:b/>
        </w:rPr>
        <w:t>19</w:t>
      </w:r>
      <w:r>
        <w:rPr/>
        <w:t xml:space="preserve"> {{field-on:bible}}Denn Jesus Christus, der Sohn Gottes, der bei euch durch uns verkündigt wurde, durch mich und Silvanus und Timotheus, war nicht Ja und Nein, sondern es war Ja in ihm.{{field-off:bible}} </w:t>
        <w:br/>
        <w:t>[[@BibleTOBIBLE:2Co 1:20]]</w:t>
      </w:r>
      <w:r>
        <w:rPr>
          <w:b/>
        </w:rPr>
        <w:t>20</w:t>
      </w:r>
      <w:r>
        <w:rPr/>
        <w:t xml:space="preserve"> {{field-on:bible}}Denn so viele Verheißungen Gottes </w:t>
      </w:r>
      <w:r>
        <w:rPr>
          <w:b/>
          <w:color w:val="808080"/>
        </w:rPr>
        <w:t>[</w:t>
      </w:r>
      <w:r>
        <w:rPr/>
        <w:t>es gibt</w:t>
      </w:r>
      <w:r>
        <w:rPr>
          <w:b/>
          <w:color w:val="808080"/>
        </w:rPr>
        <w:t>]</w:t>
      </w:r>
      <w:r>
        <w:rPr/>
        <w:t xml:space="preserve">, in dem Maße </w:t>
      </w:r>
      <w:r>
        <w:rPr>
          <w:b/>
          <w:color w:val="808080"/>
        </w:rPr>
        <w:t>[</w:t>
      </w:r>
      <w:r>
        <w:rPr/>
        <w:t>ist</w:t>
      </w:r>
      <w:r>
        <w:rPr>
          <w:b/>
          <w:color w:val="808080"/>
        </w:rPr>
        <w:t>]</w:t>
      </w:r>
      <w:r>
        <w:rPr/>
        <w:t xml:space="preserve"> in ihm das Ja. Darum </w:t>
      </w:r>
      <w:r>
        <w:rPr>
          <w:b/>
          <w:color w:val="808080"/>
        </w:rPr>
        <w:t>[</w:t>
      </w:r>
      <w:r>
        <w:rPr/>
        <w:t>sei</w:t>
      </w:r>
      <w:r>
        <w:rPr>
          <w:b/>
          <w:color w:val="808080"/>
        </w:rPr>
        <w:t>]</w:t>
      </w:r>
      <w:r>
        <w:rPr/>
        <w:t xml:space="preserve"> auch durch ihn das Amen</w:t>
      </w:r>
      <w:r>
        <w:rPr>
          <w:rStyle w:val="Funotenanker"/>
        </w:rPr>
        <w:footnoteReference w:customMarkFollows="1" w:id="5739"/>
        <w:t>l</w:t>
      </w:r>
      <w:r>
        <w:rPr/>
        <w:t xml:space="preserve"> Gott zur Ehre durch uns </w:t>
      </w:r>
      <w:r>
        <w:rPr>
          <w:b/>
          <w:color w:val="808080"/>
        </w:rPr>
        <w:t>[</w:t>
      </w:r>
      <w:r>
        <w:rPr/>
        <w:t>gesagt</w:t>
      </w:r>
      <w:r>
        <w:rPr>
          <w:b/>
          <w:color w:val="808080"/>
        </w:rPr>
        <w:t>]</w:t>
      </w:r>
      <w:r>
        <w:rPr/>
        <w:t xml:space="preserve">.{{field-off:bible}} </w:t>
        <w:br/>
        <w:t>[[@BibleTOBIBLE:2Co 1:21]]</w:t>
      </w:r>
      <w:r>
        <w:rPr>
          <w:b/>
        </w:rPr>
        <w:t>21</w:t>
      </w:r>
      <w:r>
        <w:rPr/>
        <w:t xml:space="preserve"> {{field-on:bible}}Gott aber hat uns mit euch bestärkt </w:t>
      </w:r>
      <w:r>
        <w:rPr>
          <w:b/>
          <w:color w:val="808080"/>
        </w:rPr>
        <w:t>[</w:t>
      </w:r>
      <w:r>
        <w:rPr/>
        <w:t>im Glauben</w:t>
      </w:r>
      <w:r>
        <w:rPr>
          <w:b/>
          <w:color w:val="808080"/>
        </w:rPr>
        <w:t>]</w:t>
      </w:r>
      <w:r>
        <w:rPr/>
        <w:t xml:space="preserve"> </w:t>
      </w:r>
      <w:r>
        <w:rPr>
          <w:rStyle w:val="Funotenanker"/>
        </w:rPr>
        <w:footnoteReference w:customMarkFollows="1" w:id="5740"/>
        <w:t>m</w:t>
      </w:r>
      <w:r>
        <w:rPr/>
        <w:t xml:space="preserve"> an Christus und salbt uns,{{field-off:bible}} </w:t>
        <w:br/>
        <w:t>[[@BibleTOBIBLE:2Co 1:22]]</w:t>
      </w:r>
      <w:r>
        <w:rPr>
          <w:b/>
        </w:rPr>
        <w:t>22</w:t>
      </w:r>
      <w:r>
        <w:rPr/>
        <w:t xml:space="preserve"> {{field-on:bible}}der hat uns auch mit einem Erkennungszeichen versehen </w:t>
      </w:r>
      <w:r>
        <w:rPr>
          <w:color w:val="808080"/>
        </w:rPr>
        <w:t>(„versiegelt“)</w:t>
      </w:r>
      <w:r>
        <w:rPr/>
        <w:t xml:space="preserve"> </w:t>
      </w:r>
      <w:r>
        <w:rPr>
          <w:rStyle w:val="Funotenanker"/>
        </w:rPr>
        <w:footnoteReference w:customMarkFollows="1" w:id="5741"/>
        <w:t>n</w:t>
      </w:r>
      <w:r>
        <w:rPr/>
        <w:t xml:space="preserve"> und gibt uns als Anzahlung den Geist in unsere Herzen.{{field-off:bible}} </w:t>
        <w:br/>
        <w:t>[[@BibleTOBIBLE:2Co 1:23]]</w:t>
      </w:r>
      <w:r>
        <w:rPr>
          <w:b/>
        </w:rPr>
        <w:t>23</w:t>
      </w:r>
      <w:r>
        <w:rPr/>
        <w:t xml:space="preserve"> {{field-on:bible}}Ich aber rufe Gott als Zeugen für meine Seele</w:t>
      </w:r>
      <w:r>
        <w:rPr>
          <w:rStyle w:val="Funotenanker"/>
        </w:rPr>
        <w:footnoteReference w:customMarkFollows="1" w:id="5742"/>
        <w:t>o</w:t>
      </w:r>
      <w:r>
        <w:rPr/>
        <w:t>, dass ich noch nicht nach Korinth kam, um euch zu schonen</w:t>
      </w:r>
      <w:r>
        <w:rPr>
          <w:rStyle w:val="Funotenanker"/>
        </w:rPr>
        <w:footnoteReference w:customMarkFollows="1" w:id="5743"/>
        <w:t>p</w:t>
      </w:r>
      <w:r>
        <w:rPr/>
        <w:t xml:space="preserve">,{{field-off:bible}} </w:t>
        <w:br/>
        <w:t>[[@BibleTOBIBLE:2Co 1:24]]</w:t>
      </w:r>
      <w:r>
        <w:rPr>
          <w:b/>
        </w:rPr>
        <w:t>24</w:t>
      </w:r>
      <w:r>
        <w:rPr/>
        <w:t xml:space="preserve"> {{field-on:bible}}nicht, weil wir Herren über euren Glauben, sondern Mithelfer an eurer Freude sind. Denn im Glauben steht ihr </w:t>
      </w:r>
      <w:r>
        <w:rPr>
          <w:b/>
          <w:color w:val="808080"/>
        </w:rPr>
        <w:t>[</w:t>
      </w:r>
      <w:r>
        <w:rPr/>
        <w:t>fest</w:t>
      </w:r>
      <w:r>
        <w:rPr>
          <w:b/>
          <w:color w:val="808080"/>
        </w:rPr>
        <w:t>]</w:t>
      </w:r>
      <w:r>
        <w:rPr/>
        <w:t xml:space="preserve">.{{field-off:bible}} </w:t>
      </w:r>
    </w:p>
    <w:p>
      <w:pPr>
        <w:pStyle w:val="Berschrift3"/>
        <w:rPr/>
      </w:pPr>
      <w:r>
        <w:rPr/>
        <w:t>[[@BibleTOBIBLE:2Co 2]]Kapitel 2</w:t>
      </w:r>
    </w:p>
    <w:p>
      <w:pPr>
        <w:pStyle w:val="Textkrper"/>
        <w:rPr/>
      </w:pPr>
      <w:r>
        <w:rPr/>
        <w:br/>
        <w:t>[[@BibleTOBIBLE:2Co 2:14]]</w:t>
      </w:r>
      <w:r>
        <w:rPr>
          <w:b/>
        </w:rPr>
        <w:t>14</w:t>
      </w:r>
      <w:r>
        <w:rPr/>
        <w:t xml:space="preserve"> {{field-on:bible}} </w:t>
      </w:r>
      <w:r>
        <w:rPr>
          <w:rStyle w:val="Funotenanker"/>
        </w:rPr>
        <w:footnoteReference w:customMarkFollows="1" w:id="5744"/>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5745"/>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5746"/>
        <w:t>b</w:t>
      </w:r>
      <w:r>
        <w:rPr/>
        <w:t xml:space="preserve"> bekannt macht</w:t>
      </w:r>
      <w:r>
        <w:rPr>
          <w:rStyle w:val="Funotenanker"/>
        </w:rPr>
        <w:footnoteReference w:customMarkFollows="1" w:id="5747"/>
        <w:t>c</w:t>
      </w:r>
      <w:r>
        <w:rPr/>
        <w:t xml:space="preserve"> </w:t>
      </w:r>
      <w:r>
        <w:rPr>
          <w:color w:val="808080"/>
        </w:rPr>
        <w:t>(sichtbar macht; sehen lässt; zeigt)</w:t>
      </w:r>
      <w:r>
        <w:rPr/>
        <w:t xml:space="preserve"> </w:t>
      </w:r>
      <w:r>
        <w:rPr>
          <w:rStyle w:val="Funotenanker"/>
        </w:rPr>
        <w:footnoteReference w:customMarkFollows="1" w:id="5748"/>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5749"/>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5750"/>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5751"/>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5752"/>
        <w:t>h</w:t>
      </w:r>
      <w:r>
        <w:rPr/>
        <w:t xml:space="preserve"> vor Gott</w:t>
      </w:r>
      <w:r>
        <w:rPr>
          <w:rStyle w:val="Funotenanker"/>
        </w:rPr>
        <w:footnoteReference w:customMarkFollows="1" w:id="5753"/>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5754"/>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3:3]]</w:t>
      </w:r>
      <w:r>
        <w:rPr>
          <w:b/>
        </w:rPr>
        <w:t>3</w:t>
      </w:r>
      <w:r>
        <w:rPr/>
        <w:t xml:space="preserve"> {{field-on:bible}}Es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5755"/>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5756"/>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4]]Kapitel 4</w:t>
      </w:r>
    </w:p>
    <w:p>
      <w:pPr>
        <w:pStyle w:val="Textkrper"/>
        <w:rPr/>
      </w:pPr>
      <w:r>
        <w:rPr/>
        <w:br/>
        <w:t>[[@BibleTOBIBLE:2Co 4:1]]</w:t>
      </w:r>
      <w:r>
        <w:rPr>
          <w:b/>
        </w:rPr>
        <w:t>1</w:t>
      </w:r>
      <w:r>
        <w:rPr/>
        <w:t xml:space="preserve"> {{field-on:bible}}Daher werden wir nicht müde </w:t>
      </w:r>
      <w:r>
        <w:rPr>
          <w:color w:val="808080"/>
        </w:rPr>
        <w:t>(verzagen nicht)</w:t>
      </w:r>
      <w:r>
        <w:rPr/>
        <w:t>, weil</w:t>
      </w:r>
      <w:r>
        <w:rPr>
          <w:rStyle w:val="Funotenanker"/>
        </w:rPr>
        <w:footnoteReference w:customMarkFollows="1" w:id="5757"/>
        <w:t>a</w:t>
      </w:r>
      <w:r>
        <w:rPr/>
        <w:t xml:space="preserve"> wir dieses Amt haben, wie wir </w:t>
      </w:r>
      <w:r>
        <w:rPr>
          <w:b/>
          <w:color w:val="808080"/>
        </w:rPr>
        <w:t>[</w:t>
      </w:r>
      <w:r>
        <w:rPr/>
        <w:t>von Gott</w:t>
      </w:r>
      <w:r>
        <w:rPr>
          <w:b/>
          <w:color w:val="808080"/>
        </w:rPr>
        <w:t>]</w:t>
      </w:r>
      <w:r>
        <w:rPr/>
        <w:t xml:space="preserve"> begnadet wurden,{{field-off:bible}} </w:t>
        <w:br/>
        <w:t>[[@BibleTOBIBLE:2Co 4:2]]</w:t>
      </w:r>
      <w:r>
        <w:rPr>
          <w:b/>
        </w:rPr>
        <w:t>2</w:t>
      </w:r>
      <w:r>
        <w:rPr/>
        <w:t xml:space="preserve"> {{field-on:bible}}sondern sagen uns los von dem, was das Schamgefühl verbirgt </w:t>
      </w:r>
      <w:r>
        <w:rPr>
          <w:color w:val="808080"/>
        </w:rPr>
        <w:t>(von schändlichen Heimlichkeiten)</w:t>
      </w:r>
      <w:r>
        <w:rPr/>
        <w:t xml:space="preserve">, führen kein Leben in Verschlagenheit, noch verfälschen wir das Wort Gottes, sondern indem wir die Wahrheit bekannt machen, empfehlen wir uns jedem menschlichen Gewissen vor Gott.{{field-off:bible}} </w:t>
        <w:br/>
        <w:t>[[@BibleTOBIBLE:2Co 4:3]]</w:t>
      </w:r>
      <w:r>
        <w:rPr>
          <w:b/>
        </w:rPr>
        <w:t>3</w:t>
      </w:r>
      <w:r>
        <w:rPr/>
        <w:t xml:space="preserve"> {{field-on:bible}}Wenn es aber etwas Verborgenes </w:t>
      </w:r>
      <w:r>
        <w:rPr>
          <w:color w:val="808080"/>
        </w:rPr>
        <w:t>(Unbekanntes)</w:t>
      </w:r>
      <w:r>
        <w:rPr/>
        <w:t xml:space="preserve"> an unserem Evangelium</w:t>
      </w:r>
      <w:r>
        <w:rPr>
          <w:rStyle w:val="Funotenanker"/>
        </w:rPr>
        <w:footnoteReference w:customMarkFollows="1" w:id="5758"/>
        <w:t>b</w:t>
      </w:r>
      <w:r>
        <w:rPr/>
        <w:t xml:space="preserve"> gibt, dann ist es für die verborgen, die</w:t>
      </w:r>
      <w:r>
        <w:rPr>
          <w:rStyle w:val="Funotenanker"/>
        </w:rPr>
        <w:footnoteReference w:customMarkFollows="1" w:id="5759"/>
        <w:t>c</w:t>
      </w:r>
      <w:r>
        <w:rPr/>
        <w:t xml:space="preserve"> verloren sind,{{field-off:bible}} </w:t>
        <w:br/>
        <w:t>[[@BibleTOBIBLE:2Co 4:4]]</w:t>
      </w:r>
      <w:r>
        <w:rPr>
          <w:b/>
        </w:rPr>
        <w:t>4</w:t>
      </w:r>
      <w:r>
        <w:rPr/>
        <w:t xml:space="preserve"> {{field-on:bible}}die Ungläubigen </w:t>
      </w:r>
      <w:r>
        <w:rPr>
          <w:color w:val="808080"/>
        </w:rPr>
        <w:t>(„Heiden“)</w:t>
      </w:r>
      <w:r>
        <w:rPr/>
        <w:t>, bei denen der Gott des gegenwärtigen Zeitalters</w:t>
      </w:r>
      <w:r>
        <w:rPr>
          <w:rStyle w:val="Funotenanker"/>
        </w:rPr>
        <w:footnoteReference w:customMarkFollows="1" w:id="5760"/>
        <w:t>d</w:t>
      </w:r>
      <w:r>
        <w:rPr/>
        <w:t xml:space="preserve"> die Gedanken verblendet hat, damit sie nicht sehen das Leuchten </w:t>
      </w:r>
      <w:r>
        <w:rPr>
          <w:color w:val="808080"/>
        </w:rPr>
        <w:t>(Licht)</w:t>
      </w:r>
      <w:r>
        <w:rPr/>
        <w:t xml:space="preserve"> des Evangeliums der Herrlichkeit</w:t>
      </w:r>
      <w:r>
        <w:rPr>
          <w:rStyle w:val="Funotenanker"/>
        </w:rPr>
        <w:footnoteReference w:customMarkFollows="1" w:id="5761"/>
        <w:t>e</w:t>
      </w:r>
      <w:r>
        <w:rPr/>
        <w:t xml:space="preserve"> Christi, der das Ebenbild Gottes ist.{{field-off:bible}} </w:t>
        <w:br/>
        <w:t>[[@BibleTOBIBLE:2Co 4:5]]</w:t>
      </w:r>
      <w:r>
        <w:rPr>
          <w:b/>
        </w:rPr>
        <w:t>5</w:t>
      </w:r>
      <w:r>
        <w:rPr/>
        <w:t xml:space="preserve"> {{field-on:bible}}Denn wir predigen </w:t>
      </w:r>
      <w:r>
        <w:rPr>
          <w:color w:val="808080"/>
        </w:rPr>
        <w:t>(verkündigen)</w:t>
      </w:r>
      <w:r>
        <w:rPr/>
        <w:t xml:space="preserve"> nicht uns selbst, sondern Jesus Christus als Herrn, uns aber als als eure Diener </w:t>
      </w:r>
      <w:r>
        <w:rPr>
          <w:color w:val="808080"/>
        </w:rPr>
        <w:t>(Knechte, Sklaven)</w:t>
      </w:r>
      <w:r>
        <w:rPr/>
        <w:t xml:space="preserve"> durch Jesus.{{field-off:bible}} </w:t>
        <w:br/>
        <w:t>[[@BibleTOBIBLE:2Co 4:6]]</w:t>
      </w:r>
      <w:r>
        <w:rPr>
          <w:b/>
        </w:rPr>
        <w:t>6</w:t>
      </w:r>
      <w:r>
        <w:rPr/>
        <w:t xml:space="preserve"> {{field-on:bible}}Denn Gott, der sagte: Aus der Dunkelheit soll Licht aufleuchten </w:t>
      </w:r>
      <w:r>
        <w:rPr>
          <w:color w:val="808080"/>
        </w:rPr>
        <w:t>(1.Mose 1,3)</w:t>
      </w:r>
      <w:r>
        <w:rPr/>
        <w:t xml:space="preserve">, der leuchtet in unseren Herzen zur Offenbarung der Erkenntnis der Herrlichtkeit Gottes im Angesicht Jesu Christi.{{field-off:bible}} </w:t>
        <w:br/>
        <w:t>[[@BibleTOBIBLE:2Co 4:7]]</w:t>
      </w:r>
      <w:r>
        <w:rPr>
          <w:b/>
        </w:rPr>
        <w:t>7</w:t>
      </w:r>
      <w:r>
        <w:rPr/>
        <w:t xml:space="preserve"> {{field-on:bible}}Wir besitzen diesen Schatz aber in tönernen Gefäßen, damit das Übermaß der Macht von Gott komme und nicht von uns</w:t>
      </w:r>
      <w:r>
        <w:rPr>
          <w:rStyle w:val="Funotenanker"/>
        </w:rPr>
        <w:footnoteReference w:customMarkFollows="1" w:id="5762"/>
        <w:t>f</w:t>
      </w:r>
      <w:r>
        <w:rPr/>
        <w:t xml:space="preserve">.{{field-off:bible}} </w:t>
        <w:br/>
        <w:t>[[@BibleTOBIBLE:2Co 4:8]]</w:t>
      </w:r>
      <w:r>
        <w:rPr>
          <w:b/>
        </w:rPr>
        <w:t>8</w:t>
      </w:r>
      <w:r>
        <w:rPr/>
        <w:t xml:space="preserve"> {{field-on:bible}}In allem werden wir bedrängt </w:t>
      </w:r>
      <w:r>
        <w:rPr>
          <w:color w:val="808080"/>
        </w:rPr>
        <w:t>(leiden Drangsal)</w:t>
      </w:r>
      <w:r>
        <w:rPr/>
        <w:t xml:space="preserve">, aber uns ist nicht eng; wir zweifeln </w:t>
      </w:r>
      <w:r>
        <w:rPr>
          <w:color w:val="808080"/>
        </w:rPr>
        <w:t>(sind ratlos)</w:t>
      </w:r>
      <w:r>
        <w:rPr/>
        <w:t xml:space="preserve">, aber verzweifeln nicht;{{field-off:bible}} </w:t>
        <w:br/>
        <w:t>[[@BibleTOBIBLE:2Co 4:9]]</w:t>
      </w:r>
      <w:r>
        <w:rPr>
          <w:b/>
        </w:rPr>
        <w:t>9</w:t>
      </w:r>
      <w:r>
        <w:rPr/>
        <w:t xml:space="preserve"> {{field-on:bible}}wir werden verfolgt, aber nicht im Stich gelassen; werden zu Boden geworfen, aber gehen nicht zugrunde;{{field-off:bible}} </w:t>
        <w:br/>
        <w:t>[[@BibleTOBIBLE:2Co 4:10]]</w:t>
      </w:r>
      <w:r>
        <w:rPr>
          <w:b/>
        </w:rPr>
        <w:t>10</w:t>
      </w:r>
      <w:r>
        <w:rPr/>
        <w:t xml:space="preserve"> {{field-on:bible}}immer </w:t>
      </w:r>
      <w:r>
        <w:rPr>
          <w:color w:val="808080"/>
        </w:rPr>
        <w:t>(jederzeit)</w:t>
      </w:r>
      <w:r>
        <w:rPr/>
        <w:t xml:space="preserve"> tragen wir das Sterben Jesu an unserem Körper </w:t>
      </w:r>
      <w:r>
        <w:rPr>
          <w:color w:val="808080"/>
        </w:rPr>
        <w:t>(Leib)</w:t>
      </w:r>
      <w:r>
        <w:rPr/>
        <w:t xml:space="preserve"> herum, damit auch das Leben Jesu an unserem Körper </w:t>
      </w:r>
      <w:r>
        <w:rPr>
          <w:color w:val="808080"/>
        </w:rPr>
        <w:t>(Leib)</w:t>
      </w:r>
      <w:r>
        <w:rPr/>
        <w:t xml:space="preserve"> sichtbar wird.{{field-off:bible}} </w:t>
        <w:br/>
        <w:t>[[@BibleTOBIBLE:2Co 4:11]]</w:t>
      </w:r>
      <w:r>
        <w:rPr>
          <w:b/>
        </w:rPr>
        <w:t>11</w:t>
      </w:r>
      <w:r>
        <w:rPr/>
        <w:t xml:space="preserve"> {{field-on:bible}}Denn immer wieder werden wir, die wir leben</w:t>
      </w:r>
      <w:r>
        <w:rPr>
          <w:rStyle w:val="Funotenanker"/>
        </w:rPr>
        <w:footnoteReference w:customMarkFollows="1" w:id="5763"/>
        <w:t>g</w:t>
      </w:r>
      <w:r>
        <w:rPr/>
        <w:t xml:space="preserve">, dem Tod ausgeliefert um Jesu willen, damit auch das Leben Jesu an unserem sterblichen Fleisch sichtbar wird.{{field-off:bible}} </w:t>
        <w:br/>
        <w:t>[[@BibleTOBIBLE:2Co 4:12]]</w:t>
      </w:r>
      <w:r>
        <w:rPr>
          <w:b/>
        </w:rPr>
        <w:t>12</w:t>
      </w:r>
      <w:r>
        <w:rPr/>
        <w:t xml:space="preserve"> {{field-on:bible}}So </w:t>
      </w:r>
      <w:r>
        <w:rPr>
          <w:color w:val="808080"/>
        </w:rPr>
        <w:t>(sodass)</w:t>
      </w:r>
      <w:r>
        <w:rPr/>
        <w:t xml:space="preserve"> ist der Tod wirksam </w:t>
      </w:r>
      <w:r>
        <w:rPr>
          <w:color w:val="808080"/>
        </w:rPr>
        <w:t>(wirkt)</w:t>
      </w:r>
      <w:r>
        <w:rPr/>
        <w:t xml:space="preserve"> in uns, das Leben aber in euch.{{field-off:bible}} </w:t>
        <w:br/>
        <w:t>[[@BibleTOBIBLE:2Co 4:13]]</w:t>
      </w:r>
      <w:r>
        <w:rPr>
          <w:b/>
        </w:rPr>
        <w:t>13</w:t>
      </w:r>
      <w:r>
        <w:rPr/>
        <w:t xml:space="preserve"> {{field-on:bible}}Wir haben aber den selben Geist</w:t>
      </w:r>
      <w:r>
        <w:rPr>
          <w:rStyle w:val="Funotenanker"/>
        </w:rPr>
        <w:footnoteReference w:customMarkFollows="1" w:id="5764"/>
        <w:t>h</w:t>
      </w:r>
      <w:r>
        <w:rPr/>
        <w:t>, wie geschrieben steht</w:t>
      </w:r>
      <w:r>
        <w:rPr>
          <w:rStyle w:val="Funotenanker"/>
        </w:rPr>
        <w:footnoteReference w:customMarkFollows="1" w:id="5765"/>
        <w:t>i</w:t>
      </w:r>
      <w:r>
        <w:rPr/>
        <w:t xml:space="preserve">: Ich habe geglaubt </w:t>
      </w:r>
      <w:r>
        <w:rPr>
          <w:color w:val="808080"/>
        </w:rPr>
        <w:t>(vertraut)</w:t>
      </w:r>
      <w:r>
        <w:rPr/>
        <w:t xml:space="preserve">, deshalb habe ich geredet </w:t>
      </w:r>
      <w:r>
        <w:rPr>
          <w:color w:val="808080"/>
        </w:rPr>
        <w:t>(Psalm 116,1)</w:t>
      </w:r>
      <w:r>
        <w:rPr/>
        <w:t xml:space="preserve">; auch wir glauben, darum reden wir auch,{{field-off:bible}} </w:t>
        <w:br/>
        <w:t>[[@BibleTOBIBLE:2Co 4:14]]</w:t>
      </w:r>
      <w:r>
        <w:rPr>
          <w:b/>
        </w:rPr>
        <w:t>14</w:t>
      </w:r>
      <w:r>
        <w:rPr/>
        <w:t xml:space="preserve"> {{field-on:bible}}weil</w:t>
      </w:r>
      <w:r>
        <w:rPr>
          <w:rStyle w:val="Funotenanker"/>
        </w:rPr>
        <w:footnoteReference w:customMarkFollows="1" w:id="5766"/>
        <w:t>j</w:t>
      </w:r>
      <w:r>
        <w:rPr/>
        <w:t xml:space="preserve"> wir wissen, dass der, der den Herrn Jesus Christus von den Toten auferweckte, auch uns mit Jesus auferwecken wird uns mit euch vor sich stellen</w:t>
      </w:r>
      <w:r>
        <w:rPr>
          <w:rStyle w:val="Funotenanker"/>
        </w:rPr>
        <w:footnoteReference w:customMarkFollows="1" w:id="5767"/>
        <w:t>k</w:t>
      </w:r>
      <w:r>
        <w:rPr/>
        <w:t xml:space="preserve">.{{field-off:bible}} </w:t>
        <w:br/>
        <w:t>[[@BibleTOBIBLE:2Co 4:15]]</w:t>
      </w:r>
      <w:r>
        <w:rPr>
          <w:b/>
        </w:rPr>
        <w:t>15</w:t>
      </w:r>
      <w:r>
        <w:rPr/>
        <w:t xml:space="preserve"> {{field-on:bible}}Alles aber um euretwillen, damit die Gnade</w:t>
      </w:r>
      <w:r>
        <w:rPr>
          <w:rStyle w:val="Funotenanker"/>
        </w:rPr>
        <w:footnoteReference w:customMarkFollows="1" w:id="5768"/>
        <w:t>l</w:t>
      </w:r>
      <w:r>
        <w:rPr/>
        <w:t>, die</w:t>
      </w:r>
      <w:r>
        <w:rPr>
          <w:rStyle w:val="Funotenanker"/>
        </w:rPr>
        <w:footnoteReference w:customMarkFollows="1" w:id="5769"/>
        <w:t>m</w:t>
      </w:r>
      <w:r>
        <w:rPr/>
        <w:t xml:space="preserve"> gewachsen ist </w:t>
      </w:r>
      <w:r>
        <w:rPr>
          <w:color w:val="808080"/>
        </w:rPr>
        <w:t>(durch die noch mehreren =)</w:t>
      </w:r>
      <w:r>
        <w:rPr/>
        <w:t xml:space="preserve"> durch die dann Dazugewonnenen den Dank </w:t>
      </w:r>
      <w:r>
        <w:rPr>
          <w:color w:val="808080"/>
        </w:rPr>
        <w:t>(die Danksagung)</w:t>
      </w:r>
      <w:r>
        <w:rPr/>
        <w:t xml:space="preserve"> überreich macht zur Ehre Gottes.{{field-off:bible}} </w:t>
        <w:br/>
        <w:t>[[@BibleTOBIBLE:2Co 4:16]]</w:t>
      </w:r>
      <w:r>
        <w:rPr>
          <w:b/>
        </w:rPr>
        <w:t>16</w:t>
      </w:r>
      <w:r>
        <w:rPr/>
        <w:t xml:space="preserve"> {{field-on:bible}}Deshalb werden wir nicht müde </w:t>
      </w:r>
      <w:r>
        <w:rPr>
          <w:color w:val="808080"/>
        </w:rPr>
        <w:t>(verzagen nicht)</w:t>
      </w:r>
      <w:r>
        <w:rPr/>
        <w:t xml:space="preserve">, sondern wenn auch der äußere Mensch zugrunde geht, wird doch unser innerer Tag für Tag erneuert.{{field-off:bible}} </w:t>
        <w:br/>
        <w:t>[[@BibleTOBIBLE:2Co 4:17]]</w:t>
      </w:r>
      <w:r>
        <w:rPr>
          <w:b/>
        </w:rPr>
        <w:t>17</w:t>
      </w:r>
      <w:r>
        <w:rPr/>
        <w:t xml:space="preserve"> {{field-on:bible}}weil unsere gegenwärtig </w:t>
      </w:r>
      <w:r>
        <w:rPr>
          <w:color w:val="808080"/>
        </w:rPr>
        <w:t>(augenblicklich)</w:t>
      </w:r>
      <w:r>
        <w:rPr/>
        <w:t xml:space="preserve"> leichte Bedrängnis für uns eine ganz übermäßige ewige Fülle der Herrlichkeit bewirkt,{{field-off:bible}} </w:t>
        <w:br/>
        <w:t>[[@BibleTOBIBLE:2Co 4:18]]</w:t>
      </w:r>
      <w:r>
        <w:rPr>
          <w:b/>
        </w:rPr>
        <w:t>18</w:t>
      </w:r>
      <w:r>
        <w:rPr/>
        <w:t xml:space="preserve"> {{field-on:bible}}achten wir nicht</w:t>
      </w:r>
      <w:r>
        <w:rPr>
          <w:rStyle w:val="Funotenanker"/>
        </w:rPr>
        <w:footnoteReference w:customMarkFollows="1" w:id="5770"/>
        <w:t>n</w:t>
      </w:r>
      <w:r>
        <w:rPr/>
        <w:t xml:space="preserve"> auf das Sichtbare, sondern auf das Unsichtbare. Denn das Sichtbare </w:t>
      </w:r>
      <w:r>
        <w:rPr>
          <w:b/>
          <w:color w:val="808080"/>
        </w:rPr>
        <w:t>[</w:t>
      </w:r>
      <w:r>
        <w:rPr/>
        <w:t>ist</w:t>
      </w:r>
      <w:r>
        <w:rPr>
          <w:b/>
          <w:color w:val="808080"/>
        </w:rPr>
        <w:t>]</w:t>
      </w:r>
      <w:r>
        <w:rPr/>
        <w:t xml:space="preserve"> vorübergehend </w:t>
      </w:r>
      <w:r>
        <w:rPr>
          <w:color w:val="808080"/>
        </w:rPr>
        <w:t>(unbeständig)</w:t>
      </w:r>
      <w:r>
        <w:rPr/>
        <w:t xml:space="preserve">, das Unischtbare aber </w:t>
      </w:r>
      <w:r>
        <w:rPr>
          <w:b/>
          <w:color w:val="808080"/>
        </w:rPr>
        <w:t>[</w:t>
      </w:r>
      <w:r>
        <w:rPr/>
        <w:t>ist</w:t>
      </w:r>
      <w:r>
        <w:rPr>
          <w:b/>
          <w:color w:val="808080"/>
        </w:rPr>
        <w:t>]</w:t>
      </w:r>
      <w:r>
        <w:rPr/>
        <w:t xml:space="preserve"> ewig.{{field-off:bible}} </w:t>
      </w:r>
    </w:p>
    <w:p>
      <w:pPr>
        <w:pStyle w:val="Berschrift3"/>
        <w:rPr/>
      </w:pPr>
      <w:r>
        <w:rPr/>
        <w:t>[[@BibleTOBIBLE:2Co 5]]Kapitel 5</w:t>
      </w:r>
    </w:p>
    <w:p>
      <w:pPr>
        <w:pStyle w:val="Textkrper"/>
        <w:rPr/>
      </w:pPr>
      <w:r>
        <w:rPr/>
        <w:br/>
        <w:t>[[@BibleTOBIBLE:2Co 5:1]]</w:t>
      </w:r>
      <w:r>
        <w:rPr>
          <w:b/>
        </w:rPr>
        <w:t>1</w:t>
      </w:r>
      <w:r>
        <w:rPr/>
        <w:t xml:space="preserve"> {{field-on:bible}} </w:t>
      </w:r>
      <w:r>
        <w:rPr>
          <w:rStyle w:val="Funotenanker"/>
        </w:rPr>
        <w:footnoteReference w:customMarkFollows="1" w:id="5771"/>
        <w:t>Status</w:t>
      </w:r>
      <w:r>
        <w:rPr/>
        <w:t xml:space="preserve"> Denn wir wissen, dass, wenn</w:t>
      </w:r>
      <w:r>
        <w:rPr>
          <w:rStyle w:val="Funotenanker"/>
        </w:rPr>
        <w:footnoteReference w:customMarkFollows="1" w:id="5772"/>
        <w:t>a</w:t>
      </w:r>
      <w:r>
        <w:rPr/>
        <w:t xml:space="preserve"> unser iridisches </w:t>
      </w:r>
      <w:r>
        <w:rPr>
          <w:color w:val="808080"/>
        </w:rPr>
        <w:t>(Haus, das Zelt</w:t>
      </w:r>
      <w:r>
        <w:rPr/>
        <w:t xml:space="preserve"> </w:t>
      </w:r>
      <w:r>
        <w:rPr>
          <w:rStyle w:val="Funotenanker"/>
        </w:rPr>
        <w:footnoteReference w:customMarkFollows="1" w:id="5773"/>
        <w:t>b</w:t>
      </w:r>
      <w:r>
        <w:rPr/>
        <w:t xml:space="preserve"> </w:t>
      </w:r>
      <w:r>
        <w:rPr>
          <w:color w:val="808080"/>
        </w:rPr>
        <w:t>=)</w:t>
      </w:r>
      <w:r>
        <w:rPr/>
        <w:t xml:space="preserve"> Zelthaus abgerissen </w:t>
      </w:r>
      <w:r>
        <w:rPr>
          <w:color w:val="808080"/>
        </w:rPr>
        <w:t>(zerstört)</w:t>
      </w:r>
      <w:r>
        <w:rPr/>
        <w:t xml:space="preserve"> wird, haben wir ein Gebäude </w:t>
      </w:r>
      <w:r>
        <w:rPr>
          <w:color w:val="808080"/>
        </w:rPr>
        <w:t>(einen Bau)</w:t>
      </w:r>
      <w:r>
        <w:rPr/>
        <w:t xml:space="preserve"> von Gott, ein nicht mit Händen </w:t>
      </w:r>
      <w:r>
        <w:rPr>
          <w:color w:val="808080"/>
        </w:rPr>
        <w:t>(von Menschenhänden)</w:t>
      </w:r>
      <w:r>
        <w:rPr/>
        <w:t xml:space="preserve"> gemachtes, ewiges Haus im Himmel.{{field-off:bible}} </w:t>
        <w:br/>
        <w:t>[[@BibleTOBIBLE:2Co 5:2]]</w:t>
      </w:r>
      <w:r>
        <w:rPr>
          <w:b/>
        </w:rPr>
        <w:t>2</w:t>
      </w:r>
      <w:r>
        <w:rPr/>
        <w:t xml:space="preserve"> {{field-on:bible}} </w:t>
      </w:r>
      <w:r>
        <w:rPr>
          <w:strike/>
          <w:color w:val="808080"/>
        </w:rPr>
        <w:t>{Und nämlich}</w:t>
      </w:r>
      <w:r>
        <w:rPr/>
        <w:t xml:space="preserve"> deshalb seufzen wir, weil</w:t>
      </w:r>
      <w:r>
        <w:rPr>
          <w:rStyle w:val="Funotenanker"/>
        </w:rPr>
        <w:footnoteReference w:customMarkFollows="1" w:id="5774"/>
        <w:t>c</w:t>
      </w:r>
      <w:r>
        <w:rPr/>
        <w:t xml:space="preserve"> wir uns danach sehnen, unsere Behausung aus dem Himmel anzuziehen,{{field-off:bible}} </w:t>
        <w:br/>
        <w:t>[[@BibleTOBIBLE:2Co 5:3]]</w:t>
      </w:r>
      <w:r>
        <w:rPr>
          <w:b/>
        </w:rPr>
        <w:t>3</w:t>
      </w:r>
      <w:r>
        <w:rPr/>
        <w:t xml:space="preserve"> {{field-on:bible}}wenn wir jedenfalls, nachdem</w:t>
      </w:r>
      <w:r>
        <w:rPr>
          <w:rStyle w:val="Funotenanker"/>
        </w:rPr>
        <w:footnoteReference w:customMarkFollows="1" w:id="5775"/>
        <w:t>d</w:t>
      </w:r>
      <w:r>
        <w:rPr/>
        <w:t xml:space="preserve"> wir </w:t>
      </w:r>
      <w:r>
        <w:rPr>
          <w:b/>
          <w:color w:val="808080"/>
        </w:rPr>
        <w:t>[</w:t>
      </w:r>
      <w:r>
        <w:rPr/>
        <w:t>unsere irdische Behausung</w:t>
      </w:r>
      <w:r>
        <w:rPr>
          <w:b/>
          <w:color w:val="808080"/>
        </w:rPr>
        <w:t>]</w:t>
      </w:r>
      <w:r>
        <w:rPr/>
        <w:t xml:space="preserve"> ausgezogen haben, nicht nackt </w:t>
      </w:r>
      <w:r>
        <w:rPr>
          <w:color w:val="808080"/>
        </w:rPr>
        <w:t>(gefunden =)</w:t>
      </w:r>
      <w:r>
        <w:rPr/>
        <w:t xml:space="preserve"> dastehen werden.</w:t>
      </w:r>
      <w:r>
        <w:rPr>
          <w:rStyle w:val="Funotenanker"/>
        </w:rPr>
        <w:footnoteReference w:customMarkFollows="1" w:id="5776"/>
        <w:t>e</w:t>
      </w:r>
      <w:r>
        <w:rPr/>
        <w:t xml:space="preserve"> {{field-off:bible}} </w:t>
        <w:br/>
        <w:t>[[@BibleTOBIBLE:2Co 5:4]]</w:t>
      </w:r>
      <w:r>
        <w:rPr>
          <w:b/>
        </w:rPr>
        <w:t>4</w:t>
      </w:r>
      <w:r>
        <w:rPr/>
        <w:t xml:space="preserve"> {{field-on:bible}}Und </w:t>
      </w:r>
      <w:r>
        <w:rPr>
          <w:strike/>
          <w:color w:val="808080"/>
        </w:rPr>
        <w:t>{nämlich}</w:t>
      </w:r>
      <w:r>
        <w:rPr/>
        <w:t xml:space="preserve"> als die, die</w:t>
      </w:r>
      <w:r>
        <w:rPr>
          <w:rStyle w:val="Funotenanker"/>
        </w:rPr>
        <w:footnoteReference w:customMarkFollows="1" w:id="5777"/>
        <w:t>f</w:t>
      </w:r>
      <w:r>
        <w:rPr/>
        <w:t xml:space="preserve"> wir in der Behausung sind, seufzen wir, weil</w:t>
      </w:r>
      <w:r>
        <w:rPr>
          <w:rStyle w:val="Funotenanker"/>
        </w:rPr>
        <w:footnoteReference w:customMarkFollows="1" w:id="5778"/>
        <w:t>g</w:t>
      </w:r>
      <w:r>
        <w:rPr/>
        <w:t xml:space="preserve"> wir bedrückt</w:t>
      </w:r>
      <w:r>
        <w:rPr>
          <w:rStyle w:val="Funotenanker"/>
        </w:rPr>
        <w:footnoteReference w:customMarkFollows="1" w:id="5779"/>
        <w:t>h</w:t>
      </w:r>
      <w:r>
        <w:rPr/>
        <w:t xml:space="preserve"> sind, weil wir nicht wünschen, ausgezogen, sondern angezogen </w:t>
      </w:r>
      <w:r>
        <w:rPr>
          <w:color w:val="808080"/>
        </w:rPr>
        <w:t>(überkleidet)</w:t>
      </w:r>
      <w:r>
        <w:rPr/>
        <w:t xml:space="preserve"> zu werden, damit das Sterbliche vom Leben verschlungen wird.{{field-off:bible}} </w:t>
        <w:br/>
        <w:t>[[@BibleTOBIBLE:2Co 5:5]]</w:t>
      </w:r>
      <w:r>
        <w:rPr>
          <w:b/>
        </w:rPr>
        <w:t>5</w:t>
      </w:r>
      <w:r>
        <w:rPr/>
        <w:t xml:space="preserve"> {{field-on:bible}}Der</w:t>
      </w:r>
      <w:r>
        <w:rPr>
          <w:rStyle w:val="Funotenanker"/>
        </w:rPr>
        <w:footnoteReference w:customMarkFollows="1" w:id="5780"/>
        <w:t>i</w:t>
      </w:r>
      <w:r>
        <w:rPr/>
        <w:t xml:space="preserve"> uns aber dazu instand setzt, ist Gott, der uns die Anzahlung</w:t>
      </w:r>
      <w:r>
        <w:rPr>
          <w:rStyle w:val="Funotenanker"/>
        </w:rPr>
        <w:footnoteReference w:customMarkFollows="1" w:id="5781"/>
        <w:t>j</w:t>
      </w:r>
      <w:r>
        <w:rPr/>
        <w:t xml:space="preserve"> des Geistes gibt.{{field-off:bible}} </w:t>
        <w:br/>
        <w:t>[[@BibleTOBIBLE:2Co 5:6]]</w:t>
      </w:r>
      <w:r>
        <w:rPr>
          <w:b/>
        </w:rPr>
        <w:t>6</w:t>
      </w:r>
      <w:r>
        <w:rPr/>
        <w:t xml:space="preserve"> {{field-on:bible}}Wir sind nun allzeit getrost und wissen, dass, solange</w:t>
      </w:r>
      <w:r>
        <w:rPr>
          <w:rStyle w:val="Funotenanker"/>
        </w:rPr>
        <w:footnoteReference w:customMarkFollows="1" w:id="5782"/>
        <w:t>k</w:t>
      </w:r>
      <w:r>
        <w:rPr/>
        <w:t xml:space="preserve"> wir im Leib </w:t>
      </w:r>
      <w:r>
        <w:rPr>
          <w:color w:val="808080"/>
        </w:rPr>
        <w:t>(Körper)</w:t>
      </w:r>
      <w:r>
        <w:rPr/>
        <w:t xml:space="preserve"> beheimatet </w:t>
      </w:r>
      <w:r>
        <w:rPr>
          <w:color w:val="808080"/>
        </w:rPr>
        <w:t>(zuhause)</w:t>
      </w:r>
      <w:r>
        <w:rPr/>
        <w:t xml:space="preserve"> sind, fern</w:t>
      </w:r>
      <w:r>
        <w:rPr>
          <w:rStyle w:val="Funotenanker"/>
        </w:rPr>
        <w:footnoteReference w:customMarkFollows="1" w:id="5783"/>
        <w:t>l</w:t>
      </w:r>
      <w:r>
        <w:rPr/>
        <w:t xml:space="preserve"> von Gott sind.{{field-off:bible}} </w:t>
        <w:br/>
        <w:t>[[@BibleTOBIBLE:2Co 5:7]]</w:t>
      </w:r>
      <w:r>
        <w:rPr>
          <w:b/>
        </w:rPr>
        <w:t>7</w:t>
      </w:r>
      <w:r>
        <w:rPr/>
        <w:t xml:space="preserve"> {{field-on:bible}}Durch den </w:t>
      </w:r>
      <w:r>
        <w:rPr>
          <w:color w:val="808080"/>
        </w:rPr>
        <w:t>(Im)</w:t>
      </w:r>
      <w:r>
        <w:rPr/>
        <w:t xml:space="preserve"> Glauben nämlich führen wir unser Leben </w:t>
      </w:r>
      <w:r>
        <w:rPr>
          <w:color w:val="808080"/>
        </w:rPr>
        <w:t>(wandeln wir)</w:t>
      </w:r>
      <w:r>
        <w:rPr/>
        <w:t xml:space="preserve">, nicht durch das </w:t>
      </w:r>
      <w:r>
        <w:rPr>
          <w:color w:val="808080"/>
        </w:rPr>
        <w:t>(im)</w:t>
      </w:r>
      <w:r>
        <w:rPr/>
        <w:t xml:space="preserve"> Schauen.{{field-off:bible}} </w:t>
        <w:br/>
        <w:t>[[@BibleTOBIBLE:2Co 5:8]]</w:t>
      </w:r>
      <w:r>
        <w:rPr>
          <w:b/>
        </w:rPr>
        <w:t>8</w:t>
      </w:r>
      <w:r>
        <w:rPr/>
        <w:t xml:space="preserve"> {{field-on:bible}}Wir sind aber getrost und wollen lieber aus dem Leib </w:t>
      </w:r>
      <w:r>
        <w:rPr>
          <w:color w:val="808080"/>
        </w:rPr>
        <w:t>(Körper)</w:t>
      </w:r>
      <w:r>
        <w:rPr/>
        <w:t xml:space="preserve"> ausziehen</w:t>
      </w:r>
      <w:r>
        <w:rPr>
          <w:rStyle w:val="Funotenanker"/>
        </w:rPr>
        <w:footnoteReference w:customMarkFollows="1" w:id="5784"/>
        <w:t>m</w:t>
      </w:r>
      <w:r>
        <w:rPr/>
        <w:t xml:space="preserve"> und bei Gott beheimatet </w:t>
      </w:r>
      <w:r>
        <w:rPr>
          <w:color w:val="808080"/>
        </w:rPr>
        <w:t>(zuhause)</w:t>
      </w:r>
      <w:r>
        <w:rPr/>
        <w:t xml:space="preserve"> sein.{{field-off:bible}} </w:t>
        <w:br/>
        <w:t>[[@BibleTOBIBLE:2Co 5:9]]</w:t>
      </w:r>
      <w:r>
        <w:rPr>
          <w:b/>
        </w:rPr>
        <w:t>9</w:t>
      </w:r>
      <w:r>
        <w:rPr/>
        <w:t xml:space="preserve"> {{field-on:bible}}Darum lassen wir es uns angelegen sein </w:t>
      </w:r>
      <w:r>
        <w:rPr>
          <w:color w:val="808080"/>
        </w:rPr>
        <w:t>(ist es unser Ehrgeiz, trachten wir danach)</w:t>
      </w:r>
      <w:r>
        <w:rPr/>
        <w:t>, sei es in der Fremde, sei es Zuhause</w:t>
      </w:r>
      <w:r>
        <w:rPr>
          <w:rStyle w:val="Funotenanker"/>
        </w:rPr>
        <w:footnoteReference w:customMarkFollows="1" w:id="5785"/>
        <w:t>n</w:t>
      </w:r>
      <w:r>
        <w:rPr/>
        <w:t xml:space="preserve">, ihm </w:t>
      </w:r>
      <w:r>
        <w:rPr>
          <w:color w:val="808080"/>
        </w:rPr>
        <w:t>(wohlgefällig zu sein =)</w:t>
      </w:r>
      <w:r>
        <w:rPr/>
        <w:t xml:space="preserve"> zu gefallen.{{field-off:bible}} </w:t>
        <w:br/>
        <w:t>[[@BibleTOBIBLE:2Co 5:10]]</w:t>
      </w:r>
      <w:r>
        <w:rPr>
          <w:b/>
        </w:rPr>
        <w:t>10</w:t>
      </w:r>
      <w:r>
        <w:rPr/>
        <w:t xml:space="preserve"> {{field-on:bible}}Denn wir alle müssen vor dem Richterstuhl </w:t>
      </w:r>
      <w:r>
        <w:rPr>
          <w:color w:val="808080"/>
        </w:rPr>
        <w:t>(Thronsitz)</w:t>
      </w:r>
      <w:r>
        <w:rPr/>
        <w:t xml:space="preserve"> Christi erscheinen </w:t>
      </w:r>
      <w:r>
        <w:rPr>
          <w:color w:val="808080"/>
        </w:rPr>
        <w:t>(uns zeigen, uns offenbaren)</w:t>
      </w:r>
      <w:r>
        <w:rPr/>
        <w:t xml:space="preserve">, damit jeder </w:t>
      </w:r>
      <w:r>
        <w:rPr>
          <w:b/>
          <w:color w:val="808080"/>
        </w:rPr>
        <w:t>[</w:t>
      </w:r>
      <w:r>
        <w:rPr/>
        <w:t>den Lohn</w:t>
      </w:r>
      <w:r>
        <w:rPr>
          <w:b/>
          <w:color w:val="808080"/>
        </w:rPr>
        <w:t>]</w:t>
      </w:r>
      <w:r>
        <w:rPr/>
        <w:t xml:space="preserve"> empfängt für das, was er während des Lebens</w:t>
      </w:r>
      <w:r>
        <w:rPr>
          <w:rStyle w:val="Funotenanker"/>
        </w:rPr>
        <w:footnoteReference w:customMarkFollows="1" w:id="5786"/>
        <w:t>o</w:t>
      </w:r>
      <w:r>
        <w:rPr/>
        <w:t xml:space="preserve"> getan hat, sei es gut, sei es schlecht </w:t>
      </w:r>
      <w:r>
        <w:rPr>
          <w:color w:val="808080"/>
        </w:rPr>
        <w:t>(böse)</w:t>
      </w:r>
      <w:r>
        <w:rPr/>
        <w:t xml:space="preserve">.{{field-off:bible}} </w:t>
        <w:br/>
        <w:t>[[@BibleTOBIBLE:2Co 5:11]]</w:t>
      </w:r>
      <w:r>
        <w:rPr>
          <w:b/>
        </w:rPr>
        <w:t>11</w:t>
      </w:r>
      <w:r>
        <w:rPr/>
        <w:t xml:space="preserve"> {{field-on:bible}}Da</w:t>
      </w:r>
      <w:r>
        <w:rPr>
          <w:rStyle w:val="Funotenanker"/>
        </w:rPr>
        <w:footnoteReference w:customMarkFollows="1" w:id="5787"/>
        <w:t>p</w:t>
      </w:r>
      <w:r>
        <w:rPr/>
        <w:t xml:space="preserve"> wir nun wissen, was Furcht vor dem Herrn erregt</w:t>
      </w:r>
      <w:r>
        <w:rPr>
          <w:rStyle w:val="Funotenanker"/>
        </w:rPr>
        <w:footnoteReference w:customMarkFollows="1" w:id="5788"/>
        <w:t>q</w:t>
      </w:r>
      <w:r>
        <w:rPr/>
        <w:t>, „überreden“</w:t>
      </w:r>
      <w:r>
        <w:rPr>
          <w:rStyle w:val="Funotenanker"/>
        </w:rPr>
        <w:footnoteReference w:customMarkFollows="1" w:id="5789"/>
        <w:t>r</w:t>
      </w:r>
      <w:r>
        <w:rPr/>
        <w:t xml:space="preserve"> wir Menschen, Gott aber sind wir bekannt.{{field-off:bible}} </w:t>
        <w:br/>
        <w:t>[[@BibleTOBIBLE:2Co 5:12]]</w:t>
      </w:r>
      <w:r>
        <w:rPr>
          <w:b/>
        </w:rPr>
        <w:t>12</w:t>
      </w:r>
      <w:r>
        <w:rPr/>
        <w:t xml:space="preserve"> {{field-on:bible}}Wir empfehlen uns euch nicht wiederum selbst, sondern geben euch Gelegenheit </w:t>
      </w:r>
      <w:r>
        <w:rPr>
          <w:color w:val="808080"/>
        </w:rPr>
        <w:t>(Anlass)</w:t>
      </w:r>
      <w:r>
        <w:rPr/>
        <w:t xml:space="preserve"> des Ruhmes über uns</w:t>
      </w:r>
      <w:r>
        <w:rPr>
          <w:rStyle w:val="Funotenanker"/>
        </w:rPr>
        <w:footnoteReference w:customMarkFollows="1" w:id="5790"/>
        <w:t>s</w:t>
      </w:r>
      <w:r>
        <w:rPr/>
        <w:t xml:space="preserve">, damit ihr </w:t>
      </w:r>
      <w:r>
        <w:rPr>
          <w:b/>
          <w:color w:val="808080"/>
        </w:rPr>
        <w:t>[</w:t>
      </w:r>
      <w:r>
        <w:rPr/>
        <w:t>etwas</w:t>
      </w:r>
      <w:r>
        <w:rPr>
          <w:b/>
          <w:color w:val="808080"/>
        </w:rPr>
        <w:t>]</w:t>
      </w:r>
      <w:r>
        <w:rPr/>
        <w:t xml:space="preserve"> habt gegen die, die</w:t>
      </w:r>
      <w:r>
        <w:rPr>
          <w:rStyle w:val="Funotenanker"/>
        </w:rPr>
        <w:footnoteReference w:customMarkFollows="1" w:id="5791"/>
        <w:t>t</w:t>
      </w:r>
      <w:r>
        <w:rPr/>
        <w:t xml:space="preserve"> sich aufgrund äußerer </w:t>
      </w:r>
      <w:r>
        <w:rPr>
          <w:b/>
          <w:color w:val="808080"/>
        </w:rPr>
        <w:t>[</w:t>
      </w:r>
      <w:r>
        <w:rPr/>
        <w:t>Vorzüge</w:t>
      </w:r>
      <w:r>
        <w:rPr>
          <w:b/>
          <w:color w:val="808080"/>
        </w:rPr>
        <w:t>]</w:t>
      </w:r>
      <w:r>
        <w:rPr/>
        <w:t xml:space="preserve"> rühmen und nicht aufgrund </w:t>
      </w:r>
      <w:r>
        <w:rPr>
          <w:color w:val="808080"/>
        </w:rPr>
        <w:t>(des Herzens =)</w:t>
      </w:r>
      <w:r>
        <w:rPr/>
        <w:t xml:space="preserve"> innerer.{{field-off:bible}} </w:t>
        <w:br/>
        <w:t>[[@BibleTOBIBLE:2Co 5:13]]</w:t>
      </w:r>
      <w:r>
        <w:rPr>
          <w:b/>
        </w:rPr>
        <w:t>13</w:t>
      </w:r>
      <w:r>
        <w:rPr/>
        <w:t xml:space="preserve"> {{field-on:bible}}Waren wir </w:t>
      </w:r>
      <w:r>
        <w:rPr>
          <w:strike/>
          <w:color w:val="808080"/>
        </w:rPr>
        <w:t>{nämlich}</w:t>
      </w:r>
      <w:r>
        <w:rPr/>
        <w:t xml:space="preserve"> von Sinnen </w:t>
      </w:r>
      <w:r>
        <w:rPr>
          <w:color w:val="808080"/>
        </w:rPr>
        <w:t>(außer uns)</w:t>
      </w:r>
      <w:r>
        <w:rPr/>
        <w:t xml:space="preserve"> , </w:t>
      </w:r>
      <w:r>
        <w:rPr>
          <w:b/>
          <w:color w:val="808080"/>
        </w:rPr>
        <w:t>[</w:t>
      </w:r>
      <w:r>
        <w:rPr/>
        <w:t>waren wir es</w:t>
      </w:r>
      <w:r>
        <w:rPr>
          <w:b/>
          <w:color w:val="808080"/>
        </w:rPr>
        <w:t>]</w:t>
      </w:r>
      <w:r>
        <w:rPr/>
        <w:t xml:space="preserve"> für Gott. Waren wir besonnen </w:t>
      </w:r>
      <w:r>
        <w:rPr>
          <w:color w:val="808080"/>
        </w:rPr>
        <w:t>(bei Verstand)</w:t>
      </w:r>
      <w:r>
        <w:rPr/>
        <w:t xml:space="preserve">, </w:t>
      </w:r>
      <w:r>
        <w:rPr>
          <w:b/>
          <w:color w:val="808080"/>
        </w:rPr>
        <w:t>[</w:t>
      </w:r>
      <w:r>
        <w:rPr/>
        <w:t>waren wir es</w:t>
      </w:r>
      <w:r>
        <w:rPr>
          <w:b/>
          <w:color w:val="808080"/>
        </w:rPr>
        <w:t>]</w:t>
      </w:r>
      <w:r>
        <w:rPr/>
        <w:t xml:space="preserve"> für euch.{{field-off:bible}} </w:t>
        <w:br/>
        <w:t>[[@BibleTOBIBLE:2Co 5:14]]</w:t>
      </w:r>
      <w:r>
        <w:rPr>
          <w:b/>
        </w:rPr>
        <w:t>14</w:t>
      </w:r>
      <w:r>
        <w:rPr/>
        <w:t xml:space="preserve"> {{field-on:bible}}Denn die Liebe Christi beherrscht uns</w:t>
      </w:r>
      <w:r>
        <w:rPr>
          <w:rStyle w:val="Funotenanker"/>
        </w:rPr>
        <w:footnoteReference w:customMarkFollows="1" w:id="5792"/>
        <w:t>u</w:t>
      </w:r>
      <w:r>
        <w:rPr/>
        <w:t>, und</w:t>
      </w:r>
      <w:r>
        <w:rPr>
          <w:rStyle w:val="Funotenanker"/>
        </w:rPr>
        <w:footnoteReference w:customMarkFollows="1" w:id="5793"/>
        <w:t>v</w:t>
      </w:r>
      <w:r>
        <w:rPr/>
        <w:t xml:space="preserve"> wir meinen </w:t>
      </w:r>
      <w:r>
        <w:rPr>
          <w:color w:val="808080"/>
        </w:rPr>
        <w:t>(urteilen)</w:t>
      </w:r>
      <w:r>
        <w:rPr/>
        <w:t xml:space="preserve"> </w:t>
      </w:r>
      <w:r>
        <w:rPr>
          <w:strike/>
          <w:color w:val="808080"/>
        </w:rPr>
        <w:t>{dies}</w:t>
      </w:r>
      <w:r>
        <w:rPr/>
        <w:t xml:space="preserve">: weil einer </w:t>
      </w:r>
      <w:r>
        <w:rPr>
          <w:b/>
          <w:color w:val="808080"/>
        </w:rPr>
        <w:t>[</w:t>
      </w:r>
      <w:r>
        <w:rPr/>
        <w:t>stellvertretend</w:t>
      </w:r>
      <w:r>
        <w:rPr>
          <w:b/>
          <w:color w:val="808080"/>
        </w:rPr>
        <w:t>]</w:t>
      </w:r>
      <w:r>
        <w:rPr/>
        <w:t xml:space="preserve"> für alle gestorben ist, </w:t>
      </w:r>
      <w:r>
        <w:rPr>
          <w:strike/>
          <w:color w:val="808080"/>
        </w:rPr>
        <w:t>{folglich}</w:t>
      </w:r>
      <w:r>
        <w:rPr/>
        <w:t xml:space="preserve"> sind sie alle gestorben.</w:t>
      </w:r>
      <w:r>
        <w:rPr>
          <w:rStyle w:val="Funotenanker"/>
        </w:rPr>
        <w:footnoteReference w:customMarkFollows="1" w:id="5794"/>
        <w:t>w</w:t>
      </w:r>
      <w:r>
        <w:rPr/>
        <w:t xml:space="preserve"> {{field-off:bible}} </w:t>
        <w:br/>
        <w:t>[[@BibleTOBIBLE:2Co 5:15]]</w:t>
      </w:r>
      <w:r>
        <w:rPr>
          <w:b/>
        </w:rPr>
        <w:t>15</w:t>
      </w:r>
      <w:r>
        <w:rPr/>
        <w:t xml:space="preserve"> {{field-on:bible}}Und er ist </w:t>
      </w:r>
      <w:r>
        <w:rPr>
          <w:b/>
          <w:color w:val="808080"/>
        </w:rPr>
        <w:t>[</w:t>
      </w:r>
      <w:r>
        <w:rPr/>
        <w:t>stellvertretend</w:t>
      </w:r>
      <w:r>
        <w:rPr>
          <w:b/>
          <w:color w:val="808080"/>
        </w:rPr>
        <w:t>]</w:t>
      </w:r>
      <w:r>
        <w:rPr/>
        <w:t xml:space="preserve"> für alle gestorben, damit, wer lebt</w:t>
      </w:r>
      <w:r>
        <w:rPr>
          <w:rStyle w:val="Funotenanker"/>
        </w:rPr>
        <w:footnoteReference w:customMarkFollows="1" w:id="5795"/>
        <w:t>x</w:t>
      </w:r>
      <w:r>
        <w:rPr/>
        <w:t xml:space="preserve">, nicht mehr sich selbst lebt, sondern für den, der für ihn gestorben und auferstanden ist.{{field-off:bible}} </w:t>
        <w:br/>
        <w:t>[[@BibleTOBIBLE:2Co 5:16]]</w:t>
      </w:r>
      <w:r>
        <w:rPr>
          <w:b/>
        </w:rPr>
        <w:t>16</w:t>
      </w:r>
      <w:r>
        <w:rPr/>
        <w:t xml:space="preserve"> {{field-on:bible}} </w:t>
      </w:r>
      <w:r>
        <w:rPr>
          <w:color w:val="808080"/>
        </w:rPr>
        <w:t>(Sodass =)</w:t>
      </w:r>
      <w:r>
        <w:rPr/>
        <w:t xml:space="preserve"> Daraus folgt, dass wir von jetzt an niemanden mehr nach seinem </w:t>
      </w:r>
      <w:r>
        <w:rPr>
          <w:color w:val="808080"/>
        </w:rPr>
        <w:t>(Fleisch, Leib, Körper =)</w:t>
      </w:r>
      <w:r>
        <w:rPr/>
        <w:t xml:space="preserve"> Äußeren</w:t>
      </w:r>
      <w:r>
        <w:rPr>
          <w:rStyle w:val="Funotenanker"/>
        </w:rPr>
        <w:footnoteReference w:customMarkFollows="1" w:id="5796"/>
        <w:t>y</w:t>
      </w:r>
      <w:r>
        <w:rPr/>
        <w:t xml:space="preserve"> kennen. Selbst wenn</w:t>
      </w:r>
      <w:r>
        <w:rPr>
          <w:rStyle w:val="Funotenanker"/>
        </w:rPr>
        <w:footnoteReference w:customMarkFollows="1" w:id="5797"/>
        <w:t>z</w:t>
      </w:r>
      <w:r>
        <w:rPr/>
        <w:t xml:space="preserve"> wir Christus nach seinem Äußeren gekannt hätten, kennen wir ihn doch jetzt nicht mehr </w:t>
      </w:r>
      <w:r>
        <w:rPr>
          <w:b/>
          <w:color w:val="808080"/>
        </w:rPr>
        <w:t>[</w:t>
      </w:r>
      <w:r>
        <w:rPr/>
        <w:t>so</w:t>
      </w:r>
      <w:r>
        <w:rPr>
          <w:b/>
          <w:color w:val="808080"/>
        </w:rPr>
        <w:t>]</w:t>
      </w:r>
      <w:r>
        <w:rPr/>
        <w:t xml:space="preserve">.{{field-off:bible}} </w:t>
        <w:br/>
        <w:t>[[@BibleTOBIBLE:2Co 5:17]]</w:t>
      </w:r>
      <w:r>
        <w:rPr>
          <w:b/>
        </w:rPr>
        <w:t>17</w:t>
      </w:r>
      <w:r>
        <w:rPr/>
        <w:t xml:space="preserve"> {{field-on:bible}} </w:t>
      </w:r>
      <w:r>
        <w:rPr>
          <w:color w:val="808080"/>
        </w:rPr>
        <w:t>(Sodass =)</w:t>
      </w:r>
      <w:r>
        <w:rPr/>
        <w:t xml:space="preserve"> Das liegt daran, dass, wenn jemand in Christus</w:t>
      </w:r>
      <w:r>
        <w:rPr>
          <w:rStyle w:val="Funotenanker"/>
        </w:rPr>
        <w:footnoteReference w:customMarkFollows="1" w:id="5798"/>
        <w:t>aa</w:t>
      </w:r>
      <w:r>
        <w:rPr/>
        <w:t xml:space="preserve"> </w:t>
      </w:r>
      <w:r>
        <w:rPr>
          <w:b/>
          <w:color w:val="808080"/>
        </w:rPr>
        <w:t>[</w:t>
      </w:r>
      <w:r>
        <w:rPr/>
        <w:t>ist</w:t>
      </w:r>
      <w:r>
        <w:rPr>
          <w:b/>
          <w:color w:val="808080"/>
        </w:rPr>
        <w:t>]</w:t>
      </w:r>
      <w:r>
        <w:rPr/>
        <w:t xml:space="preserve">, </w:t>
      </w:r>
      <w:r>
        <w:rPr>
          <w:b/>
          <w:color w:val="808080"/>
        </w:rPr>
        <w:t>[</w:t>
      </w:r>
      <w:r>
        <w:rPr/>
        <w:t>ist er</w:t>
      </w:r>
      <w:r>
        <w:rPr>
          <w:b/>
          <w:color w:val="808080"/>
        </w:rPr>
        <w:t>]</w:t>
      </w:r>
      <w:r>
        <w:rPr/>
        <w:t xml:space="preserve"> eine </w:t>
      </w:r>
      <w:r>
        <w:rPr>
          <w:color w:val="808080"/>
        </w:rPr>
        <w:t>(neue Kreatur, ein neues Geschöpf =)</w:t>
      </w:r>
      <w:r>
        <w:rPr/>
        <w:t xml:space="preserve"> Neuschöpfung. Das alte verging, sieh da!, Neues ist entstanden.{{field-off:bible}} </w:t>
        <w:br/>
        <w:t>[[@BibleTOBIBLE:2Co 5:18]]</w:t>
      </w:r>
      <w:r>
        <w:rPr>
          <w:b/>
        </w:rPr>
        <w:t>18</w:t>
      </w:r>
      <w:r>
        <w:rPr/>
        <w:t xml:space="preserve"> {{field-on:bible}}Das alles aber </w:t>
      </w:r>
      <w:r>
        <w:rPr>
          <w:b/>
          <w:color w:val="808080"/>
        </w:rPr>
        <w:t>[</w:t>
      </w:r>
      <w:r>
        <w:rPr/>
        <w:t>kam</w:t>
      </w:r>
      <w:r>
        <w:rPr>
          <w:b/>
          <w:color w:val="808080"/>
        </w:rPr>
        <w:t>]</w:t>
      </w:r>
      <w:r>
        <w:rPr/>
        <w:t xml:space="preserve"> von Gott, der sich mit uns versöhnt hat durch Christus und uns den Auftrag </w:t>
      </w:r>
      <w:r>
        <w:rPr>
          <w:color w:val="808080"/>
        </w:rPr>
        <w:t>(Dienst, Amt)</w:t>
      </w:r>
      <w:r>
        <w:rPr/>
        <w:t xml:space="preserve"> zur Versöhnung gab,{{field-off:bible}} </w:t>
        <w:br/>
        <w:t>[[@BibleTOBIBLE:2Co 5:19]]</w:t>
      </w:r>
      <w:r>
        <w:rPr>
          <w:b/>
        </w:rPr>
        <w:t>19</w:t>
      </w:r>
      <w:r>
        <w:rPr/>
        <w:t xml:space="preserve"> {{field-on:bible}}nämlich dass Gott es war, der</w:t>
      </w:r>
      <w:r>
        <w:rPr>
          <w:rStyle w:val="Funotenanker"/>
        </w:rPr>
        <w:footnoteReference w:customMarkFollows="1" w:id="5799"/>
        <w:t>ab</w:t>
      </w:r>
      <w:r>
        <w:rPr/>
        <w:t xml:space="preserve"> durch Christus die Welt mit sich versöhnte und</w:t>
      </w:r>
      <w:r>
        <w:rPr>
          <w:rStyle w:val="Funotenanker"/>
        </w:rPr>
        <w:footnoteReference w:customMarkFollows="1" w:id="5800"/>
        <w:t>ac</w:t>
      </w:r>
      <w:r>
        <w:rPr/>
        <w:t xml:space="preserve"> und ihnen ihre Verfehlungen </w:t>
      </w:r>
      <w:r>
        <w:rPr>
          <w:color w:val="808080"/>
        </w:rPr>
        <w:t>(Übertretungen)</w:t>
      </w:r>
      <w:r>
        <w:rPr/>
        <w:t xml:space="preserve"> nicht anrechnet und uns </w:t>
      </w:r>
      <w:r>
        <w:rPr>
          <w:color w:val="808080"/>
        </w:rPr>
        <w:t>(das Wort =)</w:t>
      </w:r>
      <w:r>
        <w:rPr/>
        <w:t xml:space="preserve"> die Predigt der Versöhnung gab.{{field-off:bible}} </w:t>
        <w:br/>
        <w:t>[[@BibleTOBIBLE:2Co 5:20]]</w:t>
      </w:r>
      <w:r>
        <w:rPr>
          <w:b/>
        </w:rPr>
        <w:t>20</w:t>
      </w:r>
      <w:r>
        <w:rPr/>
        <w:t xml:space="preserve"> {{field-on:bible}}An Christi statt wirken wir nun als Botschafter </w:t>
      </w:r>
      <w:r>
        <w:rPr>
          <w:color w:val="808080"/>
        </w:rPr>
        <w:t>(Legaten)</w:t>
      </w:r>
      <w:r>
        <w:rPr/>
        <w:t>, indem</w:t>
      </w:r>
      <w:r>
        <w:rPr>
          <w:rStyle w:val="Funotenanker"/>
        </w:rPr>
        <w:footnoteReference w:customMarkFollows="1" w:id="5801"/>
        <w:t>ad</w:t>
      </w:r>
      <w:r>
        <w:rPr/>
        <w:t xml:space="preserve"> Gott </w:t>
      </w:r>
      <w:r>
        <w:rPr>
          <w:b/>
          <w:color w:val="808080"/>
        </w:rPr>
        <w:t>[</w:t>
      </w:r>
      <w:r>
        <w:rPr/>
        <w:t>euch</w:t>
      </w:r>
      <w:r>
        <w:rPr>
          <w:b/>
          <w:color w:val="808080"/>
        </w:rPr>
        <w:t>]</w:t>
      </w:r>
      <w:r>
        <w:rPr/>
        <w:t xml:space="preserve"> durch uns auffordert. Wir bitten an Christi statt: Lasst euch versöhnen mit Gott!{{field-off:bible}} </w:t>
        <w:br/>
        <w:t>[[@BibleTOBIBLE:2Co 5:21]]</w:t>
      </w:r>
      <w:r>
        <w:rPr>
          <w:b/>
        </w:rPr>
        <w:t>21</w:t>
      </w:r>
      <w:r>
        <w:rPr/>
        <w:t xml:space="preserve"> {{field-on:bible}}Gott hat den, der keine Sünde kannte, für uns zur Sünde gemacht, damit uns durch ihn Gottes Gerechtigkeit zuteil würde.{{field-off:bible}} </w:t>
      </w:r>
    </w:p>
    <w:p>
      <w:pPr>
        <w:pStyle w:val="Berschrift3"/>
        <w:rPr/>
      </w:pPr>
      <w:r>
        <w:rPr/>
        <w:t>[[@BibleTOBIBLE:2Co 6]]Kapitel 6</w:t>
      </w:r>
    </w:p>
    <w:p>
      <w:pPr>
        <w:pStyle w:val="Textkrper"/>
        <w:rPr/>
      </w:pPr>
      <w:r>
        <w:rPr/>
        <w:br/>
        <w:t>[[@BibleTOBIBLE:2Co 6:1]]</w:t>
      </w:r>
      <w:r>
        <w:rPr>
          <w:b/>
        </w:rPr>
        <w:t>1</w:t>
      </w:r>
      <w:r>
        <w:rPr/>
        <w:t xml:space="preserve"> {{field-on:bible}}Als Mitarbeiter</w:t>
      </w:r>
      <w:r>
        <w:rPr>
          <w:rStyle w:val="Funotenanker"/>
        </w:rPr>
        <w:footnoteReference w:customMarkFollows="1" w:id="5802"/>
        <w:t>a</w:t>
      </w:r>
      <w:r>
        <w:rPr/>
        <w:t xml:space="preserve"> </w:t>
      </w:r>
      <w:r>
        <w:rPr>
          <w:strike/>
          <w:color w:val="808080"/>
        </w:rPr>
        <w:t>{aber}</w:t>
      </w:r>
      <w:r>
        <w:rPr/>
        <w:t xml:space="preserve"> bitten wir euch auch, dass ihr nicht vergeblich die Gnade</w:t>
      </w:r>
      <w:r>
        <w:rPr>
          <w:rStyle w:val="Funotenanker"/>
        </w:rPr>
        <w:footnoteReference w:customMarkFollows="1" w:id="5803"/>
        <w:t>b</w:t>
      </w:r>
      <w:r>
        <w:rPr/>
        <w:t xml:space="preserve"> Gottes empfangt.{{field-off:bible}} </w:t>
        <w:br/>
        <w:t>[[@BibleTOBIBLE:2Co 6:2]]</w:t>
      </w:r>
      <w:r>
        <w:rPr>
          <w:b/>
        </w:rPr>
        <w:t>2</w:t>
      </w:r>
      <w:r>
        <w:rPr/>
        <w:t xml:space="preserve"> {{field-on:bible}}Denn </w:t>
      </w:r>
      <w:r>
        <w:rPr>
          <w:b/>
          <w:color w:val="808080"/>
        </w:rPr>
        <w:t>[</w:t>
      </w:r>
      <w:r>
        <w:rPr/>
        <w:t>die Schrift</w:t>
      </w:r>
      <w:r>
        <w:rPr>
          <w:b/>
          <w:color w:val="808080"/>
        </w:rPr>
        <w:t>]</w:t>
      </w:r>
      <w:r>
        <w:rPr/>
        <w:t xml:space="preserve"> sagt </w:t>
      </w:r>
      <w:r>
        <w:rPr>
          <w:color w:val="808080"/>
        </w:rPr>
        <w:t>(es heißt)</w:t>
      </w:r>
      <w:r>
        <w:rPr/>
        <w:t xml:space="preserve"> </w:t>
      </w:r>
      <w:r>
        <w:rPr>
          <w:color w:val="808080"/>
        </w:rPr>
        <w:t>(Jesaja 49,8)</w:t>
      </w:r>
      <w:r>
        <w:rPr/>
        <w:t xml:space="preserve">: </w:t>
        <w:br/>
        <w:t>zur rechten</w:t>
      </w:r>
      <w:r>
        <w:rPr>
          <w:rStyle w:val="Funotenanker"/>
        </w:rPr>
        <w:footnoteReference w:customMarkFollows="1" w:id="5804"/>
        <w:t>c</w:t>
      </w:r>
      <w:r>
        <w:rPr/>
        <w:t xml:space="preserve"> Zeit </w:t>
      </w:r>
      <w:r>
        <w:rPr>
          <w:color w:val="808080"/>
        </w:rPr>
        <w:t>(Zeitpunkt)</w:t>
      </w:r>
      <w:r>
        <w:rPr/>
        <w:t xml:space="preserve"> erhörte ich dich</w:t>
        <w:br/>
        <w:t xml:space="preserve">und am Tag des Heils </w:t>
      </w:r>
      <w:r>
        <w:rPr>
          <w:color w:val="808080"/>
        </w:rPr>
        <w:t>(der Rettung)</w:t>
      </w:r>
      <w:r>
        <w:rPr/>
        <w:t xml:space="preserve"> stand ich dir bei </w:t>
      </w:r>
      <w:r>
        <w:rPr>
          <w:color w:val="808080"/>
        </w:rPr>
        <w:t>(half ich dir)</w:t>
      </w:r>
      <w:r>
        <w:rPr/>
        <w:t>.</w:t>
        <w:br/>
      </w:r>
      <w:r>
        <w:rPr>
          <w:strike/>
          <w:color w:val="808080"/>
        </w:rPr>
        <w:t>{Sieh}</w:t>
      </w:r>
      <w:r>
        <w:rPr/>
        <w:t xml:space="preserve"> heute </w:t>
      </w:r>
      <w:r>
        <w:rPr>
          <w:color w:val="808080"/>
        </w:rPr>
        <w:t>(jetzt)</w:t>
      </w:r>
      <w:r>
        <w:rPr/>
        <w:t xml:space="preserve"> ist der willkommene Zeitpunkt </w:t>
      </w:r>
      <w:r>
        <w:rPr>
          <w:color w:val="808080"/>
        </w:rPr>
        <w:t>(Zeit)</w:t>
      </w:r>
      <w:r>
        <w:rPr/>
        <w:t xml:space="preserve">, </w:t>
      </w:r>
      <w:r>
        <w:rPr>
          <w:strike/>
          <w:color w:val="808080"/>
        </w:rPr>
        <w:t>{sieh}</w:t>
      </w:r>
      <w:r>
        <w:rPr/>
        <w:t xml:space="preserve"> heute </w:t>
      </w:r>
      <w:r>
        <w:rPr>
          <w:color w:val="808080"/>
        </w:rPr>
        <w:t>(jetzt)</w:t>
      </w:r>
      <w:r>
        <w:rPr/>
        <w:t xml:space="preserve"> ist der Tag des Heils </w:t>
      </w:r>
      <w:r>
        <w:rPr>
          <w:color w:val="808080"/>
        </w:rPr>
        <w:t>(der Rettung)</w:t>
      </w:r>
      <w:r>
        <w:rPr/>
        <w:t xml:space="preserve">.{{field-off:bible}} </w:t>
        <w:br/>
        <w:t>[[@BibleTOBIBLE:2Co 6:3]]</w:t>
      </w:r>
      <w:r>
        <w:rPr>
          <w:b/>
        </w:rPr>
        <w:t>3</w:t>
      </w:r>
      <w:r>
        <w:rPr/>
        <w:t xml:space="preserve"> {{field-on:bible}}Gebt niemandem in irgendetwas Gelegenheit, Anstoß zu nehmen, damit der Dienst </w:t>
      </w:r>
      <w:r>
        <w:rPr>
          <w:color w:val="808080"/>
        </w:rPr>
        <w:t>(das Amt?)</w:t>
      </w:r>
      <w:r>
        <w:rPr/>
        <w:t xml:space="preserve"> nicht verhöhnt wird,{{field-off:bible}} </w:t>
        <w:br/>
        <w:t>[[@BibleTOBIBLE:2Co 6:4]]</w:t>
      </w:r>
      <w:r>
        <w:rPr>
          <w:b/>
        </w:rPr>
        <w:t>4</w:t>
      </w:r>
      <w:r>
        <w:rPr/>
        <w:t xml:space="preserve"> {{field-on:bible}}sondern als Diener </w:t>
      </w:r>
      <w:r>
        <w:rPr>
          <w:color w:val="808080"/>
        </w:rPr>
        <w:t>(Helfer = Diakone)</w:t>
      </w:r>
      <w:r>
        <w:rPr/>
        <w:t xml:space="preserve"> Gottes stellt euch in allem </w:t>
      </w:r>
      <w:r>
        <w:rPr>
          <w:b/>
          <w:color w:val="808080"/>
        </w:rPr>
        <w:t>[</w:t>
      </w:r>
      <w:r>
        <w:rPr/>
        <w:t>in ein gutes Licht</w:t>
      </w:r>
      <w:r>
        <w:rPr>
          <w:b/>
          <w:color w:val="808080"/>
        </w:rPr>
        <w:t>]</w:t>
      </w:r>
      <w:r>
        <w:rPr/>
        <w:t>, in</w:t>
      </w:r>
      <w:r>
        <w:rPr>
          <w:rStyle w:val="Funotenanker"/>
        </w:rPr>
        <w:footnoteReference w:customMarkFollows="1" w:id="5805"/>
        <w:t>d</w:t>
      </w:r>
      <w:r>
        <w:rPr/>
        <w:t xml:space="preserve"> großer Ausdauer </w:t>
      </w:r>
      <w:r>
        <w:rPr>
          <w:color w:val="808080"/>
        </w:rPr>
        <w:t>(Standhaftigkeit)</w:t>
      </w:r>
      <w:r>
        <w:rPr/>
        <w:t xml:space="preserve">, in Bedrängnissen </w:t>
      </w:r>
      <w:r>
        <w:rPr>
          <w:color w:val="808080"/>
        </w:rPr>
        <w:t>(wenn ihr unter Druck geratet)</w:t>
      </w:r>
      <w:r>
        <w:rPr/>
        <w:t xml:space="preserve"> </w:t>
      </w:r>
      <w:r>
        <w:rPr>
          <w:rStyle w:val="Funotenanker"/>
        </w:rPr>
        <w:footnoteReference w:customMarkFollows="1" w:id="5806"/>
        <w:t>e</w:t>
      </w:r>
      <w:r>
        <w:rPr/>
        <w:t xml:space="preserve">, in </w:t>
      </w:r>
      <w:r>
        <w:rPr>
          <w:color w:val="808080"/>
        </w:rPr>
        <w:t>(Nöten)</w:t>
      </w:r>
      <w:r>
        <w:rPr/>
        <w:t xml:space="preserve"> Notsituationen, wenn es eng wird</w:t>
      </w:r>
      <w:r>
        <w:rPr>
          <w:rStyle w:val="Funotenanker"/>
        </w:rPr>
        <w:footnoteReference w:customMarkFollows="1" w:id="5807"/>
        <w:t>f</w:t>
      </w:r>
      <w:r>
        <w:rPr/>
        <w:t xml:space="preserve"> </w:t>
      </w:r>
      <w:r>
        <w:rPr>
          <w:color w:val="808080"/>
        </w:rPr>
        <w:t>(in Drangsalen)</w:t>
      </w:r>
      <w:r>
        <w:rPr/>
        <w:t xml:space="preserve">,{{field-off:bible}} </w:t>
        <w:br/>
        <w:t>[[@BibleTOBIBLE:2Co 6:5]]</w:t>
      </w:r>
      <w:r>
        <w:rPr>
          <w:b/>
        </w:rPr>
        <w:t>5</w:t>
      </w:r>
      <w:r>
        <w:rPr/>
        <w:t xml:space="preserve"> {{field-on:bible}}wenn man euch schlägt </w:t>
      </w:r>
      <w:r>
        <w:rPr>
          <w:color w:val="808080"/>
        </w:rPr>
        <w:t>(in Schlägen)</w:t>
      </w:r>
      <w:r>
        <w:rPr/>
        <w:t>, im Gefängnis</w:t>
      </w:r>
      <w:r>
        <w:rPr>
          <w:rStyle w:val="Funotenanker"/>
        </w:rPr>
        <w:footnoteReference w:customMarkFollows="1" w:id="5808"/>
        <w:t>g</w:t>
      </w:r>
      <w:r>
        <w:rPr/>
        <w:t xml:space="preserve">, in Unruhen </w:t>
      </w:r>
      <w:r>
        <w:rPr>
          <w:color w:val="808080"/>
        </w:rPr>
        <w:t>(Streitigkeiten)</w:t>
      </w:r>
      <w:r>
        <w:rPr/>
        <w:t xml:space="preserve">, bei schweren Arbeiten </w:t>
      </w:r>
      <w:r>
        <w:rPr>
          <w:color w:val="808080"/>
        </w:rPr>
        <w:t>(in Mühen)</w:t>
      </w:r>
      <w:r>
        <w:rPr/>
        <w:t>, in durchwachten Nächten</w:t>
      </w:r>
      <w:r>
        <w:rPr>
          <w:rStyle w:val="Funotenanker"/>
        </w:rPr>
        <w:footnoteReference w:customMarkFollows="1" w:id="5809"/>
        <w:t>h</w:t>
      </w:r>
      <w:r>
        <w:rPr/>
        <w:t xml:space="preserve">, im </w:t>
      </w:r>
      <w:r>
        <w:rPr>
          <w:color w:val="808080"/>
        </w:rPr>
        <w:t>(erzwungenen?)</w:t>
      </w:r>
      <w:r>
        <w:rPr/>
        <w:t xml:space="preserve"> Fasten,{{field-off:bible}} </w:t>
        <w:br/>
        <w:t>[[@BibleTOBIBLE:2Co 6:6]]</w:t>
      </w:r>
      <w:r>
        <w:rPr>
          <w:b/>
        </w:rPr>
        <w:t>6</w:t>
      </w:r>
      <w:r>
        <w:rPr/>
        <w:t xml:space="preserve"> {{field-on:bible}}in Reinheit </w:t>
      </w:r>
      <w:r>
        <w:rPr>
          <w:color w:val="808080"/>
        </w:rPr>
        <w:t>(Lauterkeit)</w:t>
      </w:r>
      <w:r>
        <w:rPr/>
        <w:t xml:space="preserve">, in Erkenntnis, in Geduld, in Rechtschaffenheit </w:t>
      </w:r>
      <w:r>
        <w:rPr>
          <w:color w:val="808080"/>
        </w:rPr>
        <w:t>(Güte, Milde)</w:t>
      </w:r>
      <w:r>
        <w:rPr/>
        <w:t xml:space="preserve">, in Heiligem Geist, in ungeheuchelter Liebe,{{field-off:bible}} </w:t>
        <w:br/>
        <w:t>[[@BibleTOBIBLE:2Co 6:7]]</w:t>
      </w:r>
      <w:r>
        <w:rPr>
          <w:b/>
        </w:rPr>
        <w:t>7</w:t>
      </w:r>
      <w:r>
        <w:rPr/>
        <w:t xml:space="preserve"> {{field-on:bible}}im Wort der Wahrheit, in der </w:t>
      </w:r>
      <w:r>
        <w:rPr>
          <w:color w:val="808080"/>
        </w:rPr>
        <w:t>(Voll)</w:t>
      </w:r>
      <w:r>
        <w:rPr/>
        <w:t>Macht Gottes; durch die Waffen der Gerechtigkeit</w:t>
      </w:r>
      <w:r>
        <w:rPr>
          <w:rStyle w:val="Funotenanker"/>
        </w:rPr>
        <w:footnoteReference w:customMarkFollows="1" w:id="5810"/>
        <w:t>i</w:t>
      </w:r>
      <w:r>
        <w:rPr/>
        <w:t xml:space="preserve"> zur Rechten und Linken</w:t>
      </w:r>
      <w:r>
        <w:rPr>
          <w:rStyle w:val="Funotenanker"/>
        </w:rPr>
        <w:footnoteReference w:customMarkFollows="1" w:id="5811"/>
        <w:t>j</w:t>
      </w:r>
      <w:r>
        <w:rPr/>
        <w:t xml:space="preserve">,{{field-off:bible}} </w:t>
        <w:br/>
        <w:t>[[@BibleTOBIBLE:2Co 6:8]]</w:t>
      </w:r>
      <w:r>
        <w:rPr>
          <w:b/>
        </w:rPr>
        <w:t>8</w:t>
      </w:r>
      <w:r>
        <w:rPr/>
        <w:t xml:space="preserve"> {{field-on:bible}}durch Ansehen und Schande, durch üble Nachrede und Lob; als Betrüger, und doch wahrhaftig,{{field-off:bible}} </w:t>
        <w:br/>
        <w:t>[[@BibleTOBIBLE:2Co 6:9]]</w:t>
      </w:r>
      <w:r>
        <w:rPr>
          <w:b/>
        </w:rPr>
        <w:t>9</w:t>
      </w:r>
      <w:r>
        <w:rPr/>
        <w:t xml:space="preserve"> {{field-on:bible}}als Verkannte</w:t>
      </w:r>
      <w:r>
        <w:rPr>
          <w:rStyle w:val="Funotenanker"/>
        </w:rPr>
        <w:footnoteReference w:customMarkFollows="1" w:id="5812"/>
        <w:t>k</w:t>
      </w:r>
      <w:r>
        <w:rPr/>
        <w:t xml:space="preserve"> </w:t>
      </w:r>
      <w:r>
        <w:rPr>
          <w:color w:val="808080"/>
        </w:rPr>
        <w:t>(Unbekannte)</w:t>
      </w:r>
      <w:r>
        <w:rPr/>
        <w:t xml:space="preserve">, und doch erkannt, als in Todesgefahr Schwebende </w:t>
      </w:r>
      <w:r>
        <w:rPr>
          <w:color w:val="808080"/>
        </w:rPr>
        <w:t>(Sterbende)</w:t>
      </w:r>
      <w:r>
        <w:rPr/>
        <w:t xml:space="preserve">, und siehe!, wir leben, als </w:t>
      </w:r>
      <w:r>
        <w:rPr>
          <w:color w:val="808080"/>
        </w:rPr>
        <w:t>(von Gott?)</w:t>
      </w:r>
      <w:r>
        <w:rPr/>
        <w:t xml:space="preserve"> Gezüchtigte, aber nicht Getötete,{{field-off:bible}} </w:t>
        <w:br/>
        <w:t>[[@BibleTOBIBLE:2Co 6:10]]</w:t>
      </w:r>
      <w:r>
        <w:rPr>
          <w:b/>
        </w:rPr>
        <w:t>10</w:t>
      </w:r>
      <w:r>
        <w:rPr/>
        <w:t xml:space="preserve"> {{field-on:bible}}als Betrübte, aber immer </w:t>
      </w:r>
      <w:r>
        <w:rPr>
          <w:color w:val="808080"/>
        </w:rPr>
        <w:t>(Fröhliche)</w:t>
      </w:r>
      <w:r>
        <w:rPr/>
        <w:t xml:space="preserve"> fröhlich, als Arme, die aber viele reich machen, als solche, die nichts besitzen </w:t>
      </w:r>
      <w:r>
        <w:rPr>
          <w:color w:val="808080"/>
        </w:rPr>
        <w:t>(haben)</w:t>
      </w:r>
      <w:r>
        <w:rPr/>
        <w:t xml:space="preserve">, die aber reich sind an allem.{{field-off:bible}} </w:t>
        <w:br/>
        <w:t>[[@BibleTOBIBLE:2Co 6:11]]</w:t>
      </w:r>
      <w:r>
        <w:rPr>
          <w:b/>
        </w:rPr>
        <w:t>11</w:t>
      </w:r>
      <w:r>
        <w:rPr/>
        <w:t xml:space="preserve"> {{field-on:bible}}Wir haben unseren Mund für euch geöffnet </w:t>
      </w:r>
      <w:r>
        <w:rPr>
          <w:color w:val="808080"/>
        </w:rPr>
        <w:t>(wir haben zu euch geredet)</w:t>
      </w:r>
      <w:r>
        <w:rPr/>
        <w:t xml:space="preserve">, </w:t>
      </w:r>
      <w:r>
        <w:rPr>
          <w:b/>
          <w:color w:val="808080"/>
        </w:rPr>
        <w:t>[</w:t>
      </w:r>
      <w:r>
        <w:rPr/>
        <w:t>liebe</w:t>
      </w:r>
      <w:r>
        <w:rPr>
          <w:b/>
          <w:color w:val="808080"/>
        </w:rPr>
        <w:t>]</w:t>
      </w:r>
      <w:r>
        <w:rPr/>
        <w:t xml:space="preserve"> Korinther, unser Herz wurde weit.{{field-off:bible}} </w:t>
        <w:br/>
        <w:t>[[@BibleTOBIBLE:2Co 6:12]]</w:t>
      </w:r>
      <w:r>
        <w:rPr>
          <w:b/>
        </w:rPr>
        <w:t>12</w:t>
      </w:r>
      <w:r>
        <w:rPr/>
        <w:t xml:space="preserve"> {{field-on:bible}}Euch ist nicht enge in uns, euch ist aber enge in euren Herzen.{{field-off:bible}} </w:t>
        <w:br/>
        <w:t>[[@BibleTOBIBLE:2Co 6:13]]</w:t>
      </w:r>
      <w:r>
        <w:rPr>
          <w:b/>
        </w:rPr>
        <w:t>13</w:t>
      </w:r>
      <w:r>
        <w:rPr/>
        <w:t xml:space="preserve"> {{field-on:bible}}Wie zu Kindern rede ich: Werdet auch ihr weit, um denselben Lohn </w:t>
      </w:r>
      <w:r>
        <w:rPr>
          <w:b/>
          <w:color w:val="808080"/>
        </w:rPr>
        <w:t>[</w:t>
      </w:r>
      <w:r>
        <w:rPr/>
        <w:t>zu empfangen</w:t>
      </w:r>
      <w:r>
        <w:rPr>
          <w:b/>
          <w:color w:val="808080"/>
        </w:rPr>
        <w:t>]</w:t>
      </w:r>
      <w:r>
        <w:rPr/>
        <w:t xml:space="preserve">.{{field-off:bible}} </w:t>
        <w:br/>
        <w:t>[[@BibleTOBIBLE:2Co 6:14]]</w:t>
      </w:r>
      <w:r>
        <w:rPr>
          <w:b/>
        </w:rPr>
        <w:t>14</w:t>
      </w:r>
      <w:r>
        <w:rPr/>
        <w:t xml:space="preserve"> {{field-on:bible}}Gebt euch nicht den Ungläubigen her!</w:t>
      </w:r>
      <w:r>
        <w:rPr>
          <w:rStyle w:val="Funotenanker"/>
        </w:rPr>
        <w:footnoteReference w:customMarkFollows="1" w:id="5813"/>
        <w:t>l</w:t>
      </w:r>
      <w:r>
        <w:rPr/>
        <w:t xml:space="preserve"> Denn welchen Anteil </w:t>
      </w:r>
      <w:r>
        <w:rPr>
          <w:color w:val="808080"/>
        </w:rPr>
        <w:t>(Gemeinschaft)</w:t>
      </w:r>
      <w:r>
        <w:rPr/>
        <w:t xml:space="preserve"> </w:t>
      </w:r>
      <w:r>
        <w:rPr>
          <w:b/>
          <w:color w:val="808080"/>
        </w:rPr>
        <w:t>[</w:t>
      </w:r>
      <w:r>
        <w:rPr/>
        <w:t>hat</w:t>
      </w:r>
      <w:r>
        <w:rPr>
          <w:b/>
          <w:color w:val="808080"/>
        </w:rPr>
        <w:t>]</w:t>
      </w:r>
      <w:r>
        <w:rPr/>
        <w:t xml:space="preserve"> die Gerechtigkeit</w:t>
      </w:r>
      <w:r>
        <w:rPr>
          <w:rStyle w:val="Funotenanker"/>
        </w:rPr>
        <w:footnoteReference w:customMarkFollows="1" w:id="5814"/>
        <w:t>m</w:t>
      </w:r>
      <w:r>
        <w:rPr/>
        <w:t xml:space="preserve"> an der Ungerechtigkeit </w:t>
      </w:r>
      <w:r>
        <w:rPr>
          <w:color w:val="808080"/>
        </w:rPr>
        <w:t>(Ungesetzlichkeit, Sünde)</w:t>
      </w:r>
      <w:r>
        <w:rPr/>
        <w:t xml:space="preserve">, oder welche Gemeinschaft das Licht mit der Dunkelheit </w:t>
      </w:r>
      <w:r>
        <w:rPr>
          <w:color w:val="808080"/>
        </w:rPr>
        <w:t>(Finsternis)</w:t>
      </w:r>
      <w:r>
        <w:rPr/>
        <w:t xml:space="preserve">?{{field-off:bible}} </w:t>
        <w:br/>
        <w:t>[[@BibleTOBIBLE:2Co 6:15]]</w:t>
      </w:r>
      <w:r>
        <w:rPr>
          <w:b/>
        </w:rPr>
        <w:t>15</w:t>
      </w:r>
      <w:r>
        <w:rPr/>
        <w:t xml:space="preserve"> {{field-on:bible}}Welche Übereinstimmung </w:t>
      </w:r>
      <w:r>
        <w:rPr>
          <w:strike/>
          <w:color w:val="808080"/>
        </w:rPr>
        <w:t>{aber}</w:t>
      </w:r>
      <w:r>
        <w:rPr/>
        <w:t xml:space="preserve"> </w:t>
      </w:r>
      <w:r>
        <w:rPr>
          <w:b/>
          <w:color w:val="808080"/>
        </w:rPr>
        <w:t>[</w:t>
      </w:r>
      <w:r>
        <w:rPr/>
        <w:t>hat</w:t>
      </w:r>
      <w:r>
        <w:rPr>
          <w:b/>
          <w:color w:val="808080"/>
        </w:rPr>
        <w:t>]</w:t>
      </w:r>
      <w:r>
        <w:rPr/>
        <w:t xml:space="preserve"> Christus mit Beliar</w:t>
      </w:r>
      <w:r>
        <w:rPr>
          <w:rStyle w:val="Funotenanker"/>
        </w:rPr>
        <w:footnoteReference w:customMarkFollows="1" w:id="5815"/>
        <w:t>n</w:t>
      </w:r>
      <w:r>
        <w:rPr/>
        <w:t xml:space="preserve">, oder welchen Anteil der Gläubige mit dem Ungläubigen </w:t>
      </w:r>
      <w:r>
        <w:rPr>
          <w:color w:val="808080"/>
        </w:rPr>
        <w:t>(„Heiden“)</w:t>
      </w:r>
      <w:r>
        <w:rPr/>
        <w:t xml:space="preserve">?{{field-off:bible}} </w:t>
        <w:br/>
        <w:t>[[@BibleTOBIBLE:2Co 6:16]]</w:t>
      </w:r>
      <w:r>
        <w:rPr>
          <w:b/>
        </w:rPr>
        <w:t>16</w:t>
      </w:r>
      <w:r>
        <w:rPr/>
        <w:t xml:space="preserve"> {{field-on:bible}}Welche Übereinstimmung </w:t>
      </w:r>
      <w:r>
        <w:rPr>
          <w:strike/>
          <w:color w:val="808080"/>
        </w:rPr>
        <w:t>{aber}</w:t>
      </w:r>
      <w:r>
        <w:rPr/>
        <w:t xml:space="preserve"> </w:t>
      </w:r>
      <w:r>
        <w:rPr>
          <w:b/>
          <w:color w:val="808080"/>
        </w:rPr>
        <w:t>[</w:t>
      </w:r>
      <w:r>
        <w:rPr/>
        <w:t>hat</w:t>
      </w:r>
      <w:r>
        <w:rPr>
          <w:b/>
          <w:color w:val="808080"/>
        </w:rPr>
        <w:t>]</w:t>
      </w:r>
      <w:r>
        <w:rPr/>
        <w:t xml:space="preserve"> der Tempel Gottes mit den Götzenbildern? Denn wir sind ein Tempel des lebendigen Gottes, wie Gott spricht:</w:t>
      </w:r>
      <w:r>
        <w:rPr>
          <w:rStyle w:val="Funotenanker"/>
        </w:rPr>
        <w:footnoteReference w:customMarkFollows="1" w:id="5816"/>
        <w:t>o</w:t>
      </w:r>
      <w:r>
        <w:rPr/>
        <w:t xml:space="preserve"> </w:t>
        <w:br/>
        <w:t xml:space="preserve">Ich werde unter ihnen wohnen und wandeln </w:t>
      </w:r>
      <w:r>
        <w:rPr>
          <w:color w:val="808080"/>
        </w:rPr>
        <w:t>(einhergehen)</w:t>
      </w:r>
      <w:r>
        <w:rPr/>
        <w:t xml:space="preserve"> </w:t>
      </w:r>
      <w:r>
        <w:rPr>
          <w:color w:val="808080"/>
        </w:rPr>
        <w:t>(3.Mose 26,11-12)</w:t>
      </w:r>
      <w:r>
        <w:rPr/>
        <w:t xml:space="preserve"> </w:t>
        <w:br/>
        <w:t xml:space="preserve">und werde ihr Gott sein, und sie werden mein Volk sein. </w:t>
      </w:r>
      <w:r>
        <w:rPr>
          <w:color w:val="808080"/>
        </w:rPr>
        <w:t>(Ezechiel 37,27)</w:t>
      </w:r>
      <w:r>
        <w:rPr/>
        <w:t xml:space="preserve"> </w:t>
        <w:br/>
        <w:t xml:space="preserve">{{field-off:bible}} </w:t>
        <w:br/>
        <w:t>[[@BibleTOBIBLE:2Co 6:17]]</w:t>
      </w:r>
      <w:r>
        <w:rPr>
          <w:b/>
        </w:rPr>
        <w:t>17</w:t>
      </w:r>
      <w:r>
        <w:rPr/>
        <w:t xml:space="preserve"> {{field-on:bible}} </w:t>
        <w:br/>
        <w:t>Deshalb geht weg von ihnen</w:t>
      </w:r>
      <w:r>
        <w:rPr>
          <w:rStyle w:val="Funotenanker"/>
        </w:rPr>
        <w:footnoteReference w:customMarkFollows="1" w:id="5817"/>
        <w:t>p</w:t>
      </w:r>
      <w:r>
        <w:rPr/>
        <w:t xml:space="preserve"> </w:t>
        <w:br/>
        <w:t xml:space="preserve">und sondert euch ab </w:t>
      </w:r>
      <w:r>
        <w:rPr>
          <w:color w:val="808080"/>
        </w:rPr>
        <w:t>(trennt euch)</w:t>
      </w:r>
      <w:r>
        <w:rPr/>
        <w:t xml:space="preserve">, spricht der Herr, </w:t>
      </w:r>
      <w:r>
        <w:rPr>
          <w:color w:val="808080"/>
        </w:rPr>
        <w:t>(Jesaja 52,11.4)</w:t>
      </w:r>
      <w:r>
        <w:rPr/>
        <w:t xml:space="preserve"> </w:t>
        <w:br/>
        <w:t>und fasst Unreines nicht an;</w:t>
        <w:br/>
        <w:t xml:space="preserve">und ich werde euch annehmen </w:t>
      </w:r>
      <w:r>
        <w:rPr>
          <w:color w:val="808080"/>
        </w:rPr>
        <w:t>(Ezechiel 20,34.41)</w:t>
      </w:r>
      <w:r>
        <w:rPr/>
        <w:t xml:space="preserve"> </w:t>
        <w:br/>
        <w:t xml:space="preserve">{{field-off:bible}} </w:t>
        <w:br/>
        <w:t>[[@BibleTOBIBLE:2Co 6:18]]</w:t>
      </w:r>
      <w:r>
        <w:rPr>
          <w:b/>
        </w:rPr>
        <w:t>18</w:t>
      </w:r>
      <w:r>
        <w:rPr/>
        <w:t xml:space="preserve"> {{field-on:bible}} </w:t>
        <w:br/>
        <w:t xml:space="preserve">und werde euer Vater sein </w:t>
      </w:r>
      <w:r>
        <w:rPr>
          <w:color w:val="808080"/>
        </w:rPr>
        <w:t>(2.Samuel 7,14;Jeremia 31,9)</w:t>
      </w:r>
      <w:r>
        <w:rPr/>
        <w:t>,</w:t>
        <w:br/>
        <w:t xml:space="preserve">und ihr werdet meine Söhne und Töchter sein </w:t>
      </w:r>
      <w:r>
        <w:rPr>
          <w:color w:val="808080"/>
        </w:rPr>
        <w:t>(Jesaja 43,6)</w:t>
      </w:r>
      <w:r>
        <w:rPr/>
        <w:t>,</w:t>
        <w:br/>
        <w:t xml:space="preserve">spricht der allmächtige Herr </w:t>
      </w:r>
      <w:r>
        <w:rPr>
          <w:color w:val="808080"/>
        </w:rPr>
        <w:t>(der Herr, der Allmächtige)</w:t>
      </w:r>
      <w:r>
        <w:rPr/>
        <w:t xml:space="preserve"> </w:t>
      </w:r>
      <w:r>
        <w:rPr>
          <w:color w:val="808080"/>
        </w:rPr>
        <w:t>(2.Samuel 7,8)</w:t>
      </w:r>
      <w:r>
        <w:rPr/>
        <w:t>.</w:t>
        <w:br/>
        <w:t xml:space="preserve">{{field-off:bible}} </w:t>
      </w:r>
    </w:p>
    <w:p>
      <w:pPr>
        <w:pStyle w:val="Berschrift3"/>
        <w:rPr/>
      </w:pPr>
      <w:r>
        <w:rPr/>
        <w:t>[[@BibleTOBIBLE:2Co 11]]Kapitel 11</w:t>
      </w:r>
    </w:p>
    <w:p>
      <w:pPr>
        <w:pStyle w:val="Textkrper"/>
        <w:rPr/>
      </w:pPr>
      <w:r>
        <w:rPr/>
        <w:br/>
        <w:t>[[@BibleTOBIBLE:2Co 11:1]]</w:t>
      </w:r>
      <w:r>
        <w:rPr>
          <w:b/>
        </w:rPr>
        <w:t>1</w:t>
      </w:r>
      <w:r>
        <w:rPr/>
        <w:t xml:space="preserve"> {{field-on:bible}}Wenn ihr euch doch von mir ein wenig Torheit </w:t>
      </w:r>
      <w:r>
        <w:rPr>
          <w:color w:val="808080"/>
        </w:rPr>
        <w:t>(Unverstand)</w:t>
      </w:r>
      <w:r>
        <w:rPr/>
        <w:t xml:space="preserve"> gefallen lassen würdet! Aber ihr lasst es euch auch von mir gefallen.{{field-off:bible}} </w:t>
        <w:br/>
        <w:t>[[@BibleTOBIBLE:2Co 11:2]]</w:t>
      </w:r>
      <w:r>
        <w:rPr>
          <w:b/>
        </w:rPr>
        <w:t>2</w:t>
      </w:r>
      <w:r>
        <w:rPr/>
        <w:t xml:space="preserve"> {{field-on:bible}}Ich bemühe mich nämlich um euch im Eifer Gottes, denn ich gab euch einem Mann als reine </w:t>
      </w:r>
      <w:r>
        <w:rPr>
          <w:color w:val="808080"/>
        </w:rPr>
        <w:t>(keusche)</w:t>
      </w:r>
      <w:r>
        <w:rPr/>
        <w:t xml:space="preserve"> Jungfrau zur Ehe, indem ich euch Christus darbrachte</w:t>
      </w:r>
      <w:r>
        <w:rPr>
          <w:rStyle w:val="Funotenanker"/>
        </w:rPr>
        <w:footnoteReference w:customMarkFollows="1" w:id="5818"/>
        <w:t>a</w:t>
      </w:r>
      <w:r>
        <w:rPr/>
        <w:t xml:space="preserve"> </w:t>
      </w:r>
      <w:r>
        <w:rPr>
          <w:color w:val="808080"/>
        </w:rPr>
        <w:t>(zur Verfügung stellte)</w:t>
      </w:r>
      <w:r>
        <w:rPr/>
        <w:t xml:space="preserve">.{{field-off:bible}} </w:t>
        <w:br/>
        <w:t>[[@BibleTOBIBLE:2Co 11:3]]</w:t>
      </w:r>
      <w:r>
        <w:rPr>
          <w:b/>
        </w:rPr>
        <w:t>3</w:t>
      </w:r>
      <w:r>
        <w:rPr/>
        <w:t xml:space="preserve"> {{field-on:bible}}Ich fürchte aber, dass vielleicht, wie die Schlange in ihrer Verschlagenheit Eva verführte, eure Gedanken beschädigt wurden von der Schlichtheit und Reinheit in Christus.{{field-off:bible}} </w:t>
        <w:br/>
        <w:t>[[@BibleTOBIBLE:2Co 11:4]]</w:t>
      </w:r>
      <w:r>
        <w:rPr>
          <w:b/>
        </w:rPr>
        <w:t>4</w:t>
      </w:r>
      <w:r>
        <w:rPr/>
        <w:t xml:space="preserve"> {{field-on:bible}}Wenn nämlich einer kommt und</w:t>
      </w:r>
      <w:r>
        <w:rPr>
          <w:rStyle w:val="Funotenanker"/>
        </w:rPr>
        <w:footnoteReference w:customMarkFollows="1" w:id="5819"/>
        <w:t>b</w:t>
      </w:r>
      <w:r>
        <w:rPr/>
        <w:t xml:space="preserve"> einen anderen Jesus predigt </w:t>
      </w:r>
      <w:r>
        <w:rPr>
          <w:color w:val="808080"/>
        </w:rPr>
        <w:t>(verkündigt)</w:t>
      </w:r>
      <w:r>
        <w:rPr/>
        <w:t xml:space="preserve">, den wir nicht gepredigt </w:t>
      </w:r>
      <w:r>
        <w:rPr>
          <w:color w:val="808080"/>
        </w:rPr>
        <w:t>(verkündigt)</w:t>
      </w:r>
      <w:r>
        <w:rPr/>
        <w:t xml:space="preserve"> haben, oder ihr einen anderen Geist empfangt, den ihr nicht empfingt, oder ein anderes Evangelium, das ihr nicht bekamt, lasst ihr euch das gern gefallen.{{field-off:bible}} </w:t>
        <w:br/>
        <w:t>[[@BibleTOBIBLE:2Co 11:5]]</w:t>
      </w:r>
      <w:r>
        <w:rPr>
          <w:b/>
        </w:rPr>
        <w:t>5</w:t>
      </w:r>
      <w:r>
        <w:rPr/>
        <w:t xml:space="preserve"> {{field-on:bible}}Ich finde </w:t>
      </w:r>
      <w:r>
        <w:rPr>
          <w:color w:val="808080"/>
        </w:rPr>
        <w:t>(bin der Meinung, halte dafür)</w:t>
      </w:r>
      <w:r>
        <w:rPr/>
        <w:t xml:space="preserve"> nämlich, ich bin nicht geringer als die Überapostel</w:t>
      </w:r>
      <w:r>
        <w:rPr>
          <w:rStyle w:val="Funotenanker"/>
        </w:rPr>
        <w:footnoteReference w:customMarkFollows="1" w:id="5820"/>
        <w:t>c</w:t>
      </w:r>
      <w:r>
        <w:rPr/>
        <w:t xml:space="preserve">.{{field-off:bible}} </w:t>
        <w:br/>
        <w:t>[[@BibleTOBIBLE:2Co 11:6]]</w:t>
      </w:r>
      <w:r>
        <w:rPr>
          <w:b/>
        </w:rPr>
        <w:t>6</w:t>
      </w:r>
      <w:r>
        <w:rPr/>
        <w:t xml:space="preserve"> {{field-on:bible}}Bin ich auch ein Laie der Rede</w:t>
      </w:r>
      <w:r>
        <w:rPr>
          <w:rStyle w:val="Funotenanker"/>
        </w:rPr>
        <w:footnoteReference w:customMarkFollows="1" w:id="5821"/>
        <w:t>d</w:t>
      </w:r>
      <w:r>
        <w:rPr/>
        <w:t xml:space="preserve">, so doch keiner der Erkenntnis, sondern wir zeigen uns euch ganz </w:t>
      </w:r>
      <w:r>
        <w:rPr>
          <w:color w:val="808080"/>
        </w:rPr>
        <w:t>(gänzlich)</w:t>
      </w:r>
      <w:r>
        <w:rPr/>
        <w:t xml:space="preserve">.{{field-off:bible}} </w:t>
        <w:br/>
        <w:t>[[@BibleTOBIBLE:2Co 11:7]]</w:t>
      </w:r>
      <w:r>
        <w:rPr>
          <w:b/>
        </w:rPr>
        <w:t>7</w:t>
      </w:r>
      <w:r>
        <w:rPr/>
        <w:t xml:space="preserve"> {{field-on:bible}}Oder tat ich Unrecht </w:t>
      </w:r>
      <w:r>
        <w:rPr>
          <w:color w:val="808080"/>
        </w:rPr>
        <w:t>(eine Sünde)</w:t>
      </w:r>
      <w:r>
        <w:rPr/>
        <w:t>, als</w:t>
      </w:r>
      <w:r>
        <w:rPr>
          <w:rStyle w:val="Funotenanker"/>
        </w:rPr>
        <w:footnoteReference w:customMarkFollows="1" w:id="5822"/>
        <w:t>e</w:t>
      </w:r>
      <w:r>
        <w:rPr/>
        <w:t xml:space="preserve"> ich mich selbst erniedrigte, damit ihr erhöht würdet, weil ich euch unentgeltlich das Evangelium Gottes verkündigte?{{field-off:bible}} </w:t>
        <w:br/>
        <w:t>[[@BibleTOBIBLE:2Co 11:8]]</w:t>
      </w:r>
      <w:r>
        <w:rPr>
          <w:b/>
        </w:rPr>
        <w:t>8</w:t>
      </w:r>
      <w:r>
        <w:rPr/>
        <w:t xml:space="preserve"> {{field-on:bible}}Andere Gemeinden habe ich beraubt, indem</w:t>
      </w:r>
      <w:r>
        <w:rPr>
          <w:rStyle w:val="Funotenanker"/>
        </w:rPr>
        <w:footnoteReference w:customMarkFollows="1" w:id="5823"/>
        <w:t>f</w:t>
      </w:r>
      <w:r>
        <w:rPr/>
        <w:t xml:space="preserve"> ich </w:t>
      </w:r>
      <w:r>
        <w:rPr>
          <w:b/>
          <w:color w:val="808080"/>
        </w:rPr>
        <w:t>[</w:t>
      </w:r>
      <w:r>
        <w:rPr/>
        <w:t>von ihnen</w:t>
      </w:r>
      <w:r>
        <w:rPr>
          <w:b/>
          <w:color w:val="808080"/>
        </w:rPr>
        <w:t>]</w:t>
      </w:r>
      <w:r>
        <w:rPr/>
        <w:t xml:space="preserve"> Lohn für meinen Dienst an euch empfing,{{field-off:bible}} </w:t>
        <w:br/>
        <w:t>[[@BibleTOBIBLE:2Co 11:9]]</w:t>
      </w:r>
      <w:r>
        <w:rPr>
          <w:b/>
        </w:rPr>
        <w:t>9</w:t>
      </w:r>
      <w:r>
        <w:rPr/>
        <w:t xml:space="preserve"> {{field-on:bible}}und während</w:t>
      </w:r>
      <w:r>
        <w:rPr>
          <w:rStyle w:val="Funotenanker"/>
        </w:rPr>
        <w:footnoteReference w:customMarkFollows="1" w:id="5824"/>
        <w:t>g</w:t>
      </w:r>
      <w:r>
        <w:rPr/>
        <w:t xml:space="preserve"> ich bei euch war und Mangel litt, fiel ich niemandem zur Last. Meinem Mangel halfen nämlich die Brüder ab, die</w:t>
      </w:r>
      <w:r>
        <w:rPr>
          <w:rStyle w:val="Funotenanker"/>
        </w:rPr>
        <w:footnoteReference w:customMarkFollows="1" w:id="5825"/>
        <w:t>h</w:t>
      </w:r>
      <w:r>
        <w:rPr/>
        <w:t xml:space="preserve"> aus Makedonien kamen, und insgesamt habe ich darauf geachtet, euch nicht zu beschweren, und werde auch </w:t>
      </w:r>
      <w:r>
        <w:rPr>
          <w:b/>
          <w:color w:val="808080"/>
        </w:rPr>
        <w:t>[</w:t>
      </w:r>
      <w:r>
        <w:rPr/>
        <w:t>zukünftig</w:t>
      </w:r>
      <w:r>
        <w:rPr>
          <w:b/>
          <w:color w:val="808080"/>
        </w:rPr>
        <w:t>]</w:t>
      </w:r>
      <w:r>
        <w:rPr/>
        <w:t xml:space="preserve"> darauf achten.{{field-off:bible}} </w:t>
        <w:br/>
        <w:t>[[@BibleTOBIBLE:2Co 11:10]]</w:t>
      </w:r>
      <w:r>
        <w:rPr>
          <w:b/>
        </w:rPr>
        <w:t>10</w:t>
      </w:r>
      <w:r>
        <w:rPr/>
        <w:t xml:space="preserve"> {{field-on:bible}}Die Wahrheit Christi ist in mir:</w:t>
      </w:r>
      <w:r>
        <w:rPr>
          <w:rStyle w:val="Funotenanker"/>
        </w:rPr>
        <w:footnoteReference w:customMarkFollows="1" w:id="5826"/>
        <w:t>i</w:t>
      </w:r>
      <w:r>
        <w:rPr/>
        <w:t xml:space="preserve"> Dieser mein Ruhm soll in der </w:t>
      </w:r>
      <w:r>
        <w:rPr>
          <w:strike/>
          <w:color w:val="808080"/>
        </w:rPr>
        <w:t>{Gegend von}</w:t>
      </w:r>
      <w:r>
        <w:rPr/>
        <w:t xml:space="preserve"> Achaia nicht zum Schweigen gebracht werden.{{field-off:bible}} </w:t>
        <w:br/>
        <w:t>[[@BibleTOBIBLE:2Co 11:11]]</w:t>
      </w:r>
      <w:r>
        <w:rPr>
          <w:b/>
        </w:rPr>
        <w:t>11</w:t>
      </w:r>
      <w:r>
        <w:rPr/>
        <w:t xml:space="preserve"> {{field-on:bible}}Weshalb? Weil ich euch nicht liebe? Gott weiß es.{{field-off:bible}} </w:t>
        <w:br/>
        <w:t>[[@BibleTOBIBLE:2Co 11:12]]</w:t>
      </w:r>
      <w:r>
        <w:rPr>
          <w:b/>
        </w:rPr>
        <w:t>12</w:t>
      </w:r>
      <w:r>
        <w:rPr/>
        <w:t xml:space="preserve"> {{field-on:bible}}Was ich aber tue und weiterhin vorhabe zu tun, </w:t>
      </w:r>
      <w:r>
        <w:rPr>
          <w:b/>
          <w:color w:val="808080"/>
        </w:rPr>
        <w:t>[</w:t>
      </w:r>
      <w:r>
        <w:rPr/>
        <w:t>tue ich</w:t>
      </w:r>
      <w:r>
        <w:rPr>
          <w:b/>
          <w:color w:val="808080"/>
        </w:rPr>
        <w:t>]</w:t>
      </w:r>
      <w:r>
        <w:rPr/>
        <w:t>, um denen die Gelegenheit zu nehmen, die Gelegenheit suchen</w:t>
      </w:r>
      <w:r>
        <w:rPr>
          <w:rStyle w:val="Funotenanker"/>
        </w:rPr>
        <w:footnoteReference w:customMarkFollows="1" w:id="5827"/>
        <w:t>j</w:t>
      </w:r>
      <w:r>
        <w:rPr/>
        <w:t xml:space="preserve">, dass sie sich der selben Dinge rühmen </w:t>
      </w:r>
      <w:r>
        <w:rPr>
          <w:b/>
          <w:color w:val="808080"/>
        </w:rPr>
        <w:t>[</w:t>
      </w:r>
      <w:r>
        <w:rPr/>
        <w:t>können</w:t>
      </w:r>
      <w:r>
        <w:rPr>
          <w:b/>
          <w:color w:val="808080"/>
        </w:rPr>
        <w:t>]</w:t>
      </w:r>
      <w:r>
        <w:rPr/>
        <w:t xml:space="preserve"> wie wir.{{field-off:bible}} </w:t>
        <w:br/>
        <w:t>[[@BibleTOBIBLE:2Co 11:13]]</w:t>
      </w:r>
      <w:r>
        <w:rPr>
          <w:b/>
        </w:rPr>
        <w:t>13</w:t>
      </w:r>
      <w:r>
        <w:rPr/>
        <w:t xml:space="preserve"> {{field-on:bible}}Denn diese </w:t>
      </w:r>
      <w:r>
        <w:rPr>
          <w:b/>
          <w:color w:val="808080"/>
        </w:rPr>
        <w:t>[</w:t>
      </w:r>
      <w:r>
        <w:rPr/>
        <w:t>sind</w:t>
      </w:r>
      <w:r>
        <w:rPr>
          <w:b/>
          <w:color w:val="808080"/>
        </w:rPr>
        <w:t>]</w:t>
      </w:r>
      <w:r>
        <w:rPr/>
        <w:t xml:space="preserve"> Lügenapostel, hinterlistige Agenten</w:t>
      </w:r>
      <w:r>
        <w:rPr>
          <w:rStyle w:val="Funotenanker"/>
        </w:rPr>
        <w:footnoteReference w:customMarkFollows="1" w:id="5828"/>
        <w:t>k</w:t>
      </w:r>
      <w:r>
        <w:rPr/>
        <w:t>, die</w:t>
      </w:r>
      <w:r>
        <w:rPr>
          <w:rStyle w:val="Funotenanker"/>
        </w:rPr>
        <w:footnoteReference w:customMarkFollows="1" w:id="5829"/>
        <w:t>l</w:t>
      </w:r>
      <w:r>
        <w:rPr/>
        <w:t xml:space="preserve"> sich als Apostel Christi verkleidet </w:t>
      </w:r>
      <w:r>
        <w:rPr>
          <w:color w:val="808080"/>
        </w:rPr>
        <w:t>(verwandelt)</w:t>
      </w:r>
      <w:r>
        <w:rPr/>
        <w:t xml:space="preserve"> haben.{{field-off:bible}} </w:t>
        <w:br/>
        <w:t>[[@BibleTOBIBLE:2Co 11:14]]</w:t>
      </w:r>
      <w:r>
        <w:rPr>
          <w:b/>
        </w:rPr>
        <w:t>14</w:t>
      </w:r>
      <w:r>
        <w:rPr/>
        <w:t xml:space="preserve"> {{field-on:bible}}Und </w:t>
      </w:r>
      <w:r>
        <w:rPr>
          <w:b/>
          <w:color w:val="808080"/>
        </w:rPr>
        <w:t>[</w:t>
      </w:r>
      <w:r>
        <w:rPr/>
        <w:t>das ist</w:t>
      </w:r>
      <w:r>
        <w:rPr>
          <w:b/>
          <w:color w:val="808080"/>
        </w:rPr>
        <w:t>]</w:t>
      </w:r>
      <w:r>
        <w:rPr/>
        <w:t xml:space="preserve"> kein Wunder. Denn der Satan selbst verkleidet </w:t>
      </w:r>
      <w:r>
        <w:rPr>
          <w:color w:val="808080"/>
        </w:rPr>
        <w:t>(verwandelt)</w:t>
      </w:r>
      <w:r>
        <w:rPr/>
        <w:t xml:space="preserve"> sich als Engel des Lichts.{{field-off:bible}} </w:t>
        <w:br/>
        <w:t>[[@BibleTOBIBLE:2Co 11:15]]</w:t>
      </w:r>
      <w:r>
        <w:rPr>
          <w:b/>
        </w:rPr>
        <w:t>15</w:t>
      </w:r>
      <w:r>
        <w:rPr/>
        <w:t xml:space="preserve"> {{field-on:bible}}Es ist also nichts Besonderes, wenn auch seine Diener sich verkleiden als </w:t>
      </w:r>
      <w:r>
        <w:rPr>
          <w:color w:val="808080"/>
        </w:rPr>
        <w:t>(verwandeln zu)</w:t>
      </w:r>
      <w:r>
        <w:rPr/>
        <w:t xml:space="preserve"> Diener der Gerechtigkeit. Ihr Ende wird ihren Werken entsprechen.{{field-off:bible}} </w:t>
        <w:br/>
        <w:t>[[@BibleTOBIBLE:2Co 11:16]]</w:t>
      </w:r>
      <w:r>
        <w:rPr>
          <w:b/>
        </w:rPr>
        <w:t>16</w:t>
      </w:r>
      <w:r>
        <w:rPr/>
        <w:t xml:space="preserve"> {{field-on:bible}}Ich sage es noch einmal, niemand halte mich für töricht! Wenn aber doch, nehmt mich auch als Toren </w:t>
      </w:r>
      <w:r>
        <w:rPr>
          <w:color w:val="808080"/>
        </w:rPr>
        <w:t>(Narren)</w:t>
      </w:r>
      <w:r>
        <w:rPr/>
        <w:t xml:space="preserve"> an, damit ich mich auch ein wenig rühme.{{field-off:bible}} </w:t>
        <w:br/>
        <w:t>[[@BibleTOBIBLE:2Co 11:17]]</w:t>
      </w:r>
      <w:r>
        <w:rPr>
          <w:b/>
        </w:rPr>
        <w:t>17</w:t>
      </w:r>
      <w:r>
        <w:rPr/>
        <w:t xml:space="preserve"> {{field-on:bible}}Was ich </w:t>
      </w:r>
      <w:r>
        <w:rPr>
          <w:b/>
          <w:color w:val="808080"/>
        </w:rPr>
        <w:t>[</w:t>
      </w:r>
      <w:r>
        <w:rPr/>
        <w:t>jetzt</w:t>
      </w:r>
      <w:r>
        <w:rPr>
          <w:b/>
          <w:color w:val="808080"/>
        </w:rPr>
        <w:t>]</w:t>
      </w:r>
      <w:r>
        <w:rPr/>
        <w:t xml:space="preserve"> sage, sage ich nicht dem Herrn gemäß</w:t>
      </w:r>
      <w:r>
        <w:rPr>
          <w:rStyle w:val="Funotenanker"/>
        </w:rPr>
        <w:footnoteReference w:customMarkFollows="1" w:id="5830"/>
        <w:t>m</w:t>
      </w:r>
      <w:r>
        <w:rPr/>
        <w:t xml:space="preserve">, sondern wie aus Unverstand </w:t>
      </w:r>
      <w:r>
        <w:rPr>
          <w:color w:val="808080"/>
        </w:rPr>
        <w:t>(in Torheit)</w:t>
      </w:r>
      <w:r>
        <w:rPr/>
        <w:t xml:space="preserve">, durch diesen </w:t>
      </w:r>
      <w:r>
        <w:rPr>
          <w:color w:val="808080"/>
        </w:rPr>
        <w:t>(in diesem)</w:t>
      </w:r>
      <w:r>
        <w:rPr/>
        <w:t xml:space="preserve"> Zustand </w:t>
      </w:r>
      <w:r>
        <w:rPr>
          <w:color w:val="808080"/>
        </w:rPr>
        <w:t>(Lage)</w:t>
      </w:r>
      <w:r>
        <w:rPr/>
        <w:t xml:space="preserve"> des Rühmens.{{field-off:bible}} </w:t>
        <w:br/>
        <w:t>[[@BibleTOBIBLE:2Co 11:18]]</w:t>
      </w:r>
      <w:r>
        <w:rPr>
          <w:b/>
        </w:rPr>
        <w:t>18</w:t>
      </w:r>
      <w:r>
        <w:rPr/>
        <w:t xml:space="preserve"> {{field-on:bible}}Da sich viele ihrer Leistungen rühmen</w:t>
      </w:r>
      <w:r>
        <w:rPr>
          <w:rStyle w:val="Funotenanker"/>
        </w:rPr>
        <w:footnoteReference w:customMarkFollows="1" w:id="5831"/>
        <w:t>n</w:t>
      </w:r>
      <w:r>
        <w:rPr/>
        <w:t xml:space="preserve">, will ich mich auch rühmen.{{field-off:bible}} </w:t>
        <w:br/>
        <w:t>[[@BibleTOBIBLE:2Co 11:19]]</w:t>
      </w:r>
      <w:r>
        <w:rPr>
          <w:b/>
        </w:rPr>
        <w:t>19</w:t>
      </w:r>
      <w:r>
        <w:rPr/>
        <w:t xml:space="preserve"> {{field-on:bible}}Ihr Klugen </w:t>
      </w:r>
      <w:r>
        <w:rPr>
          <w:color w:val="808080"/>
        </w:rPr>
        <w:t>(ihr, die ihr klug seid)</w:t>
      </w:r>
      <w:r>
        <w:rPr/>
        <w:t xml:space="preserve"> </w:t>
      </w:r>
      <w:r>
        <w:rPr>
          <w:rStyle w:val="Funotenanker"/>
        </w:rPr>
        <w:footnoteReference w:customMarkFollows="1" w:id="5832"/>
        <w:t>o</w:t>
      </w:r>
      <w:r>
        <w:rPr/>
        <w:t xml:space="preserve"> lasst euch ja gern die Torheit gefallen,{{field-off:bible}} </w:t>
        <w:br/>
        <w:t>[[@BibleTOBIBLE:2Co 11:20]]</w:t>
      </w:r>
      <w:r>
        <w:rPr>
          <w:b/>
        </w:rPr>
        <w:t>20</w:t>
      </w:r>
      <w:r>
        <w:rPr/>
        <w:t xml:space="preserve"> {{field-on:bible}}denn ihr lasst euch gefallen, wenn jemand euch knechtet, wenn jemand euch kahl frisst</w:t>
      </w:r>
      <w:r>
        <w:rPr>
          <w:rStyle w:val="Funotenanker"/>
        </w:rPr>
        <w:footnoteReference w:customMarkFollows="1" w:id="5833"/>
        <w:t>p</w:t>
      </w:r>
      <w:r>
        <w:rPr/>
        <w:t xml:space="preserve">, wenn jemand nimmt, wenn jemand sich auflehnt, wenn jemand euch ins Gesicht schlägt.{{field-off:bible}} </w:t>
        <w:br/>
        <w:t>[[@BibleTOBIBLE:2Co 11:21]]</w:t>
      </w:r>
      <w:r>
        <w:rPr>
          <w:b/>
        </w:rPr>
        <w:t>21</w:t>
      </w:r>
      <w:r>
        <w:rPr/>
        <w:t xml:space="preserve"> {{field-on:bible}}Zu meiner Schande muss ich gestehen, dazu waren wir zu schwach. Wenn aber jemand kühn ist - ich rede töricht - ich bin auch kühn!{{field-off:bible}} </w:t>
        <w:br/>
        <w:t>[[@BibleTOBIBLE:2Co 11:22]]</w:t>
      </w:r>
      <w:r>
        <w:rPr>
          <w:b/>
        </w:rPr>
        <w:t>22</w:t>
      </w:r>
      <w:r>
        <w:rPr/>
        <w:t xml:space="preserve"> {{field-on:bible}}Sie sind Hebräer? Ich auch! Sie sind Israeliten? Ich auch! Sie sind Nachkommen Abrahams? Ich auch!{{field-off:bible}} </w:t>
        <w:br/>
        <w:t>[[@BibleTOBIBLE:2Co 11:23]]</w:t>
      </w:r>
      <w:r>
        <w:rPr>
          <w:b/>
        </w:rPr>
        <w:t>23</w:t>
      </w:r>
      <w:r>
        <w:rPr/>
        <w:t xml:space="preserve"> {{field-on:bible}}Sie sind Diener </w:t>
      </w:r>
      <w:r>
        <w:rPr>
          <w:color w:val="808080"/>
        </w:rPr>
        <w:t>(Diakone)</w:t>
      </w:r>
      <w:r>
        <w:rPr/>
        <w:t xml:space="preserve"> Christi? - ich rede wie ein Wahnsinniger - ich noch mehr! Ich habe mehr Mühen auf mich genommen</w:t>
      </w:r>
      <w:r>
        <w:rPr>
          <w:rStyle w:val="Funotenanker"/>
        </w:rPr>
        <w:footnoteReference w:customMarkFollows="1" w:id="5834"/>
        <w:t>q</w:t>
      </w:r>
      <w:r>
        <w:rPr/>
        <w:t>, war öfter im Gefängnis</w:t>
      </w:r>
      <w:r>
        <w:rPr>
          <w:rStyle w:val="Funotenanker"/>
        </w:rPr>
        <w:footnoteReference w:customMarkFollows="1" w:id="5835"/>
        <w:t>r</w:t>
      </w:r>
      <w:r>
        <w:rPr/>
        <w:t>, habe unzählige Schläge erhalten</w:t>
      </w:r>
      <w:r>
        <w:rPr>
          <w:rStyle w:val="Funotenanker"/>
        </w:rPr>
        <w:footnoteReference w:customMarkFollows="1" w:id="5836"/>
        <w:t>s</w:t>
      </w:r>
      <w:r>
        <w:rPr/>
        <w:t xml:space="preserve">, bin vielfach in Todesgefahr gewesen.{{field-off:bible}} </w:t>
        <w:br/>
        <w:t>[[@BibleTOBIBLE:2Co 11:24]]</w:t>
      </w:r>
      <w:r>
        <w:rPr>
          <w:b/>
        </w:rPr>
        <w:t>24</w:t>
      </w:r>
      <w:r>
        <w:rPr/>
        <w:t xml:space="preserve"> {{field-on:bible}}Von den Juden habe ich fünfmal 40 weniger einen</w:t>
      </w:r>
      <w:r>
        <w:rPr>
          <w:rStyle w:val="Funotenanker"/>
        </w:rPr>
        <w:footnoteReference w:customMarkFollows="1" w:id="5837"/>
        <w:t>t</w:t>
      </w:r>
      <w:r>
        <w:rPr/>
        <w:t xml:space="preserve"> erhalten,{{field-off:bible}} </w:t>
        <w:br/>
        <w:t>[[@BibleTOBIBLE:2Co 11:25]]</w:t>
      </w:r>
      <w:r>
        <w:rPr>
          <w:b/>
        </w:rPr>
        <w:t>25</w:t>
      </w:r>
      <w:r>
        <w:rPr/>
        <w:t xml:space="preserve"> {{field-on:bible}}dreimal wurde ich ausgepeitscht</w:t>
      </w:r>
      <w:r>
        <w:rPr>
          <w:rStyle w:val="Funotenanker"/>
        </w:rPr>
        <w:footnoteReference w:customMarkFollows="1" w:id="5838"/>
        <w:t>u</w:t>
      </w:r>
      <w:r>
        <w:rPr/>
        <w:t xml:space="preserve">, einmal gesteinigt, dreimal erlitt ich Schiffbruch, einen Tag und eine Nacht trieb ich auf dem Meer.{{field-off:bible}} </w:t>
        <w:br/>
        <w:t>[[@BibleTOBIBLE:2Co 11:26]]</w:t>
      </w:r>
      <w:r>
        <w:rPr>
          <w:b/>
        </w:rPr>
        <w:t>26</w:t>
      </w:r>
      <w:r>
        <w:rPr/>
        <w:t xml:space="preserve"> {{field-on:bible}}Auf Reisen war ich oft in Gefahr durch Flüsse, in Gefahr durch Räuber, in Gefahr durch Volksgenossen, in Gefahr durch die Heiden </w:t>
      </w:r>
      <w:r>
        <w:rPr>
          <w:color w:val="808080"/>
        </w:rPr>
        <w:t>(Völker)</w:t>
      </w:r>
      <w:r>
        <w:rPr/>
        <w:t xml:space="preserve">, in Gefahr in den Städten, in Gefahr in der Wüste, in Gefahr auf dem Meer, in Gefahr durch falsche Brüder,{{field-off:bible}} </w:t>
        <w:br/>
        <w:t>[[@BibleTOBIBLE:2Co 11:27]]</w:t>
      </w:r>
      <w:r>
        <w:rPr>
          <w:b/>
        </w:rPr>
        <w:t>27</w:t>
      </w:r>
      <w:r>
        <w:rPr/>
        <w:t xml:space="preserve"> {{field-on:bible}}Mühe und Plage, viele Nächte durchwacht</w:t>
      </w:r>
      <w:r>
        <w:rPr>
          <w:rStyle w:val="Funotenanker"/>
        </w:rPr>
        <w:footnoteReference w:customMarkFollows="1" w:id="5839"/>
        <w:t>v</w:t>
      </w:r>
      <w:r>
        <w:rPr/>
        <w:t xml:space="preserve">, durch Hunger und Durst, oft gefastet, durch Kälte und Nacktheit.{{field-off:bible}} </w:t>
        <w:br/>
        <w:t>[[@BibleTOBIBLE:2Co 11:28]]</w:t>
      </w:r>
      <w:r>
        <w:rPr>
          <w:b/>
        </w:rPr>
        <w:t>28</w:t>
      </w:r>
      <w:r>
        <w:rPr/>
        <w:t xml:space="preserve"> {{field-on:bible}}Abgesehen von dem, was ich unerwähnt</w:t>
      </w:r>
      <w:r>
        <w:rPr>
          <w:rStyle w:val="Funotenanker"/>
        </w:rPr>
        <w:footnoteReference w:customMarkFollows="1" w:id="5840"/>
        <w:t>w</w:t>
      </w:r>
      <w:r>
        <w:rPr/>
        <w:t xml:space="preserve"> </w:t>
      </w:r>
      <w:r>
        <w:rPr>
          <w:b/>
          <w:color w:val="808080"/>
        </w:rPr>
        <w:t>[</w:t>
      </w:r>
      <w:r>
        <w:rPr/>
        <w:t>lasse</w:t>
      </w:r>
      <w:r>
        <w:rPr>
          <w:b/>
          <w:color w:val="808080"/>
        </w:rPr>
        <w:t>]</w:t>
      </w:r>
      <w:r>
        <w:rPr/>
        <w:t xml:space="preserve">, der tägliche Andrang zu mir, die Sorge um alle Gemeinden.{{field-off:bible}} </w:t>
        <w:br/>
        <w:t>[[@BibleTOBIBLE:2Co 11:29]]</w:t>
      </w:r>
      <w:r>
        <w:rPr>
          <w:b/>
        </w:rPr>
        <w:t>29</w:t>
      </w:r>
      <w:r>
        <w:rPr/>
        <w:t xml:space="preserve"> {{field-on:bible}}Wer ist schwach, und ich bin es nicht? Wer fällt ab, und ich brenne nicht</w:t>
      </w:r>
      <w:r>
        <w:rPr>
          <w:rStyle w:val="Funotenanker"/>
        </w:rPr>
        <w:footnoteReference w:customMarkFollows="1" w:id="5841"/>
        <w:t>x</w:t>
      </w:r>
      <w:r>
        <w:rPr/>
        <w:t xml:space="preserve">?{{field-off:bible}} </w:t>
        <w:br/>
        <w:t>[[@BibleTOBIBLE:2Co 11:30]]</w:t>
      </w:r>
      <w:r>
        <w:rPr>
          <w:b/>
        </w:rPr>
        <w:t>30</w:t>
      </w:r>
      <w:r>
        <w:rPr/>
        <w:t xml:space="preserve"> {{field-on:bible}}Wenn gerühmt werden muss, will ich mich meiner Schwachheit rühmen.{{field-off:bible}} </w:t>
        <w:br/>
        <w:t>[[@BibleTOBIBLE:2Co 11:31]]</w:t>
      </w:r>
      <w:r>
        <w:rPr>
          <w:b/>
        </w:rPr>
        <w:t>31</w:t>
      </w:r>
      <w:r>
        <w:rPr/>
        <w:t xml:space="preserve"> {{field-on:bible}}Gott, der Vater des Herrn Jesus Christus, der gelobt sei in Ewigkeit, weiß, dass ich nicht lüge.{{field-off:bible}} </w:t>
        <w:br/>
        <w:t>[[@BibleTOBIBLE:2Co 11:32]]</w:t>
      </w:r>
      <w:r>
        <w:rPr>
          <w:b/>
        </w:rPr>
        <w:t>32</w:t>
      </w:r>
      <w:r>
        <w:rPr/>
        <w:t xml:space="preserve"> {{field-on:bible}}In Damaskus bewachte der Statthalter </w:t>
      </w:r>
      <w:r>
        <w:rPr>
          <w:color w:val="808080"/>
        </w:rPr>
        <w:t>(Ethnarch)</w:t>
      </w:r>
      <w:r>
        <w:rPr/>
        <w:t xml:space="preserve"> des Königs Aretas die Stadt der Damaszener, um mich zu verhaften,{{field-off:bible}} </w:t>
        <w:br/>
        <w:t>[[@BibleTOBIBLE:2Co 11:33]]</w:t>
      </w:r>
      <w:r>
        <w:rPr>
          <w:b/>
        </w:rPr>
        <w:t>33</w:t>
      </w:r>
      <w:r>
        <w:rPr/>
        <w:t xml:space="preserve"> {{field-on:bible}}aber ich wurde durch ein Fenster in einem Korb von der Mauer herabgelassen und entkam seinen Händen.{{field-off:bible}} </w:t>
      </w:r>
    </w:p>
    <w:p>
      <w:pPr>
        <w:pStyle w:val="Berschrift3"/>
        <w:rPr/>
      </w:pPr>
      <w:r>
        <w:rPr/>
        <w:t>[[@BibleTOBIBLE:2Co 12]]Kapitel 12</w:t>
      </w:r>
    </w:p>
    <w:p>
      <w:pPr>
        <w:pStyle w:val="Textkrper"/>
        <w:rPr/>
      </w:pPr>
      <w:r>
        <w:rPr/>
        <w:br/>
        <w:t>[[@BibleTOBIBLE:2Co 12:9]]</w:t>
      </w:r>
      <w:r>
        <w:rPr>
          <w:b/>
        </w:rPr>
        <w:t>9</w:t>
      </w:r>
      <w:r>
        <w:rPr/>
        <w:t xml:space="preserve"> {{field-on:bible}}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5842"/>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5843"/>
        <w:t>b</w:t>
      </w:r>
      <w:r>
        <w:rPr/>
        <w:t>. – Darum rühme mich lieber mit größter Freude für meine</w:t>
      </w:r>
      <w:r>
        <w:rPr>
          <w:rStyle w:val="Funotenanker"/>
        </w:rPr>
        <w:footnoteReference w:customMarkFollows="1" w:id="5844"/>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5845"/>
        <w:t>d</w:t>
      </w:r>
      <w:r>
        <w:rPr/>
        <w:t>, damit</w:t>
      </w:r>
      <w:r>
        <w:rPr>
          <w:rStyle w:val="Funotenanker"/>
        </w:rPr>
        <w:footnoteReference w:customMarkFollows="1" w:id="5846"/>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5847"/>
        <w:t>f</w:t>
      </w:r>
      <w:r>
        <w:rPr/>
        <w:t>, wegen Christus</w:t>
      </w:r>
      <w:r>
        <w:rPr>
          <w:rStyle w:val="Funotenanker"/>
        </w:rPr>
        <w:footnoteReference w:customMarkFollows="1" w:id="5848"/>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5849"/>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5850"/>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5851"/>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5852"/>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5853"/>
        <w:t>d</w:t>
      </w:r>
      <w:r>
        <w:rPr/>
        <w:t xml:space="preserve"> ein anderes Evangelium verkünden würden</w:t>
      </w:r>
      <w:r>
        <w:rPr>
          <w:rStyle w:val="Funotenanker"/>
        </w:rPr>
        <w:footnoteReference w:customMarkFollows="1" w:id="5854"/>
        <w:t>e</w:t>
      </w:r>
      <w:r>
        <w:rPr/>
        <w:t>, als wir euch verkündet haben, dem sei das Anathema</w:t>
      </w:r>
      <w:r>
        <w:rPr>
          <w:rStyle w:val="Funotenanker"/>
        </w:rPr>
        <w:footnoteReference w:customMarkFollows="1" w:id="5855"/>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5856"/>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5857"/>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5858"/>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5859"/>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5860"/>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5861"/>
        <w:t>l</w:t>
      </w:r>
      <w:r>
        <w:rPr/>
        <w:t xml:space="preserve"> den Gemeinden von Judäa, denen in Christus</w:t>
      </w:r>
      <w:r>
        <w:rPr>
          <w:rStyle w:val="Funotenanker"/>
        </w:rPr>
        <w:footnoteReference w:customMarkFollows="1" w:id="5862"/>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5863"/>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5864"/>
        <w:t>o</w:t>
      </w:r>
      <w:r>
        <w:rPr/>
        <w:t xml:space="preserve"> meinetwegen </w:t>
      </w:r>
      <w:r>
        <w:rPr>
          <w:rStyle w:val="Funotenanker"/>
        </w:rPr>
        <w:footnoteReference w:customMarkFollows="1" w:id="5865"/>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5866"/>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5867"/>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5868"/>
        <w:t>b</w:t>
      </w:r>
      <w:r>
        <w:rPr/>
        <w:t xml:space="preserve"> die Person </w:t>
      </w:r>
      <w:r>
        <w:rPr>
          <w:color w:val="808080"/>
        </w:rPr>
        <w:t>(Angesicht)</w:t>
      </w:r>
      <w:r>
        <w:rPr/>
        <w:t xml:space="preserve"> des Menschen sieht Gott nicht an</w:t>
      </w:r>
      <w:r>
        <w:rPr>
          <w:rStyle w:val="Funotenanker"/>
        </w:rPr>
        <w:footnoteReference w:customMarkFollows="1" w:id="5869"/>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5870"/>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5871"/>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5872"/>
        <w:t>f</w:t>
      </w:r>
      <w:r>
        <w:rPr/>
        <w:t xml:space="preserve"> die anderen Juden</w:t>
      </w:r>
      <w:r>
        <w:rPr>
          <w:rStyle w:val="Funotenanker"/>
        </w:rPr>
        <w:footnoteReference w:customMarkFollows="1" w:id="5873"/>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5874"/>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5875"/>
        <w:t>i</w:t>
      </w:r>
      <w:r>
        <w:rPr/>
        <w:t xml:space="preserve"> wissen</w:t>
      </w:r>
      <w:r>
        <w:rPr>
          <w:rStyle w:val="Funotenanker"/>
        </w:rPr>
        <w:footnoteReference w:customMarkFollows="1" w:id="5876"/>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5877"/>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5878"/>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5879"/>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5880"/>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5881"/>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5882"/>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5883"/>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Abrahams Söhne </w:t>
      </w:r>
      <w:r>
        <w:rPr>
          <w:color w:val="808080"/>
        </w:rPr>
        <w:t>(Kinder)</w:t>
      </w:r>
      <w:r>
        <w:rPr/>
        <w:t xml:space="preserve"> </w:t>
      </w:r>
      <w:r>
        <w:rPr>
          <w:rStyle w:val="Funotenanker"/>
        </w:rPr>
        <w:footnoteReference w:customMarkFollows="1" w:id="5884"/>
        <w:t>c</w:t>
      </w:r>
      <w:r>
        <w:rPr/>
        <w:t xml:space="preserve">.{{field-off:bible}} </w:t>
        <w:br/>
        <w:t>[[@BibleTOBIBLE:Ga 3:8]]</w:t>
      </w:r>
      <w:r>
        <w:rPr>
          <w:b/>
        </w:rPr>
        <w:t>8</w:t>
      </w:r>
      <w:r>
        <w:rPr/>
        <w:t xml:space="preserve"> {{field-on:bible}}Die Schrift sieht aber voraus, dass Gott aus Glauben die nicht-jüdischen Völker </w:t>
      </w:r>
      <w:r>
        <w:rPr>
          <w:color w:val="808080"/>
        </w:rPr>
        <w:t>(Heiden)</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Völker </w:t>
      </w:r>
      <w:r>
        <w:rPr>
          <w:color w:val="808080"/>
        </w:rPr>
        <w:t>(Nicht-Juden, Heiden)</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5885"/>
        <w:t>d</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5886"/>
        <w:t>e</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5887"/>
        <w:t>f</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5888"/>
        <w:t>g</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5889"/>
        <w:t>h</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5890"/>
        <w:t>i</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Völkern </w:t>
      </w:r>
      <w:r>
        <w:rPr>
          <w:color w:val="808080"/>
        </w:rPr>
        <w:t>(Nicht-Juden, Heiden)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5891"/>
        <w:t>j</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5892"/>
        <w:t>k</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5893"/>
        <w:t>l</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5894"/>
        <w:t>m</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5895"/>
        <w:t>n</w:t>
      </w:r>
      <w:r>
        <w:rPr/>
        <w:t xml:space="preserve">? Keineswegs </w:t>
      </w:r>
      <w:r>
        <w:rPr>
          <w:color w:val="808080"/>
        </w:rPr>
        <w:t>(Ausgeschlossen)</w:t>
      </w:r>
      <w:r>
        <w:rPr/>
        <w:t>!</w:t>
      </w:r>
      <w:r>
        <w:rPr>
          <w:rStyle w:val="Funotenanker"/>
        </w:rPr>
        <w:footnoteReference w:customMarkFollows="1" w:id="5896"/>
        <w:t>o</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5897"/>
        <w:t>p</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Gottes Söhne </w:t>
      </w:r>
      <w:r>
        <w:rPr>
          <w:color w:val="808080"/>
        </w:rPr>
        <w:t>(Kinder)</w:t>
      </w:r>
      <w:r>
        <w:rPr/>
        <w:t xml:space="preserve"> </w:t>
      </w:r>
      <w:r>
        <w:rPr>
          <w:rStyle w:val="Funotenanker"/>
        </w:rPr>
        <w:footnoteReference w:customMarkFollows="1" w:id="5898"/>
        <w:t>q</w:t>
      </w:r>
      <w:r>
        <w:rPr/>
        <w:t xml:space="preserve">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5899"/>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5900"/>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5901"/>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5902"/>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5903"/>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5904"/>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5905"/>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5906"/>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5907"/>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5908"/>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5909"/>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5910"/>
        <w:t>d</w:t>
      </w:r>
      <w:r>
        <w:rPr/>
        <w:t xml:space="preserve">, die euch aufgewiegelt </w:t>
      </w:r>
      <w:r>
        <w:rPr>
          <w:color w:val="808080"/>
        </w:rPr>
        <w:t>(verstört, beunruhigt)</w:t>
      </w:r>
      <w:r>
        <w:rPr/>
        <w:t xml:space="preserve"> haben!{{field-off:bible}} </w:t>
      </w:r>
    </w:p>
    <w:p>
      <w:pPr>
        <w:pStyle w:val="Berschrift3"/>
        <w:rPr/>
      </w:pPr>
      <w:r>
        <w:rPr/>
        <w:t>[[@BibleTOBIBLE:Ga 6]]Kapitel 6</w:t>
      </w:r>
    </w:p>
    <w:p>
      <w:pPr>
        <w:pStyle w:val="Textkrper"/>
        <w:rPr/>
      </w:pPr>
      <w:r>
        <w:rPr/>
        <w:br/>
        <w:t>[[@BibleTOBIBLE:Ga 6:9]]</w:t>
      </w:r>
      <w:r>
        <w:rPr>
          <w:b/>
        </w:rPr>
        <w:t>9</w:t>
      </w:r>
      <w:r>
        <w:rPr/>
        <w:t xml:space="preserve"> {{field-on:bible}} </w:t>
      </w:r>
      <w:r>
        <w:rPr>
          <w:rStyle w:val="Funotenanker"/>
        </w:rPr>
        <w:footnoteReference w:customMarkFollows="1" w:id="5911"/>
        <w:t>Status</w:t>
      </w:r>
      <w:r>
        <w:rPr/>
        <w:t xml:space="preserve"> Wir wollen </w:t>
      </w:r>
      <w:r>
        <w:rPr>
          <w:color w:val="808080"/>
        </w:rPr>
        <w:t>(Lasst uns)</w:t>
      </w:r>
      <w:r>
        <w:rPr/>
        <w:t xml:space="preserve"> nicht müde werden, das Gute zu tun</w:t>
      </w:r>
      <w:r>
        <w:rPr>
          <w:rStyle w:val="Funotenanker"/>
        </w:rPr>
        <w:footnoteReference w:customMarkFollows="1" w:id="5912"/>
        <w:t>a</w:t>
      </w:r>
      <w:r>
        <w:rPr/>
        <w:t>, zum unserem</w:t>
      </w:r>
      <w:r>
        <w:rPr>
          <w:rStyle w:val="Funotenanker"/>
        </w:rPr>
        <w:footnoteReference w:customMarkFollows="1" w:id="5913"/>
        <w:t>b</w:t>
      </w:r>
      <w:r>
        <w:rPr/>
        <w:t xml:space="preserve"> Zeitpunkt werden wir ernten, wenn wir nicht schwach werden.{{field-off:bible}}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5914"/>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5915"/>
        <w:t>a</w:t>
      </w:r>
      <w:r>
        <w:rPr/>
        <w:t xml:space="preserve"> sind,</w:t>
      </w:r>
      <w:r>
        <w:rPr>
          <w:rStyle w:val="Funotenanker"/>
        </w:rPr>
        <w:footnoteReference w:customMarkFollows="1" w:id="5916"/>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5917"/>
        <w:t>c</w:t>
      </w:r>
      <w:r>
        <w:rPr/>
        <w:t xml:space="preserve"> </w:t>
      </w:r>
      <w:r>
        <w:rPr>
          <w:position w:val="8"/>
          <w:sz w:val="19"/>
        </w:rPr>
        <w:t>[[ ℘ &gt;&gt; BibleTOBIBLE:Eph 1:15]]</w:t>
      </w:r>
      <w:r>
        <w:rPr/>
        <w:t>.</w:t>
      </w:r>
      <w:r>
        <w:rPr>
          <w:rStyle w:val="Funotenanker"/>
        </w:rPr>
        <w:footnoteReference w:customMarkFollows="1" w:id="5918"/>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5919"/>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5920"/>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5921"/>
        <w:t>g</w:t>
      </w:r>
      <w:r>
        <w:rPr/>
        <w:t xml:space="preserve"> er sich uns in ihm vor der Erschaffung</w:t>
      </w:r>
      <w:r>
        <w:rPr>
          <w:rStyle w:val="Funotenanker"/>
        </w:rPr>
        <w:footnoteReference w:customMarkFollows="1" w:id="5922"/>
        <w:t>h</w:t>
      </w:r>
      <w:r>
        <w:rPr/>
        <w:t xml:space="preserve"> der Welt erwählt </w:t>
      </w:r>
      <w:r>
        <w:rPr>
          <w:color w:val="808080"/>
        </w:rPr>
        <w:t>(ausgesucht; in Liebe erwählt)</w:t>
      </w:r>
      <w:r>
        <w:rPr/>
        <w:t xml:space="preserve"> </w:t>
      </w:r>
      <w:r>
        <w:rPr>
          <w:rStyle w:val="Funotenanker"/>
        </w:rPr>
        <w:footnoteReference w:customMarkFollows="1" w:id="5923"/>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5924"/>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5925"/>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5926"/>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5927"/>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5928"/>
        <w:t>n</w:t>
      </w:r>
      <w:r>
        <w:rPr/>
        <w:t xml:space="preserve">, die </w:t>
      </w:r>
      <w:r>
        <w:rPr>
          <w:b/>
          <w:color w:val="808080"/>
        </w:rPr>
        <w:t>[</w:t>
      </w:r>
      <w:r>
        <w:rPr/>
        <w:t>Dinge</w:t>
      </w:r>
      <w:r>
        <w:rPr>
          <w:b/>
          <w:color w:val="808080"/>
        </w:rPr>
        <w:t>]</w:t>
      </w:r>
      <w:r>
        <w:rPr/>
        <w:t xml:space="preserve"> im</w:t>
      </w:r>
      <w:r>
        <w:rPr>
          <w:rStyle w:val="Funotenanker"/>
        </w:rPr>
        <w:footnoteReference w:customMarkFollows="1" w:id="5929"/>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5930"/>
        <w:t>p</w:t>
      </w:r>
      <w:r>
        <w:rPr/>
        <w:t xml:space="preserve"> nach dem Plan </w:t>
      </w:r>
      <w:r>
        <w:rPr>
          <w:color w:val="808080"/>
        </w:rPr>
        <w:t>(Absicht, Vorsatz)</w:t>
      </w:r>
      <w:r>
        <w:rPr/>
        <w:t xml:space="preserve"> dessen, der alles bewirkt</w:t>
      </w:r>
      <w:r>
        <w:rPr>
          <w:rStyle w:val="Funotenanker"/>
        </w:rPr>
        <w:footnoteReference w:customMarkFollows="1" w:id="5931"/>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5932"/>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5933"/>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5934"/>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5935"/>
        <w:t>u</w:t>
      </w:r>
      <w:r>
        <w:rPr/>
        <w:t xml:space="preserve"> Glauben im </w:t>
      </w:r>
      <w:r>
        <w:rPr>
          <w:color w:val="808080"/>
        </w:rPr>
        <w:t>(an den)</w:t>
      </w:r>
      <w:r>
        <w:rPr/>
        <w:t xml:space="preserve"> Herrn Jesus</w:t>
      </w:r>
      <w:r>
        <w:rPr>
          <w:rStyle w:val="Funotenanker"/>
        </w:rPr>
        <w:footnoteReference w:customMarkFollows="1" w:id="5936"/>
        <w:t>v</w:t>
      </w:r>
      <w:r>
        <w:rPr/>
        <w:t xml:space="preserve"> und eurer Liebe für alle Heiligen gehört habe</w:t>
      </w:r>
      <w:r>
        <w:rPr>
          <w:rStyle w:val="Funotenanker"/>
        </w:rPr>
        <w:footnoteReference w:customMarkFollows="1" w:id="5937"/>
        <w:t>w</w:t>
      </w:r>
      <w:r>
        <w:rPr/>
        <w:t xml:space="preserve"> –{{field-off:bible}} </w:t>
        <w:br/>
        <w:t>[[@BibleTOBIBLE:Eph 1:16]]</w:t>
      </w:r>
      <w:r>
        <w:rPr>
          <w:b/>
        </w:rPr>
        <w:t>16</w:t>
      </w:r>
      <w:r>
        <w:rPr/>
        <w:t xml:space="preserve"> {{field-on:bible}}höre ich nicht auf, für euch zu danken</w:t>
      </w:r>
      <w:r>
        <w:rPr>
          <w:rStyle w:val="Funotenanker"/>
        </w:rPr>
        <w:footnoteReference w:customMarkFollows="1" w:id="5938"/>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5939"/>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5940"/>
        <w:t>z</w:t>
      </w:r>
      <w:r>
        <w:rPr/>
        <w:t xml:space="preserve"> der Gott unseres Herrn Jesus Christus, der Vater der Herrlichkeit </w:t>
      </w:r>
      <w:r>
        <w:rPr>
          <w:color w:val="808080"/>
        </w:rPr>
        <w:t>(des Glanzes)</w:t>
      </w:r>
      <w:r>
        <w:rPr/>
        <w:t xml:space="preserve"> </w:t>
      </w:r>
      <w:r>
        <w:rPr>
          <w:rStyle w:val="Funotenanker"/>
        </w:rPr>
        <w:footnoteReference w:customMarkFollows="1" w:id="5941"/>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5942"/>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5943"/>
        <w:t>ac</w:t>
      </w:r>
      <w:r>
        <w:rPr/>
        <w:t xml:space="preserve"> der Erkenntnis seiner selbst</w:t>
      </w:r>
      <w:r>
        <w:rPr>
          <w:rStyle w:val="Funotenanker"/>
        </w:rPr>
        <w:footnoteReference w:customMarkFollows="1" w:id="5944"/>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5945"/>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5946"/>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5947"/>
        <w:t>ag</w:t>
      </w:r>
      <w:r>
        <w:rPr/>
        <w:t xml:space="preserve"> überragend große Macht</w:t>
      </w:r>
      <w:r>
        <w:rPr>
          <w:rStyle w:val="Funotenanker"/>
        </w:rPr>
        <w:footnoteReference w:customMarkFollows="1" w:id="5948"/>
        <w:t>ah</w:t>
      </w:r>
      <w:r>
        <w:rPr/>
        <w:t xml:space="preserve"> in uns, den Gläubigen</w:t>
      </w:r>
      <w:r>
        <w:rPr>
          <w:rStyle w:val="Funotenanker"/>
        </w:rPr>
        <w:footnoteReference w:customMarkFollows="1" w:id="5949"/>
        <w:t>ai</w:t>
      </w:r>
      <w:r>
        <w:rPr/>
        <w:t xml:space="preserve"> gemäß seines übernatürlichen Eingreifens</w:t>
      </w:r>
      <w:r>
        <w:rPr>
          <w:rStyle w:val="Funotenanker"/>
        </w:rPr>
        <w:footnoteReference w:customMarkFollows="1" w:id="5950"/>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5951"/>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5952"/>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5953"/>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5954"/>
        <w:t>an</w:t>
      </w:r>
      <w:r>
        <w:rPr/>
        <w:t xml:space="preserve"> sein Körper</w:t>
      </w:r>
      <w:r>
        <w:rPr>
          <w:rStyle w:val="Funotenanker"/>
        </w:rPr>
        <w:footnoteReference w:customMarkFollows="1" w:id="5955"/>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5956"/>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5957"/>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5958"/>
        <w:t>b</w:t>
      </w:r>
      <w:r>
        <w:rPr/>
        <w:t>, das ist der Geist</w:t>
      </w:r>
      <w:r>
        <w:rPr>
          <w:rStyle w:val="Funotenanker"/>
        </w:rPr>
        <w:footnoteReference w:customMarkFollows="1" w:id="5959"/>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5960"/>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5961"/>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5962"/>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5963"/>
        <w:t>g</w:t>
      </w:r>
      <w:r>
        <w:rPr/>
        <w:t xml:space="preserve">, </w:t>
      </w:r>
      <w:r>
        <w:rPr>
          <w:b/>
          <w:color w:val="808080"/>
        </w:rPr>
        <w:t>[</w:t>
      </w:r>
      <w:r>
        <w:rPr/>
        <w:t>und wir sind</w:t>
      </w:r>
      <w:r>
        <w:rPr>
          <w:b/>
          <w:color w:val="808080"/>
        </w:rPr>
        <w:t>]</w:t>
      </w:r>
      <w:r>
        <w:rPr/>
        <w:t xml:space="preserve"> durch Christus Jesus zum Zweck guter Werke geschaffen worden</w:t>
      </w:r>
      <w:r>
        <w:rPr>
          <w:rStyle w:val="Funotenanker"/>
        </w:rPr>
        <w:footnoteReference w:customMarkFollows="1" w:id="5964"/>
        <w:t>h</w:t>
      </w:r>
      <w:r>
        <w:rPr/>
        <w:t xml:space="preserve">,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5965"/>
        <w:t>i</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5966"/>
        <w:t>j</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5967"/>
        <w:t>k</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5968"/>
        <w:t>l</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5969"/>
        <w:t>m</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5970"/>
        <w:t>n</w:t>
      </w:r>
      <w:r>
        <w:rPr/>
        <w:t>, außer Kraft gesetzt, um die zwei in sich zu ''einem''</w:t>
      </w:r>
      <w:r>
        <w:rPr>
          <w:rStyle w:val="Funotenanker"/>
        </w:rPr>
        <w:footnoteReference w:customMarkFollows="1" w:id="5971"/>
        <w:t>o</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5972"/>
        <w:t>p</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5973"/>
        <w:t>q</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5974"/>
        <w:t>r</w:t>
      </w:r>
      <w:r>
        <w:rPr/>
        <w:t xml:space="preserve"> Geist </w:t>
      </w:r>
      <w:r>
        <w:rPr>
          <w:b/>
          <w:color w:val="808080"/>
        </w:rPr>
        <w:t>[</w:t>
      </w:r>
      <w:r>
        <w:rPr/>
        <w:t>ständigen</w:t>
      </w:r>
      <w:r>
        <w:rPr>
          <w:b/>
          <w:color w:val="808080"/>
        </w:rPr>
        <w:t>]</w:t>
      </w:r>
      <w:r>
        <w:rPr/>
        <w:t xml:space="preserve"> </w:t>
      </w:r>
      <w:r>
        <w:rPr>
          <w:rStyle w:val="Funotenanker"/>
        </w:rPr>
        <w:footnoteReference w:customMarkFollows="1" w:id="5975"/>
        <w:t>s</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5976"/>
        <w:t>t</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5977"/>
        <w:t>u</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5978"/>
        <w:t>v</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5979"/>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5980"/>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5981"/>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5982"/>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5983"/>
        <w:t>d</w:t>
      </w:r>
      <w:r>
        <w:rPr/>
        <w:t xml:space="preserve"> gemäß der Gnadengabe, die mir zuteil wurde aufgrund seines wunderbaren Wirkens </w:t>
      </w:r>
      <w:r>
        <w:rPr>
          <w:rStyle w:val="Funotenanker"/>
        </w:rPr>
        <w:footnoteReference w:customMarkFollows="1" w:id="5984"/>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5985"/>
        <w:t>f</w:t>
      </w:r>
      <w:r>
        <w:rPr/>
        <w:t xml:space="preserve"> {{field-off:bible}} </w:t>
        <w:br/>
        <w:t>[[@BibleTOBIBLE:Eph 3:9]]</w:t>
      </w:r>
      <w:r>
        <w:rPr>
          <w:b/>
        </w:rPr>
        <w:t>9</w:t>
      </w:r>
      <w:r>
        <w:rPr/>
        <w:t xml:space="preserve"> {{field-on:bible}}und allen den Heilsplan, </w:t>
      </w:r>
      <w:r>
        <w:rPr>
          <w:rStyle w:val="Funotenanker"/>
        </w:rPr>
        <w:footnoteReference w:customMarkFollows="1" w:id="5986"/>
        <w:t>g</w:t>
      </w:r>
      <w:r>
        <w:rPr/>
        <w:t xml:space="preserve"> das Geheimnis </w:t>
      </w:r>
      <w:r>
        <w:rPr>
          <w:rStyle w:val="Funotenanker"/>
        </w:rPr>
        <w:footnoteReference w:customMarkFollows="1" w:id="5987"/>
        <w:t>h</w:t>
      </w:r>
      <w:r>
        <w:rPr/>
        <w:t xml:space="preserve"> zu beleuchten, das von Ewigkeit </w:t>
      </w:r>
      <w:r>
        <w:rPr>
          <w:rStyle w:val="Funotenanker"/>
        </w:rPr>
        <w:footnoteReference w:customMarkFollows="1" w:id="5988"/>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5989"/>
        <w:t>j</w:t>
      </w:r>
      <w:r>
        <w:rPr/>
        <w:t xml:space="preserve"> wird unter den Führern und Mächten, die im Himmel </w:t>
      </w:r>
      <w:r>
        <w:rPr>
          <w:rStyle w:val="Funotenanker"/>
        </w:rPr>
        <w:footnoteReference w:customMarkFollows="1" w:id="5990"/>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5991"/>
        <w:t>l</w:t>
      </w:r>
      <w:r>
        <w:rPr/>
        <w:t xml:space="preserve"> den er in Christus Jesus, unserem Herrn umgesetzt </w:t>
      </w:r>
      <w:r>
        <w:rPr>
          <w:rStyle w:val="Funotenanker"/>
        </w:rPr>
        <w:footnoteReference w:customMarkFollows="1" w:id="5992"/>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5993"/>
        <w:t>n</w:t>
      </w:r>
      <w:r>
        <w:rPr/>
        <w:t xml:space="preserve"> und einen Zugang im Vertrauen durch den Glauben an ihn </w:t>
      </w:r>
      <w:r>
        <w:rPr>
          <w:rStyle w:val="Funotenanker"/>
        </w:rPr>
        <w:footnoteReference w:customMarkFollows="1" w:id="5994"/>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5995"/>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5996"/>
        <w:t>q</w:t>
      </w:r>
      <w:r>
        <w:rPr/>
        <w:t xml:space="preserve">.{{field-off:bible}} </w:t>
        <w:br/>
        <w:t>[[@BibleTOBIBLE:Eph 3:14]]</w:t>
      </w:r>
      <w:r>
        <w:rPr>
          <w:b/>
        </w:rPr>
        <w:t>14</w:t>
      </w:r>
      <w:r>
        <w:rPr/>
        <w:t xml:space="preserve"> {{field-on:bible}}Deswegen beuge ich meine Knie</w:t>
      </w:r>
      <w:r>
        <w:rPr>
          <w:rStyle w:val="Funotenanker"/>
        </w:rPr>
        <w:footnoteReference w:customMarkFollows="1" w:id="5997"/>
        <w:t>r</w:t>
      </w:r>
      <w:r>
        <w:rPr/>
        <w:t xml:space="preserve"> vor dem Vater,{{field-off:bible}} </w:t>
        <w:br/>
        <w:t>[[@BibleTOBIBLE:Eph 3:15]]</w:t>
      </w:r>
      <w:r>
        <w:rPr>
          <w:b/>
        </w:rPr>
        <w:t>15</w:t>
      </w:r>
      <w:r>
        <w:rPr/>
        <w:t xml:space="preserve"> {{field-on:bible}}von dem jedes Geschlecht</w:t>
      </w:r>
      <w:r>
        <w:rPr>
          <w:rStyle w:val="Funotenanker"/>
        </w:rPr>
        <w:footnoteReference w:customMarkFollows="1" w:id="5998"/>
        <w:t>s</w:t>
      </w:r>
      <w:r>
        <w:rPr/>
        <w:t xml:space="preserve"> im Himmel </w:t>
      </w:r>
      <w:r>
        <w:rPr>
          <w:rStyle w:val="Funotenanker"/>
        </w:rPr>
        <w:footnoteReference w:customMarkFollows="1" w:id="5999"/>
        <w:t>t</w:t>
      </w:r>
      <w:r>
        <w:rPr/>
        <w:t xml:space="preserve"> und auf Erden seinen Namen hat </w:t>
      </w:r>
      <w:r>
        <w:rPr>
          <w:rStyle w:val="Funotenanker"/>
        </w:rPr>
        <w:footnoteReference w:customMarkFollows="1" w:id="6000"/>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6001"/>
        <w:t>v</w:t>
      </w:r>
      <w:r>
        <w:rPr/>
        <w:t xml:space="preserve"> gebe </w:t>
      </w:r>
      <w:r>
        <w:rPr>
          <w:color w:val="808080"/>
        </w:rPr>
        <w:t>(schenke)</w:t>
      </w:r>
      <w:r>
        <w:rPr/>
        <w:t xml:space="preserve"> Kraft, zu erstarken durch seinen Geist im </w:t>
      </w:r>
      <w:r>
        <w:rPr>
          <w:color w:val="808080"/>
        </w:rPr>
        <w:t>(für den)</w:t>
      </w:r>
      <w:r>
        <w:rPr/>
        <w:t xml:space="preserve"> </w:t>
      </w:r>
      <w:r>
        <w:rPr>
          <w:rStyle w:val="Funotenanker"/>
        </w:rPr>
        <w:footnoteReference w:customMarkFollows="1" w:id="6002"/>
        <w:t>w</w:t>
      </w:r>
      <w:r>
        <w:rPr/>
        <w:t xml:space="preserve"> inwendigen </w:t>
      </w:r>
      <w:r>
        <w:rPr>
          <w:color w:val="808080"/>
        </w:rPr>
        <w:t>(inneren)</w:t>
      </w:r>
      <w:r>
        <w:rPr/>
        <w:t xml:space="preserve"> Menschen,{{field-off:bible}} </w:t>
        <w:br/>
        <w:t>[[@BibleTOBIBLE:Eph 3:17]]</w:t>
      </w:r>
      <w:r>
        <w:rPr>
          <w:b/>
        </w:rPr>
        <w:t>17</w:t>
      </w:r>
      <w:r>
        <w:rPr/>
        <w:t xml:space="preserve"> {{field-on:bible}}dass Christus durch den Glauben in euren Herzen wohne, in Liebe, die</w:t>
      </w:r>
      <w:r>
        <w:rPr>
          <w:rStyle w:val="Funotenanker"/>
        </w:rPr>
        <w:footnoteReference w:customMarkFollows="1" w:id="6003"/>
        <w:t>x</w:t>
      </w:r>
      <w:r>
        <w:rPr/>
        <w:t xml:space="preserve"> fest verwurzelt und gegründet </w:t>
      </w:r>
      <w:r>
        <w:rPr>
          <w:color w:val="808080"/>
        </w:rPr>
        <w:t>(fundiert)</w:t>
      </w:r>
      <w:r>
        <w:rPr/>
        <w:t xml:space="preserve"> ist</w:t>
      </w:r>
      <w:r>
        <w:rPr>
          <w:rStyle w:val="Funotenanker"/>
        </w:rPr>
        <w:footnoteReference w:customMarkFollows="1" w:id="6004"/>
        <w:t>y</w:t>
      </w:r>
      <w:r>
        <w:rPr/>
        <w:t xml:space="preserve">,{{field-off:bible}} </w:t>
        <w:br/>
        <w:t>[[@BibleTOBIBLE:Eph 3:18]]</w:t>
      </w:r>
      <w:r>
        <w:rPr>
          <w:b/>
        </w:rPr>
        <w:t>18</w:t>
      </w:r>
      <w:r>
        <w:rPr/>
        <w:t xml:space="preserve"> {{field-on:bible}}damit ihr imstande seid, </w:t>
      </w:r>
      <w:r>
        <w:rPr>
          <w:b/>
          <w:color w:val="808080"/>
        </w:rPr>
        <w:t>[</w:t>
      </w:r>
      <w:r>
        <w:rPr/>
        <w:t>zusammen</w:t>
      </w:r>
      <w:r>
        <w:rPr>
          <w:b/>
          <w:color w:val="808080"/>
        </w:rPr>
        <w:t>]</w:t>
      </w:r>
      <w:r>
        <w:rPr/>
        <w:t xml:space="preserve"> mit allen Heiligen zu begreifen</w:t>
      </w:r>
      <w:r>
        <w:rPr>
          <w:rStyle w:val="Funotenanker"/>
        </w:rPr>
        <w:footnoteReference w:customMarkFollows="1" w:id="6005"/>
        <w:t>z</w:t>
      </w:r>
      <w:r>
        <w:rPr/>
        <w:t xml:space="preserve">, was die Breite und Länge und Höhe und Tiefe </w:t>
      </w:r>
      <w:r>
        <w:rPr>
          <w:b/>
          <w:color w:val="808080"/>
        </w:rPr>
        <w:t>[</w:t>
      </w:r>
      <w:r>
        <w:rPr/>
        <w:t>der Liebe Christi</w:t>
      </w:r>
      <w:r>
        <w:rPr>
          <w:b/>
          <w:color w:val="808080"/>
        </w:rPr>
        <w:t>]</w:t>
      </w:r>
      <w:r>
        <w:rPr/>
        <w:t xml:space="preserve"> </w:t>
      </w:r>
      <w:r>
        <w:rPr>
          <w:rStyle w:val="Funotenanker"/>
        </w:rPr>
        <w:footnoteReference w:customMarkFollows="1" w:id="6006"/>
        <w:t>aa</w:t>
      </w:r>
      <w:r>
        <w:rPr/>
        <w:t xml:space="preserve"> ausmacht </w:t>
      </w:r>
      <w:r>
        <w:rPr>
          <w:color w:val="808080"/>
        </w:rPr>
        <w:t>(ist)</w:t>
      </w:r>
      <w:r>
        <w:rPr/>
        <w:t xml:space="preserve">,{{field-off:bible}} </w:t>
        <w:br/>
        <w:t>[[@BibleTOBIBLE:Eph 3:19]]</w:t>
      </w:r>
      <w:r>
        <w:rPr>
          <w:b/>
        </w:rPr>
        <w:t>19</w:t>
      </w:r>
      <w:r>
        <w:rPr/>
        <w:t xml:space="preserve"> {{field-on:bible}}und zu erkennen, dass die Liebe Christi </w:t>
      </w:r>
      <w:r>
        <w:rPr>
          <w:color w:val="808080"/>
        </w:rPr>
        <w:t>(die Liebe zu Christus)</w:t>
      </w:r>
      <w:r>
        <w:rPr/>
        <w:t xml:space="preserve"> </w:t>
      </w:r>
      <w:r>
        <w:rPr>
          <w:rStyle w:val="Funotenanker"/>
        </w:rPr>
        <w:footnoteReference w:customMarkFollows="1" w:id="6007"/>
        <w:t>ab</w:t>
      </w:r>
      <w:r>
        <w:rPr/>
        <w:t xml:space="preserve"> die Erkenntnis übertrifft, damit ihr erfüllt werdet mit aller Fülle Gottes.{{field-off:bible}} </w:t>
        <w:br/>
        <w:t>[[@BibleTOBIBLE:Eph 3:20]]</w:t>
      </w:r>
      <w:r>
        <w:rPr>
          <w:b/>
        </w:rPr>
        <w:t>20</w:t>
      </w:r>
      <w:r>
        <w:rPr/>
        <w:t xml:space="preserve"> {{field-on:bible}}Dem aber, der imstande ist, Größeres zu tun als alles, was </w:t>
      </w:r>
      <w:r>
        <w:rPr>
          <w:b/>
          <w:color w:val="808080"/>
        </w:rPr>
        <w:t>[</w:t>
      </w:r>
      <w:r>
        <w:rPr/>
        <w:t>immer</w:t>
      </w:r>
      <w:r>
        <w:rPr>
          <w:b/>
          <w:color w:val="808080"/>
        </w:rPr>
        <w:t>]</w:t>
      </w:r>
      <w:r>
        <w:rPr/>
        <w:t xml:space="preserve"> wir erbitten oder ausdenken mögen</w:t>
      </w:r>
      <w:r>
        <w:rPr>
          <w:rStyle w:val="Funotenanker"/>
        </w:rPr>
        <w:footnoteReference w:customMarkFollows="1" w:id="6008"/>
        <w:t>ac</w:t>
      </w:r>
      <w:r>
        <w:rPr/>
        <w:t xml:space="preserve"> durch die Kraft, die in uns wirkt,{{field-off:bible}} </w:t>
        <w:br/>
        <w:t>[[@BibleTOBIBLE:Eph 3:21]]</w:t>
      </w:r>
      <w:r>
        <w:rPr>
          <w:b/>
        </w:rPr>
        <w:t>21</w:t>
      </w:r>
      <w:r>
        <w:rPr/>
        <w:t xml:space="preserve"> {{field-on:bible}}dem sei Ehre in der Gemeinde </w:t>
      </w:r>
      <w:r>
        <w:rPr>
          <w:color w:val="808080"/>
        </w:rPr>
        <w:t>(Kirche?)</w:t>
      </w:r>
      <w:r>
        <w:rPr/>
        <w:t xml:space="preserve"> und in Christus Jesus für alle Geschlechter bis in alle Ewigkeit</w:t>
      </w:r>
      <w:r>
        <w:rPr>
          <w:rStyle w:val="Funotenanker"/>
        </w:rPr>
        <w:footnoteReference w:customMarkFollows="1" w:id="6009"/>
        <w:t>ad</w:t>
      </w:r>
      <w:r>
        <w:rPr/>
        <w:t xml:space="preserve">, Amen.{{field-off:bible}} </w:t>
      </w:r>
    </w:p>
    <w:p>
      <w:pPr>
        <w:pStyle w:val="Berschrift3"/>
        <w:rPr/>
      </w:pPr>
      <w:r>
        <w:rPr/>
        <w:t>[[@BibleTOBIBLE:Eph 5]]Kapitel 5</w:t>
      </w:r>
    </w:p>
    <w:p>
      <w:pPr>
        <w:pStyle w:val="Textkrper"/>
        <w:rPr/>
      </w:pPr>
      <w:r>
        <w:rPr/>
        <w:br/>
        <w:t>[[@BibleTOBIBLE:Eph 5:8]]</w:t>
      </w:r>
      <w:r>
        <w:rPr>
          <w:b/>
        </w:rPr>
        <w:t>8</w:t>
      </w:r>
      <w:r>
        <w:rPr/>
        <w:t xml:space="preserve"> {{field-on:bible}} </w:t>
      </w:r>
      <w:r>
        <w:rPr>
          <w:rStyle w:val="Funotenanker"/>
        </w:rPr>
        <w:footnoteReference w:customMarkFollows="1" w:id="6010"/>
        <w:t>Status</w:t>
      </w:r>
      <w:r>
        <w:rPr/>
        <w:t xml:space="preserve"> Ihr wart einst Finsternis, jetzt aber seid ihr Licht im Herrn; lebt als Kinder des Lichts{{field-off:bible}} </w:t>
        <w:br/>
        <w:t>[[@BibleTOBIBLE:Eph 5:9]]</w:t>
      </w:r>
      <w:r>
        <w:rPr>
          <w:b/>
        </w:rPr>
        <w:t>9</w:t>
      </w:r>
      <w:r>
        <w:rPr/>
        <w:t xml:space="preserve"> {{field-on:bible}}- denn</w:t>
      </w:r>
      <w:r>
        <w:rPr>
          <w:rStyle w:val="Funotenanker"/>
        </w:rPr>
        <w:footnoteReference w:customMarkFollows="1" w:id="6011"/>
        <w:t>a</w:t>
      </w:r>
      <w:r>
        <w:rPr/>
        <w:t xml:space="preserve"> die Frucht des Lichts </w:t>
      </w:r>
      <w:r>
        <w:rPr>
          <w:b/>
          <w:color w:val="808080"/>
        </w:rPr>
        <w:t>[</w:t>
      </w:r>
      <w:r>
        <w:rPr/>
        <w:t>ist, besteht in</w:t>
      </w:r>
      <w:r>
        <w:rPr>
          <w:b/>
          <w:color w:val="808080"/>
        </w:rPr>
        <w:t>]</w:t>
      </w:r>
      <w:r>
        <w:rPr/>
        <w:t xml:space="preserve"> lauter </w:t>
      </w:r>
      <w:r>
        <w:rPr>
          <w:color w:val="808080"/>
        </w:rPr>
        <w:t>(größte, höchste, völlige)</w:t>
      </w:r>
      <w:r>
        <w:rPr/>
        <w:t xml:space="preserve"> Rechtschaffenheit und Gerechtigkeit und Wahrheit -{{field-off:bible}} </w:t>
        <w:br/>
        <w:t>[[@BibleTOBIBLE:Eph 5:10]]</w:t>
      </w:r>
      <w:r>
        <w:rPr>
          <w:b/>
        </w:rPr>
        <w:t>10</w:t>
      </w:r>
      <w:r>
        <w:rPr/>
        <w:t xml:space="preserve"> {{field-on:bible}}und erwägt, was dem Herrn gefällt,{{field-off:bible}} </w:t>
        <w:br/>
        <w:t>[[@BibleTOBIBLE:Eph 5:11]]</w:t>
      </w:r>
      <w:r>
        <w:rPr>
          <w:b/>
        </w:rPr>
        <w:t>11</w:t>
      </w:r>
      <w:r>
        <w:rPr/>
        <w:t xml:space="preserve"> {{field-on:bible}}und habt keinen Anteil an den fruchtlosen </w:t>
      </w:r>
      <w:r>
        <w:rPr>
          <w:color w:val="808080"/>
        </w:rPr>
        <w:t>(unfruchtbaren)</w:t>
      </w:r>
      <w:r>
        <w:rPr/>
        <w:t xml:space="preserve"> Werken der Finsternis, vielmehr </w:t>
      </w:r>
      <w:r>
        <w:rPr>
          <w:strike/>
          <w:color w:val="808080"/>
        </w:rPr>
        <w:t>{aber auch, sogar}</w:t>
      </w:r>
      <w:r>
        <w:rPr/>
        <w:t xml:space="preserve"> bringt sie an den Tag.{{field-off:bible}} </w:t>
        <w:br/>
        <w:t>[[@BibleTOBIBLE:Eph 5:12]]</w:t>
      </w:r>
      <w:r>
        <w:rPr>
          <w:b/>
        </w:rPr>
        <w:t>12</w:t>
      </w:r>
      <w:r>
        <w:rPr/>
        <w:t xml:space="preserve"> {{field-on:bible}}Denn ihre</w:t>
      </w:r>
      <w:r>
        <w:rPr>
          <w:rStyle w:val="Funotenanker"/>
        </w:rPr>
        <w:footnoteReference w:customMarkFollows="1" w:id="6012"/>
        <w:t>b</w:t>
      </w:r>
      <w:r>
        <w:rPr/>
        <w:t xml:space="preserve"> heimlichen Taten auch nur zu erwähnen, ist eine Schande.{{field-off:bible}} </w:t>
        <w:br/>
        <w:t>[[@BibleTOBIBLE:Eph 5:13]]</w:t>
      </w:r>
      <w:r>
        <w:rPr>
          <w:b/>
        </w:rPr>
        <w:t>13</w:t>
      </w:r>
      <w:r>
        <w:rPr/>
        <w:t xml:space="preserve"> {{field-on:bible}}Alles aber, was an den Tag kommt, wird vom Licht sichtbar gemacht,{{field-off:bible}} </w:t>
        <w:br/>
        <w:t>[[@BibleTOBIBLE:Eph 5:14]]</w:t>
      </w:r>
      <w:r>
        <w:rPr>
          <w:b/>
        </w:rPr>
        <w:t>14</w:t>
      </w:r>
      <w:r>
        <w:rPr/>
        <w:t xml:space="preserve"> {{field-on:bible}}denn alles Sichtbare ist Licht. Darum heißt es</w:t>
      </w:r>
      <w:r>
        <w:rPr>
          <w:rStyle w:val="Funotenanker"/>
        </w:rPr>
        <w:footnoteReference w:customMarkFollows="1" w:id="6013"/>
        <w:t>c</w:t>
      </w:r>
      <w:r>
        <w:rPr/>
        <w:t xml:space="preserve"> </w:t>
        <w:br/>
        <w:t>„Wach auf, Schläfer</w:t>
      </w:r>
      <w:r>
        <w:rPr>
          <w:rStyle w:val="Funotenanker"/>
        </w:rPr>
        <w:footnoteReference w:customMarkFollows="1" w:id="6014"/>
        <w:t>d</w:t>
      </w:r>
      <w:r>
        <w:rPr/>
        <w:t>,</w:t>
        <w:br/>
        <w:t>und steh auf</w:t>
      </w:r>
      <w:r>
        <w:rPr>
          <w:rStyle w:val="Funotenanker"/>
        </w:rPr>
        <w:footnoteReference w:customMarkFollows="1" w:id="6015"/>
        <w:t>e</w:t>
      </w:r>
      <w:r>
        <w:rPr/>
        <w:t xml:space="preserve"> von den Toten,</w:t>
        <w:br/>
        <w:t xml:space="preserve">und Christus wird dir leuchten </w:t>
      </w:r>
      <w:r>
        <w:rPr>
          <w:color w:val="808080"/>
        </w:rPr>
        <w:t>(aufgehen, erscheinen)</w:t>
      </w:r>
      <w:r>
        <w:rPr/>
        <w:t>“.</w:t>
        <w:br/>
        <w:t xml:space="preserve">{{field-off:bible}} </w:t>
        <w:br/>
        <w:t>[[@BibleTOBIBLE:Eph 5:15]]</w:t>
      </w:r>
      <w:r>
        <w:rPr>
          <w:b/>
        </w:rPr>
        <w:t>15</w:t>
      </w:r>
      <w:r>
        <w:rPr/>
        <w:t xml:space="preserve"> {{field-on:bible}}Achtet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6016"/>
        <w:t>f</w:t>
      </w:r>
      <w:r>
        <w:rPr/>
        <w:t xml:space="preserve"> ihr die Zeit nutzt </w:t>
      </w:r>
      <w:r>
        <w:rPr>
          <w:color w:val="808080"/>
        </w:rPr>
        <w:t>(jede Gelegenheit nutzt; die Zeit kauft)</w:t>
      </w:r>
      <w:r>
        <w:rPr/>
        <w:t xml:space="preserve"> </w:t>
      </w:r>
      <w:r>
        <w:rPr>
          <w:rStyle w:val="Funotenanker"/>
        </w:rPr>
        <w:footnoteReference w:customMarkFollows="1" w:id="6017"/>
        <w:t>g</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6018"/>
        <w:t>h</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6019"/>
        <w:t>i</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6020"/>
        <w:t>j</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6021"/>
        <w:t>k</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6022"/>
        <w:t>l</w:t>
      </w:r>
      <w:r>
        <w:rPr/>
        <w:t>,</w:t>
      </w:r>
      <w:r>
        <w:rPr>
          <w:rStyle w:val="Funotenanker"/>
        </w:rPr>
        <w:footnoteReference w:customMarkFollows="1" w:id="6023"/>
        <w:t>m</w:t>
      </w:r>
      <w:r>
        <w:rPr/>
        <w:t xml:space="preserve"> {{field-off:bible}} </w:t>
        <w:br/>
        <w:t>[[@BibleTOBIBLE:Eph 5:20]]</w:t>
      </w:r>
      <w:r>
        <w:rPr>
          <w:b/>
        </w:rPr>
        <w:t>20</w:t>
      </w:r>
      <w:r>
        <w:rPr/>
        <w:t xml:space="preserve"> {{field-on:bible}}jederzeit für alles Gott dem Vater dankt</w:t>
      </w:r>
      <w:r>
        <w:rPr>
          <w:rStyle w:val="Funotenanker"/>
        </w:rPr>
        <w:footnoteReference w:customMarkFollows="1" w:id="6024"/>
        <w:t>n</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6025"/>
        <w:t>o</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6026"/>
        <w:t>p</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6027"/>
        <w:t>q</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6028"/>
        <w:t>r</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6029"/>
        <w:t>s</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6030"/>
        <w:t>t</w:t>
      </w:r>
      <w:r>
        <w:rPr/>
        <w:t xml:space="preserve"> Wasserbad</w:t>
      </w:r>
      <w:r>
        <w:rPr>
          <w:rStyle w:val="Funotenanker"/>
        </w:rPr>
        <w:footnoteReference w:customMarkFollows="1" w:id="6031"/>
        <w:t>u</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6032"/>
        <w:t>v</w:t>
      </w:r>
      <w:r>
        <w:rPr/>
        <w:t xml:space="preserve"> reinigte </w:t>
      </w:r>
      <w:r>
        <w:rPr>
          <w:color w:val="808080"/>
        </w:rPr>
        <w:t>(reinigt)</w:t>
      </w:r>
      <w:r>
        <w:rPr/>
        <w:t>;</w:t>
      </w:r>
      <w:r>
        <w:rPr>
          <w:rStyle w:val="Funotenanker"/>
        </w:rPr>
        <w:footnoteReference w:customMarkFollows="1" w:id="6033"/>
        <w:t>w</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6034"/>
        <w:t>x</w:t>
      </w:r>
      <w:r>
        <w:rPr/>
        <w:t xml:space="preserve"> </w:t>
      </w:r>
      <w:r>
        <w:rPr>
          <w:color w:val="808080"/>
        </w:rPr>
        <w:t>(sich zu präsentieren</w:t>
      </w:r>
      <w:r>
        <w:rPr/>
        <w:t xml:space="preserve"> </w:t>
      </w:r>
      <w:r>
        <w:rPr>
          <w:rStyle w:val="Funotenanker"/>
        </w:rPr>
        <w:footnoteReference w:customMarkFollows="1" w:id="6035"/>
        <w:t>y</w:t>
      </w:r>
      <w:r>
        <w:rPr/>
        <w:t xml:space="preserve"> </w:t>
      </w:r>
      <w:r>
        <w:rPr>
          <w:color w:val="808080"/>
        </w:rPr>
        <w:t>, für sich zu schaffen/aufzustellen</w:t>
      </w:r>
      <w:r>
        <w:rPr/>
        <w:t xml:space="preserve"> </w:t>
      </w:r>
      <w:r>
        <w:rPr>
          <w:rStyle w:val="Funotenanker"/>
        </w:rPr>
        <w:footnoteReference w:customMarkFollows="1" w:id="6036"/>
        <w:t>z</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6037"/>
        <w:t>aa</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6038"/>
        <w:t>ab</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6039"/>
        <w:t>ac</w:t>
      </w:r>
      <w:r>
        <w:rPr/>
        <w:t xml:space="preserve"> Wer seine Frau liebt,</w:t>
      </w:r>
      <w:r>
        <w:rPr>
          <w:rStyle w:val="Funotenanker"/>
        </w:rPr>
        <w:footnoteReference w:customMarkFollows="1" w:id="6040"/>
        <w:t>ad</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6041"/>
        <w:t>ae</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6042"/>
        <w:t>af</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6043"/>
        <w:t>ag</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6044"/>
        <w:t>ah</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6045"/>
        <w:t>ai</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6046"/>
        <w:t>aj</w:t>
      </w:r>
      <w:r>
        <w:rPr/>
        <w:t xml:space="preserve"> seine eigene Frau so lieben</w:t>
      </w:r>
      <w:r>
        <w:rPr>
          <w:rStyle w:val="Funotenanker"/>
        </w:rPr>
        <w:footnoteReference w:customMarkFollows="1" w:id="6047"/>
        <w:t>ak</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6048"/>
        <w:t>al</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6049"/>
        <w:t>am</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6050"/>
        <w:t>Status</w:t>
      </w:r>
      <w:r>
        <w:rPr/>
        <w:t xml:space="preserve"> Paulus und Timotheus, Sklaven </w:t>
      </w:r>
      <w:r>
        <w:rPr>
          <w:rStyle w:val="Funotenanker"/>
        </w:rPr>
        <w:footnoteReference w:customMarkFollows="1" w:id="6051"/>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6052"/>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6053"/>
        <w:t>c</w:t>
      </w:r>
      <w:r>
        <w:rPr/>
        <w:t xml:space="preserve"> </w:t>
      </w:r>
      <w:r>
        <w:rPr>
          <w:color w:val="808080"/>
        </w:rPr>
        <w:t>(bei aller Erinnerung an euch =)</w:t>
      </w:r>
      <w:r>
        <w:rPr/>
        <w:t xml:space="preserve"> so oft ich euer gedenke</w:t>
      </w:r>
      <w:r>
        <w:rPr>
          <w:rStyle w:val="Funotenanker"/>
        </w:rPr>
        <w:footnoteReference w:customMarkFollows="1" w:id="6054"/>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6055"/>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6056"/>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6057"/>
        <w:t>g</w:t>
      </w:r>
      <w:r>
        <w:rPr/>
        <w:t>, dies über euch alle zu denken, weil</w:t>
      </w:r>
      <w:r>
        <w:rPr>
          <w:rStyle w:val="Funotenanker"/>
        </w:rPr>
        <w:footnoteReference w:customMarkFollows="1" w:id="6058"/>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6059"/>
        <w:t>i</w:t>
      </w:r>
      <w:r>
        <w:rPr/>
        <w:t xml:space="preserve"> der Liebe </w:t>
      </w:r>
      <w:r>
        <w:rPr>
          <w:color w:val="808080"/>
        </w:rPr>
        <w:t>(Zuneigung)</w:t>
      </w:r>
      <w:r>
        <w:rPr/>
        <w:t xml:space="preserve"> </w:t>
      </w:r>
      <w:r>
        <w:rPr>
          <w:rStyle w:val="Funotenanker"/>
        </w:rPr>
        <w:footnoteReference w:customMarkFollows="1" w:id="6060"/>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6061"/>
        <w:t>k</w:t>
      </w:r>
      <w:r>
        <w:rPr/>
        <w:t xml:space="preserve"> {{field-off:bible}} </w:t>
        <w:br/>
        <w:t>[[@BibleTOBIBLE:Php 1:10]]</w:t>
      </w:r>
      <w:r>
        <w:rPr>
          <w:b/>
        </w:rPr>
        <w:t>10</w:t>
      </w:r>
      <w:r>
        <w:rPr/>
        <w:t xml:space="preserve"> {{field-on:bible}}damit</w:t>
      </w:r>
      <w:r>
        <w:rPr>
          <w:rStyle w:val="Funotenanker"/>
        </w:rPr>
        <w:footnoteReference w:customMarkFollows="1" w:id="6062"/>
        <w:t>l</w:t>
      </w:r>
      <w:r>
        <w:rPr/>
        <w:t xml:space="preserve"> ihr das, worauf es ankommt </w:t>
      </w:r>
      <w:r>
        <w:rPr>
          <w:color w:val="808080"/>
        </w:rPr>
        <w:t>(das Wesentliche)</w:t>
      </w:r>
      <w:r>
        <w:rPr/>
        <w:t>, prüft, damit ihr lauter und tadellos</w:t>
      </w:r>
      <w:r>
        <w:rPr>
          <w:rStyle w:val="Funotenanker"/>
        </w:rPr>
        <w:footnoteReference w:customMarkFollows="1" w:id="6063"/>
        <w:t>m</w:t>
      </w:r>
      <w:r>
        <w:rPr/>
        <w:t xml:space="preserve"> seid für</w:t>
      </w:r>
      <w:r>
        <w:rPr>
          <w:rStyle w:val="Funotenanker"/>
        </w:rPr>
        <w:footnoteReference w:customMarkFollows="1" w:id="6064"/>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6065"/>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6066"/>
        <w:t>p</w:t>
      </w:r>
      <w:r>
        <w:rPr/>
        <w:t>, dass meine Angelegenheiten</w:t>
      </w:r>
      <w:r>
        <w:rPr>
          <w:rStyle w:val="Funotenanker"/>
        </w:rPr>
        <w:footnoteReference w:customMarkFollows="1" w:id="6067"/>
        <w:t>q</w:t>
      </w:r>
      <w:r>
        <w:rPr/>
        <w:t xml:space="preserve"> eher zur Förderung des Evangeliums ausgeschlagen sind</w:t>
      </w:r>
      <w:r>
        <w:rPr>
          <w:rStyle w:val="Funotenanker"/>
        </w:rPr>
        <w:footnoteReference w:customMarkFollows="1" w:id="6068"/>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6069"/>
        <w:t>s</w:t>
      </w:r>
      <w:r>
        <w:rPr/>
        <w:t xml:space="preserve"> meine Gefangenschaft durch</w:t>
      </w:r>
      <w:r>
        <w:rPr>
          <w:rStyle w:val="Funotenanker"/>
        </w:rPr>
        <w:footnoteReference w:customMarkFollows="1" w:id="6070"/>
        <w:t>t</w:t>
      </w:r>
      <w:r>
        <w:rPr/>
        <w:t xml:space="preserve"> Christus bekannt wurde im ganzen Prätorium</w:t>
      </w:r>
      <w:r>
        <w:rPr>
          <w:rStyle w:val="Funotenanker"/>
        </w:rPr>
        <w:footnoteReference w:customMarkFollows="1" w:id="6071"/>
        <w:t>u</w:t>
      </w:r>
      <w:r>
        <w:rPr/>
        <w:t xml:space="preserve"> und bei allen übrigen</w:t>
      </w:r>
      <w:r>
        <w:rPr>
          <w:rStyle w:val="Funotenanker"/>
        </w:rPr>
        <w:footnoteReference w:customMarkFollows="1" w:id="6072"/>
        <w:t>v</w:t>
      </w:r>
      <w:r>
        <w:rPr/>
        <w:t xml:space="preserve"> {{field-off:bible}} </w:t>
        <w:br/>
        <w:t>[[@BibleTOBIBLE:Php 1:14]]</w:t>
      </w:r>
      <w:r>
        <w:rPr>
          <w:b/>
        </w:rPr>
        <w:t>14</w:t>
      </w:r>
      <w:r>
        <w:rPr/>
        <w:t xml:space="preserve"> {{field-on:bible}}und die meisten der Geschwister </w:t>
      </w:r>
      <w:r>
        <w:rPr>
          <w:rStyle w:val="Funotenanker"/>
        </w:rPr>
        <w:footnoteReference w:customMarkFollows="1" w:id="6073"/>
        <w:t>w</w:t>
      </w:r>
      <w:r>
        <w:rPr/>
        <w:t xml:space="preserve"> im Herrn, weil</w:t>
      </w:r>
      <w:r>
        <w:rPr>
          <w:rStyle w:val="Funotenanker"/>
        </w:rPr>
        <w:footnoteReference w:customMarkFollows="1" w:id="6074"/>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6075"/>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6076"/>
        <w:t>z</w:t>
      </w:r>
      <w:r>
        <w:rPr/>
        <w:t xml:space="preserve"> Christus auch</w:t>
      </w:r>
      <w:r>
        <w:rPr>
          <w:rStyle w:val="Funotenanker"/>
        </w:rPr>
        <w:footnoteReference w:customMarkFollows="1" w:id="6077"/>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6078"/>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6079"/>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6080"/>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6081"/>
        <w:t>ae</w:t>
      </w:r>
      <w:r>
        <w:rPr/>
        <w:t xml:space="preserve"> zu leben Christus</w:t>
      </w:r>
      <w:r>
        <w:rPr>
          <w:rStyle w:val="Funotenanker"/>
        </w:rPr>
        <w:footnoteReference w:customMarkFollows="1" w:id="6082"/>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6083"/>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6084"/>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6085"/>
        <w:t>ai</w:t>
      </w:r>
      <w:r>
        <w:rPr/>
        <w:t xml:space="preserve"> Verlangen, aufzubrechen </w:t>
      </w:r>
      <w:r>
        <w:rPr>
          <w:color w:val="808080"/>
        </w:rPr>
        <w:t>(abzuscheiden)</w:t>
      </w:r>
      <w:r>
        <w:rPr/>
        <w:t xml:space="preserve"> </w:t>
      </w:r>
      <w:r>
        <w:rPr>
          <w:rStyle w:val="Funotenanker"/>
        </w:rPr>
        <w:footnoteReference w:customMarkFollows="1" w:id="6086"/>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6087"/>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6088"/>
        <w:t>al</w:t>
      </w:r>
      <w:r>
        <w:rPr/>
        <w:t xml:space="preserve">, oder abwesend </w:t>
      </w:r>
      <w:r>
        <w:rPr>
          <w:rStyle w:val="Funotenanker"/>
        </w:rPr>
        <w:footnoteReference w:customMarkFollows="1" w:id="6089"/>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6090"/>
        <w:t>an</w:t>
      </w:r>
      <w:r>
        <w:rPr/>
        <w:t xml:space="preserve"> {{field-off:bible}} </w:t>
        <w:br/>
        <w:t>[[@BibleTOBIBLE:Php 1:28]]</w:t>
      </w:r>
      <w:r>
        <w:rPr>
          <w:b/>
        </w:rPr>
        <w:t>28</w:t>
      </w:r>
      <w:r>
        <w:rPr/>
        <w:t xml:space="preserve"> {{field-on:bible}}und euch nicht einschüchtern lasst</w:t>
      </w:r>
      <w:r>
        <w:rPr>
          <w:rStyle w:val="Funotenanker"/>
        </w:rPr>
        <w:footnoteReference w:customMarkFollows="1" w:id="6091"/>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6092"/>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6093"/>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6094"/>
        <w:t>Status</w:t>
      </w:r>
      <w:r>
        <w:rPr/>
        <w:t xml:space="preserve"> Wenn nun Trost </w:t>
      </w:r>
      <w:r>
        <w:rPr>
          <w:color w:val="808080"/>
        </w:rPr>
        <w:t>(Ermahnung, Zuspruch)</w:t>
      </w:r>
      <w:r>
        <w:rPr/>
        <w:t xml:space="preserve"> in Christus etwas gilt</w:t>
      </w:r>
      <w:r>
        <w:rPr>
          <w:rStyle w:val="Funotenanker"/>
        </w:rPr>
        <w:footnoteReference w:customMarkFollows="1" w:id="6095"/>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6096"/>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6097"/>
        <w:t>c</w:t>
      </w:r>
      <w:r>
        <w:rPr/>
        <w:t>, einträchtig, auf das Eine bedacht seid</w:t>
      </w:r>
      <w:r>
        <w:rPr>
          <w:rStyle w:val="Funotenanker"/>
        </w:rPr>
        <w:footnoteReference w:customMarkFollows="1" w:id="6098"/>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6099"/>
        <w:t>e</w:t>
      </w:r>
      <w:r>
        <w:rPr/>
        <w:t>, dass</w:t>
      </w:r>
      <w:r>
        <w:rPr>
          <w:rStyle w:val="Funotenanker"/>
        </w:rPr>
        <w:footnoteReference w:customMarkFollows="1" w:id="6100"/>
        <w:t>f</w:t>
      </w:r>
      <w:r>
        <w:rPr/>
        <w:t xml:space="preserve"> ihr euch an Demut übertrefft,{{field-off:bible}} </w:t>
        <w:br/>
        <w:t>[[@BibleTOBIBLE:Php 2:4]]</w:t>
      </w:r>
      <w:r>
        <w:rPr>
          <w:b/>
        </w:rPr>
        <w:t>4</w:t>
      </w:r>
      <w:r>
        <w:rPr/>
        <w:t xml:space="preserve"> {{field-on:bible}}und seht</w:t>
      </w:r>
      <w:r>
        <w:rPr>
          <w:rStyle w:val="Funotenanker"/>
        </w:rPr>
        <w:footnoteReference w:customMarkFollows="1" w:id="6101"/>
        <w:t>g</w:t>
      </w:r>
      <w:r>
        <w:rPr/>
        <w:t xml:space="preserve"> jeder nicht auf das Seine, sondern vor allem</w:t>
      </w:r>
      <w:r>
        <w:rPr>
          <w:rStyle w:val="Funotenanker"/>
        </w:rPr>
        <w:footnoteReference w:customMarkFollows="1" w:id="6102"/>
        <w:t>h</w:t>
      </w:r>
      <w:r>
        <w:rPr/>
        <w:t xml:space="preserve"> </w:t>
      </w:r>
      <w:r>
        <w:rPr>
          <w:strike/>
          <w:color w:val="808080"/>
        </w:rPr>
        <w:t>{alle}</w:t>
      </w:r>
      <w:r>
        <w:rPr/>
        <w:t xml:space="preserve"> </w:t>
      </w:r>
      <w:r>
        <w:rPr>
          <w:rStyle w:val="Funotenanker"/>
        </w:rPr>
        <w:footnoteReference w:customMarkFollows="1" w:id="6103"/>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6104"/>
        <w:t>j</w:t>
      </w:r>
      <w:r>
        <w:rPr/>
        <w:t xml:space="preserve">, </w:t>
        <w:br/>
        <w:t xml:space="preserve">{{field-off:bible}} </w:t>
        <w:br/>
        <w:t>[[@BibleTOBIBLE:Php 2:6]]</w:t>
      </w:r>
      <w:r>
        <w:rPr>
          <w:b/>
        </w:rPr>
        <w:t>6</w:t>
      </w:r>
      <w:r>
        <w:rPr/>
        <w:t xml:space="preserve"> {{field-on:bible}} </w:t>
        <w:br/>
        <w:t>Der, obwohl</w:t>
      </w:r>
      <w:r>
        <w:rPr>
          <w:rStyle w:val="Funotenanker"/>
        </w:rPr>
        <w:footnoteReference w:customMarkFollows="1" w:id="6105"/>
        <w:t>k</w:t>
      </w:r>
      <w:r>
        <w:rPr/>
        <w:t xml:space="preserve"> er in Gestalt Gottes war</w:t>
      </w:r>
      <w:r>
        <w:rPr>
          <w:rStyle w:val="Funotenanker"/>
        </w:rPr>
        <w:footnoteReference w:customMarkFollows="1" w:id="6106"/>
        <w:t>l</w:t>
      </w:r>
      <w:r>
        <w:rPr/>
        <w:t xml:space="preserve"> </w:t>
        <w:br/>
        <w:t xml:space="preserve">nicht als Geschenk des Zufalls </w:t>
      </w:r>
      <w:r>
        <w:rPr>
          <w:color w:val="808080"/>
        </w:rPr>
        <w:t>(Glücksfund; Beute)</w:t>
      </w:r>
      <w:r>
        <w:rPr/>
        <w:t xml:space="preserve"> </w:t>
      </w:r>
      <w:r>
        <w:rPr>
          <w:rStyle w:val="Funotenanker"/>
        </w:rPr>
        <w:footnoteReference w:customMarkFollows="1" w:id="6107"/>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6108"/>
        <w:t>n</w:t>
      </w:r>
      <w:r>
        <w:rPr/>
        <w:t xml:space="preserve"> er die Gestalt eines Knechtes </w:t>
      </w:r>
      <w:r>
        <w:rPr>
          <w:color w:val="808080"/>
        </w:rPr>
        <w:t>(Sklaven)</w:t>
      </w:r>
      <w:r>
        <w:rPr/>
        <w:t xml:space="preserve"> annahm,</w:t>
        <w:br/>
        <w:t>und</w:t>
      </w:r>
      <w:r>
        <w:rPr>
          <w:rStyle w:val="Funotenanker"/>
        </w:rPr>
        <w:footnoteReference w:customMarkFollows="1" w:id="6109"/>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6110"/>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6111"/>
        <w:t>q</w:t>
      </w:r>
      <w:r>
        <w:rPr/>
        <w:t xml:space="preserve"> wurde gehorsam bis zum Tod,</w:t>
        <w:br/>
        <w:t>und zwar</w:t>
      </w:r>
      <w:r>
        <w:rPr>
          <w:rStyle w:val="Funotenanker"/>
        </w:rPr>
        <w:footnoteReference w:customMarkFollows="1" w:id="6112"/>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6113"/>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6114"/>
        <w:t>t</w:t>
      </w:r>
      <w:r>
        <w:rPr/>
        <w:t xml:space="preserve"> und der Irdischen </w:t>
      </w:r>
      <w:r>
        <w:rPr>
          <w:color w:val="808080"/>
        </w:rPr>
        <w:t>(irdischen Wesen)</w:t>
      </w:r>
      <w:r>
        <w:rPr/>
        <w:t xml:space="preserve"> </w:t>
      </w:r>
      <w:r>
        <w:rPr>
          <w:rStyle w:val="Funotenanker"/>
        </w:rPr>
        <w:footnoteReference w:customMarkFollows="1" w:id="6115"/>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6116"/>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6117"/>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6118"/>
        <w:t>x</w:t>
      </w:r>
      <w:r>
        <w:rPr/>
        <w:t xml:space="preserve"> in euch bewirkt sowohl das Wollen als auch das wirksam Sein </w:t>
      </w:r>
      <w:r>
        <w:rPr>
          <w:color w:val="808080"/>
        </w:rPr>
        <w:t>(das sich Betätigen)</w:t>
      </w:r>
      <w:r>
        <w:rPr/>
        <w:t xml:space="preserve"> </w:t>
      </w:r>
      <w:r>
        <w:rPr>
          <w:rStyle w:val="Funotenanker"/>
        </w:rPr>
        <w:footnoteReference w:customMarkFollows="1" w:id="6119"/>
        <w:t>y</w:t>
      </w:r>
      <w:r>
        <w:rPr/>
        <w:t xml:space="preserve"> über den guten Willen hinaus</w:t>
      </w:r>
      <w:r>
        <w:rPr>
          <w:rStyle w:val="Funotenanker"/>
        </w:rPr>
        <w:footnoteReference w:customMarkFollows="1" w:id="6120"/>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6121"/>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6122"/>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6123"/>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6124"/>
        <w:t>ad</w:t>
      </w:r>
      <w:r>
        <w:rPr/>
        <w:t xml:space="preserve"> wäre, dass</w:t>
      </w:r>
      <w:r>
        <w:rPr>
          <w:rStyle w:val="Funotenanker"/>
        </w:rPr>
        <w:footnoteReference w:customMarkFollows="1" w:id="6125"/>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6126"/>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6127"/>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6128"/>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6129"/>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6130"/>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6131"/>
        <w:t>Status</w:t>
      </w:r>
      <w:r>
        <w:rPr/>
        <w:t xml:space="preserve"> Weiterhin, meine Geschwister</w:t>
      </w:r>
      <w:r>
        <w:rPr>
          <w:rStyle w:val="Funotenanker"/>
        </w:rPr>
        <w:footnoteReference w:customMarkFollows="1" w:id="6132"/>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6133"/>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6134"/>
        <w:t>c</w:t>
      </w:r>
      <w:r>
        <w:rPr/>
        <w:t xml:space="preserve"> wir im Geist </w:t>
      </w:r>
      <w:r>
        <w:rPr>
          <w:color w:val="808080"/>
        </w:rPr>
        <w:t>(oder: durch den Geist)</w:t>
      </w:r>
      <w:r>
        <w:rPr/>
        <w:t xml:space="preserve"> Gott dienen und uns in Christus Jesus rühmen</w:t>
      </w:r>
      <w:r>
        <w:rPr>
          <w:rStyle w:val="Funotenanker"/>
        </w:rPr>
        <w:footnoteReference w:customMarkFollows="1" w:id="6135"/>
        <w:t>d</w:t>
      </w:r>
      <w:r>
        <w:rPr/>
        <w:t xml:space="preserve"> und nicht auf das Fleisch</w:t>
      </w:r>
      <w:r>
        <w:rPr>
          <w:rStyle w:val="Funotenanker"/>
        </w:rPr>
        <w:footnoteReference w:customMarkFollows="1" w:id="6136"/>
        <w:t>e</w:t>
      </w:r>
      <w:r>
        <w:rPr/>
        <w:t xml:space="preserve"> vertrauen</w:t>
      </w:r>
      <w:r>
        <w:rPr>
          <w:rStyle w:val="Funotenanker"/>
        </w:rPr>
        <w:footnoteReference w:customMarkFollows="1" w:id="6137"/>
        <w:t>f</w:t>
      </w:r>
      <w:r>
        <w:rPr/>
        <w:t xml:space="preserve">,{{field-off:bible}} </w:t>
        <w:br/>
        <w:t>[[@BibleTOBIBLE:Php 3:4]]</w:t>
      </w:r>
      <w:r>
        <w:rPr>
          <w:b/>
        </w:rPr>
        <w:t>4</w:t>
      </w:r>
      <w:r>
        <w:rPr/>
        <w:t xml:space="preserve"> {{field-on:bible}}obwohl ich Zuversicht habe</w:t>
      </w:r>
      <w:r>
        <w:rPr>
          <w:rStyle w:val="Funotenanker"/>
        </w:rPr>
        <w:footnoteReference w:customMarkFollows="1" w:id="6138"/>
        <w:t>g</w:t>
      </w:r>
      <w:r>
        <w:rPr/>
        <w:t xml:space="preserve"> auch auf das Fleisch</w:t>
      </w:r>
      <w:r>
        <w:rPr>
          <w:rStyle w:val="Funotenanker"/>
        </w:rPr>
        <w:footnoteReference w:customMarkFollows="1" w:id="6139"/>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6140"/>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6141"/>
        <w:t>j</w:t>
      </w:r>
      <w:r>
        <w:rPr/>
        <w:t xml:space="preserve"> der Gemeinde, was die Gerechtigkeit, die im Gesetz gewährt wird</w:t>
      </w:r>
      <w:r>
        <w:rPr>
          <w:rStyle w:val="Funotenanker"/>
        </w:rPr>
        <w:footnoteReference w:customMarkFollows="1" w:id="6142"/>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6143"/>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6144"/>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6145"/>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6146"/>
        <w:t>o</w:t>
      </w:r>
      <w:r>
        <w:rPr/>
        <w:t xml:space="preserve">,{{field-off:bible}} </w:t>
        <w:br/>
        <w:t>[[@BibleTOBIBLE:Php 3:11]]</w:t>
      </w:r>
      <w:r>
        <w:rPr>
          <w:b/>
        </w:rPr>
        <w:t>11</w:t>
      </w:r>
      <w:r>
        <w:rPr/>
        <w:t xml:space="preserve"> {{field-on:bible}}ob ich vielleicht</w:t>
      </w:r>
      <w:r>
        <w:rPr>
          <w:rStyle w:val="Funotenanker"/>
        </w:rPr>
        <w:footnoteReference w:customMarkFollows="1" w:id="6147"/>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6148"/>
        <w:t>q</w:t>
      </w:r>
      <w:r>
        <w:rPr/>
        <w:t xml:space="preserve"> oder schon vollendet wäre; ich eile </w:t>
      </w:r>
      <w:r>
        <w:rPr>
          <w:color w:val="808080"/>
        </w:rPr>
        <w:t>(renne)</w:t>
      </w:r>
      <w:r>
        <w:rPr/>
        <w:t xml:space="preserve"> aber, ob</w:t>
      </w:r>
      <w:r>
        <w:rPr>
          <w:rStyle w:val="Funotenanker"/>
        </w:rPr>
        <w:footnoteReference w:customMarkFollows="1" w:id="6149"/>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6150"/>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6151"/>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6152"/>
        <w:t>u</w:t>
      </w:r>
      <w:r>
        <w:rPr/>
        <w:t>, nach dem aber, was vor mir liegt, strecke ich mich aus</w:t>
      </w:r>
      <w:r>
        <w:rPr>
          <w:rStyle w:val="Funotenanker"/>
        </w:rPr>
        <w:footnoteReference w:customMarkFollows="1" w:id="6153"/>
        <w:t>v</w:t>
      </w:r>
      <w:r>
        <w:rPr/>
        <w:t xml:space="preserve">.{{field-off:bible}} </w:t>
        <w:br/>
        <w:t>[[@BibleTOBIBLE:Php 3:14]]</w:t>
      </w:r>
      <w:r>
        <w:rPr>
          <w:b/>
        </w:rPr>
        <w:t>14</w:t>
      </w:r>
      <w:r>
        <w:rPr/>
        <w:t xml:space="preserve"> {{field-on:bible}}Ich laufe nach dem Ziel um den Kampfpreis der Berufung von oben durch Gott in Christus Jesus.{{field-off:bible}} </w:t>
        <w:br/>
        <w:t>[[@BibleTOBIBLE:Php 3:15]]</w:t>
      </w:r>
      <w:r>
        <w:rPr>
          <w:b/>
        </w:rPr>
        <w:t>15</w:t>
      </w:r>
      <w:r>
        <w:rPr/>
        <w:t xml:space="preserve"> {{field-on:bible}}Soweit wir nun Eingeweihte</w:t>
      </w:r>
      <w:r>
        <w:rPr>
          <w:rStyle w:val="Funotenanker"/>
        </w:rPr>
        <w:footnoteReference w:customMarkFollows="1" w:id="6154"/>
        <w:t>w</w:t>
      </w:r>
      <w:r>
        <w:rPr/>
        <w:t xml:space="preserve"> </w:t>
      </w:r>
      <w:r>
        <w:rPr>
          <w:b/>
          <w:color w:val="808080"/>
        </w:rPr>
        <w:t>[</w:t>
      </w:r>
      <w:r>
        <w:rPr/>
        <w:t>sind</w:t>
      </w:r>
      <w:r>
        <w:rPr>
          <w:b/>
          <w:color w:val="808080"/>
        </w:rPr>
        <w:t>]</w:t>
      </w:r>
      <w:r>
        <w:rPr/>
        <w:t xml:space="preserve">, lasst uns darauf bedacht sein </w:t>
      </w:r>
      <w:r>
        <w:rPr>
          <w:color w:val="808080"/>
        </w:rPr>
        <w:t>(das im Sinn haben)</w:t>
      </w:r>
      <w:r>
        <w:rPr/>
        <w:t xml:space="preserve">. Und wenn ihr etwas anderes wollt </w:t>
      </w:r>
      <w:r>
        <w:rPr>
          <w:color w:val="808080"/>
        </w:rPr>
        <w:t>(im Sinn habt)</w:t>
      </w:r>
      <w:r>
        <w:rPr/>
        <w:t xml:space="preserve">, wird Gott euch auch das offenbaren.{{field-off:bible}} </w:t>
        <w:br/>
        <w:t>[[@BibleTOBIBLE:Php 3:16]]</w:t>
      </w:r>
      <w:r>
        <w:rPr>
          <w:b/>
        </w:rPr>
        <w:t>16</w:t>
      </w:r>
      <w:r>
        <w:rPr/>
        <w:t xml:space="preserve"> {{field-on:bible}}Nur, was wir erreicht haben: lasst uns an das selbe halten</w:t>
      </w:r>
      <w:r>
        <w:rPr>
          <w:rStyle w:val="Funotenanker"/>
        </w:rPr>
        <w:footnoteReference w:customMarkFollows="1" w:id="6155"/>
        <w:t>x</w:t>
      </w:r>
      <w:r>
        <w:rPr/>
        <w:t xml:space="preserve">.{{field-off:bible}} </w:t>
        <w:br/>
        <w:t>[[@BibleTOBIBLE:Php 3:17]]</w:t>
      </w:r>
      <w:r>
        <w:rPr>
          <w:b/>
        </w:rPr>
        <w:t>17</w:t>
      </w:r>
      <w:r>
        <w:rPr/>
        <w:t xml:space="preserve"> {{field-on:bible}}Ahmt mit mir zusammen </w:t>
      </w:r>
      <w:r>
        <w:rPr>
          <w:b/>
          <w:color w:val="808080"/>
        </w:rPr>
        <w:t>[</w:t>
      </w:r>
      <w:r>
        <w:rPr/>
        <w:t>Christus</w:t>
      </w:r>
      <w:r>
        <w:rPr>
          <w:b/>
          <w:color w:val="808080"/>
        </w:rPr>
        <w:t>]</w:t>
      </w:r>
      <w:r>
        <w:rPr/>
        <w:t xml:space="preserve"> nach</w:t>
      </w:r>
      <w:r>
        <w:rPr>
          <w:rStyle w:val="Funotenanker"/>
        </w:rPr>
        <w:footnoteReference w:customMarkFollows="1" w:id="6156"/>
        <w:t>y</w:t>
      </w:r>
      <w:r>
        <w:rPr/>
        <w:t xml:space="preserve">, Geschwister </w:t>
      </w:r>
      <w:r>
        <w:rPr>
          <w:rStyle w:val="Funotenanker"/>
        </w:rPr>
        <w:footnoteReference w:customMarkFollows="1" w:id="6157"/>
        <w:t>z</w:t>
      </w:r>
      <w:r>
        <w:rPr/>
        <w:t xml:space="preserve"> und blickt auf die, die so </w:t>
      </w:r>
      <w:r>
        <w:rPr>
          <w:color w:val="808080"/>
        </w:rPr>
        <w:t>(wandeln =)</w:t>
      </w:r>
      <w:r>
        <w:rPr/>
        <w:t xml:space="preserve"> handeln </w:t>
      </w:r>
      <w:r>
        <w:rPr>
          <w:color w:val="808080"/>
        </w:rPr>
        <w:t>(leben)</w:t>
      </w:r>
      <w:r>
        <w:rPr/>
        <w:t xml:space="preserve"> </w:t>
      </w:r>
      <w:r>
        <w:rPr>
          <w:rStyle w:val="Funotenanker"/>
        </w:rPr>
        <w:footnoteReference w:customMarkFollows="1" w:id="6158"/>
        <w:t>aa</w:t>
      </w:r>
      <w:r>
        <w:rPr/>
        <w:t xml:space="preserve">, wie ihr uns als Vorbild habt.{{field-off:bible}} </w:t>
        <w:br/>
        <w:t>[[@BibleTOBIBLE:Php 3:18]]</w:t>
      </w:r>
      <w:r>
        <w:rPr>
          <w:b/>
        </w:rPr>
        <w:t>18</w:t>
      </w:r>
      <w:r>
        <w:rPr/>
        <w:t xml:space="preserve"> {{field-on:bible}}Denn viele </w:t>
      </w:r>
      <w:r>
        <w:rPr>
          <w:color w:val="808080"/>
        </w:rPr>
        <w:t>(wandeln =)</w:t>
      </w:r>
      <w:r>
        <w:rPr/>
        <w:t xml:space="preserve"> leben, von denen ich euch oft gesprochen habe, nun aber spreche ich </w:t>
      </w:r>
      <w:r>
        <w:rPr>
          <w:rStyle w:val="Funotenanker"/>
        </w:rPr>
        <w:footnoteReference w:customMarkFollows="1" w:id="6159"/>
        <w:t>ab</w:t>
      </w:r>
      <w:r>
        <w:rPr/>
        <w:t xml:space="preserve"> mit Tränen</w:t>
      </w:r>
      <w:r>
        <w:rPr>
          <w:rStyle w:val="Funotenanker"/>
        </w:rPr>
        <w:footnoteReference w:customMarkFollows="1" w:id="6160"/>
        <w:t>ac</w:t>
      </w:r>
      <w:r>
        <w:rPr/>
        <w:t xml:space="preserve"> über die Feinde des Kreuzes Christi,{{field-off:bible}} </w:t>
        <w:br/>
        <w:t>[[@BibleTOBIBLE:Php 3:19]]</w:t>
      </w:r>
      <w:r>
        <w:rPr>
          <w:b/>
        </w:rPr>
        <w:t>19</w:t>
      </w:r>
      <w:r>
        <w:rPr/>
        <w:t xml:space="preserve"> {{field-on:bible}}deren Ziel Verderben</w:t>
      </w:r>
      <w:r>
        <w:rPr>
          <w:rStyle w:val="Funotenanker"/>
        </w:rPr>
        <w:footnoteReference w:customMarkFollows="1" w:id="6161"/>
        <w:t>ad</w:t>
      </w:r>
      <w:r>
        <w:rPr/>
        <w:t xml:space="preserve"> </w:t>
      </w:r>
      <w:r>
        <w:rPr>
          <w:b/>
          <w:color w:val="808080"/>
        </w:rPr>
        <w:t>[</w:t>
      </w:r>
      <w:r>
        <w:rPr/>
        <w:t>ist</w:t>
      </w:r>
      <w:r>
        <w:rPr>
          <w:b/>
          <w:color w:val="808080"/>
        </w:rPr>
        <w:t>]</w:t>
      </w:r>
      <w:r>
        <w:rPr/>
        <w:t xml:space="preserve">, deren Gott der Bauch </w:t>
      </w:r>
      <w:r>
        <w:rPr>
          <w:b/>
          <w:color w:val="808080"/>
        </w:rPr>
        <w:t>[</w:t>
      </w:r>
      <w:r>
        <w:rPr/>
        <w:t>ist</w:t>
      </w:r>
      <w:r>
        <w:rPr>
          <w:b/>
          <w:color w:val="808080"/>
        </w:rPr>
        <w:t>]</w:t>
      </w:r>
      <w:r>
        <w:rPr/>
        <w:t xml:space="preserve"> und deren Ehre </w:t>
      </w:r>
      <w:r>
        <w:rPr>
          <w:color w:val="808080"/>
        </w:rPr>
        <w:t>(Ruhm)</w:t>
      </w:r>
      <w:r>
        <w:rPr/>
        <w:t xml:space="preserve"> </w:t>
      </w:r>
      <w:r>
        <w:rPr>
          <w:color w:val="808080"/>
        </w:rPr>
        <w:t>(in ihrer Schande =)</w:t>
      </w:r>
      <w:r>
        <w:rPr/>
        <w:t xml:space="preserve"> in dem, was ihnen Schande macht, </w:t>
      </w:r>
      <w:r>
        <w:rPr>
          <w:b/>
          <w:color w:val="808080"/>
        </w:rPr>
        <w:t>[</w:t>
      </w:r>
      <w:r>
        <w:rPr/>
        <w:t>besteht</w:t>
      </w:r>
      <w:r>
        <w:rPr>
          <w:b/>
          <w:color w:val="808080"/>
        </w:rPr>
        <w:t>]</w:t>
      </w:r>
      <w:r>
        <w:rPr/>
        <w:t xml:space="preserve">, die auf irdische Dinge bedacht sind.{{field-off:bible}} </w:t>
        <w:br/>
        <w:t>[[@BibleTOBIBLE:Php 3:20]]</w:t>
      </w:r>
      <w:r>
        <w:rPr>
          <w:b/>
        </w:rPr>
        <w:t>20</w:t>
      </w:r>
      <w:r>
        <w:rPr/>
        <w:t xml:space="preserve"> {{field-on:bible}}Denn unser Gemeinwesen </w:t>
      </w:r>
      <w:r>
        <w:rPr>
          <w:color w:val="808080"/>
        </w:rPr>
        <w:t>(Staat)</w:t>
      </w:r>
      <w:r>
        <w:rPr/>
        <w:t xml:space="preserve"> befindet sich im Himmel</w:t>
      </w:r>
      <w:r>
        <w:rPr>
          <w:rStyle w:val="Funotenanker"/>
        </w:rPr>
        <w:footnoteReference w:customMarkFollows="1" w:id="6162"/>
        <w:t>ae</w:t>
      </w:r>
      <w:r>
        <w:rPr/>
        <w:t>, von wo</w:t>
      </w:r>
      <w:r>
        <w:rPr>
          <w:rStyle w:val="Funotenanker"/>
        </w:rPr>
        <w:footnoteReference w:customMarkFollows="1" w:id="6163"/>
        <w:t>af</w:t>
      </w:r>
      <w:r>
        <w:rPr/>
        <w:t xml:space="preserve"> wir auch als Retter erwarten den Herrn Jesus Christus,{{field-off:bible}} </w:t>
        <w:br/>
        <w:t>[[@BibleTOBIBLE:Php 3:21]]</w:t>
      </w:r>
      <w:r>
        <w:rPr>
          <w:b/>
        </w:rPr>
        <w:t>21</w:t>
      </w:r>
      <w:r>
        <w:rPr/>
        <w:t xml:space="preserve"> {{field-on:bible}}der umgestalten </w:t>
      </w:r>
      <w:r>
        <w:rPr>
          <w:color w:val="808080"/>
        </w:rPr>
        <w:t>(verwandeln)</w:t>
      </w:r>
      <w:r>
        <w:rPr/>
        <w:t xml:space="preserve"> wird unseren Niedrigkeitsleib</w:t>
      </w:r>
      <w:r>
        <w:rPr>
          <w:rStyle w:val="Funotenanker"/>
        </w:rPr>
        <w:footnoteReference w:customMarkFollows="1" w:id="6164"/>
        <w:t>ag</w:t>
      </w:r>
      <w:r>
        <w:rPr/>
        <w:t xml:space="preserve"> gleichgestaltet seinem Herrlichkeitsleib</w:t>
      </w:r>
      <w:r>
        <w:rPr>
          <w:rStyle w:val="Funotenanker"/>
        </w:rPr>
        <w:footnoteReference w:customMarkFollows="1" w:id="6165"/>
        <w:t>ah</w:t>
      </w:r>
      <w:r>
        <w:rPr/>
        <w:t xml:space="preserve"> auf Grund der wirksamen Kraft, die ihn befähigt, sich ihm alles zu unterwerfen.{{field-off:bible}} </w:t>
      </w:r>
    </w:p>
    <w:p>
      <w:pPr>
        <w:pStyle w:val="Berschrift3"/>
        <w:rPr/>
      </w:pPr>
      <w:r>
        <w:rPr/>
        <w:t>[[@BibleTOBIBLE:Php 4]]Kapitel 4</w:t>
      </w:r>
    </w:p>
    <w:p>
      <w:pPr>
        <w:pStyle w:val="Textkrper"/>
        <w:rPr/>
      </w:pPr>
      <w:r>
        <w:rPr/>
        <w:br/>
        <w:t>[[@BibleTOBIBLE:Php 4:1]]</w:t>
      </w:r>
      <w:r>
        <w:rPr>
          <w:b/>
        </w:rPr>
        <w:t>1</w:t>
      </w:r>
      <w:r>
        <w:rPr/>
        <w:t xml:space="preserve"> {{field-on:bible}} </w:t>
      </w:r>
      <w:r>
        <w:rPr>
          <w:rStyle w:val="Funotenanker"/>
        </w:rPr>
        <w:footnoteReference w:customMarkFollows="1" w:id="6166"/>
        <w:t>Status</w:t>
      </w:r>
      <w:r>
        <w:rPr/>
        <w:t xml:space="preserve"> Daher </w:t>
      </w:r>
      <w:r>
        <w:rPr>
          <w:color w:val="808080"/>
        </w:rPr>
        <w:t>(Deshalb, Also)</w:t>
      </w:r>
      <w:r>
        <w:rPr/>
        <w:t>, meine geliebten und herbeigesehnten Geschwister</w:t>
      </w:r>
      <w:r>
        <w:rPr>
          <w:rStyle w:val="Funotenanker"/>
        </w:rPr>
        <w:footnoteReference w:customMarkFollows="1" w:id="6167"/>
        <w:t>a</w:t>
      </w:r>
      <w:r>
        <w:rPr/>
        <w:t>, meine Freude und Schmuck</w:t>
      </w:r>
      <w:r>
        <w:rPr>
          <w:rStyle w:val="Funotenanker"/>
        </w:rPr>
        <w:footnoteReference w:customMarkFollows="1" w:id="6168"/>
        <w:t>b</w:t>
      </w:r>
      <w:r>
        <w:rPr/>
        <w:t xml:space="preserve">, auf solche Weise steht fest im Herrn, Geliebte.{{field-off:bible}} </w:t>
        <w:br/>
        <w:t>[[@BibleTOBIBLE:Php 4:2]]</w:t>
      </w:r>
      <w:r>
        <w:rPr>
          <w:b/>
        </w:rPr>
        <w:t>2</w:t>
      </w:r>
      <w:r>
        <w:rPr/>
        <w:t xml:space="preserve"> {{field-on:bible}}Euodia bitte ich und Syntyche </w:t>
      </w:r>
      <w:r>
        <w:rPr>
          <w:strike/>
          <w:color w:val="808080"/>
        </w:rPr>
        <w:t>{bitte ich}</w:t>
      </w:r>
      <w:r>
        <w:rPr/>
        <w:t xml:space="preserve">, einnmütig zu sein </w:t>
      </w:r>
      <w:r>
        <w:rPr>
          <w:color w:val="808080"/>
        </w:rPr>
        <w:t>(dasselbe zu denken)</w:t>
      </w:r>
      <w:r>
        <w:rPr/>
        <w:t xml:space="preserve"> im Herrn.{{field-off:bible}} </w:t>
        <w:br/>
        <w:t>[[@BibleTOBIBLE:Php 4:3]]</w:t>
      </w:r>
      <w:r>
        <w:rPr>
          <w:b/>
        </w:rPr>
        <w:t>3</w:t>
      </w:r>
      <w:r>
        <w:rPr/>
        <w:t xml:space="preserve"> {{field-on:bible}}Ja, ich bitte auch dich, rechter </w:t>
      </w:r>
      <w:r>
        <w:rPr>
          <w:color w:val="808080"/>
        </w:rPr>
        <w:t>(„waschechter“)</w:t>
      </w:r>
      <w:r>
        <w:rPr/>
        <w:t xml:space="preserve"> Gefährte </w:t>
      </w:r>
      <w:r>
        <w:rPr>
          <w:color w:val="808080"/>
        </w:rPr>
        <w:t>(Genosse)</w:t>
      </w:r>
      <w:r>
        <w:rPr/>
        <w:t xml:space="preserve"> </w:t>
      </w:r>
      <w:r>
        <w:rPr>
          <w:rStyle w:val="Funotenanker"/>
        </w:rPr>
        <w:footnoteReference w:customMarkFollows="1" w:id="6169"/>
        <w:t>c</w:t>
      </w:r>
      <w:r>
        <w:rPr/>
        <w:t xml:space="preserve">, steh ihnen bei </w:t>
      </w:r>
      <w:r>
        <w:rPr>
          <w:color w:val="808080"/>
        </w:rPr>
        <w:t>(hilf ihnen)</w:t>
      </w:r>
      <w:r>
        <w:rPr/>
        <w:t xml:space="preserve">, die mit mir zusammen im Evangelium gekämpft haben mit Clemens und meinen übrigen Mitarbeitern, deren Namen im Buch des Lebens </w:t>
      </w:r>
      <w:r>
        <w:rPr>
          <w:b/>
          <w:color w:val="808080"/>
        </w:rPr>
        <w:t>[</w:t>
      </w:r>
      <w:r>
        <w:rPr/>
        <w:t>sind, stehen</w:t>
      </w:r>
      <w:r>
        <w:rPr>
          <w:b/>
          <w:color w:val="808080"/>
        </w:rPr>
        <w:t>]</w:t>
      </w:r>
      <w:r>
        <w:rPr/>
        <w:t xml:space="preserve">.{{field-off:bible}} </w:t>
        <w:br/>
        <w:t>[[@BibleTOBIBLE:Php 4:4]]</w:t>
      </w:r>
      <w:r>
        <w:rPr>
          <w:b/>
        </w:rPr>
        <w:t>4</w:t>
      </w:r>
      <w:r>
        <w:rPr/>
        <w:t xml:space="preserve"> {{field-on:bible}}Freut euch immer </w:t>
      </w:r>
      <w:r>
        <w:rPr>
          <w:color w:val="808080"/>
        </w:rPr>
        <w:t>(stets)</w:t>
      </w:r>
      <w:r>
        <w:rPr/>
        <w:t xml:space="preserve"> im Herrn! Aufs neue </w:t>
      </w:r>
      <w:r>
        <w:rPr>
          <w:color w:val="808080"/>
        </w:rPr>
        <w:t>(Nochmals, Wiederum)</w:t>
      </w:r>
      <w:r>
        <w:rPr/>
        <w:t xml:space="preserve"> werde ich sagen: freut euch!{{field-off:bible}} </w:t>
        <w:br/>
        <w:t>[[@BibleTOBIBLE:Php 4:5]]</w:t>
      </w:r>
      <w:r>
        <w:rPr>
          <w:b/>
        </w:rPr>
        <w:t>5</w:t>
      </w:r>
      <w:r>
        <w:rPr/>
        <w:t xml:space="preserve"> {{field-on:bible}}Eure Güte lasst alle Menschen erfahren. Der Herr </w:t>
      </w:r>
      <w:r>
        <w:rPr>
          <w:b/>
          <w:color w:val="808080"/>
        </w:rPr>
        <w:t>[</w:t>
      </w:r>
      <w:r>
        <w:rPr/>
        <w:t>ist</w:t>
      </w:r>
      <w:r>
        <w:rPr>
          <w:b/>
          <w:color w:val="808080"/>
        </w:rPr>
        <w:t>]</w:t>
      </w:r>
      <w:r>
        <w:rPr/>
        <w:t xml:space="preserve"> nahe!{{field-off:bible}} </w:t>
        <w:br/>
        <w:t>[[@BibleTOBIBLE:Php 4:6]]</w:t>
      </w:r>
      <w:r>
        <w:rPr>
          <w:b/>
        </w:rPr>
        <w:t>6</w:t>
      </w:r>
      <w:r>
        <w:rPr/>
        <w:t xml:space="preserve"> {{field-on:bible}}Um nichts sorgt euch, sondern in jedem Gebet und </w:t>
      </w:r>
      <w:r>
        <w:rPr>
          <w:b/>
          <w:color w:val="808080"/>
        </w:rPr>
        <w:t>[</w:t>
      </w:r>
      <w:r>
        <w:rPr/>
        <w:t>jeder</w:t>
      </w:r>
      <w:r>
        <w:rPr>
          <w:b/>
          <w:color w:val="808080"/>
        </w:rPr>
        <w:t>]</w:t>
      </w:r>
      <w:r>
        <w:rPr/>
        <w:t xml:space="preserve"> Bitte sollen eure Anliegen </w:t>
      </w:r>
      <w:r>
        <w:rPr>
          <w:color w:val="808080"/>
        </w:rPr>
        <w:t>(Bitten)</w:t>
      </w:r>
      <w:r>
        <w:rPr/>
        <w:t xml:space="preserve"> mit Danksagung Gott kundgetan </w:t>
      </w:r>
      <w:r>
        <w:rPr>
          <w:color w:val="808080"/>
        </w:rPr>
        <w:t>(zur Kenntnis gebracht)</w:t>
      </w:r>
      <w:r>
        <w:rPr/>
        <w:t xml:space="preserve"> werden.{{field-off:bible}} </w:t>
        <w:br/>
        <w:t>[[@BibleTOBIBLE:Php 4:7]]</w:t>
      </w:r>
      <w:r>
        <w:rPr>
          <w:b/>
        </w:rPr>
        <w:t>7</w:t>
      </w:r>
      <w:r>
        <w:rPr/>
        <w:t xml:space="preserve"> {{field-on:bible}}Und der Friede Gottes, der</w:t>
      </w:r>
      <w:r>
        <w:rPr>
          <w:rStyle w:val="Funotenanker"/>
        </w:rPr>
        <w:footnoteReference w:customMarkFollows="1" w:id="6170"/>
        <w:t>d</w:t>
      </w:r>
      <w:r>
        <w:rPr/>
        <w:t xml:space="preserve"> alle Vernunft übertrifft, bewahre </w:t>
      </w:r>
      <w:r>
        <w:rPr>
          <w:color w:val="808080"/>
        </w:rPr>
        <w:t>(beschütze, behüte)</w:t>
      </w:r>
      <w:r>
        <w:rPr/>
        <w:t xml:space="preserve"> eure Herzen und Gedanken in Christus Jesus.{{field-off:bible}} </w:t>
        <w:br/>
        <w:t>[[@BibleTOBIBLE:Php 4:8]]</w:t>
      </w:r>
      <w:r>
        <w:rPr>
          <w:b/>
        </w:rPr>
        <w:t>8</w:t>
      </w:r>
      <w:r>
        <w:rPr/>
        <w:t xml:space="preserve"> {{field-on:bible}}Im übrigen </w:t>
      </w:r>
      <w:r>
        <w:rPr>
          <w:color w:val="808080"/>
        </w:rPr>
        <w:t>(Außerdem, Weiterhin, Endlich)</w:t>
      </w:r>
      <w:r>
        <w:rPr/>
        <w:t>, Geschwister</w:t>
      </w:r>
      <w:r>
        <w:rPr>
          <w:rStyle w:val="Funotenanker"/>
        </w:rPr>
        <w:footnoteReference w:customMarkFollows="1" w:id="6171"/>
        <w:t>e</w:t>
      </w:r>
      <w:r>
        <w:rPr/>
        <w:t xml:space="preserve">, was wahr ist, was ehrbar </w:t>
      </w:r>
      <w:r>
        <w:rPr>
          <w:color w:val="808080"/>
        </w:rPr>
        <w:t>(ehrwürdig)</w:t>
      </w:r>
      <w:r>
        <w:rPr/>
        <w:t xml:space="preserve">, was gerecht, was rein, was angenehm </w:t>
      </w:r>
      <w:r>
        <w:rPr>
          <w:color w:val="808080"/>
        </w:rPr>
        <w:t>(beliebt, wohlgefällig)</w:t>
      </w:r>
      <w:r>
        <w:rPr/>
        <w:t xml:space="preserve">, was wohltuend </w:t>
      </w:r>
      <w:r>
        <w:rPr>
          <w:color w:val="808080"/>
        </w:rPr>
        <w:t>(glückverheißend, löblich, anziehend, ansprechend)</w:t>
      </w:r>
      <w:r>
        <w:rPr/>
        <w:t>, ob</w:t>
      </w:r>
      <w:r>
        <w:rPr>
          <w:rStyle w:val="Funotenanker"/>
        </w:rPr>
        <w:footnoteReference w:customMarkFollows="1" w:id="6172"/>
        <w:t>f</w:t>
      </w:r>
      <w:r>
        <w:rPr/>
        <w:t xml:space="preserve"> irgendeiner Tugend </w:t>
      </w:r>
      <w:r>
        <w:rPr>
          <w:b/>
          <w:color w:val="808080"/>
        </w:rPr>
        <w:t>[</w:t>
      </w:r>
      <w:r>
        <w:rPr/>
        <w:t>hat</w:t>
      </w:r>
      <w:r>
        <w:rPr>
          <w:b/>
          <w:color w:val="808080"/>
        </w:rPr>
        <w:t>]</w:t>
      </w:r>
      <w:r>
        <w:rPr/>
        <w:t xml:space="preserve"> und ob irgendeiner Lob </w:t>
      </w:r>
      <w:r>
        <w:rPr>
          <w:b/>
          <w:color w:val="808080"/>
        </w:rPr>
        <w:t>[</w:t>
      </w:r>
      <w:r>
        <w:rPr/>
        <w:t>verdient</w:t>
      </w:r>
      <w:r>
        <w:rPr>
          <w:b/>
          <w:color w:val="808080"/>
        </w:rPr>
        <w:t>]</w:t>
      </w:r>
      <w:r>
        <w:rPr/>
        <w:t xml:space="preserve">, das bedenkt.{{field-off:bible}} </w:t>
        <w:br/>
        <w:t>[[@BibleTOBIBLE:Php 4:9]]</w:t>
      </w:r>
      <w:r>
        <w:rPr>
          <w:b/>
        </w:rPr>
        <w:t>9</w:t>
      </w:r>
      <w:r>
        <w:rPr/>
        <w:t xml:space="preserve"> {{field-on:bible}}Und was ihr bei mir gelernt und </w:t>
      </w:r>
      <w:r>
        <w:rPr>
          <w:b/>
          <w:color w:val="808080"/>
        </w:rPr>
        <w:t>[</w:t>
      </w:r>
      <w:r>
        <w:rPr/>
        <w:t>von mir</w:t>
      </w:r>
      <w:r>
        <w:rPr>
          <w:b/>
          <w:color w:val="808080"/>
        </w:rPr>
        <w:t>]</w:t>
      </w:r>
      <w:r>
        <w:rPr/>
        <w:t xml:space="preserve"> übernommen und gehört und gesehen habt, das tut. Und der Gott des Friedens sei mit euch.{{field-off:bible}} </w:t>
        <w:br/>
        <w:t>[[@BibleTOBIBLE:Php 4:10]]</w:t>
      </w:r>
      <w:r>
        <w:rPr>
          <w:b/>
        </w:rPr>
        <w:t>10</w:t>
      </w:r>
      <w:r>
        <w:rPr/>
        <w:t xml:space="preserve"> {{field-on:bible}}Ich freute mich aber sehr im Herrn, weil </w:t>
      </w:r>
      <w:r>
        <w:rPr>
          <w:color w:val="808080"/>
        </w:rPr>
        <w:t>(dass)</w:t>
      </w:r>
      <w:r>
        <w:rPr/>
        <w:t xml:space="preserve"> ihr endlich einmal aufgeblüht seid, was eure Fürsorge für mich betrifft </w:t>
      </w:r>
      <w:r>
        <w:rPr>
          <w:rStyle w:val="Funotenanker"/>
        </w:rPr>
        <w:footnoteReference w:customMarkFollows="1" w:id="6173"/>
        <w:t>g</w:t>
      </w:r>
      <w:r>
        <w:rPr/>
        <w:t>, denn ihr dachtet</w:t>
      </w:r>
      <w:r>
        <w:rPr>
          <w:rStyle w:val="Funotenanker"/>
        </w:rPr>
        <w:footnoteReference w:customMarkFollows="1" w:id="6174"/>
        <w:t>h</w:t>
      </w:r>
      <w:r>
        <w:rPr/>
        <w:t xml:space="preserve"> </w:t>
      </w:r>
      <w:r>
        <w:rPr>
          <w:b/>
          <w:color w:val="808080"/>
        </w:rPr>
        <w:t>[</w:t>
      </w:r>
      <w:r>
        <w:rPr/>
        <w:t>an mich</w:t>
      </w:r>
      <w:r>
        <w:rPr>
          <w:b/>
          <w:color w:val="808080"/>
        </w:rPr>
        <w:t>]</w:t>
      </w:r>
      <w:r>
        <w:rPr/>
        <w:t>, fandet aber keine Gelegenheit</w:t>
      </w:r>
      <w:r>
        <w:rPr>
          <w:rStyle w:val="Funotenanker"/>
        </w:rPr>
        <w:footnoteReference w:customMarkFollows="1" w:id="6175"/>
        <w:t>i</w:t>
      </w:r>
      <w:r>
        <w:rPr/>
        <w:t xml:space="preserve">.{{field-off:bible}} </w:t>
        <w:br/>
        <w:t>[[@BibleTOBIBLE:Php 4:11]]</w:t>
      </w:r>
      <w:r>
        <w:rPr>
          <w:b/>
        </w:rPr>
        <w:t>11</w:t>
      </w:r>
      <w:r>
        <w:rPr/>
        <w:t xml:space="preserve"> {{field-on:bible}}Nicht, dass ich bedürftig wäre</w:t>
      </w:r>
      <w:r>
        <w:rPr>
          <w:rStyle w:val="Funotenanker"/>
        </w:rPr>
        <w:footnoteReference w:customMarkFollows="1" w:id="6176"/>
        <w:t>j</w:t>
      </w:r>
      <w:r>
        <w:rPr/>
        <w:t xml:space="preserve">, ich habe nämlich gelernt, wo </w:t>
      </w:r>
      <w:r>
        <w:rPr>
          <w:color w:val="808080"/>
        </w:rPr>
        <w:t>(= bei wem)</w:t>
      </w:r>
      <w:r>
        <w:rPr/>
        <w:t xml:space="preserve"> ich bin, genügsam zu sein.{{field-off:bible}} </w:t>
        <w:br/>
        <w:t>[[@BibleTOBIBLE:Php 4:12]]</w:t>
      </w:r>
      <w:r>
        <w:rPr>
          <w:b/>
        </w:rPr>
        <w:t>12</w:t>
      </w:r>
      <w:r>
        <w:rPr/>
        <w:t xml:space="preserve"> {{field-on:bible}}Ich bin einerseits</w:t>
      </w:r>
      <w:r>
        <w:rPr>
          <w:rStyle w:val="Funotenanker"/>
        </w:rPr>
        <w:footnoteReference w:customMarkFollows="1" w:id="6177"/>
        <w:t>k</w:t>
      </w:r>
      <w:r>
        <w:rPr/>
        <w:t xml:space="preserve"> imstande </w:t>
      </w:r>
      <w:r>
        <w:rPr>
          <w:color w:val="808080"/>
        </w:rPr>
        <w:t>(ich verstehe)</w:t>
      </w:r>
      <w:r>
        <w:rPr/>
        <w:t xml:space="preserve">, mich zu kasteien, andererseits </w:t>
      </w:r>
      <w:r>
        <w:rPr>
          <w:strike/>
          <w:color w:val="808080"/>
        </w:rPr>
        <w:t>{bin ich imstande}</w:t>
      </w:r>
      <w:r>
        <w:rPr/>
        <w:t xml:space="preserve">, es mir gut gehen zu lassen </w:t>
      </w:r>
      <w:r>
        <w:rPr>
          <w:color w:val="808080"/>
        </w:rPr>
        <w:t>(Überfluss zu haben)</w:t>
      </w:r>
      <w:r>
        <w:rPr/>
        <w:t xml:space="preserve">. Ich bin durchaus </w:t>
      </w:r>
      <w:r>
        <w:rPr>
          <w:color w:val="808080"/>
        </w:rPr>
        <w:t>(in allem, in jeder Beziehung)</w:t>
      </w:r>
      <w:r>
        <w:rPr/>
        <w:t xml:space="preserve"> und in jeder Hinsicht </w:t>
      </w:r>
      <w:r>
        <w:rPr>
          <w:color w:val="808080"/>
        </w:rPr>
        <w:t>(in allen Stücken)</w:t>
      </w:r>
      <w:r>
        <w:rPr/>
        <w:t xml:space="preserve"> eingeweiht, sowohl satt sein </w:t>
      </w:r>
      <w:r>
        <w:rPr>
          <w:color w:val="808080"/>
        </w:rPr>
        <w:t>(satt werden)</w:t>
      </w:r>
      <w:r>
        <w:rPr/>
        <w:t>, als auch hungern, sowohl Überfluss haben wie</w:t>
      </w:r>
      <w:r>
        <w:rPr>
          <w:rStyle w:val="Funotenanker"/>
        </w:rPr>
        <w:footnoteReference w:customMarkFollows="1" w:id="6178"/>
        <w:t>l</w:t>
      </w:r>
      <w:r>
        <w:rPr/>
        <w:t xml:space="preserve"> Mangel leiden.{{field-off:bible}} </w:t>
        <w:br/>
        <w:t>[[@BibleTOBIBLE:Php 4:13]]</w:t>
      </w:r>
      <w:r>
        <w:rPr>
          <w:b/>
        </w:rPr>
        <w:t>13</w:t>
      </w:r>
      <w:r>
        <w:rPr/>
        <w:t xml:space="preserve"> {{field-on:bible}}Alles vermag ich durch den, der</w:t>
      </w:r>
      <w:r>
        <w:rPr>
          <w:rStyle w:val="Funotenanker"/>
        </w:rPr>
        <w:footnoteReference w:customMarkFollows="1" w:id="6179"/>
        <w:t>m</w:t>
      </w:r>
      <w:r>
        <w:rPr/>
        <w:t xml:space="preserve"> mich stark macht.{{field-off:bible}} </w:t>
        <w:br/>
        <w:t>[[@BibleTOBIBLE:Php 4:14]]</w:t>
      </w:r>
      <w:r>
        <w:rPr>
          <w:b/>
        </w:rPr>
        <w:t>14</w:t>
      </w:r>
      <w:r>
        <w:rPr/>
        <w:t xml:space="preserve"> {{field-on:bible}}Jedoch </w:t>
      </w:r>
      <w:r>
        <w:rPr>
          <w:color w:val="808080"/>
        </w:rPr>
        <w:t>(indessen)</w:t>
      </w:r>
      <w:r>
        <w:rPr/>
        <w:t xml:space="preserve"> habt ihr gut gehandelt, dass ihr an meiner Bedrängnis Anteil genommen habt</w:t>
      </w:r>
      <w:r>
        <w:rPr>
          <w:rStyle w:val="Funotenanker"/>
        </w:rPr>
        <w:footnoteReference w:customMarkFollows="1" w:id="6180"/>
        <w:t>n</w:t>
      </w:r>
      <w:r>
        <w:rPr/>
        <w:t xml:space="preserve">.{{field-off:bible}} </w:t>
        <w:br/>
        <w:t>[[@BibleTOBIBLE:Php 4:15]]</w:t>
      </w:r>
      <w:r>
        <w:rPr>
          <w:b/>
        </w:rPr>
        <w:t>15</w:t>
      </w:r>
      <w:r>
        <w:rPr/>
        <w:t xml:space="preserve"> {{field-on:bible}}Aber auch ihr Philipper</w:t>
      </w:r>
      <w:r>
        <w:rPr>
          <w:rStyle w:val="Funotenanker"/>
        </w:rPr>
        <w:footnoteReference w:customMarkFollows="1" w:id="6181"/>
        <w:t>o</w:t>
      </w:r>
      <w:r>
        <w:rPr/>
        <w:t xml:space="preserve"> wisst, dass am Beginn des Evangeliums, als ich von Mazedonien loszog </w:t>
      </w:r>
      <w:r>
        <w:rPr>
          <w:color w:val="808080"/>
        </w:rPr>
        <w:t>(auszog)</w:t>
      </w:r>
      <w:r>
        <w:rPr/>
        <w:t>, mir keine Gemeinde Anteil gewährte in Abrechnung</w:t>
      </w:r>
      <w:r>
        <w:rPr>
          <w:rStyle w:val="Funotenanker"/>
        </w:rPr>
        <w:footnoteReference w:customMarkFollows="1" w:id="6182"/>
        <w:t>p</w:t>
      </w:r>
      <w:r>
        <w:rPr/>
        <w:t xml:space="preserve"> des Gebens und Nehmens </w:t>
      </w:r>
      <w:r>
        <w:rPr>
          <w:color w:val="808080"/>
        </w:rPr>
        <w:t>(der Ausgaben und Einnahmen)</w:t>
      </w:r>
      <w:r>
        <w:rPr/>
        <w:t xml:space="preserve"> als ihr allein,{{field-off:bible}} </w:t>
        <w:br/>
        <w:t>[[@BibleTOBIBLE:Php 4:16]]</w:t>
      </w:r>
      <w:r>
        <w:rPr>
          <w:b/>
        </w:rPr>
        <w:t>16</w:t>
      </w:r>
      <w:r>
        <w:rPr/>
        <w:t xml:space="preserve"> {{field-on:bible}}weil ihr mir auch nach Thessaloniki </w:t>
      </w:r>
      <w:r>
        <w:rPr>
          <w:color w:val="808080"/>
        </w:rPr>
        <w:t>(ein- bis zweimal =)</w:t>
      </w:r>
      <w:r>
        <w:rPr/>
        <w:t xml:space="preserve"> ein paarmal eine Zusendung machtet, um meinem Mangel abzuhelfen.{{field-off:bible}} </w:t>
        <w:br/>
        <w:t>[[@BibleTOBIBLE:Php 4:17]]</w:t>
      </w:r>
      <w:r>
        <w:rPr>
          <w:b/>
        </w:rPr>
        <w:t>17</w:t>
      </w:r>
      <w:r>
        <w:rPr/>
        <w:t xml:space="preserve"> {{field-on:bible}}Nicht, dass</w:t>
      </w:r>
      <w:r>
        <w:rPr>
          <w:rStyle w:val="Funotenanker"/>
        </w:rPr>
        <w:footnoteReference w:customMarkFollows="1" w:id="6183"/>
        <w:t>q</w:t>
      </w:r>
      <w:r>
        <w:rPr/>
        <w:t xml:space="preserve"> ich die </w:t>
      </w:r>
      <w:r>
        <w:rPr>
          <w:color w:val="808080"/>
        </w:rPr>
        <w:t>(Gabe =)</w:t>
      </w:r>
      <w:r>
        <w:rPr/>
        <w:t xml:space="preserve"> Zinsen suche, sondern ich wünsche </w:t>
      </w:r>
      <w:r>
        <w:rPr>
          <w:color w:val="808080"/>
        </w:rPr>
        <w:t>(die Frucht in ihrer reichlichen Fülle =)</w:t>
      </w:r>
      <w:r>
        <w:rPr/>
        <w:t xml:space="preserve"> den Profit, zu euren Gunsten verrechnet </w:t>
      </w:r>
      <w:r>
        <w:rPr>
          <w:color w:val="808080"/>
        </w:rPr>
        <w:t>(auf euer Konto gebucht)</w:t>
      </w:r>
      <w:r>
        <w:rPr/>
        <w:t xml:space="preserve"> </w:t>
      </w:r>
      <w:r>
        <w:rPr>
          <w:rStyle w:val="Funotenanker"/>
        </w:rPr>
        <w:footnoteReference w:customMarkFollows="1" w:id="6184"/>
        <w:t>r</w:t>
      </w:r>
      <w:r>
        <w:rPr/>
        <w:t xml:space="preserve">.{{field-off:bible}} </w:t>
        <w:br/>
        <w:t>[[@BibleTOBIBLE:Php 4:18]]</w:t>
      </w:r>
      <w:r>
        <w:rPr>
          <w:b/>
        </w:rPr>
        <w:t>18</w:t>
      </w:r>
      <w:r>
        <w:rPr/>
        <w:t xml:space="preserve"> {{field-on:bible}}Ich habe aber alles empfangen</w:t>
      </w:r>
      <w:r>
        <w:rPr>
          <w:rStyle w:val="Funotenanker"/>
        </w:rPr>
        <w:footnoteReference w:customMarkFollows="1" w:id="6185"/>
        <w:t>s</w:t>
      </w:r>
      <w:r>
        <w:rPr/>
        <w:t xml:space="preserve"> und lebe im Überfluss. Mir sind die Hände gefüllt, nachdem</w:t>
      </w:r>
      <w:r>
        <w:rPr>
          <w:rStyle w:val="Funotenanker"/>
        </w:rPr>
        <w:footnoteReference w:customMarkFollows="1" w:id="6186"/>
        <w:t>t</w:t>
      </w:r>
      <w:r>
        <w:rPr/>
        <w:t xml:space="preserve"> ich von Epaphroditus eure Gabe empfangen habe, ein wohlriechender Opferduft</w:t>
      </w:r>
      <w:r>
        <w:rPr>
          <w:rStyle w:val="Funotenanker"/>
        </w:rPr>
        <w:footnoteReference w:customMarkFollows="1" w:id="6187"/>
        <w:t>u</w:t>
      </w:r>
      <w:r>
        <w:rPr/>
        <w:t xml:space="preserve">, ein angenehmes Opfer, wohlgefällig dem Herrn.{{field-off:bible}} </w:t>
        <w:br/>
        <w:t>[[@BibleTOBIBLE:Php 4:19]]</w:t>
      </w:r>
      <w:r>
        <w:rPr>
          <w:b/>
        </w:rPr>
        <w:t>19</w:t>
      </w:r>
      <w:r>
        <w:rPr/>
        <w:t xml:space="preserve"> {{field-on:bible}}Mein Gott aber fülle all euren Mangel </w:t>
      </w:r>
      <w:r>
        <w:rPr>
          <w:color w:val="808080"/>
        </w:rPr>
        <w:t>(Bedarf, Not)</w:t>
      </w:r>
      <w:r>
        <w:rPr/>
        <w:t xml:space="preserve"> aus entsprechend seines Reichtums in der Herrlichkeit in Christus Jesus.{{field-off:bible}} </w:t>
        <w:br/>
        <w:t>[[@BibleTOBIBLE:Php 4:20]]</w:t>
      </w:r>
      <w:r>
        <w:rPr>
          <w:b/>
        </w:rPr>
        <w:t>20</w:t>
      </w:r>
      <w:r>
        <w:rPr/>
        <w:t xml:space="preserve"> {{field-on:bible}}Unserem Gott und Vater aber sei Ehre bis in die fernste Ewigkeit. Amen.{{field-off:bible}} </w:t>
        <w:br/>
        <w:t>[[@BibleTOBIBLE:Php 4:21]]</w:t>
      </w:r>
      <w:r>
        <w:rPr>
          <w:b/>
        </w:rPr>
        <w:t>21</w:t>
      </w:r>
      <w:r>
        <w:rPr/>
        <w:t xml:space="preserve"> {{field-on:bible}}Grüßt jeden Heiligen</w:t>
      </w:r>
      <w:r>
        <w:rPr>
          <w:rStyle w:val="Funotenanker"/>
        </w:rPr>
        <w:footnoteReference w:customMarkFollows="1" w:id="6188"/>
        <w:t>v</w:t>
      </w:r>
      <w:r>
        <w:rPr/>
        <w:t xml:space="preserve"> in Christus Jesus. Es grüßen euch die Geschwister</w:t>
      </w:r>
      <w:r>
        <w:rPr>
          <w:rStyle w:val="Funotenanker"/>
        </w:rPr>
        <w:footnoteReference w:customMarkFollows="1" w:id="6189"/>
        <w:t>w</w:t>
      </w:r>
      <w:r>
        <w:rPr/>
        <w:t xml:space="preserve">, die bei mir sind.{{field-off:bible}} </w:t>
        <w:br/>
        <w:t>[[@BibleTOBIBLE:Php 4:22]]</w:t>
      </w:r>
      <w:r>
        <w:rPr>
          <w:b/>
        </w:rPr>
        <w:t>22</w:t>
      </w:r>
      <w:r>
        <w:rPr/>
        <w:t xml:space="preserve"> {{field-on:bible}}Es grüßen euch alle Heiligen, am meisten aber die Kaisersklaven</w:t>
      </w:r>
      <w:r>
        <w:rPr>
          <w:rStyle w:val="Funotenanker"/>
        </w:rPr>
        <w:footnoteReference w:customMarkFollows="1" w:id="6190"/>
        <w:t>x</w:t>
      </w:r>
      <w:r>
        <w:rPr/>
        <w:t xml:space="preserve">.{{field-off:bible}} </w:t>
        <w:br/>
        <w:t>[[@BibleTOBIBLE:Php 4:23]]</w:t>
      </w:r>
      <w:r>
        <w:rPr>
          <w:b/>
        </w:rPr>
        <w:t>23</w:t>
      </w:r>
      <w:r>
        <w:rPr/>
        <w:t xml:space="preserve"> {{field-on:bible}}Die Gnade des Herrn Jesus Christus </w:t>
      </w:r>
      <w:r>
        <w:rPr>
          <w:b/>
          <w:color w:val="808080"/>
        </w:rPr>
        <w:t>[</w:t>
      </w:r>
      <w:r>
        <w:rPr/>
        <w:t>sei</w:t>
      </w:r>
      <w:r>
        <w:rPr>
          <w:b/>
          <w:color w:val="808080"/>
        </w:rPr>
        <w:t>]</w:t>
      </w:r>
      <w:r>
        <w:rPr/>
        <w:t xml:space="preserve"> mit eurem Geist.{{field-off:bible}}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6191"/>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6192"/>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6193"/>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6194"/>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6195"/>
        <w:t>d</w:t>
      </w:r>
      <w:r>
        <w:rPr/>
        <w:t xml:space="preserve"> in Christus </w:t>
      </w:r>
      <w:r>
        <w:rPr>
          <w:color w:val="808080"/>
        </w:rPr>
        <w:t>(an Christus Glaubenden)</w:t>
      </w:r>
      <w:r>
        <w:rPr/>
        <w:t xml:space="preserve"> </w:t>
      </w:r>
      <w:r>
        <w:rPr>
          <w:rStyle w:val="Funotenanker"/>
        </w:rPr>
        <w:footnoteReference w:customMarkFollows="1" w:id="6196"/>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6197"/>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6198"/>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6199"/>
        <w:t>h</w:t>
      </w:r>
      <w:r>
        <w:rPr/>
        <w:t xml:space="preserve"> gehört haben</w:t>
      </w:r>
      <w:r>
        <w:rPr>
          <w:rStyle w:val="Funotenanker"/>
        </w:rPr>
        <w:footnoteReference w:customMarkFollows="1" w:id="6200"/>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6201"/>
        <w:t>j</w:t>
      </w:r>
      <w:r>
        <w:rPr/>
        <w:t xml:space="preserve"> der </w:t>
      </w:r>
      <w:r>
        <w:rPr>
          <w:color w:val="808080"/>
        </w:rPr>
        <w:t>(durch die)</w:t>
      </w:r>
      <w:r>
        <w:rPr/>
        <w:t xml:space="preserve"> Hoffnung, die im Himmel</w:t>
      </w:r>
      <w:r>
        <w:rPr>
          <w:rStyle w:val="Funotenanker"/>
        </w:rPr>
        <w:footnoteReference w:customMarkFollows="1" w:id="6202"/>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6203"/>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6204"/>
        <w:t>m</w:t>
      </w:r>
      <w:r>
        <w:rPr/>
        <w:t xml:space="preserve"> gehört habt,{{field-off:bible}} </w:t>
        <w:br/>
        <w:t>[[@BibleTOBIBLE:Col 1:6]]</w:t>
      </w:r>
      <w:r>
        <w:rPr>
          <w:b/>
        </w:rPr>
        <w:t>6</w:t>
      </w:r>
      <w:r>
        <w:rPr/>
        <w:t xml:space="preserve"> {{field-on:bible}}das zu euch gekommen ist,</w:t>
      </w:r>
      <w:r>
        <w:rPr>
          <w:rStyle w:val="Funotenanker"/>
        </w:rPr>
        <w:footnoteReference w:customMarkFollows="1" w:id="6205"/>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6206"/>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6207"/>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6208"/>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6209"/>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6210"/>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6211"/>
        <w:t>t</w:t>
      </w:r>
      <w:r>
        <w:rPr/>
        <w:t xml:space="preserve"> gelernt habt, der ein treuer Diener Christi an unserer Stelle </w:t>
      </w:r>
      <w:r>
        <w:rPr>
          <w:color w:val="808080"/>
        </w:rPr>
        <w:t>(für euch)</w:t>
      </w:r>
      <w:r>
        <w:rPr/>
        <w:t xml:space="preserve"> </w:t>
      </w:r>
      <w:r>
        <w:rPr>
          <w:rStyle w:val="Funotenanker"/>
        </w:rPr>
        <w:footnoteReference w:customMarkFollows="1" w:id="6212"/>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6213"/>
        <w:t>v</w:t>
      </w:r>
      <w:r>
        <w:rPr/>
        <w:t xml:space="preserve"> deutlich gemacht </w:t>
      </w:r>
      <w:r>
        <w:rPr>
          <w:color w:val="808080"/>
        </w:rPr>
        <w:t>(aufgezeigt, offenbart)</w:t>
      </w:r>
      <w:r>
        <w:rPr/>
        <w:t xml:space="preserve"> hat.</w:t>
      </w:r>
      <w:r>
        <w:rPr>
          <w:rStyle w:val="Funotenanker"/>
        </w:rPr>
        <w:footnoteReference w:customMarkFollows="1" w:id="6214"/>
        <w:t>w</w:t>
      </w:r>
      <w:r>
        <w:rPr/>
        <w:t xml:space="preserve"> {{field-off:bible}} </w:t>
        <w:br/>
        <w:t>[[@BibleTOBIBLE:Col 1:21]]</w:t>
      </w:r>
      <w:r>
        <w:rPr>
          <w:b/>
        </w:rPr>
        <w:t>21</w:t>
      </w:r>
      <w:r>
        <w:rPr/>
        <w:t xml:space="preserve"> {{field-on:bible}} </w:t>
      </w:r>
      <w:r>
        <w:rPr>
          <w:rStyle w:val="Funotenanker"/>
        </w:rPr>
        <w:footnoteReference w:customMarkFollows="1" w:id="6215"/>
        <w:t>Status</w:t>
      </w:r>
      <w:r>
        <w:rPr/>
        <w:t xml:space="preserve"> und </w:t>
      </w:r>
      <w:r>
        <w:rPr>
          <w:b/>
          <w:color w:val="808080"/>
        </w:rPr>
        <w:t>[</w:t>
      </w:r>
      <w:r>
        <w:rPr/>
        <w:t>auch</w:t>
      </w:r>
      <w:r>
        <w:rPr>
          <w:b/>
          <w:color w:val="808080"/>
        </w:rPr>
        <w:t>]</w:t>
      </w:r>
      <w:r>
        <w:rPr/>
        <w:t xml:space="preserve"> euch:</w:t>
      </w:r>
      <w:r>
        <w:rPr>
          <w:rStyle w:val="Funotenanker"/>
        </w:rPr>
        <w:footnoteReference w:customMarkFollows="1" w:id="6216"/>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6217"/>
        <w:t>y</w:t>
      </w:r>
      <w:r>
        <w:rPr/>
        <w:t xml:space="preserve"> und innerlich </w:t>
      </w:r>
      <w:r>
        <w:rPr>
          <w:color w:val="808080"/>
        </w:rPr>
        <w:t>(in eurer Gesinnung, Denkweise, Geisteshaltung)</w:t>
      </w:r>
      <w:r>
        <w:rPr/>
        <w:t xml:space="preserve"> </w:t>
      </w:r>
      <w:r>
        <w:rPr>
          <w:rStyle w:val="Funotenanker"/>
        </w:rPr>
        <w:footnoteReference w:customMarkFollows="1" w:id="6218"/>
        <w:t>z</w:t>
      </w:r>
      <w:r>
        <w:rPr/>
        <w:t xml:space="preserve"> Feinde aufgrund </w:t>
      </w:r>
      <w:r>
        <w:rPr>
          <w:color w:val="808080"/>
        </w:rPr>
        <w:t>(in)</w:t>
      </w:r>
      <w:r>
        <w:rPr/>
        <w:t xml:space="preserve"> </w:t>
      </w:r>
      <w:r>
        <w:rPr>
          <w:rStyle w:val="Funotenanker"/>
        </w:rPr>
        <w:footnoteReference w:customMarkFollows="1" w:id="6219"/>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6220"/>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6221"/>
        <w:t>ac</w:t>
      </w:r>
      <w:r>
        <w:rPr/>
        <w:t xml:space="preserve"> seines fleischlichen Körpers</w:t>
      </w:r>
      <w:r>
        <w:rPr>
          <w:rStyle w:val="Funotenanker"/>
        </w:rPr>
        <w:footnoteReference w:customMarkFollows="1" w:id="6222"/>
        <w:t>ad</w:t>
      </w:r>
      <w:r>
        <w:rPr/>
        <w:t xml:space="preserve"> durch den Tod versöhnt</w:t>
      </w:r>
      <w:r>
        <w:rPr>
          <w:rStyle w:val="Funotenanker"/>
        </w:rPr>
        <w:footnoteReference w:customMarkFollows="1" w:id="6223"/>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6224"/>
        <w:t>af</w:t>
      </w:r>
      <w:r>
        <w:rPr/>
        <w:t xml:space="preserve"> zu präsentieren </w:t>
      </w:r>
      <w:r>
        <w:rPr>
          <w:color w:val="808080"/>
        </w:rPr>
        <w:t>(zu machen, vor sich hinzustellen)</w:t>
      </w:r>
      <w:r>
        <w:rPr/>
        <w:t xml:space="preserve"> </w:t>
      </w:r>
      <w:r>
        <w:rPr>
          <w:rStyle w:val="Funotenanker"/>
        </w:rPr>
        <w:footnoteReference w:customMarkFollows="1" w:id="6225"/>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6226"/>
        <w:t>ah</w:t>
      </w:r>
      <w:r>
        <w:rPr/>
        <w:t xml:space="preserve"> und sicher, und nicht von der Hoffnung des Evangeliums abgebracht werdet,</w:t>
      </w:r>
      <w:r>
        <w:rPr>
          <w:rStyle w:val="Funotenanker"/>
        </w:rPr>
        <w:footnoteReference w:customMarkFollows="1" w:id="6227"/>
        <w:t>ai</w:t>
      </w:r>
      <w:r>
        <w:rPr/>
        <w:t xml:space="preserve"> das ihr gehört habt, </w:t>
      </w:r>
      <w:r>
        <w:rPr>
          <w:b/>
          <w:color w:val="808080"/>
        </w:rPr>
        <w:t>[</w:t>
      </w:r>
      <w:r>
        <w:rPr/>
        <w:t>des Evangeliums</w:t>
      </w:r>
      <w:r>
        <w:rPr>
          <w:b/>
          <w:color w:val="808080"/>
        </w:rPr>
        <w:t>]</w:t>
      </w:r>
      <w:r>
        <w:rPr/>
        <w:t>,</w:t>
      </w:r>
      <w:r>
        <w:rPr>
          <w:rStyle w:val="Funotenanker"/>
        </w:rPr>
        <w:footnoteReference w:customMarkFollows="1" w:id="6228"/>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6229"/>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6230"/>
        <w:t>Status</w:t>
      </w:r>
      <w:r>
        <w:rPr/>
        <w:t xml:space="preserve"> </w:t>
      </w:r>
      <w:r>
        <w:rPr>
          <w:rStyle w:val="Funotenanker"/>
        </w:rPr>
        <w:footnoteReference w:customMarkFollows="1" w:id="6231"/>
        <w:t>al</w:t>
      </w:r>
      <w:r>
        <w:rPr/>
        <w:t xml:space="preserve"> Jetzt freue ich mich</w:t>
      </w:r>
      <w:r>
        <w:rPr>
          <w:rStyle w:val="Funotenanker"/>
        </w:rPr>
        <w:footnoteReference w:customMarkFollows="1" w:id="6232"/>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6233"/>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6234"/>
        <w:t>ao</w:t>
      </w:r>
      <w:r>
        <w:rPr/>
        <w:t xml:space="preserve"> Gottes, den er mir gegeben hat, bei euch das Wort Gottes zur Fülle zu bringen</w:t>
      </w:r>
      <w:r>
        <w:rPr>
          <w:rStyle w:val="Funotenanker"/>
        </w:rPr>
        <w:footnoteReference w:customMarkFollows="1" w:id="6235"/>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6236"/>
        <w:t>aq</w:t>
      </w:r>
      <w:r>
        <w:rPr/>
        <w:t xml:space="preserve"> seit Ewigkeiten und Generationen – jetzt aber wurde es seinen Heiligen offenbart,</w:t>
      </w:r>
      <w:r>
        <w:rPr>
          <w:rStyle w:val="Funotenanker"/>
        </w:rPr>
        <w:footnoteReference w:customMarkFollows="1" w:id="6237"/>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6238"/>
        <w:t>as</w:t>
      </w:r>
      <w:r>
        <w:rPr/>
        <w:t xml:space="preserve"> dieses Geheimnisses bei den Völkern ist, das ist Christus in </w:t>
      </w:r>
      <w:r>
        <w:rPr>
          <w:color w:val="808080"/>
        </w:rPr>
        <w:t>(bei, unter)</w:t>
      </w:r>
      <w:r>
        <w:rPr/>
        <w:t xml:space="preserve"> </w:t>
      </w:r>
      <w:r>
        <w:rPr>
          <w:rStyle w:val="Funotenanker"/>
        </w:rPr>
        <w:footnoteReference w:customMarkFollows="1" w:id="6239"/>
        <w:t>at</w:t>
      </w:r>
      <w:r>
        <w:rPr/>
        <w:t xml:space="preserve"> euch, die Hoffnung</w:t>
      </w:r>
      <w:r>
        <w:rPr>
          <w:rStyle w:val="Funotenanker"/>
        </w:rPr>
        <w:footnoteReference w:customMarkFollows="1" w:id="6240"/>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6241"/>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6242"/>
        <w:t>aw</w:t>
      </w:r>
      <w:r>
        <w:rPr/>
        <w:t xml:space="preserve"> mich abkämpfe</w:t>
      </w:r>
      <w:r>
        <w:rPr>
          <w:rStyle w:val="Funotenanker"/>
        </w:rPr>
        <w:footnoteReference w:customMarkFollows="1" w:id="6243"/>
        <w:t>ax</w:t>
      </w:r>
      <w:r>
        <w:rPr/>
        <w:t>, getragen von</w:t>
      </w:r>
      <w:r>
        <w:rPr>
          <w:rStyle w:val="Funotenanker"/>
        </w:rPr>
        <w:footnoteReference w:customMarkFollows="1" w:id="6244"/>
        <w:t>ay</w:t>
      </w:r>
      <w:r>
        <w:rPr/>
        <w:t xml:space="preserve"> seiner</w:t>
      </w:r>
      <w:r>
        <w:rPr>
          <w:rStyle w:val="Funotenanker"/>
        </w:rPr>
        <w:footnoteReference w:customMarkFollows="1" w:id="6245"/>
        <w:t>az</w:t>
      </w:r>
      <w:r>
        <w:rPr/>
        <w:t xml:space="preserve"> Wirksamkeit, die in mir wirksam ist in Kraft </w:t>
      </w:r>
      <w:r>
        <w:rPr>
          <w:color w:val="808080"/>
        </w:rPr>
        <w:t>(kräftig wirksam ist)</w:t>
      </w:r>
      <w:r>
        <w:rPr/>
        <w:t xml:space="preserve">.{{field-off:bible}} </w:t>
      </w:r>
    </w:p>
    <w:p>
      <w:pPr>
        <w:pStyle w:val="Berschrift3"/>
        <w:rPr/>
      </w:pPr>
      <w:r>
        <w:rPr/>
        <w:t>[[@BibleTOBIBLE:Col 3]]Kapitel 3</w:t>
      </w:r>
    </w:p>
    <w:p>
      <w:pPr>
        <w:pStyle w:val="Textkrper"/>
        <w:rPr/>
      </w:pPr>
      <w:r>
        <w:rPr/>
        <w:br/>
        <w:t>[[@BibleTOBIBLE:Col 3:12]]</w:t>
      </w:r>
      <w:r>
        <w:rPr>
          <w:b/>
        </w:rPr>
        <w:t>12</w:t>
      </w:r>
      <w:r>
        <w:rPr/>
        <w:t xml:space="preserve"> {{field-on:bible}}So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6246"/>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6247"/>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[[@BibleTOBIBLE:1Th]]1 Thessalonicher</w:t>
      </w:r>
    </w:p>
    <w:p>
      <w:pPr>
        <w:pStyle w:val="Berschrift3"/>
        <w:rPr/>
      </w:pPr>
      <w:r>
        <w:rPr/>
        <w:t>[[@BibleTOBIBLE:1Th 2]]Kapitel 2</w:t>
      </w:r>
    </w:p>
    <w:p>
      <w:pPr>
        <w:pStyle w:val="Textkrper"/>
        <w:rPr/>
      </w:pPr>
      <w:r>
        <w:rPr/>
        <w:br/>
        <w:t>[[@BibleTOBIBLE:1Th 2:13]]</w:t>
      </w:r>
      <w:r>
        <w:rPr>
          <w:b/>
        </w:rPr>
        <w:t>13</w:t>
      </w:r>
      <w:r>
        <w:rPr/>
        <w:t xml:space="preserve"> {{field-on:bible}}Und</w:t>
      </w:r>
      <w:r>
        <w:rPr>
          <w:rStyle w:val="Funotenanker"/>
        </w:rPr>
        <w:footnoteReference w:customMarkFollows="1" w:id="6248"/>
        <w:t>a</w:t>
      </w:r>
      <w:r>
        <w:rPr/>
        <w:t xml:space="preserve"> deshalb danken wir Gott auch unablässig, dass ihr, das Wort der Predigt von Gott von uns empfangend, es nicht annahmt als Wort der Menschen, sondern, genauso wie es wahr ist, als Wort Gottes, das wirksam ist bei euch, die ihr glaubt.{{field-off:bible}} </w:t>
        <w:br/>
        <w:t>[[@BibleTOBIBLE:1Th 2:14]]</w:t>
      </w:r>
      <w:r>
        <w:rPr>
          <w:b/>
        </w:rPr>
        <w:t>14</w:t>
      </w:r>
      <w:r>
        <w:rPr/>
        <w:t xml:space="preserve"> {{field-on:bible}}Ja </w:t>
      </w:r>
      <w:r>
        <w:rPr>
          <w:rStyle w:val="Funotenanker"/>
        </w:rPr>
        <w:footnoteReference w:customMarkFollows="1" w:id="6249"/>
        <w:t>b</w:t>
      </w:r>
      <w:r>
        <w:rPr/>
        <w:t xml:space="preserve"> ihr, Brüder und Schwestern, seit zu Nachahmern der Gemeinden Gottes, die in Judäa in Christus Jesus sind, geworden, weil ihr dasselbe von euren eigenen Mitbürgern erlitten habt, wie diese von den Juden,{{field-off:bible}} </w:t>
        <w:br/>
        <w:t>[[@BibleTOBIBLE:1Th 2:15]]</w:t>
      </w:r>
      <w:r>
        <w:rPr>
          <w:b/>
        </w:rPr>
        <w:t>15</w:t>
      </w:r>
      <w:r>
        <w:rPr/>
        <w:t xml:space="preserve"> {{field-on:bible}}die sowohl den Herrn Jesus und die Propheten getötet haben, uns verfolgt haben und Gott nicht gefallen und allen Menschen feindlich sind,{{field-off:bible}} </w:t>
        <w:br/>
        <w:t>[[@BibleTOBIBLE:1Th 2:16]]</w:t>
      </w:r>
      <w:r>
        <w:rPr>
          <w:b/>
        </w:rPr>
        <w:t>16</w:t>
      </w:r>
      <w:r>
        <w:rPr/>
        <w:t xml:space="preserve"> {{field-on:bible}}die uns abhalten den Völkern zu sagen, dass sie gerettet sind, so dass sie ihre Sünden allezeit angehäuft haben: Es ist aber bereits über sie der Zorn Gottes für immer gekommen.{{field-off:bible}} </w:t>
      </w:r>
    </w:p>
    <w:p>
      <w:pPr>
        <w:pStyle w:val="Berschrift3"/>
        <w:rPr/>
      </w:pPr>
      <w:r>
        <w:rPr/>
        <w:t>[[@BibleTOBIBLE:1Th 3]]Kapitel 3</w:t>
      </w:r>
    </w:p>
    <w:p>
      <w:pPr>
        <w:pStyle w:val="Textkrper"/>
        <w:rPr/>
      </w:pPr>
      <w:r>
        <w:rPr/>
        <w:br/>
        <w:t>[[@BibleTOBIBLE:1Th 3:7]]</w:t>
      </w:r>
      <w:r>
        <w:rPr>
          <w:b/>
        </w:rPr>
        <w:t>7</w:t>
      </w:r>
      <w:r>
        <w:rPr/>
        <w:t xml:space="preserve"> {{field-on:bible}}Deshalb wurden wir, Brüder, in all unsrer Not und Bedrängnis getröstet über Euch durch Euren Glauben,{{field-off:bible}} </w:t>
        <w:br/>
        <w:t>[[@BibleTOBIBLE:1Th 3:8]]</w:t>
      </w:r>
      <w:r>
        <w:rPr>
          <w:b/>
        </w:rPr>
        <w:t>8</w:t>
      </w:r>
      <w:r>
        <w:rPr/>
        <w:t xml:space="preserve"> {{field-on:bible}}denn jetzt leben wir, wenn Ihr </w:t>
      </w:r>
      <w:r>
        <w:rPr>
          <w:color w:val="808080"/>
        </w:rPr>
        <w:t>(fest)</w:t>
      </w:r>
      <w:r>
        <w:rPr/>
        <w:t xml:space="preserve"> im Herrn steht.{{field-off:bible}} </w:t>
        <w:br/>
        <w:t>[[@BibleTOBIBLE:1Th 3:9]]</w:t>
      </w:r>
      <w:r>
        <w:rPr>
          <w:b/>
        </w:rPr>
        <w:t>9</w:t>
      </w:r>
      <w:r>
        <w:rPr/>
        <w:t xml:space="preserve"> {{field-on:bible}}Denn welchen Dank können wir dem Herrn zurückgeben für Euch, für all die Freude, in der wir uns durch Euch </w:t>
      </w:r>
      <w:r>
        <w:rPr>
          <w:color w:val="808080"/>
        </w:rPr>
        <w:t>(euretwegen)</w:t>
      </w:r>
      <w:r>
        <w:rPr/>
        <w:t xml:space="preserve"> vor unserem Gott freuen?{{field-off:bible}} </w:t>
        <w:br/>
        <w:t>[[@BibleTOBIBLE:1Th 3:10]]</w:t>
      </w:r>
      <w:r>
        <w:rPr>
          <w:b/>
        </w:rPr>
        <w:t>10</w:t>
      </w:r>
      <w:r>
        <w:rPr/>
        <w:t xml:space="preserve"> {{field-on:bible}}Wobei wir Nacht und Tag über alle Maßen darum bitten, Euch von Angesicht </w:t>
      </w:r>
      <w:r>
        <w:rPr>
          <w:color w:val="808080"/>
        </w:rPr>
        <w:t>(Euer Angesicht)</w:t>
      </w:r>
      <w:r>
        <w:rPr/>
        <w:t xml:space="preserve"> zu sehen und die Mängel Eures Glaubens auszugleichen </w:t>
      </w:r>
      <w:r>
        <w:rPr>
          <w:color w:val="808080"/>
        </w:rPr>
        <w:t>(zu korrigieren, zu ergänzen)</w:t>
      </w:r>
      <w:r>
        <w:rPr/>
        <w:t xml:space="preserve">,{{field-off:bible}} </w:t>
        <w:br/>
        <w:t>[[@BibleTOBIBLE:1Th 3:11]]</w:t>
      </w:r>
      <w:r>
        <w:rPr>
          <w:b/>
        </w:rPr>
        <w:t>11</w:t>
      </w:r>
      <w:r>
        <w:rPr/>
        <w:t xml:space="preserve"> {{field-on:bible}}und </w:t>
      </w:r>
      <w:r>
        <w:rPr>
          <w:b/>
          <w:color w:val="808080"/>
        </w:rPr>
        <w:t>[</w:t>
      </w:r>
      <w:r>
        <w:rPr/>
        <w:t>darum</w:t>
      </w:r>
      <w:r>
        <w:rPr>
          <w:b/>
          <w:color w:val="808080"/>
        </w:rPr>
        <w:t>]</w:t>
      </w:r>
      <w:r>
        <w:rPr/>
        <w:t xml:space="preserve">, daß unser Gott und Vater selbst und unser Herr Jesus unseren Weg zu Euch lenke.{{field-off:bible}} </w:t>
        <w:br/>
        <w:t>[[@BibleTOBIBLE:1Th 3:12]]</w:t>
      </w:r>
      <w:r>
        <w:rPr>
          <w:b/>
        </w:rPr>
        <w:t>12</w:t>
      </w:r>
      <w:r>
        <w:rPr/>
        <w:t xml:space="preserve"> {{field-on:bible}}Euch aber möge der Herr wachsen lassen und überreich machen in der Liebe zueinander und gegenüber allen, wie auch wir gegenüber Euch </w:t>
      </w:r>
      <w:r>
        <w:rPr>
          <w:b/>
          <w:color w:val="808080"/>
        </w:rPr>
        <w:t>[</w:t>
      </w:r>
      <w:r>
        <w:rPr/>
        <w:t>voller Liebe sind</w:t>
      </w:r>
      <w:r>
        <w:rPr>
          <w:b/>
          <w:color w:val="808080"/>
        </w:rPr>
        <w:t>]</w:t>
      </w:r>
      <w:r>
        <w:rPr/>
        <w:t xml:space="preserve">,{{field-off:bible}} </w:t>
        <w:br/>
        <w:t>[[@BibleTOBIBLE:1Th 3:13]]</w:t>
      </w:r>
      <w:r>
        <w:rPr>
          <w:b/>
        </w:rPr>
        <w:t>13</w:t>
      </w:r>
      <w:r>
        <w:rPr/>
        <w:t xml:space="preserve"> {{field-on:bible}}um Eure Herzen </w:t>
      </w:r>
      <w:r>
        <w:rPr>
          <w:b/>
          <w:color w:val="808080"/>
        </w:rPr>
        <w:t>[</w:t>
      </w:r>
      <w:r>
        <w:rPr/>
        <w:t>so</w:t>
      </w:r>
      <w:r>
        <w:rPr>
          <w:b/>
          <w:color w:val="808080"/>
        </w:rPr>
        <w:t>]</w:t>
      </w:r>
      <w:r>
        <w:rPr/>
        <w:t xml:space="preserve"> zu stärken, daß sie in Heiligkeit fehlerfrei vor unserem Gott und Vater </w:t>
      </w:r>
      <w:r>
        <w:rPr>
          <w:b/>
          <w:color w:val="808080"/>
        </w:rPr>
        <w:t>[</w:t>
      </w:r>
      <w:r>
        <w:rPr/>
        <w:t>seien</w:t>
      </w:r>
      <w:r>
        <w:rPr>
          <w:b/>
          <w:color w:val="808080"/>
        </w:rPr>
        <w:t>]</w:t>
      </w:r>
      <w:r>
        <w:rPr/>
        <w:t xml:space="preserve"> bei der Ankunft unseres Herrn Jesus mit allen seinen Heiligen, Amen</w:t>
      </w:r>
      <w:r>
        <w:rPr>
          <w:rStyle w:val="Funotenanker"/>
        </w:rPr>
        <w:footnoteReference w:customMarkFollows="1" w:id="6250"/>
        <w:t>a</w:t>
      </w:r>
      <w:r>
        <w:rPr/>
        <w:t xml:space="preserve">.{{field-off:bible}}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{{field-on:bible}}Des weiteren </w:t>
      </w:r>
      <w:r>
        <w:rPr>
          <w:color w:val="808080"/>
        </w:rPr>
        <w:t>(im übrigen)</w:t>
      </w:r>
      <w:r>
        <w:rPr/>
        <w:t xml:space="preserve">: betet für uns, Brüder </w:t>
      </w:r>
      <w:r>
        <w:rPr>
          <w:color w:val="808080"/>
        </w:rPr>
        <w:t>(Geschwister)</w:t>
      </w:r>
      <w:r>
        <w:rPr/>
        <w:t>, damit</w:t>
      </w:r>
      <w:r>
        <w:rPr>
          <w:rStyle w:val="Funotenanker"/>
        </w:rPr>
        <w:footnoteReference w:customMarkFollows="1" w:id="6251"/>
        <w:t>a</w:t>
      </w:r>
      <w:r>
        <w:rPr/>
        <w:t xml:space="preserve"> das Wort des Herrn flott vorankommt</w:t>
      </w:r>
      <w:r>
        <w:rPr>
          <w:rStyle w:val="Funotenanker"/>
        </w:rPr>
        <w:footnoteReference w:customMarkFollows="1" w:id="6252"/>
        <w:t>b</w:t>
      </w:r>
      <w:r>
        <w:rPr/>
        <w:t xml:space="preserve"> und gepriesen </w:t>
      </w:r>
      <w:r>
        <w:rPr>
          <w:color w:val="808080"/>
        </w:rPr>
        <w:t>(gerühmt)</w:t>
      </w:r>
      <w:r>
        <w:rPr/>
        <w:t xml:space="preserve"> werde</w:t>
      </w:r>
      <w:r>
        <w:rPr>
          <w:rStyle w:val="Funotenanker"/>
        </w:rPr>
        <w:footnoteReference w:customMarkFollows="1" w:id="6253"/>
        <w:t>c</w:t>
      </w:r>
      <w:r>
        <w:rPr/>
        <w:t xml:space="preserve">, so wie bei euch.{{field-off:bible}} </w:t>
        <w:br/>
        <w:t>[[@BibleTOBIBLE:2Th 3:2]]</w:t>
      </w:r>
      <w:r>
        <w:rPr>
          <w:b/>
        </w:rPr>
        <w:t>2</w:t>
      </w:r>
      <w:r>
        <w:rPr/>
        <w:t xml:space="preserve"> {{field-on:bible}}Und damit</w:t>
      </w:r>
      <w:r>
        <w:rPr>
          <w:rStyle w:val="Funotenanker"/>
        </w:rPr>
        <w:footnoteReference w:customMarkFollows="1" w:id="6254"/>
        <w:t>d</w:t>
      </w:r>
      <w:r>
        <w:rPr/>
        <w:t xml:space="preserve"> wir errettet werden von den unsittlichen</w:t>
      </w:r>
      <w:r>
        <w:rPr>
          <w:rStyle w:val="Funotenanker"/>
        </w:rPr>
        <w:footnoteReference w:customMarkFollows="1" w:id="6255"/>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6256"/>
        <w:t>f</w:t>
      </w:r>
      <w:r>
        <w:rPr/>
        <w:t xml:space="preserve"> {{field-off:bible}} </w:t>
        <w:br/>
        <w:t>[[@BibleTOBIBLE:2Th 3:3]]</w:t>
      </w:r>
      <w:r>
        <w:rPr>
          <w:b/>
        </w:rPr>
        <w:t>3</w:t>
      </w:r>
      <w:r>
        <w:rPr/>
        <w:t xml:space="preserve"> {{field-on:bible}}Treu</w:t>
      </w:r>
      <w:r>
        <w:rPr>
          <w:rStyle w:val="Funotenanker"/>
        </w:rPr>
        <w:footnoteReference w:customMarkFollows="1" w:id="6257"/>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6258"/>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6259"/>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6260"/>
        <w:t>j</w:t>
      </w:r>
      <w:r>
        <w:rPr/>
        <w:t xml:space="preserve"> {{field-off:bible}} </w:t>
      </w:r>
    </w:p>
    <w:p>
      <w:pPr>
        <w:pStyle w:val="Berschrift2"/>
        <w:rPr/>
      </w:pPr>
      <w:r>
        <w:rPr/>
        <w:t>[[@BibleTOBIBLE:1Ti]]1 Timotheus</w:t>
      </w:r>
    </w:p>
    <w:p>
      <w:pPr>
        <w:pStyle w:val="Berschrift3"/>
        <w:rPr/>
      </w:pPr>
      <w:r>
        <w:rPr/>
        <w:t>[[@BibleTOBIBLE:1Ti 1]]Kapitel 1</w:t>
      </w:r>
    </w:p>
    <w:p>
      <w:pPr>
        <w:pStyle w:val="Textkrper"/>
        <w:rPr/>
      </w:pPr>
      <w:r>
        <w:rPr/>
        <w:br/>
        <w:t>[[@BibleTOBIBLE:1Ti 1:12]]</w:t>
      </w:r>
      <w:r>
        <w:rPr>
          <w:b/>
        </w:rPr>
        <w:t>12</w:t>
      </w:r>
      <w:r>
        <w:rPr/>
        <w:t xml:space="preserve"> {{field-on:bible}}Ich danke</w:t>
      </w:r>
      <w:r>
        <w:rPr>
          <w:rStyle w:val="Funotenanker"/>
        </w:rPr>
        <w:footnoteReference w:customMarkFollows="1" w:id="6261"/>
        <w:t>a</w:t>
      </w:r>
      <w:r>
        <w:rPr/>
        <w:t xml:space="preserve"> Christus Jesus, unserem Herrn, der</w:t>
      </w:r>
      <w:r>
        <w:rPr>
          <w:rStyle w:val="Funotenanker"/>
        </w:rPr>
        <w:footnoteReference w:customMarkFollows="1" w:id="6262"/>
        <w:t>b</w:t>
      </w:r>
      <w:r>
        <w:rPr/>
        <w:t xml:space="preserve"> mich fähig </w:t>
      </w:r>
      <w:r>
        <w:rPr>
          <w:color w:val="808080"/>
        </w:rPr>
        <w:t>(stark)</w:t>
      </w:r>
      <w:r>
        <w:rPr/>
        <w:t xml:space="preserve"> gemacht hat, dass er mich für zuverlässig </w:t>
      </w:r>
      <w:r>
        <w:rPr>
          <w:color w:val="808080"/>
        </w:rPr>
        <w:t>(treu)</w:t>
      </w:r>
      <w:r>
        <w:rPr/>
        <w:t xml:space="preserve"> hielt und</w:t>
      </w:r>
      <w:r>
        <w:rPr>
          <w:rStyle w:val="Funotenanker"/>
        </w:rPr>
        <w:footnoteReference w:customMarkFollows="1" w:id="6263"/>
        <w:t>c</w:t>
      </w:r>
      <w:r>
        <w:rPr/>
        <w:t xml:space="preserve"> mich zum </w:t>
      </w:r>
      <w:r>
        <w:rPr>
          <w:b/>
          <w:color w:val="808080"/>
        </w:rPr>
        <w:t>[</w:t>
      </w:r>
      <w:r>
        <w:rPr/>
        <w:t>Apostel</w:t>
      </w:r>
      <w:r>
        <w:rPr>
          <w:b/>
          <w:color w:val="808080"/>
        </w:rPr>
        <w:t>]</w:t>
      </w:r>
      <w:r>
        <w:rPr/>
        <w:t xml:space="preserve">Amt </w:t>
      </w:r>
      <w:r>
        <w:rPr>
          <w:color w:val="808080"/>
        </w:rPr>
        <w:t>(Dienst)</w:t>
      </w:r>
      <w:r>
        <w:rPr/>
        <w:t xml:space="preserve"> bestimmte,{{field-off:bible}} </w:t>
        <w:br/>
        <w:t>[[@BibleTOBIBLE:1Ti 1:13]]</w:t>
      </w:r>
      <w:r>
        <w:rPr>
          <w:b/>
        </w:rPr>
        <w:t>13</w:t>
      </w:r>
      <w:r>
        <w:rPr/>
        <w:t xml:space="preserve"> {{field-on:bible}}der</w:t>
      </w:r>
      <w:r>
        <w:rPr>
          <w:rStyle w:val="Funotenanker"/>
        </w:rPr>
        <w:footnoteReference w:customMarkFollows="1" w:id="6264"/>
        <w:t>d</w:t>
      </w:r>
      <w:r>
        <w:rPr/>
        <w:t xml:space="preserve"> ich früher ein Lästerer und Verfolger</w:t>
      </w:r>
      <w:r>
        <w:rPr>
          <w:rStyle w:val="Funotenanker"/>
        </w:rPr>
        <w:footnoteReference w:customMarkFollows="1" w:id="6265"/>
        <w:t>e</w:t>
      </w:r>
      <w:r>
        <w:rPr/>
        <w:t xml:space="preserve"> und Frevler </w:t>
      </w:r>
      <w:r>
        <w:rPr>
          <w:color w:val="808080"/>
        </w:rPr>
        <w:t>(Gewaltmensch)</w:t>
      </w:r>
      <w:r>
        <w:rPr/>
        <w:t xml:space="preserve"> war, aber mir widerfuhr Erbarmung</w:t>
      </w:r>
      <w:r>
        <w:rPr>
          <w:rStyle w:val="Funotenanker"/>
        </w:rPr>
        <w:footnoteReference w:customMarkFollows="1" w:id="6266"/>
        <w:t>f</w:t>
      </w:r>
      <w:r>
        <w:rPr/>
        <w:t xml:space="preserve"> </w:t>
      </w:r>
      <w:r>
        <w:rPr>
          <w:color w:val="808080"/>
        </w:rPr>
        <w:t>(ich fand Erbarmen)</w:t>
      </w:r>
      <w:r>
        <w:rPr/>
        <w:t>, weil ich unwissend</w:t>
      </w:r>
      <w:r>
        <w:rPr>
          <w:rStyle w:val="Funotenanker"/>
        </w:rPr>
        <w:footnoteReference w:customMarkFollows="1" w:id="6267"/>
        <w:t>g</w:t>
      </w:r>
      <w:r>
        <w:rPr/>
        <w:t xml:space="preserve"> handelte in Unglauben</w:t>
      </w:r>
      <w:r>
        <w:rPr>
          <w:rStyle w:val="Funotenanker"/>
        </w:rPr>
        <w:footnoteReference w:customMarkFollows="1" w:id="6268"/>
        <w:t>h</w:t>
      </w:r>
      <w:r>
        <w:rPr/>
        <w:t xml:space="preserve"> </w:t>
      </w:r>
      <w:r>
        <w:rPr>
          <w:color w:val="808080"/>
        </w:rPr>
        <w:t>(Ungehorsam)</w:t>
      </w:r>
      <w:r>
        <w:rPr/>
        <w:t xml:space="preserve">.{{field-off:bible}} </w:t>
        <w:br/>
        <w:t>[[@BibleTOBIBLE:1Ti 1:14]]</w:t>
      </w:r>
      <w:r>
        <w:rPr>
          <w:b/>
        </w:rPr>
        <w:t>14</w:t>
      </w:r>
      <w:r>
        <w:rPr/>
        <w:t xml:space="preserve"> {{field-on:bible}}Aber die Gnade unseres Herrn war überreich vorhanden</w:t>
      </w:r>
      <w:r>
        <w:rPr>
          <w:rStyle w:val="Funotenanker"/>
        </w:rPr>
        <w:footnoteReference w:customMarkFollows="1" w:id="6269"/>
        <w:t>i</w:t>
      </w:r>
      <w:r>
        <w:rPr/>
        <w:t xml:space="preserve"> mit Glaube und Liebe</w:t>
      </w:r>
      <w:r>
        <w:rPr>
          <w:rStyle w:val="Funotenanker"/>
        </w:rPr>
        <w:footnoteReference w:customMarkFollows="1" w:id="6270"/>
        <w:t>j</w:t>
      </w:r>
      <w:r>
        <w:rPr/>
        <w:t xml:space="preserve"> in Christus Jesus.{{field-off:bible}} </w:t>
        <w:br/>
        <w:t>[[@BibleTOBIBLE:1Ti 1:15]]</w:t>
      </w:r>
      <w:r>
        <w:rPr>
          <w:b/>
        </w:rPr>
        <w:t>15</w:t>
      </w:r>
      <w:r>
        <w:rPr/>
        <w:t xml:space="preserve"> {{field-on:bible}}Verlässlich </w:t>
      </w:r>
      <w:r>
        <w:rPr>
          <w:color w:val="808080"/>
        </w:rPr>
        <w:t>(zuverlässig, glaubwürdig)</w:t>
      </w:r>
      <w:r>
        <w:rPr/>
        <w:t xml:space="preserve"> ist die Sentenz </w:t>
      </w:r>
      <w:r>
        <w:rPr>
          <w:color w:val="808080"/>
        </w:rPr>
        <w:t>(Maxime, Redewendung, Aussage)</w:t>
      </w:r>
      <w:r>
        <w:rPr/>
        <w:t xml:space="preserve"> </w:t>
      </w:r>
      <w:r>
        <w:rPr>
          <w:rStyle w:val="Funotenanker"/>
        </w:rPr>
        <w:footnoteReference w:customMarkFollows="1" w:id="6271"/>
        <w:t>k</w:t>
      </w:r>
      <w:r>
        <w:rPr/>
        <w:t>, und verdient allen Beifall:</w:t>
      </w:r>
      <w:r>
        <w:rPr>
          <w:rStyle w:val="Funotenanker"/>
        </w:rPr>
        <w:footnoteReference w:customMarkFollows="1" w:id="6272"/>
        <w:t>l</w:t>
      </w:r>
      <w:r>
        <w:rPr/>
        <w:t xml:space="preserve"> „Christus Jesus kam in die Welt, die Sünder zu retten“, von denen ich der erste bin.{{field-off:bible}} </w:t>
        <w:br/>
        <w:t>[[@BibleTOBIBLE:1Ti 1:16]]</w:t>
      </w:r>
      <w:r>
        <w:rPr>
          <w:b/>
        </w:rPr>
        <w:t>16</w:t>
      </w:r>
      <w:r>
        <w:rPr/>
        <w:t xml:space="preserve"> {{field-on:bible}}Aber dazu </w:t>
      </w:r>
      <w:r>
        <w:rPr>
          <w:color w:val="808080"/>
        </w:rPr>
        <w:t>(darum)</w:t>
      </w:r>
      <w:r>
        <w:rPr/>
        <w:t xml:space="preserve"> fand ich Erbarmen, damit Christus Jesus an mir als erstem die ganze Langmut </w:t>
      </w:r>
      <w:r>
        <w:rPr>
          <w:color w:val="808080"/>
        </w:rPr>
        <w:t>(Geduld)</w:t>
      </w:r>
      <w:r>
        <w:rPr/>
        <w:t xml:space="preserve"> aufzeigte als Urbild</w:t>
      </w:r>
      <w:r>
        <w:rPr>
          <w:rStyle w:val="Funotenanker"/>
        </w:rPr>
        <w:footnoteReference w:customMarkFollows="1" w:id="6273"/>
        <w:t>m</w:t>
      </w:r>
      <w:r>
        <w:rPr/>
        <w:t xml:space="preserve"> derer, die</w:t>
      </w:r>
      <w:r>
        <w:rPr>
          <w:rStyle w:val="Funotenanker"/>
        </w:rPr>
        <w:footnoteReference w:customMarkFollows="1" w:id="6274"/>
        <w:t>n</w:t>
      </w:r>
      <w:r>
        <w:rPr/>
        <w:t xml:space="preserve"> an ihn glauben werden zum ewigen Leben.{{field-off:bible}} </w:t>
        <w:br/>
        <w:t>[[@BibleTOBIBLE:1Ti 1:17]]</w:t>
      </w:r>
      <w:r>
        <w:rPr>
          <w:b/>
        </w:rPr>
        <w:t>17</w:t>
      </w:r>
      <w:r>
        <w:rPr/>
        <w:t xml:space="preserve"> {{field-on:bible}}Ihm aber, </w:t>
      </w:r>
      <w:r>
        <w:rPr>
          <w:color w:val="808080"/>
        </w:rPr>
        <w:t>(dem König der Ewigkeiten =)</w:t>
      </w:r>
      <w:r>
        <w:rPr/>
        <w:t xml:space="preserve"> dem ewigen König, dem unvergänglichen, unsichtbaren, einzigen Gott, sei Ehre und Ruhm </w:t>
      </w:r>
      <w:r>
        <w:rPr>
          <w:color w:val="808080"/>
        </w:rPr>
        <w:t>(Herrlichkeit)</w:t>
      </w:r>
      <w:r>
        <w:rPr/>
        <w:t xml:space="preserve"> von Ewigkeit zu Ewigkeit, Amen.{{field-off:bible}} </w:t>
      </w:r>
    </w:p>
    <w:p>
      <w:pPr>
        <w:pStyle w:val="Berschrift3"/>
        <w:rPr/>
      </w:pPr>
      <w:r>
        <w:rPr/>
        <w:t>[[@BibleTOBIBLE:1Ti 2]]Kapitel 2</w:t>
      </w:r>
    </w:p>
    <w:p>
      <w:pPr>
        <w:pStyle w:val="Textkrper"/>
        <w:rPr/>
      </w:pPr>
      <w:r>
        <w:rPr/>
        <w:br/>
        <w:t>[[@BibleTOBIBLE:1Ti 2:1]]</w:t>
      </w:r>
      <w:r>
        <w:rPr>
          <w:b/>
        </w:rPr>
        <w:t>1</w:t>
      </w:r>
      <w:r>
        <w:rPr/>
        <w:t xml:space="preserve"> {{field-on:bible}}Zu allererst</w:t>
      </w:r>
      <w:r>
        <w:rPr>
          <w:rStyle w:val="Funotenanker"/>
        </w:rPr>
        <w:footnoteReference w:customMarkFollows="1" w:id="6275"/>
        <w:t>a</w:t>
      </w:r>
      <w:r>
        <w:rPr/>
        <w:t xml:space="preserve"> </w:t>
      </w:r>
      <w:r>
        <w:rPr>
          <w:strike/>
          <w:color w:val="808080"/>
        </w:rPr>
        <w:t>{nun}</w:t>
      </w:r>
      <w:r>
        <w:rPr/>
        <w:t xml:space="preserve"> möchte ich</w:t>
      </w:r>
      <w:r>
        <w:rPr>
          <w:rStyle w:val="Funotenanker"/>
        </w:rPr>
        <w:footnoteReference w:customMarkFollows="1" w:id="6276"/>
        <w:t>b</w:t>
      </w:r>
      <w:r>
        <w:rPr/>
        <w:t>, dass man Bitten, Gebete, Fürbitten und Dankgebete</w:t>
      </w:r>
      <w:r>
        <w:rPr>
          <w:rStyle w:val="Funotenanker"/>
        </w:rPr>
        <w:footnoteReference w:customMarkFollows="1" w:id="6277"/>
        <w:t>c</w:t>
      </w:r>
      <w:r>
        <w:rPr/>
        <w:t xml:space="preserve"> für alle Menschen verrichtet,{{field-off:bible}} </w:t>
        <w:br/>
        <w:t>[[@BibleTOBIBLE:1Ti 2:2]]</w:t>
      </w:r>
      <w:r>
        <w:rPr>
          <w:b/>
        </w:rPr>
        <w:t>2</w:t>
      </w:r>
      <w:r>
        <w:rPr/>
        <w:t xml:space="preserve"> {{field-on:bible}}für Könige und alle </w:t>
      </w:r>
      <w:r>
        <w:rPr>
          <w:color w:val="808080"/>
        </w:rPr>
        <w:t>(, die</w:t>
      </w:r>
      <w:r>
        <w:rPr/>
        <w:t xml:space="preserve"> </w:t>
      </w:r>
      <w:r>
        <w:rPr>
          <w:rStyle w:val="Funotenanker"/>
        </w:rPr>
        <w:footnoteReference w:customMarkFollows="1" w:id="6278"/>
        <w:t>d</w:t>
      </w:r>
      <w:r>
        <w:rPr/>
        <w:t xml:space="preserve"> </w:t>
      </w:r>
      <w:r>
        <w:rPr>
          <w:color w:val="808080"/>
        </w:rPr>
        <w:t>sich in hervorragender Stellung befinden =)</w:t>
      </w:r>
      <w:r>
        <w:rPr/>
        <w:t xml:space="preserve"> hohen Beamten, damit wir ein stilles und ruhiges Leben führen können in aller Gottesfurcht </w:t>
      </w:r>
      <w:r>
        <w:rPr>
          <w:color w:val="808080"/>
        </w:rPr>
        <w:t>(Frömmigkeit)</w:t>
      </w:r>
      <w:r>
        <w:rPr/>
        <w:t xml:space="preserve"> und Würde </w:t>
      </w:r>
      <w:r>
        <w:rPr>
          <w:color w:val="808080"/>
        </w:rPr>
        <w:t>(Ehrbarkeit)</w:t>
      </w:r>
      <w:r>
        <w:rPr/>
        <w:t xml:space="preserve">.{{field-off:bible}} </w:t>
        <w:br/>
        <w:t>[[@BibleTOBIBLE:1Ti 2:3]]</w:t>
      </w:r>
      <w:r>
        <w:rPr>
          <w:b/>
        </w:rPr>
        <w:t>3</w:t>
      </w:r>
      <w:r>
        <w:rPr/>
        <w:t xml:space="preserve"> {{field-on:bible}}Das ist schön und </w:t>
      </w:r>
      <w:r>
        <w:rPr>
          <w:color w:val="808080"/>
        </w:rPr>
        <w:t>(annehmbar, wohlgefällig vor =)</w:t>
      </w:r>
      <w:r>
        <w:rPr/>
        <w:t xml:space="preserve"> gefällt Gott, unserem Retter,{{field-off:bible}} </w:t>
        <w:br/>
        <w:t>[[@BibleTOBIBLE:1Ti 2:4]]</w:t>
      </w:r>
      <w:r>
        <w:rPr>
          <w:b/>
        </w:rPr>
        <w:t>4</w:t>
      </w:r>
      <w:r>
        <w:rPr/>
        <w:t xml:space="preserve"> {{field-on:bible}}der will, dass alle Menschen gerettet werden und zur Erkenntnis der Wahrheit gelangen,{{field-off:bible}} </w:t>
        <w:br/>
        <w:t>[[@BibleTOBIBLE:1Ti 2:5]]</w:t>
      </w:r>
      <w:r>
        <w:rPr>
          <w:b/>
        </w:rPr>
        <w:t>5</w:t>
      </w:r>
      <w:r>
        <w:rPr/>
        <w:t xml:space="preserve"> {{field-on:bible}} </w:t>
        <w:br/>
        <w:t>dass</w:t>
      </w:r>
      <w:r>
        <w:rPr>
          <w:rStyle w:val="Funotenanker"/>
        </w:rPr>
        <w:footnoteReference w:customMarkFollows="1" w:id="6279"/>
        <w:t>e</w:t>
      </w:r>
      <w:r>
        <w:rPr/>
        <w:t xml:space="preserve"> Gott Einer ist,</w:t>
        <w:br/>
      </w:r>
      <w:r>
        <w:rPr>
          <w:color w:val="808080"/>
        </w:rPr>
        <w:t>(und)</w:t>
      </w:r>
      <w:r>
        <w:rPr/>
        <w:t xml:space="preserve"> Einer auch</w:t>
      </w:r>
      <w:r>
        <w:rPr>
          <w:rStyle w:val="Funotenanker"/>
        </w:rPr>
        <w:footnoteReference w:customMarkFollows="1" w:id="6280"/>
        <w:t>f</w:t>
      </w:r>
      <w:r>
        <w:rPr/>
        <w:t xml:space="preserve"> der </w:t>
      </w:r>
      <w:r>
        <w:rPr>
          <w:color w:val="808080"/>
        </w:rPr>
        <w:t>(Ver)</w:t>
      </w:r>
      <w:r>
        <w:rPr/>
        <w:t>Mittler zwischen Gott und Menschen,</w:t>
        <w:br/>
      </w:r>
      <w:r>
        <w:rPr>
          <w:b/>
          <w:color w:val="808080"/>
        </w:rPr>
        <w:t>[</w:t>
      </w:r>
      <w:r>
        <w:rPr/>
        <w:t>der</w:t>
      </w:r>
      <w:r>
        <w:rPr>
          <w:b/>
          <w:color w:val="808080"/>
        </w:rPr>
        <w:t>]</w:t>
      </w:r>
      <w:r>
        <w:rPr/>
        <w:t xml:space="preserve"> Mensch Christus Jesus,</w:t>
        <w:br/>
        <w:t xml:space="preserve">{{field-off:bible}} </w:t>
        <w:br/>
        <w:t>[[@BibleTOBIBLE:1Ti 2:6]]</w:t>
      </w:r>
      <w:r>
        <w:rPr>
          <w:b/>
        </w:rPr>
        <w:t>6</w:t>
      </w:r>
      <w:r>
        <w:rPr/>
        <w:t xml:space="preserve"> {{field-on:bible}} </w:t>
        <w:br/>
        <w:t>der sich zum Lösegeld für alle gab</w:t>
      </w:r>
      <w:r>
        <w:rPr>
          <w:rStyle w:val="Funotenanker"/>
        </w:rPr>
        <w:footnoteReference w:customMarkFollows="1" w:id="6281"/>
        <w:t>g</w:t>
      </w:r>
      <w:r>
        <w:rPr/>
        <w:t>,</w:t>
        <w:br/>
        <w:t xml:space="preserve">das Zeugnis zur rechten </w:t>
      </w:r>
      <w:r>
        <w:rPr>
          <w:color w:val="808080"/>
        </w:rPr>
        <w:t>(dafür bestimmten)</w:t>
      </w:r>
      <w:r>
        <w:rPr/>
        <w:t xml:space="preserve"> Zeit.</w:t>
        <w:br/>
        <w:t xml:space="preserve">{{field-off:bible}} </w:t>
        <w:br/>
        <w:t>[[@BibleTOBIBLE:1Ti 2:7]]</w:t>
      </w:r>
      <w:r>
        <w:rPr>
          <w:b/>
        </w:rPr>
        <w:t>7</w:t>
      </w:r>
      <w:r>
        <w:rPr/>
        <w:t xml:space="preserve"> {{field-on:bible}}Dazu bin ich als Herold </w:t>
      </w:r>
      <w:r>
        <w:rPr>
          <w:color w:val="808080"/>
        </w:rPr>
        <w:t>(Verkündiger, Prediger)</w:t>
      </w:r>
      <w:r>
        <w:rPr/>
        <w:t xml:space="preserve"> und Apostel eingesetzt, ich sage die Wahrheit und lüge nicht, zum Lehrer der Völker </w:t>
      </w:r>
      <w:r>
        <w:rPr>
          <w:color w:val="808080"/>
        </w:rPr>
        <w:t>(Heiden)</w:t>
      </w:r>
      <w:r>
        <w:rPr/>
        <w:t xml:space="preserve"> durch</w:t>
      </w:r>
      <w:r>
        <w:rPr>
          <w:rStyle w:val="Funotenanker"/>
        </w:rPr>
        <w:footnoteReference w:customMarkFollows="1" w:id="6282"/>
        <w:t>h</w:t>
      </w:r>
      <w:r>
        <w:rPr/>
        <w:t xml:space="preserve"> den Glauben und die Wahrheit.{{field-off:bible}} </w:t>
      </w:r>
    </w:p>
    <w:p>
      <w:pPr>
        <w:pStyle w:val="Berschrift3"/>
        <w:rPr/>
      </w:pPr>
      <w:r>
        <w:rPr/>
        <w:t>[[@BibleTOBIBLE:1Ti 3]]Kapitel 3</w:t>
      </w:r>
    </w:p>
    <w:p>
      <w:pPr>
        <w:pStyle w:val="Textkrper"/>
        <w:rPr/>
      </w:pPr>
      <w:r>
        <w:rPr/>
        <w:br/>
        <w:t>[[@BibleTOBIBLE:1Ti 3:14]]</w:t>
      </w:r>
      <w:r>
        <w:rPr>
          <w:b/>
        </w:rPr>
        <w:t>14</w:t>
      </w:r>
      <w:r>
        <w:rPr/>
        <w:t xml:space="preserve"> {{field-on:bible}}Dies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6283"/>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6284"/>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6285"/>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6286"/>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6287"/>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{{field-on:bible}}Vielfältig </w:t>
      </w:r>
      <w:r>
        <w:rPr>
          <w:color w:val="808080"/>
        </w:rPr>
        <w:t>(mannigfaltig)</w:t>
      </w:r>
      <w:r>
        <w:rPr/>
        <w:t xml:space="preserve"> </w:t>
      </w:r>
      <w:r>
        <w:rPr>
          <w:rStyle w:val="Funotenanker"/>
        </w:rPr>
        <w:footnoteReference w:customMarkFollows="1" w:id="6288"/>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6289"/>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6290"/>
        <w:t>c</w:t>
      </w:r>
      <w:r>
        <w:rPr/>
        <w:t xml:space="preserve"> in </w:t>
      </w:r>
      <w:r>
        <w:rPr>
          <w:color w:val="808080"/>
        </w:rPr>
        <w:t>(durch)</w:t>
      </w:r>
      <w:r>
        <w:rPr/>
        <w:t xml:space="preserve"> </w:t>
      </w:r>
      <w:r>
        <w:rPr>
          <w:rStyle w:val="Funotenanker"/>
        </w:rPr>
        <w:footnoteReference w:customMarkFollows="1" w:id="6291"/>
        <w:t>d</w:t>
      </w:r>
      <w:r>
        <w:rPr/>
        <w:t xml:space="preserve"> die Propheten geredet, </w:t>
      </w:r>
      <w:r>
        <w:rPr>
          <w:rStyle w:val="Funotenanker"/>
        </w:rPr>
        <w:footnoteReference w:customMarkFollows="1" w:id="6292"/>
        <w:t>e</w:t>
      </w:r>
      <w:r>
        <w:rPr/>
        <w:t xml:space="preserve"> {{field-off:bible}} </w:t>
        <w:br/>
        <w:t>[[@BibleTOBIBLE:Heb 1:2]]</w:t>
      </w:r>
      <w:r>
        <w:rPr>
          <w:b/>
        </w:rPr>
        <w:t>2</w:t>
      </w:r>
      <w:r>
        <w:rPr/>
        <w:t xml:space="preserve"> {{field-on:bible}}In diesen letzten </w:t>
      </w:r>
      <w:r>
        <w:rPr>
          <w:rStyle w:val="Funotenanker"/>
        </w:rPr>
        <w:footnoteReference w:customMarkFollows="1" w:id="6293"/>
        <w:t>f</w:t>
      </w:r>
      <w:r>
        <w:rPr/>
        <w:t xml:space="preserve"> Tagen hat er zu uns geredet in </w:t>
      </w:r>
      <w:r>
        <w:rPr>
          <w:color w:val="808080"/>
        </w:rPr>
        <w:t>(durch)</w:t>
      </w:r>
      <w:r>
        <w:rPr/>
        <w:t xml:space="preserve"> </w:t>
      </w:r>
      <w:r>
        <w:rPr>
          <w:rStyle w:val="Funotenanker"/>
        </w:rPr>
        <w:footnoteReference w:customMarkFollows="1" w:id="6294"/>
        <w:t>g</w:t>
      </w:r>
      <w:r>
        <w:rPr/>
        <w:t xml:space="preserve"> </w:t>
      </w:r>
      <w:r>
        <w:rPr>
          <w:color w:val="808080"/>
        </w:rPr>
        <w:t>(den)</w:t>
      </w:r>
      <w:r>
        <w:rPr/>
        <w:t xml:space="preserve"> Sohn, welchen er eingesetzt hat als Alleinerbe </w:t>
      </w:r>
      <w:r>
        <w:rPr>
          <w:rStyle w:val="Funotenanker"/>
        </w:rPr>
        <w:footnoteReference w:customMarkFollows="1" w:id="6295"/>
        <w:t>h</w:t>
      </w:r>
      <w:r>
        <w:rPr/>
        <w:t xml:space="preserve"> durch den er auch die Ewigkeiten gemacht hat.{{field-off:bible}} </w:t>
      </w:r>
    </w:p>
    <w:p>
      <w:pPr>
        <w:pStyle w:val="Berschrift3"/>
        <w:rPr/>
      </w:pPr>
      <w:r>
        <w:rPr/>
        <w:t>[[@BibleTOBIBLE:Heb 4]]Kapitel 4</w:t>
      </w:r>
    </w:p>
    <w:p>
      <w:pPr>
        <w:pStyle w:val="Textkrper"/>
        <w:rPr/>
      </w:pPr>
      <w:r>
        <w:rPr/>
        <w:br/>
        <w:t>[[@BibleTOBIBLE:Heb 4:13]]</w:t>
      </w:r>
      <w:r>
        <w:rPr>
          <w:b/>
        </w:rPr>
        <w:t>13</w:t>
      </w:r>
      <w:r>
        <w:rPr/>
        <w:t xml:space="preserve"> {{field-on:bible}}und kein Geschöpf ist verborgen vor ihm,</w:t>
      </w:r>
      <w:r>
        <w:rPr>
          <w:rStyle w:val="Funotenanker"/>
        </w:rPr>
        <w:footnoteReference w:customMarkFollows="1" w:id="6296"/>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6297"/>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6298"/>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6299"/>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10]]Kapitel 10</w:t>
      </w:r>
    </w:p>
    <w:p>
      <w:pPr>
        <w:pStyle w:val="Textkrper"/>
        <w:rPr/>
      </w:pPr>
      <w:r>
        <w:rPr/>
        <w:br/>
        <w:t>[[@BibleTOBIBLE:Heb 10:35]]</w:t>
      </w:r>
      <w:r>
        <w:rPr>
          <w:b/>
        </w:rPr>
        <w:t>35</w:t>
      </w:r>
      <w:r>
        <w:rPr/>
        <w:t xml:space="preserve"> {{field-on:bible}} </w:t>
      </w:r>
      <w:r>
        <w:rPr>
          <w:rStyle w:val="Funotenanker"/>
        </w:rPr>
        <w:footnoteReference w:customMarkFollows="1" w:id="6300"/>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6301"/>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{{field-on:bible}}Es ist aber der Glaube eine Verwirklichung</w:t>
      </w:r>
      <w:r>
        <w:rPr>
          <w:rStyle w:val="Funotenanker"/>
        </w:rPr>
        <w:footnoteReference w:customMarkFollows="1" w:id="6302"/>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12:25]]</w:t>
      </w:r>
      <w:r>
        <w:rPr>
          <w:b/>
        </w:rPr>
        <w:t>25</w:t>
      </w:r>
      <w:r>
        <w:rPr/>
        <w:t xml:space="preserve"> {{field-on:bible}}Achtet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13:8]]</w:t>
      </w:r>
      <w:r>
        <w:rPr>
          <w:b/>
        </w:rPr>
        <w:t>8</w:t>
      </w:r>
      <w:r>
        <w:rPr/>
        <w:t xml:space="preserve"> {{field-on:bible}}Jesus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6303"/>
        <w:t>a</w:t>
      </w:r>
      <w:r>
        <w:rPr/>
        <w:t xml:space="preserve"> {{field-off:bible}} </w:t>
        <w:br/>
        <w:t>[[@BibleTOBIBLE:Heb 13:12]]</w:t>
      </w:r>
      <w:r>
        <w:rPr>
          <w:b/>
        </w:rPr>
        <w:t>12</w:t>
      </w:r>
      <w:r>
        <w:rPr/>
        <w:t xml:space="preserve"> {{field-on:bible}}Darum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6304"/>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6305"/>
        <w:t>a</w:t>
      </w:r>
      <w:r>
        <w:rPr/>
        <w:t xml:space="preserve"> Grüße! </w:t>
      </w:r>
      <w:r>
        <w:rPr>
          <w:rStyle w:val="Funotenanker"/>
        </w:rPr>
        <w:footnoteReference w:customMarkFollows="1" w:id="6306"/>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6307"/>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6308"/>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6309"/>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6310"/>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6311"/>
        <w:t>g</w:t>
      </w:r>
      <w:r>
        <w:rPr/>
        <w:t xml:space="preserve"> soll ein vollkommenes Werk </w:t>
      </w:r>
      <w:r>
        <w:rPr>
          <w:color w:val="808080"/>
        </w:rPr>
        <w:t>(vollkommenes Handeln)</w:t>
      </w:r>
      <w:r>
        <w:rPr/>
        <w:t xml:space="preserve"> </w:t>
      </w:r>
      <w:r>
        <w:rPr>
          <w:rStyle w:val="Funotenanker"/>
        </w:rPr>
        <w:footnoteReference w:customMarkFollows="1" w:id="6312"/>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6313"/>
        <w:t>i</w:t>
      </w:r>
      <w:r>
        <w:rPr/>
        <w:t xml:space="preserve"> , damit </w:t>
      </w:r>
      <w:r>
        <w:rPr>
          <w:color w:val="808080"/>
        </w:rPr>
        <w:t>(:)</w:t>
      </w:r>
      <w:r>
        <w:rPr/>
        <w:t xml:space="preserve"> </w:t>
      </w:r>
      <w:r>
        <w:rPr>
          <w:rStyle w:val="Funotenanker"/>
        </w:rPr>
        <w:footnoteReference w:customMarkFollows="1" w:id="6314"/>
        <w:t>j</w:t>
      </w:r>
      <w:r>
        <w:rPr/>
        <w:t xml:space="preserve"> ihr vollkommen und vollständig und </w:t>
      </w:r>
      <w:r>
        <w:rPr>
          <w:color w:val="808080"/>
        </w:rPr>
        <w:t>(indem, wenn, weil ihr)</w:t>
      </w:r>
      <w:r>
        <w:rPr/>
        <w:t xml:space="preserve"> </w:t>
      </w:r>
      <w:r>
        <w:rPr>
          <w:rStyle w:val="Funotenanker"/>
        </w:rPr>
        <w:footnoteReference w:customMarkFollows="1" w:id="6315"/>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6316"/>
        <w:t>l</w:t>
      </w:r>
      <w:r>
        <w:rPr/>
        <w:t xml:space="preserve"> einem </w:t>
      </w:r>
      <w:r>
        <w:rPr>
          <w:color w:val="808080"/>
        </w:rPr>
        <w:t>(jemandem)</w:t>
      </w:r>
      <w:r>
        <w:rPr/>
        <w:t xml:space="preserve"> </w:t>
      </w:r>
      <w:r>
        <w:rPr>
          <w:rStyle w:val="Funotenanker"/>
        </w:rPr>
        <w:footnoteReference w:customMarkFollows="1" w:id="6317"/>
        <w:t>m</w:t>
      </w:r>
      <w:r>
        <w:rPr/>
        <w:t xml:space="preserve"> von euch an Weisheit </w:t>
      </w:r>
      <w:r>
        <w:rPr>
          <w:rStyle w:val="Funotenanker"/>
        </w:rPr>
        <w:footnoteReference w:customMarkFollows="1" w:id="6318"/>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6319"/>
        <w:t>o</w:t>
      </w:r>
      <w:r>
        <w:rPr/>
        <w:t xml:space="preserve"> und ohne Vorwürfe </w:t>
      </w:r>
      <w:r>
        <w:rPr>
          <w:rStyle w:val="Funotenanker"/>
        </w:rPr>
        <w:footnoteReference w:customMarkFollows="1" w:id="6320"/>
        <w:t>p</w:t>
      </w:r>
      <w:r>
        <w:rPr/>
        <w:t xml:space="preserve"> gibt, </w:t>
      </w:r>
      <w:r>
        <w:rPr>
          <w:rStyle w:val="Funotenanker"/>
        </w:rPr>
        <w:footnoteReference w:customMarkFollows="1" w:id="6321"/>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6322"/>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6323"/>
        <w:t>s</w:t>
      </w:r>
      <w:r>
        <w:rPr/>
        <w:t xml:space="preserve"> </w:t>
      </w:r>
      <w:r>
        <w:rPr>
          <w:color w:val="808080"/>
        </w:rPr>
        <w:t>(keinerlei Bedenken haben)</w:t>
      </w:r>
      <w:r>
        <w:rPr/>
        <w:t xml:space="preserve">: Denn wer zweifelt </w:t>
      </w:r>
      <w:r>
        <w:rPr>
          <w:rStyle w:val="Funotenanker"/>
        </w:rPr>
        <w:footnoteReference w:customMarkFollows="1" w:id="6324"/>
        <w:t>t</w:t>
      </w:r>
      <w:r>
        <w:rPr/>
        <w:t xml:space="preserve"> , gleicht einer Meereswoge, die vom Wind bewegt und hin- und hergetrieben wird. </w:t>
      </w:r>
      <w:r>
        <w:rPr>
          <w:rStyle w:val="Funotenanker"/>
        </w:rPr>
        <w:footnoteReference w:customMarkFollows="1" w:id="6325"/>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6326"/>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6327"/>
        <w:t>w</w:t>
      </w:r>
      <w:r>
        <w:rPr/>
        <w:t>,</w:t>
      </w:r>
      <w:r>
        <w:rPr>
          <w:position w:val="8"/>
          <w:sz w:val="19"/>
        </w:rPr>
        <w:t>[[ ℘ &gt;&gt; BibleTOBIBLE:Jas 4:8]]</w:t>
      </w:r>
      <w:r>
        <w:rPr/>
        <w:t xml:space="preserve"> wankelmütig auf allen seinen Wegen </w:t>
      </w:r>
      <w:r>
        <w:rPr>
          <w:rStyle w:val="Funotenanker"/>
        </w:rPr>
        <w:footnoteReference w:customMarkFollows="1" w:id="6328"/>
        <w:t>x</w:t>
      </w:r>
      <w:r>
        <w:rPr/>
        <w:t xml:space="preserve"> {{field-off:bible}} </w:t>
        <w:br/>
        <w:t>[[@BibleTOBIBLE:Jas 1:9]]</w:t>
      </w:r>
      <w:r>
        <w:rPr>
          <w:b/>
        </w:rPr>
        <w:t>9</w:t>
      </w:r>
      <w:r>
        <w:rPr/>
        <w:t xml:space="preserve"> {{field-on:bible}}Stattdessen</w:t>
      </w:r>
      <w:r>
        <w:rPr>
          <w:rStyle w:val="Funotenanker"/>
        </w:rPr>
        <w:footnoteReference w:customMarkFollows="1" w:id="6329"/>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6330"/>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6331"/>
        <w:t>aa</w:t>
      </w:r>
      <w:r>
        <w:rPr/>
        <w:t xml:space="preserve"> aber seiner Erniedrigung, denn er wird wie eine Grasblüte</w:t>
      </w:r>
      <w:r>
        <w:rPr>
          <w:rStyle w:val="Funotenanker"/>
        </w:rPr>
        <w:footnoteReference w:customMarkFollows="1" w:id="6332"/>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6333"/>
        <w:t>ac</w:t>
      </w:r>
      <w:r>
        <w:rPr/>
        <w:t xml:space="preserve"> mit dem heißen Wind </w:t>
      </w:r>
      <w:r>
        <w:rPr>
          <w:rStyle w:val="Funotenanker"/>
        </w:rPr>
        <w:footnoteReference w:customMarkFollows="1" w:id="6334"/>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6335"/>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6336"/>
        <w:t>af</w:t>
      </w:r>
      <w:r>
        <w:rPr/>
        <w:t xml:space="preserve">, der eine Bewährungsprobe </w:t>
      </w:r>
      <w:r>
        <w:rPr>
          <w:color w:val="808080"/>
        </w:rPr>
        <w:t>(Prüfung, Versuchung)</w:t>
      </w:r>
      <w:r>
        <w:rPr/>
        <w:t xml:space="preserve"> </w:t>
      </w:r>
      <w:r>
        <w:rPr>
          <w:rStyle w:val="Funotenanker"/>
        </w:rPr>
        <w:footnoteReference w:customMarkFollows="1" w:id="6337"/>
        <w:t>ag</w:t>
      </w:r>
      <w:r>
        <w:rPr/>
        <w:t xml:space="preserve"> </w:t>
      </w:r>
      <w:r>
        <w:rPr>
          <w:b/>
          <w:color w:val="808080"/>
        </w:rPr>
        <w:t>[</w:t>
      </w:r>
      <w:r>
        <w:rPr/>
        <w:t>standhaft</w:t>
      </w:r>
      <w:r>
        <w:rPr>
          <w:b/>
          <w:color w:val="808080"/>
        </w:rPr>
        <w:t>]</w:t>
      </w:r>
      <w:r>
        <w:rPr/>
        <w:t xml:space="preserve"> </w:t>
      </w:r>
      <w:r>
        <w:rPr>
          <w:rStyle w:val="Funotenanker"/>
        </w:rPr>
        <w:footnoteReference w:customMarkFollows="1" w:id="6338"/>
        <w:t>ah</w:t>
      </w:r>
      <w:r>
        <w:rPr/>
        <w:t xml:space="preserve"> erträgt, denn wenn </w:t>
      </w:r>
      <w:r>
        <w:rPr>
          <w:color w:val="808080"/>
        </w:rPr>
        <w:t>(weil, indem)</w:t>
      </w:r>
      <w:r>
        <w:rPr/>
        <w:t xml:space="preserve"> </w:t>
      </w:r>
      <w:r>
        <w:rPr>
          <w:rStyle w:val="Funotenanker"/>
        </w:rPr>
        <w:footnoteReference w:customMarkFollows="1" w:id="6339"/>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6340"/>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6341"/>
        <w:t>ak</w:t>
      </w:r>
      <w:r>
        <w:rPr/>
        <w:t xml:space="preserve"> denen verheißen hat, die ihn lieben</w:t>
      </w:r>
      <w:r>
        <w:rPr>
          <w:rStyle w:val="Funotenanker"/>
        </w:rPr>
        <w:footnoteReference w:customMarkFollows="1" w:id="6342"/>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6343"/>
        <w:t>am</w:t>
      </w:r>
      <w:r>
        <w:rPr/>
        <w:t xml:space="preserve"> sagen</w:t>
      </w:r>
      <w:r>
        <w:rPr>
          <w:rStyle w:val="Funotenanker"/>
        </w:rPr>
        <w:footnoteReference w:customMarkFollows="1" w:id="6344"/>
        <w:t>an</w:t>
      </w:r>
      <w:r>
        <w:rPr/>
        <w:t xml:space="preserve">, </w:t>
      </w:r>
      <w:r>
        <w:rPr>
          <w:strike/>
          <w:color w:val="808080"/>
        </w:rPr>
        <w:t>{dass}</w:t>
      </w:r>
      <w:r>
        <w:rPr/>
        <w:t xml:space="preserve"> </w:t>
      </w:r>
      <w:r>
        <w:rPr>
          <w:rStyle w:val="Funotenanker"/>
        </w:rPr>
        <w:footnoteReference w:customMarkFollows="1" w:id="6345"/>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6346"/>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6347"/>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6348"/>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6349"/>
        <w:t>as</w:t>
      </w:r>
      <w:r>
        <w:rPr/>
        <w:t xml:space="preserve">, gebiert sie Sünde; und die Sünde, wenn sie ans Ziel gelangt </w:t>
      </w:r>
      <w:r>
        <w:rPr>
          <w:color w:val="808080"/>
        </w:rPr>
        <w:t>(erwachsen geworden)</w:t>
      </w:r>
      <w:r>
        <w:rPr/>
        <w:t xml:space="preserve"> ist</w:t>
      </w:r>
      <w:r>
        <w:rPr>
          <w:rStyle w:val="Funotenanker"/>
        </w:rPr>
        <w:footnoteReference w:customMarkFollows="1" w:id="6350"/>
        <w:t>at</w:t>
      </w:r>
      <w:r>
        <w:rPr/>
        <w:t xml:space="preserve">, gebiert Tod.{{field-off:bible}} </w:t>
        <w:br/>
        <w:t>[[@BibleTOBIBLE:Jas 1:16]]</w:t>
      </w:r>
      <w:r>
        <w:rPr>
          <w:b/>
        </w:rPr>
        <w:t>16</w:t>
      </w:r>
      <w:r>
        <w:rPr/>
        <w:t xml:space="preserve"> {{field-on:bible}}Lasst euch nicht täuschen</w:t>
      </w:r>
      <w:r>
        <w:rPr>
          <w:rStyle w:val="Funotenanker"/>
        </w:rPr>
        <w:footnoteReference w:customMarkFollows="1" w:id="6351"/>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6352"/>
        <w:t>av</w:t>
      </w:r>
      <w:r>
        <w:rPr/>
        <w:t xml:space="preserve"> vom Vater der Lichter</w:t>
      </w:r>
      <w:r>
        <w:rPr>
          <w:rStyle w:val="Funotenanker"/>
        </w:rPr>
        <w:footnoteReference w:customMarkFollows="1" w:id="6353"/>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6354"/>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6355"/>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6356"/>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6357"/>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6358"/>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6359"/>
        <w:t>bc</w:t>
      </w:r>
      <w:r>
        <w:rPr/>
        <w:t>.</w:t>
      </w:r>
      <w:r>
        <w:rPr>
          <w:rStyle w:val="Funotenanker"/>
        </w:rPr>
        <w:footnoteReference w:customMarkFollows="1" w:id="6360"/>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6361"/>
        <w:t>be</w:t>
      </w:r>
      <w:r>
        <w:rPr/>
        <w:t xml:space="preserve"> ab </w:t>
      </w:r>
      <w:r>
        <w:rPr>
          <w:b/>
          <w:color w:val="808080"/>
        </w:rPr>
        <w:t>[</w:t>
      </w:r>
      <w:r>
        <w:rPr/>
        <w:t>und</w:t>
      </w:r>
      <w:r>
        <w:rPr>
          <w:b/>
          <w:color w:val="808080"/>
        </w:rPr>
        <w:t>]</w:t>
      </w:r>
      <w:r>
        <w:rPr/>
        <w:t xml:space="preserve"> </w:t>
      </w:r>
      <w:r>
        <w:rPr>
          <w:rStyle w:val="Funotenanker"/>
        </w:rPr>
        <w:footnoteReference w:customMarkFollows="1" w:id="6362"/>
        <w:t>bf</w:t>
      </w:r>
      <w:r>
        <w:rPr/>
        <w:t xml:space="preserve"> nehmt das eingepflanzte Wort, das eure Seelen zu retten vermag, in Bescheidenheit</w:t>
      </w:r>
      <w:r>
        <w:rPr>
          <w:rStyle w:val="Funotenanker"/>
        </w:rPr>
        <w:footnoteReference w:customMarkFollows="1" w:id="6363"/>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6364"/>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6365"/>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6366"/>
        <w:t>bj</w:t>
      </w:r>
      <w:r>
        <w:rPr/>
        <w:t xml:space="preserve"> in einem Spiegel betrachtet</w:t>
      </w:r>
      <w:r>
        <w:rPr>
          <w:rStyle w:val="Funotenanker"/>
        </w:rPr>
        <w:footnoteReference w:customMarkFollows="1" w:id="6367"/>
        <w:t>bk</w:t>
      </w:r>
      <w:r>
        <w:rPr/>
        <w:t xml:space="preserve"> –</w:t>
      </w:r>
      <w:r>
        <w:rPr>
          <w:rStyle w:val="Funotenanker"/>
        </w:rPr>
        <w:footnoteReference w:customMarkFollows="1" w:id="6368"/>
        <w:t>bl</w:t>
      </w:r>
      <w:r>
        <w:rPr/>
        <w:t xml:space="preserve"> {{field-off:bible}} </w:t>
        <w:br/>
        <w:t>[[@BibleTOBIBLE:Jas 1:24]]</w:t>
      </w:r>
      <w:r>
        <w:rPr>
          <w:b/>
        </w:rPr>
        <w:t>24</w:t>
      </w:r>
      <w:r>
        <w:rPr/>
        <w:t xml:space="preserve"> {{field-on:bible}}denn er betrachtet sich</w:t>
      </w:r>
      <w:r>
        <w:rPr>
          <w:rStyle w:val="Funotenanker"/>
        </w:rPr>
        <w:footnoteReference w:customMarkFollows="1" w:id="6369"/>
        <w:t>bm</w:t>
      </w:r>
      <w:r>
        <w:rPr/>
        <w:t xml:space="preserve"> und geht weg und vergisst sofort, wie er aussah</w:t>
      </w:r>
      <w:r>
        <w:rPr>
          <w:rStyle w:val="Funotenanker"/>
        </w:rPr>
        <w:footnoteReference w:customMarkFollows="1" w:id="6370"/>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6371"/>
        <w:t>bo</w:t>
      </w:r>
      <w:r>
        <w:rPr/>
        <w:t xml:space="preserve"> und dabei bleibt</w:t>
      </w:r>
      <w:r>
        <w:rPr>
          <w:rStyle w:val="Funotenanker"/>
        </w:rPr>
        <w:footnoteReference w:customMarkFollows="1" w:id="6372"/>
        <w:t>bp</w:t>
      </w:r>
      <w:r>
        <w:rPr/>
        <w:t>, indem er kein vergesslicher Hörer</w:t>
      </w:r>
      <w:r>
        <w:rPr>
          <w:rStyle w:val="Funotenanker"/>
        </w:rPr>
        <w:footnoteReference w:customMarkFollows="1" w:id="6373"/>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6374"/>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6375"/>
        <w:t>bs</w:t>
      </w:r>
      <w:r>
        <w:rPr/>
        <w:t xml:space="preserve"> seine Zunge nicht im Zaum hält, sondern sein Herz betrügt</w:t>
      </w:r>
      <w:r>
        <w:rPr>
          <w:rStyle w:val="Funotenanker"/>
        </w:rPr>
        <w:footnoteReference w:customMarkFollows="1" w:id="6376"/>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6377"/>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6378"/>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6379"/>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6380"/>
        <w:t>a</w:t>
      </w:r>
      <w:r>
        <w:rPr/>
        <w:t xml:space="preserve"> der Herrlichkeit</w:t>
      </w:r>
      <w:r>
        <w:rPr>
          <w:rStyle w:val="Funotenanker"/>
        </w:rPr>
        <w:footnoteReference w:customMarkFollows="1" w:id="6381"/>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6382"/>
        <w:t>c</w:t>
      </w:r>
      <w:r>
        <w:rPr/>
        <w:t xml:space="preserve"> ein Mann mit goldenen Ringen an den Fingern</w:t>
      </w:r>
      <w:r>
        <w:rPr>
          <w:rStyle w:val="Funotenanker"/>
        </w:rPr>
        <w:footnoteReference w:customMarkFollows="1" w:id="6383"/>
        <w:t>d</w:t>
      </w:r>
      <w:r>
        <w:rPr/>
        <w:t xml:space="preserve"> in prächtiger</w:t>
      </w:r>
      <w:r>
        <w:rPr>
          <w:rStyle w:val="Funotenanker"/>
        </w:rPr>
        <w:footnoteReference w:customMarkFollows="1" w:id="6384"/>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6385"/>
        <w:t>f</w:t>
      </w:r>
      <w:r>
        <w:rPr/>
        <w:t>, und sagt: Setze du dich hier auf den guten Platz</w:t>
      </w:r>
      <w:r>
        <w:rPr>
          <w:rStyle w:val="Funotenanker"/>
        </w:rPr>
        <w:footnoteReference w:customMarkFollows="1" w:id="6386"/>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6387"/>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6388"/>
        <w:t>i</w:t>
      </w:r>
      <w:r>
        <w:rPr/>
        <w:t xml:space="preserve"> unterschieden</w:t>
      </w:r>
      <w:r>
        <w:rPr>
          <w:rStyle w:val="Funotenanker"/>
        </w:rPr>
        <w:footnoteReference w:customMarkFollows="1" w:id="6389"/>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6390"/>
        <w:t>k</w:t>
      </w:r>
      <w:r>
        <w:rPr/>
        <w:t xml:space="preserve"> geworden?</w:t>
      </w:r>
      <w:r>
        <w:rPr>
          <w:rStyle w:val="Funotenanker"/>
        </w:rPr>
        <w:footnoteReference w:customMarkFollows="1" w:id="6391"/>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6392"/>
        <w:t>m</w:t>
      </w:r>
      <w:r>
        <w:rPr/>
        <w:t xml:space="preserve"> Armen </w:t>
      </w:r>
      <w:r>
        <w:rPr>
          <w:b/>
          <w:color w:val="808080"/>
        </w:rPr>
        <w:t>[</w:t>
      </w:r>
      <w:r>
        <w:rPr/>
        <w:t>dazu</w:t>
      </w:r>
      <w:r>
        <w:rPr>
          <w:b/>
          <w:color w:val="808080"/>
        </w:rPr>
        <w:t>]</w:t>
      </w:r>
      <w:r>
        <w:rPr/>
        <w:t xml:space="preserve"> erwählt</w:t>
      </w:r>
      <w:r>
        <w:rPr>
          <w:rStyle w:val="Funotenanker"/>
        </w:rPr>
        <w:footnoteReference w:customMarkFollows="1" w:id="6393"/>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6394"/>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6395"/>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6396"/>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6397"/>
        <w:t>r</w:t>
      </w:r>
      <w:r>
        <w:rPr/>
        <w:t>.</w:t>
      </w:r>
      <w:r>
        <w:rPr>
          <w:rStyle w:val="Funotenanker"/>
        </w:rPr>
        <w:footnoteReference w:customMarkFollows="1" w:id="6398"/>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6399"/>
        <w:t>t</w:t>
      </w:r>
      <w:r>
        <w:rPr/>
        <w:t xml:space="preserve"> </w:t>
      </w:r>
      <w:r>
        <w:rPr>
          <w:color w:val="808080"/>
        </w:rPr>
        <w:t>)</w:t>
      </w:r>
      <w:r>
        <w:rPr/>
        <w:t>, begeht ihr Sünde, indem ihr vom Gesetz als Übertreter</w:t>
      </w:r>
      <w:r>
        <w:rPr>
          <w:rStyle w:val="Funotenanker"/>
        </w:rPr>
        <w:footnoteReference w:customMarkFollows="1" w:id="6400"/>
        <w:t>u</w:t>
      </w:r>
      <w:r>
        <w:rPr/>
        <w:t xml:space="preserve"> überführt werdet</w:t>
      </w:r>
      <w:r>
        <w:rPr>
          <w:rStyle w:val="Funotenanker"/>
        </w:rPr>
        <w:footnoteReference w:customMarkFollows="1" w:id="6401"/>
        <w:t>v</w:t>
      </w:r>
      <w:r>
        <w:rPr/>
        <w:t>.</w:t>
      </w:r>
      <w:r>
        <w:rPr>
          <w:rStyle w:val="Funotenanker"/>
        </w:rPr>
        <w:footnoteReference w:customMarkFollows="1" w:id="6402"/>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6403"/>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6404"/>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6405"/>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6406"/>
        <w:t>aa</w:t>
      </w:r>
      <w:r>
        <w:rPr/>
        <w:t>.</w:t>
      </w:r>
      <w:r>
        <w:rPr>
          <w:rStyle w:val="Funotenanker"/>
        </w:rPr>
        <w:footnoteReference w:customMarkFollows="1" w:id="6407"/>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6408"/>
        <w:t>ac</w:t>
      </w:r>
      <w:r>
        <w:rPr/>
        <w:t xml:space="preserve"> dem Gesetz der Freiheit gerichtet </w:t>
      </w:r>
      <w:r>
        <w:rPr>
          <w:color w:val="808080"/>
        </w:rPr>
        <w:t>(werden wollen)</w:t>
      </w:r>
      <w:r>
        <w:rPr/>
        <w:t xml:space="preserve"> </w:t>
      </w:r>
      <w:r>
        <w:rPr>
          <w:rStyle w:val="Funotenanker"/>
        </w:rPr>
        <w:footnoteReference w:customMarkFollows="1" w:id="6409"/>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6410"/>
        <w:t>ae</w:t>
      </w:r>
      <w:r>
        <w:rPr/>
        <w:t xml:space="preserve"> meine Geschwister, wenn jemand Glauben zu haben behauptet, aber keine Werke hat?</w:t>
      </w:r>
      <w:r>
        <w:rPr>
          <w:rStyle w:val="Funotenanker"/>
        </w:rPr>
        <w:footnoteReference w:customMarkFollows="1" w:id="6411"/>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6412"/>
        <w:t>ag</w:t>
      </w:r>
      <w:r>
        <w:rPr/>
        <w:t>, wärmt euch und esst euch satt!“, aber ihr gebt ihnen nicht, was für den Leib erforderlich ist</w:t>
      </w:r>
      <w:r>
        <w:rPr>
          <w:rStyle w:val="Funotenanker"/>
        </w:rPr>
        <w:footnoteReference w:customMarkFollows="1" w:id="6413"/>
        <w:t>ah</w:t>
      </w:r>
      <w:r>
        <w:rPr/>
        <w:t>, was nützt das</w:t>
      </w:r>
      <w:r>
        <w:rPr>
          <w:rStyle w:val="Funotenanker"/>
        </w:rPr>
        <w:footnoteReference w:customMarkFollows="1" w:id="6414"/>
        <w:t>ai</w:t>
      </w:r>
      <w:r>
        <w:rPr/>
        <w:t>?</w:t>
      </w:r>
      <w:r>
        <w:rPr>
          <w:rStyle w:val="Funotenanker"/>
        </w:rPr>
        <w:footnoteReference w:customMarkFollows="1" w:id="6415"/>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6416"/>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6417"/>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6418"/>
        <w:t>am</w:t>
      </w:r>
      <w:r>
        <w:rPr/>
        <w:t xml:space="preserve"> – Du hast recht!</w:t>
      </w:r>
      <w:r>
        <w:rPr>
          <w:rStyle w:val="Funotenanker"/>
        </w:rPr>
        <w:footnoteReference w:customMarkFollows="1" w:id="6419"/>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6420"/>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6421"/>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6422"/>
        <w:t>aq</w:t>
      </w:r>
      <w:r>
        <w:rPr/>
        <w:t xml:space="preserve">?{{field-off:bible}} </w:t>
        <w:br/>
        <w:t>[[@BibleTOBIBLE:Jas 2:22]]</w:t>
      </w:r>
      <w:r>
        <w:rPr>
          <w:b/>
        </w:rPr>
        <w:t>22</w:t>
      </w:r>
      <w:r>
        <w:rPr/>
        <w:t xml:space="preserve"> {{field-on:bible}}Du siehst, dass der Glaube mit seinen</w:t>
      </w:r>
      <w:r>
        <w:rPr>
          <w:rStyle w:val="Funotenanker"/>
        </w:rPr>
        <w:footnoteReference w:customMarkFollows="1" w:id="6423"/>
        <w:t>ar</w:t>
      </w:r>
      <w:r>
        <w:rPr/>
        <w:t xml:space="preserve"> Werken zusammenwirkte</w:t>
      </w:r>
      <w:r>
        <w:rPr>
          <w:rStyle w:val="Funotenanker"/>
        </w:rPr>
        <w:footnoteReference w:customMarkFollows="1" w:id="6424"/>
        <w:t>as</w:t>
      </w:r>
      <w:r>
        <w:rPr/>
        <w:t xml:space="preserve"> und durch die</w:t>
      </w:r>
      <w:r>
        <w:rPr>
          <w:rStyle w:val="Funotenanker"/>
        </w:rPr>
        <w:footnoteReference w:customMarkFollows="1" w:id="6425"/>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6426"/>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6427"/>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6428"/>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6429"/>
        <w:t>ax</w:t>
      </w:r>
      <w:r>
        <w:rPr/>
        <w:t xml:space="preserve"> hinausführte?</w:t>
      </w:r>
      <w:r>
        <w:rPr>
          <w:rStyle w:val="Funotenanker"/>
        </w:rPr>
        <w:footnoteReference w:customMarkFollows="1" w:id="6430"/>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6431"/>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6432"/>
        <w:t>a</w:t>
      </w:r>
      <w:r>
        <w:rPr/>
        <w:t xml:space="preserve"> meine Geschwister, denn ihr wisst,</w:t>
      </w:r>
      <w:r>
        <w:rPr>
          <w:rStyle w:val="Funotenanker"/>
        </w:rPr>
        <w:footnoteReference w:customMarkFollows="1" w:id="6433"/>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6434"/>
        <w:t>c</w:t>
      </w:r>
      <w:r>
        <w:rPr/>
        <w:t xml:space="preserve"> vielfach </w:t>
      </w:r>
      <w:r>
        <w:rPr>
          <w:color w:val="808080"/>
        </w:rPr>
        <w:t>(in vieler Hinsicht)</w:t>
      </w:r>
      <w:r>
        <w:rPr/>
        <w:t>. Wenn jemand beim Reden</w:t>
      </w:r>
      <w:r>
        <w:rPr>
          <w:rStyle w:val="Funotenanker"/>
        </w:rPr>
        <w:footnoteReference w:customMarkFollows="1" w:id="6435"/>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6436"/>
        <w:t>e</w:t>
      </w:r>
      <w:r>
        <w:rPr/>
        <w:t xml:space="preserve">, fähig, auch den ganzen Körper zu zügeln </w:t>
      </w:r>
      <w:r>
        <w:rPr>
          <w:color w:val="808080"/>
        </w:rPr>
        <w:t>(in Zaum zu halten)</w:t>
      </w:r>
      <w:r>
        <w:rPr/>
        <w:t>.</w:t>
      </w:r>
      <w:r>
        <w:rPr>
          <w:rStyle w:val="Funotenanker"/>
        </w:rPr>
        <w:footnoteReference w:customMarkFollows="1" w:id="6437"/>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6438"/>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6439"/>
        <w:t>h</w:t>
      </w:r>
      <w:r>
        <w:rPr/>
        <w:t xml:space="preserve"> legen, damit sie uns gehorchen,</w:t>
      </w:r>
      <w:r>
        <w:rPr>
          <w:rStyle w:val="Funotenanker"/>
        </w:rPr>
        <w:footnoteReference w:customMarkFollows="1" w:id="6440"/>
        <w:t>i</w:t>
      </w:r>
      <w:r>
        <w:rPr/>
        <w:t xml:space="preserve"> dann</w:t>
      </w:r>
      <w:r>
        <w:rPr>
          <w:rStyle w:val="Funotenanker"/>
        </w:rPr>
        <w:footnoteReference w:customMarkFollows="1" w:id="6441"/>
        <w:t>j</w:t>
      </w:r>
      <w:r>
        <w:rPr/>
        <w:t xml:space="preserve"> lenken wir ihren ganzen Körper.</w:t>
      </w:r>
      <w:r>
        <w:rPr>
          <w:rStyle w:val="Funotenanker"/>
        </w:rPr>
        <w:footnoteReference w:customMarkFollows="1" w:id="6442"/>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6443"/>
        <w:t>l</w:t>
      </w:r>
      <w:r>
        <w:rPr/>
        <w:t xml:space="preserve"> werden sie von einem winzigen</w:t>
      </w:r>
      <w:r>
        <w:rPr>
          <w:rStyle w:val="Funotenanker"/>
        </w:rPr>
        <w:footnoteReference w:customMarkFollows="1" w:id="6444"/>
        <w:t>m</w:t>
      </w:r>
      <w:r>
        <w:rPr/>
        <w:t xml:space="preserve"> Steuerruder gelenkt, wohin die Absicht </w:t>
      </w:r>
      <w:r>
        <w:rPr>
          <w:color w:val="808080"/>
        </w:rPr>
        <w:t>(Drang, Eifer, Trachten)</w:t>
      </w:r>
      <w:r>
        <w:rPr/>
        <w:t xml:space="preserve"> </w:t>
      </w:r>
      <w:r>
        <w:rPr>
          <w:rStyle w:val="Funotenanker"/>
        </w:rPr>
        <w:footnoteReference w:customMarkFollows="1" w:id="6445"/>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6446"/>
        <w:t>o</w:t>
      </w:r>
      <w:r>
        <w:rPr/>
        <w:t xml:space="preserve"> steht</w:t>
      </w:r>
      <w:r>
        <w:rPr>
          <w:rStyle w:val="Funotenanker"/>
        </w:rPr>
        <w:footnoteReference w:customMarkFollows="1" w:id="6447"/>
        <w:t>p</w:t>
      </w:r>
      <w:r>
        <w:rPr/>
        <w:t xml:space="preserve"> die Zunge unter unseren Gliedern da;</w:t>
      </w:r>
      <w:r>
        <w:rPr>
          <w:rStyle w:val="Funotenanker"/>
        </w:rPr>
        <w:footnoteReference w:customMarkFollows="1" w:id="6448"/>
        <w:t>q</w:t>
      </w:r>
      <w:r>
        <w:rPr/>
        <w:t xml:space="preserve"> sie, die den ganzen Körper beschmutzt und das Rad</w:t>
      </w:r>
      <w:r>
        <w:rPr>
          <w:rStyle w:val="Funotenanker"/>
        </w:rPr>
        <w:footnoteReference w:customMarkFollows="1" w:id="6449"/>
        <w:t>r</w:t>
      </w:r>
      <w:r>
        <w:rPr/>
        <w:t xml:space="preserve"> des Werdens</w:t>
      </w:r>
      <w:r>
        <w:rPr>
          <w:rStyle w:val="Funotenanker"/>
        </w:rPr>
        <w:footnoteReference w:customMarkFollows="1" w:id="6450"/>
        <w:t>s</w:t>
      </w:r>
      <w:r>
        <w:rPr/>
        <w:t xml:space="preserve"> in Brand setzt,</w:t>
      </w:r>
      <w:r>
        <w:rPr>
          <w:rStyle w:val="Funotenanker"/>
        </w:rPr>
        <w:footnoteReference w:customMarkFollows="1" w:id="6451"/>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6452"/>
        <w:t>u</w:t>
      </w:r>
      <w:r>
        <w:rPr/>
        <w:t xml:space="preserve"> in Brand gesetzt.</w:t>
      </w:r>
      <w:r>
        <w:rPr>
          <w:rStyle w:val="Funotenanker"/>
        </w:rPr>
        <w:footnoteReference w:customMarkFollows="1" w:id="6453"/>
        <w:t>v</w:t>
      </w:r>
      <w:r>
        <w:rPr/>
        <w:t xml:space="preserve"> {{field-off:bible}} </w:t>
        <w:br/>
        <w:t>[[@BibleTOBIBLE:Jas 3:7]]</w:t>
      </w:r>
      <w:r>
        <w:rPr>
          <w:b/>
        </w:rPr>
        <w:t>7</w:t>
      </w:r>
      <w:r>
        <w:rPr/>
        <w:t xml:space="preserve"> {{field-on:bible}}Jede</w:t>
      </w:r>
      <w:r>
        <w:rPr>
          <w:rStyle w:val="Funotenanker"/>
        </w:rPr>
        <w:footnoteReference w:customMarkFollows="1" w:id="6454"/>
        <w:t>w</w:t>
      </w:r>
      <w:r>
        <w:rPr/>
        <w:t xml:space="preserve"> Art </w:t>
      </w:r>
      <w:r>
        <w:rPr>
          <w:b/>
          <w:color w:val="808080"/>
        </w:rPr>
        <w:t>[</w:t>
      </w:r>
      <w:r>
        <w:rPr/>
        <w:t>der</w:t>
      </w:r>
      <w:r>
        <w:rPr>
          <w:b/>
          <w:color w:val="808080"/>
        </w:rPr>
        <w:t>]</w:t>
      </w:r>
      <w:r>
        <w:rPr/>
        <w:t xml:space="preserve"> Säugetiere</w:t>
      </w:r>
      <w:r>
        <w:rPr>
          <w:rStyle w:val="Funotenanker"/>
        </w:rPr>
        <w:footnoteReference w:customMarkFollows="1" w:id="6455"/>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6456"/>
        <w:t>y</w:t>
      </w:r>
      <w:r>
        <w:rPr/>
        <w:t xml:space="preserve"> gezähmt worden</w:t>
      </w:r>
      <w:r>
        <w:rPr>
          <w:rStyle w:val="Funotenanker"/>
        </w:rPr>
        <w:footnoteReference w:customMarkFollows="1" w:id="6457"/>
        <w:t>z</w:t>
      </w:r>
      <w:r>
        <w:rPr/>
        <w:t xml:space="preserve">,{{field-off:bible}} </w:t>
        <w:br/>
        <w:t>[[@BibleTOBIBLE:Jas 3:8]]</w:t>
      </w:r>
      <w:r>
        <w:rPr>
          <w:b/>
        </w:rPr>
        <w:t>8</w:t>
      </w:r>
      <w:r>
        <w:rPr/>
        <w:t xml:space="preserve"> {{field-on:bible}}aber die Zunge vermag kein Mensch</w:t>
      </w:r>
      <w:r>
        <w:rPr>
          <w:rStyle w:val="Funotenanker"/>
        </w:rPr>
        <w:footnoteReference w:customMarkFollows="1" w:id="6458"/>
        <w:t>aa</w:t>
      </w:r>
      <w:r>
        <w:rPr/>
        <w:t xml:space="preserve"> zu bändigen, </w:t>
      </w:r>
      <w:r>
        <w:rPr>
          <w:b/>
          <w:color w:val="808080"/>
        </w:rPr>
        <w:t>[</w:t>
      </w:r>
      <w:r>
        <w:rPr/>
        <w:t>das</w:t>
      </w:r>
      <w:r>
        <w:rPr>
          <w:b/>
          <w:color w:val="808080"/>
        </w:rPr>
        <w:t>]</w:t>
      </w:r>
      <w:r>
        <w:rPr/>
        <w:t xml:space="preserve"> </w:t>
      </w:r>
      <w:r>
        <w:rPr>
          <w:rStyle w:val="Funotenanker"/>
        </w:rPr>
        <w:footnoteReference w:customMarkFollows="1" w:id="6459"/>
        <w:t>ab</w:t>
      </w:r>
      <w:r>
        <w:rPr/>
        <w:t xml:space="preserve"> ruhelose </w:t>
      </w:r>
      <w:r>
        <w:rPr>
          <w:color w:val="808080"/>
        </w:rPr>
        <w:t>(unruhige</w:t>
      </w:r>
      <w:r>
        <w:rPr/>
        <w:t xml:space="preserve"> </w:t>
      </w:r>
      <w:r>
        <w:rPr>
          <w:rStyle w:val="Funotenanker"/>
        </w:rPr>
        <w:footnoteReference w:customMarkFollows="1" w:id="6460"/>
        <w:t>ac</w:t>
      </w:r>
      <w:r>
        <w:rPr/>
        <w:t xml:space="preserve"> </w:t>
      </w:r>
      <w:r>
        <w:rPr>
          <w:color w:val="808080"/>
        </w:rPr>
        <w:t>, unkontrollierte</w:t>
      </w:r>
      <w:r>
        <w:rPr/>
        <w:t xml:space="preserve"> </w:t>
      </w:r>
      <w:r>
        <w:rPr>
          <w:rStyle w:val="Funotenanker"/>
        </w:rPr>
        <w:footnoteReference w:customMarkFollows="1" w:id="6461"/>
        <w:t>ad</w:t>
      </w:r>
      <w:r>
        <w:rPr/>
        <w:t xml:space="preserve"> </w:t>
      </w:r>
      <w:r>
        <w:rPr>
          <w:color w:val="808080"/>
        </w:rPr>
        <w:t>, wankelmütige</w:t>
      </w:r>
      <w:r>
        <w:rPr/>
        <w:t xml:space="preserve"> </w:t>
      </w:r>
      <w:r>
        <w:rPr>
          <w:rStyle w:val="Funotenanker"/>
        </w:rPr>
        <w:footnoteReference w:customMarkFollows="1" w:id="6462"/>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6463"/>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6464"/>
        <w:t>ag</w:t>
      </w:r>
      <w:r>
        <w:rPr/>
        <w:t>:</w:t>
      </w:r>
      <w:r>
        <w:rPr>
          <w:rStyle w:val="Funotenanker"/>
        </w:rPr>
        <w:footnoteReference w:customMarkFollows="1" w:id="6465"/>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6466"/>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6467"/>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6468"/>
        <w:t>ak</w:t>
      </w:r>
      <w:r>
        <w:rPr/>
        <w:t xml:space="preserve"> </w:t>
      </w:r>
      <w:r>
        <w:rPr>
          <w:b/>
          <w:color w:val="808080"/>
        </w:rPr>
        <w:t>[</w:t>
      </w:r>
      <w:r>
        <w:rPr/>
        <w:t>kann</w:t>
      </w:r>
      <w:r>
        <w:rPr>
          <w:b/>
          <w:color w:val="808080"/>
        </w:rPr>
        <w:t>]</w:t>
      </w:r>
      <w:r>
        <w:rPr/>
        <w:t xml:space="preserve"> kein Süßwasser</w:t>
      </w:r>
      <w:r>
        <w:rPr>
          <w:rStyle w:val="Funotenanker"/>
        </w:rPr>
        <w:footnoteReference w:customMarkFollows="1" w:id="6469"/>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6470"/>
        <w:t>am</w:t>
      </w:r>
      <w:r>
        <w:rPr/>
        <w:t xml:space="preserve"> unter euch? Er soll durch</w:t>
      </w:r>
      <w:r>
        <w:rPr>
          <w:rStyle w:val="Funotenanker"/>
        </w:rPr>
        <w:footnoteReference w:customMarkFollows="1" w:id="6471"/>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6472"/>
        <w:t>ao</w:t>
      </w:r>
      <w:r>
        <w:rPr/>
        <w:t xml:space="preserve"> </w:t>
      </w:r>
      <w:r>
        <w:rPr>
          <w:b/>
          <w:color w:val="808080"/>
        </w:rPr>
        <w:t>[</w:t>
      </w:r>
      <w:r>
        <w:rPr/>
        <w:t>aus</w:t>
      </w:r>
      <w:r>
        <w:rPr>
          <w:b/>
          <w:color w:val="808080"/>
        </w:rPr>
        <w:t>]</w:t>
      </w:r>
      <w:r>
        <w:rPr/>
        <w:t xml:space="preserve"> Weisheit</w:t>
      </w:r>
      <w:r>
        <w:rPr>
          <w:rStyle w:val="Funotenanker"/>
        </w:rPr>
        <w:footnoteReference w:customMarkFollows="1" w:id="6473"/>
        <w:t>ap</w:t>
      </w:r>
      <w:r>
        <w:rPr/>
        <w:t xml:space="preserve"> erweisen </w:t>
      </w:r>
      <w:r>
        <w:rPr>
          <w:color w:val="808080"/>
        </w:rPr>
        <w:t>(muss erweisen</w:t>
      </w:r>
      <w:r>
        <w:rPr/>
        <w:t xml:space="preserve"> </w:t>
      </w:r>
      <w:r>
        <w:rPr>
          <w:rStyle w:val="Funotenanker"/>
        </w:rPr>
        <w:footnoteReference w:customMarkFollows="1" w:id="6474"/>
        <w:t>aq</w:t>
      </w:r>
      <w:r>
        <w:rPr/>
        <w:t xml:space="preserve"> </w:t>
      </w:r>
      <w:r>
        <w:rPr>
          <w:color w:val="808080"/>
        </w:rPr>
        <w:t>)</w:t>
      </w:r>
      <w:r>
        <w:rPr/>
        <w:t xml:space="preserve"> </w:t>
      </w:r>
      <w:r>
        <w:rPr>
          <w:rStyle w:val="Funotenanker"/>
        </w:rPr>
        <w:footnoteReference w:customMarkFollows="1" w:id="6475"/>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6476"/>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6477"/>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6478"/>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6479"/>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6480"/>
        <w:t>aw</w:t>
      </w:r>
      <w:r>
        <w:rPr/>
        <w:t xml:space="preserve"> gemeinem </w:t>
      </w:r>
      <w:r>
        <w:rPr>
          <w:color w:val="808080"/>
        </w:rPr>
        <w:t>(niederem, schlimmem)</w:t>
      </w:r>
      <w:r>
        <w:rPr/>
        <w:t xml:space="preserve"> </w:t>
      </w:r>
      <w:r>
        <w:rPr>
          <w:rStyle w:val="Funotenanker"/>
        </w:rPr>
        <w:footnoteReference w:customMarkFollows="1" w:id="6481"/>
        <w:t>ax</w:t>
      </w:r>
      <w:r>
        <w:rPr/>
        <w:t xml:space="preserve"> Tun </w:t>
      </w:r>
      <w:r>
        <w:rPr>
          <w:color w:val="808080"/>
        </w:rPr>
        <w:t>(Sache, Tat; Rechtsstreit</w:t>
      </w:r>
      <w:r>
        <w:rPr/>
        <w:t xml:space="preserve"> </w:t>
      </w:r>
      <w:r>
        <w:rPr>
          <w:rStyle w:val="Funotenanker"/>
        </w:rPr>
        <w:footnoteReference w:customMarkFollows="1" w:id="6482"/>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6483"/>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6484"/>
        <w:t>ba</w:t>
      </w:r>
      <w:r>
        <w:rPr/>
        <w:t xml:space="preserve"> </w:t>
      </w:r>
      <w:r>
        <w:rPr>
          <w:b/>
          <w:color w:val="808080"/>
        </w:rPr>
        <w:t>[</w:t>
      </w:r>
      <w:r>
        <w:rPr/>
        <w:t>die</w:t>
      </w:r>
      <w:r>
        <w:rPr>
          <w:b/>
          <w:color w:val="808080"/>
        </w:rPr>
        <w:t>]</w:t>
      </w:r>
      <w:r>
        <w:rPr/>
        <w:t xml:space="preserve"> Ernte</w:t>
      </w:r>
      <w:r>
        <w:rPr>
          <w:rStyle w:val="Funotenanker"/>
        </w:rPr>
        <w:footnoteReference w:customMarkFollows="1" w:id="6485"/>
        <w:t>bb</w:t>
      </w:r>
      <w:r>
        <w:rPr/>
        <w:t xml:space="preserve"> </w:t>
      </w:r>
      <w:r>
        <w:rPr>
          <w:b/>
          <w:color w:val="808080"/>
        </w:rPr>
        <w:t>[</w:t>
      </w:r>
      <w:r>
        <w:rPr/>
        <w:t>der</w:t>
      </w:r>
      <w:r>
        <w:rPr>
          <w:b/>
          <w:color w:val="808080"/>
        </w:rPr>
        <w:t>]</w:t>
      </w:r>
      <w:r>
        <w:rPr/>
        <w:t xml:space="preserve"> Gerechtigkeit</w:t>
      </w:r>
      <w:r>
        <w:rPr>
          <w:rStyle w:val="Funotenanker"/>
        </w:rPr>
        <w:footnoteReference w:customMarkFollows="1" w:id="6486"/>
        <w:t>bc</w:t>
      </w:r>
      <w:r>
        <w:rPr/>
        <w:t xml:space="preserve"> wird in Frieden gesät für</w:t>
      </w:r>
      <w:r>
        <w:rPr>
          <w:rStyle w:val="Funotenanker"/>
        </w:rPr>
        <w:footnoteReference w:customMarkFollows="1" w:id="6487"/>
        <w:t>bd</w:t>
      </w:r>
      <w:r>
        <w:rPr/>
        <w:t xml:space="preserve"> jene, die Frieden stiften</w:t>
      </w:r>
      <w:r>
        <w:rPr>
          <w:rStyle w:val="Funotenanker"/>
        </w:rPr>
        <w:footnoteReference w:customMarkFollows="1" w:id="6488"/>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6489"/>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6490"/>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6491"/>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6492"/>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6493"/>
        <w:t>d</w:t>
      </w:r>
      <w:r>
        <w:rPr/>
        <w:t xml:space="preserve"> nicht, ihr mordet </w:t>
      </w:r>
      <w:r>
        <w:rPr>
          <w:color w:val="808080"/>
        </w:rPr>
        <w:t>(tötet; beneidet)</w:t>
      </w:r>
      <w:r>
        <w:rPr/>
        <w:t xml:space="preserve"> </w:t>
      </w:r>
      <w:r>
        <w:rPr>
          <w:rStyle w:val="Funotenanker"/>
        </w:rPr>
        <w:footnoteReference w:customMarkFollows="1" w:id="6494"/>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6495"/>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6496"/>
        <w:t>g</w:t>
      </w:r>
      <w:r>
        <w:rPr/>
        <w:t>;</w:t>
      </w:r>
      <w:r>
        <w:rPr>
          <w:rStyle w:val="Funotenanker"/>
        </w:rPr>
        <w:footnoteReference w:customMarkFollows="1" w:id="6497"/>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6498"/>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6499"/>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6500"/>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6501"/>
        <w:t>l</w:t>
      </w:r>
      <w:r>
        <w:rPr/>
        <w:t xml:space="preserve"> jeder, der</w:t>
      </w:r>
      <w:r>
        <w:rPr>
          <w:rStyle w:val="Funotenanker"/>
        </w:rPr>
        <w:footnoteReference w:customMarkFollows="1" w:id="6502"/>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6503"/>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6504"/>
        <w:t>o</w:t>
      </w:r>
      <w:r>
        <w:rPr/>
        <w:t xml:space="preserve"> den er in uns wohnen ließ,</w:t>
      </w:r>
      <w:r>
        <w:rPr>
          <w:rStyle w:val="Funotenanker"/>
        </w:rPr>
        <w:footnoteReference w:customMarkFollows="1" w:id="6505"/>
        <w:t>p</w:t>
      </w:r>
      <w:r>
        <w:rPr/>
        <w:t xml:space="preserve"> {{field-off:bible}} </w:t>
        <w:br/>
        <w:t>[[@BibleTOBIBLE:Jas 4:6]]</w:t>
      </w:r>
      <w:r>
        <w:rPr>
          <w:b/>
        </w:rPr>
        <w:t>6</w:t>
      </w:r>
      <w:r>
        <w:rPr/>
        <w:t xml:space="preserve"> {{field-on:bible}}aber er gibt umso größere Gnade?</w:t>
      </w:r>
      <w:r>
        <w:rPr>
          <w:rStyle w:val="Funotenanker"/>
        </w:rPr>
        <w:footnoteReference w:customMarkFollows="1" w:id="6506"/>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6507"/>
        <w:t>r</w:t>
      </w:r>
      <w:r>
        <w:rPr/>
        <w:t xml:space="preserve"> </w:t>
      </w:r>
      <w:r>
        <w:rPr>
          <w:color w:val="808080"/>
        </w:rPr>
        <w:t>)</w:t>
      </w:r>
      <w:r>
        <w:rPr/>
        <w:t xml:space="preserve"> aber gibt er Gnade.“</w:t>
      </w:r>
      <w:r>
        <w:rPr>
          <w:rStyle w:val="Funotenanker"/>
        </w:rPr>
        <w:footnoteReference w:customMarkFollows="1" w:id="6508"/>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6509"/>
        <w:t>t</w:t>
      </w:r>
      <w:r>
        <w:rPr/>
        <w:t xml:space="preserve">;{{field-off:bible}} </w:t>
        <w:br/>
        <w:t>[[@BibleTOBIBLE:Jas 4:8]]</w:t>
      </w:r>
      <w:r>
        <w:rPr>
          <w:b/>
        </w:rPr>
        <w:t>8</w:t>
      </w:r>
      <w:r>
        <w:rPr/>
        <w:t xml:space="preserve"> {{field-on:bible}}nähert euch</w:t>
      </w:r>
      <w:r>
        <w:rPr>
          <w:rStyle w:val="Funotenanker"/>
        </w:rPr>
        <w:footnoteReference w:customMarkFollows="1" w:id="6510"/>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6511"/>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6512"/>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6513"/>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6514"/>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6515"/>
        <w:t>z</w:t>
      </w:r>
      <w:r>
        <w:rPr/>
        <w:t xml:space="preserve"> verleumdet oder seinen Bruder verurteilt</w:t>
      </w:r>
      <w:r>
        <w:rPr>
          <w:rStyle w:val="Funotenanker"/>
        </w:rPr>
        <w:footnoteReference w:customMarkFollows="1" w:id="6516"/>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6517"/>
        <w:t>ab</w:t>
      </w:r>
      <w:r>
        <w:rPr/>
        <w:t xml:space="preserve"> {{field-off:bible}} </w:t>
        <w:br/>
        <w:t>[[@BibleTOBIBLE:Jas 4:12]]</w:t>
      </w:r>
      <w:r>
        <w:rPr>
          <w:b/>
        </w:rPr>
        <w:t>12</w:t>
      </w:r>
      <w:r>
        <w:rPr/>
        <w:t xml:space="preserve"> {{field-on:bible}}Einer ist</w:t>
      </w:r>
      <w:r>
        <w:rPr>
          <w:rStyle w:val="Funotenanker"/>
        </w:rPr>
        <w:footnoteReference w:customMarkFollows="1" w:id="6518"/>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6519"/>
        <w:t>ad</w:t>
      </w:r>
      <w:r>
        <w:rPr/>
        <w:t xml:space="preserve">?{{field-off:bible}} </w:t>
        <w:br/>
        <w:t>[[@BibleTOBIBLE:Jas 4:13]]</w:t>
      </w:r>
      <w:r>
        <w:rPr>
          <w:b/>
        </w:rPr>
        <w:t>13</w:t>
      </w:r>
      <w:r>
        <w:rPr/>
        <w:t xml:space="preserve"> {{field-on:bible}}Jetzt zu euch</w:t>
      </w:r>
      <w:r>
        <w:rPr>
          <w:rStyle w:val="Funotenanker"/>
        </w:rPr>
        <w:footnoteReference w:customMarkFollows="1" w:id="6520"/>
        <w:t>ae</w:t>
      </w:r>
      <w:r>
        <w:rPr/>
        <w:t>, die ihr sagt</w:t>
      </w:r>
      <w:r>
        <w:rPr>
          <w:rStyle w:val="Funotenanker"/>
        </w:rPr>
        <w:footnoteReference w:customMarkFollows="1" w:id="6521"/>
        <w:t>af</w:t>
      </w:r>
      <w:r>
        <w:rPr/>
        <w:t>: „Heute oder morgen wollen</w:t>
      </w:r>
      <w:r>
        <w:rPr>
          <w:rStyle w:val="Funotenanker"/>
        </w:rPr>
        <w:footnoteReference w:customMarkFollows="1" w:id="6522"/>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6523"/>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6524"/>
        <w:t>ai</w:t>
      </w:r>
      <w:r>
        <w:rPr/>
        <w:t xml:space="preserve"> — ihr seid nämlich</w:t>
      </w:r>
      <w:r>
        <w:rPr>
          <w:rStyle w:val="Funotenanker"/>
        </w:rPr>
        <w:footnoteReference w:customMarkFollows="1" w:id="6525"/>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6526"/>
        <w:t>ak</w:t>
      </w:r>
      <w:r>
        <w:rPr/>
        <w:t xml:space="preserve"> </w:t>
      </w:r>
      <w:r>
        <w:rPr>
          <w:color w:val="808080"/>
        </w:rPr>
        <w:t>)</w:t>
      </w:r>
      <w:r>
        <w:rPr/>
        <w:t xml:space="preserve"> </w:t>
      </w:r>
      <w:r>
        <w:rPr>
          <w:rStyle w:val="Funotenanker"/>
        </w:rPr>
        <w:footnoteReference w:customMarkFollows="1" w:id="6527"/>
        <w:t>al</w:t>
      </w:r>
      <w:r>
        <w:rPr/>
        <w:t xml:space="preserve"> und dann </w:t>
      </w:r>
      <w:r>
        <w:rPr>
          <w:color w:val="808080"/>
        </w:rPr>
        <w:t>(danach)</w:t>
      </w:r>
      <w:r>
        <w:rPr/>
        <w:t xml:space="preserve"> verschwindet</w:t>
      </w:r>
      <w:r>
        <w:rPr>
          <w:rStyle w:val="Funotenanker"/>
        </w:rPr>
        <w:footnoteReference w:customMarkFollows="1" w:id="6528"/>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6529"/>
        <w:t>an</w:t>
      </w:r>
      <w:r>
        <w:rPr/>
        <w:t xml:space="preserve"> ihr sagen: „Wenn der Herr will, dann werden wir leben und dieses oder jenes tun.“</w:t>
      </w:r>
      <w:r>
        <w:rPr>
          <w:rStyle w:val="Funotenanker"/>
        </w:rPr>
        <w:footnoteReference w:customMarkFollows="1" w:id="6530"/>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6531"/>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6532"/>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6533"/>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6534"/>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6535"/>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6536"/>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6537"/>
        <w:t>b</w:t>
      </w:r>
      <w:r>
        <w:rPr/>
        <w:t xml:space="preserve">.{{field-off:bible}} </w:t>
        <w:br/>
        <w:t>[[@BibleTOBIBLE:Jas 5:2]]</w:t>
      </w:r>
      <w:r>
        <w:rPr>
          <w:b/>
        </w:rPr>
        <w:t>2</w:t>
      </w:r>
      <w:r>
        <w:rPr/>
        <w:t xml:space="preserve"> {{field-on:bible}}Euer Reichtum ist vermodert</w:t>
      </w:r>
      <w:r>
        <w:rPr>
          <w:rStyle w:val="Funotenanker"/>
        </w:rPr>
        <w:footnoteReference w:customMarkFollows="1" w:id="6538"/>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6539"/>
        <w:t>d</w:t>
      </w:r>
      <w:r>
        <w:rPr/>
        <w:t xml:space="preserve">.{{field-off:bible}} </w:t>
        <w:br/>
        <w:t>[[@BibleTOBIBLE:Jas 5:3]]</w:t>
      </w:r>
      <w:r>
        <w:rPr>
          <w:b/>
        </w:rPr>
        <w:t>3</w:t>
      </w:r>
      <w:r>
        <w:rPr/>
        <w:t xml:space="preserve"> {{field-on:bible}}Euer Gold und Silber sind verrostet</w:t>
      </w:r>
      <w:r>
        <w:rPr>
          <w:rStyle w:val="Funotenanker"/>
        </w:rPr>
        <w:footnoteReference w:customMarkFollows="1" w:id="6540"/>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6541"/>
        <w:t>f</w:t>
      </w:r>
      <w:r>
        <w:rPr/>
        <w:t xml:space="preserve"> und euer Fleisch</w:t>
      </w:r>
      <w:r>
        <w:rPr>
          <w:rStyle w:val="Funotenanker"/>
        </w:rPr>
        <w:footnoteReference w:customMarkFollows="1" w:id="6542"/>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6543"/>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6544"/>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6545"/>
        <w:t>j</w:t>
      </w:r>
      <w:r>
        <w:rPr/>
        <w:t>, schreit,</w:t>
      </w:r>
      <w:r>
        <w:rPr>
          <w:rStyle w:val="Funotenanker"/>
        </w:rPr>
        <w:footnoteReference w:customMarkFollows="1" w:id="6546"/>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6547"/>
        <w:t>l</w:t>
      </w:r>
      <w:r>
        <w:rPr/>
        <w:t xml:space="preserve"> hingekommen.{{field-off:bible}} </w:t>
        <w:br/>
        <w:t>[[@BibleTOBIBLE:Jas 5:5]]</w:t>
      </w:r>
      <w:r>
        <w:rPr>
          <w:b/>
        </w:rPr>
        <w:t>5</w:t>
      </w:r>
      <w:r>
        <w:rPr/>
        <w:t xml:space="preserve"> {{field-on:bible}}Ihr habt geschwelgt</w:t>
      </w:r>
      <w:r>
        <w:rPr>
          <w:rStyle w:val="Funotenanker"/>
        </w:rPr>
        <w:footnoteReference w:customMarkFollows="1" w:id="6548"/>
        <w:t>m</w:t>
      </w:r>
      <w:r>
        <w:rPr/>
        <w:t xml:space="preserve"> auf der Erde und üppig gelebt</w:t>
      </w:r>
      <w:r>
        <w:rPr>
          <w:rStyle w:val="Funotenanker"/>
        </w:rPr>
        <w:footnoteReference w:customMarkFollows="1" w:id="6549"/>
        <w:t>n</w:t>
      </w:r>
      <w:r>
        <w:rPr/>
        <w:t>, ihr habt eure Herzen am</w:t>
      </w:r>
      <w:r>
        <w:rPr>
          <w:rStyle w:val="Funotenanker"/>
        </w:rPr>
        <w:footnoteReference w:customMarkFollows="1" w:id="6550"/>
        <w:t>o</w:t>
      </w:r>
      <w:r>
        <w:rPr/>
        <w:t xml:space="preserve"> Schlachttag</w:t>
      </w:r>
      <w:r>
        <w:rPr>
          <w:rStyle w:val="Funotenanker"/>
        </w:rPr>
        <w:footnoteReference w:customMarkFollows="1" w:id="6551"/>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6552"/>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6553"/>
        <w:t>r</w:t>
      </w:r>
      <w:r>
        <w:rPr/>
        <w:t xml:space="preserve"> er leistet euch keinen Widerstand.</w:t>
      </w:r>
      <w:r>
        <w:rPr>
          <w:rStyle w:val="Funotenanker"/>
        </w:rPr>
        <w:footnoteReference w:customMarkFollows="1" w:id="6554"/>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6555"/>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6556"/>
        <w:t>u</w:t>
      </w:r>
      <w:r>
        <w:rPr/>
        <w:t xml:space="preserve"> bis sie den Früh- und den Spätregen empfangen hat.</w:t>
      </w:r>
      <w:r>
        <w:rPr>
          <w:rStyle w:val="Funotenanker"/>
        </w:rPr>
        <w:footnoteReference w:customMarkFollows="1" w:id="6557"/>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6558"/>
        <w:t>w</w:t>
      </w:r>
      <w:r>
        <w:rPr/>
        <w:t xml:space="preserve">!{{field-off:bible}} </w:t>
        <w:br/>
        <w:t>[[@BibleTOBIBLE:Jas 5:9]]</w:t>
      </w:r>
      <w:r>
        <w:rPr>
          <w:b/>
        </w:rPr>
        <w:t>9</w:t>
      </w:r>
      <w:r>
        <w:rPr/>
        <w:t xml:space="preserve"> {{field-on:bible}}Murrt nicht gegen einander,</w:t>
      </w:r>
      <w:r>
        <w:rPr>
          <w:rStyle w:val="Funotenanker"/>
        </w:rPr>
        <w:footnoteReference w:customMarkFollows="1" w:id="6559"/>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6560"/>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6561"/>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6562"/>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6563"/>
        <w:t>ab</w:t>
      </w:r>
      <w:r>
        <w:rPr/>
        <w:t xml:space="preserve"> weder beim Himmel, noch bei der Erde, oder bei irgendeinem anderen Eid. Vielmehr soll euer Ja ein Ja und euer Nein ein Nein sein</w:t>
      </w:r>
      <w:r>
        <w:rPr>
          <w:rStyle w:val="Funotenanker"/>
        </w:rPr>
        <w:footnoteReference w:customMarkFollows="1" w:id="6564"/>
        <w:t>ac</w:t>
      </w:r>
      <w:r>
        <w:rPr/>
        <w:t>, damit ihr nicht dem Gericht verfallt</w:t>
      </w:r>
      <w:r>
        <w:rPr>
          <w:rStyle w:val="Funotenanker"/>
        </w:rPr>
        <w:footnoteReference w:customMarkFollows="1" w:id="6565"/>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6566"/>
        <w:t>ae</w:t>
      </w:r>
      <w:r>
        <w:rPr/>
        <w:t>; ist einer guten Mutes, soll er Loblieder singen</w:t>
      </w:r>
      <w:r>
        <w:rPr>
          <w:rStyle w:val="Funotenanker"/>
        </w:rPr>
        <w:footnoteReference w:customMarkFollows="1" w:id="6567"/>
        <w:t>af</w:t>
      </w:r>
      <w:r>
        <w:rPr/>
        <w:t>;</w:t>
      </w:r>
      <w:r>
        <w:rPr>
          <w:rStyle w:val="Funotenanker"/>
        </w:rPr>
        <w:footnoteReference w:customMarkFollows="1" w:id="6568"/>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6569"/>
        <w:t>ah</w:t>
      </w:r>
      <w:r>
        <w:rPr/>
        <w:t>, soll er die Ältesten der Gemeinde herbeirufen</w:t>
      </w:r>
      <w:r>
        <w:rPr>
          <w:rStyle w:val="Funotenanker"/>
        </w:rPr>
        <w:footnoteReference w:customMarkFollows="1" w:id="6570"/>
        <w:t>ai</w:t>
      </w:r>
      <w:r>
        <w:rPr/>
        <w:t xml:space="preserve"> und sie sollen über ihn </w:t>
      </w:r>
      <w:r>
        <w:rPr>
          <w:color w:val="808080"/>
        </w:rPr>
        <w:t>(für ihn)</w:t>
      </w:r>
      <w:r>
        <w:rPr/>
        <w:t xml:space="preserve"> beten</w:t>
      </w:r>
      <w:r>
        <w:rPr>
          <w:rStyle w:val="Funotenanker"/>
        </w:rPr>
        <w:footnoteReference w:customMarkFollows="1" w:id="6571"/>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6572"/>
        <w:t>ak</w:t>
      </w:r>
      <w:r>
        <w:rPr/>
        <w:t xml:space="preserve"> im Namen des Herrn salben</w:t>
      </w:r>
      <w:r>
        <w:rPr>
          <w:rStyle w:val="Funotenanker"/>
        </w:rPr>
        <w:footnoteReference w:customMarkFollows="1" w:id="6573"/>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6574"/>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6575"/>
        <w:t>an</w:t>
      </w:r>
      <w:r>
        <w:rPr/>
        <w:t>, wird ihm vergeben werden.</w:t>
      </w:r>
      <w:r>
        <w:rPr>
          <w:rStyle w:val="Funotenanker"/>
        </w:rPr>
        <w:footnoteReference w:customMarkFollows="1" w:id="6576"/>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6577"/>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6578"/>
        <w:t>aq</w:t>
      </w:r>
      <w:r>
        <w:rPr/>
        <w:t>, dass es nicht regnen würde</w:t>
      </w:r>
      <w:r>
        <w:rPr>
          <w:rStyle w:val="Funotenanker"/>
        </w:rPr>
        <w:footnoteReference w:customMarkFollows="1" w:id="6579"/>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6580"/>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6581"/>
        <w:t>at</w:t>
      </w:r>
      <w:r>
        <w:rPr/>
        <w:t>, dass derjenige, der einen Sünder von seinem Irrweg</w:t>
      </w:r>
      <w:r>
        <w:rPr>
          <w:rStyle w:val="Funotenanker"/>
        </w:rPr>
        <w:footnoteReference w:customMarkFollows="1" w:id="6582"/>
        <w:t>au</w:t>
      </w:r>
      <w:r>
        <w:rPr/>
        <w:t xml:space="preserve"> auf den rechten Weg zurückgeführt hat,</w:t>
      </w:r>
      <w:r>
        <w:rPr>
          <w:rStyle w:val="Funotenanker"/>
        </w:rPr>
        <w:footnoteReference w:customMarkFollows="1" w:id="6583"/>
        <w:t>av</w:t>
      </w:r>
      <w:r>
        <w:rPr/>
        <w:t xml:space="preserve"> seine Seele </w:t>
      </w:r>
      <w:r>
        <w:rPr>
          <w:color w:val="808080"/>
        </w:rPr>
        <w:t>(Leben)</w:t>
      </w:r>
      <w:r>
        <w:rPr/>
        <w:t xml:space="preserve"> vom Tod erretten und eine Menge Sünden zudecken wird.</w:t>
      </w:r>
      <w:r>
        <w:rPr>
          <w:rStyle w:val="Funotenanker"/>
        </w:rPr>
        <w:footnoteReference w:customMarkFollows="1" w:id="6584"/>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w:t>
      </w:r>
      <w:r>
        <w:rPr>
          <w:b/>
        </w:rPr>
        <w:t>1</w:t>
      </w:r>
      <w:r>
        <w:rPr/>
        <w:t xml:space="preserve"> {{field-on:bible}}Petrus, Apostel Jesu Christi, an die Erwählten Fremden </w:t>
      </w:r>
      <w:r>
        <w:rPr>
          <w:b/>
          <w:color w:val="808080"/>
        </w:rPr>
        <w:t>[</w:t>
      </w:r>
      <w:r>
        <w:rPr/>
        <w:t>die</w:t>
      </w:r>
      <w:r>
        <w:rPr>
          <w:b/>
          <w:color w:val="808080"/>
        </w:rPr>
        <w:t>]</w:t>
      </w:r>
      <w:r>
        <w:rPr/>
        <w:t xml:space="preserve"> in der Zerstreuung in Pontus, Galatien, Kappadozien, Asien und Bithynien </w:t>
      </w:r>
      <w:r>
        <w:rPr>
          <w:b/>
          <w:color w:val="808080"/>
        </w:rPr>
        <w:t>[</w:t>
      </w:r>
      <w:r>
        <w:rPr/>
        <w:t>leben</w:t>
      </w:r>
      <w:r>
        <w:rPr>
          <w:b/>
          <w:color w:val="808080"/>
        </w:rPr>
        <w:t>]</w:t>
      </w:r>
      <w:r>
        <w:rPr/>
        <w:t xml:space="preserve">,{{field-off:bible}} </w:t>
        <w:br/>
        <w:t>[[@BibleTOBIBLE:1Pe 1:2]]</w:t>
      </w:r>
      <w:r>
        <w:rPr>
          <w:b/>
        </w:rPr>
        <w:t>2</w:t>
      </w:r>
      <w:r>
        <w:rPr/>
        <w:t xml:space="preserve"> {{field-on:bible}}nach der Vorherbestimmung </w:t>
      </w:r>
      <w:r>
        <w:rPr>
          <w:color w:val="808080"/>
        </w:rPr>
        <w:t>(Vorsehung)</w:t>
      </w:r>
      <w:r>
        <w:rPr/>
        <w:t xml:space="preserve"> Gottes des Vaters in der Heiligung durch den Geist zum Gehorsam und zur Besprengung mit dem Blut Jesu Christi, Gnade sei mit euch, und Friede wachse </w:t>
      </w:r>
      <w:r>
        <w:rPr>
          <w:color w:val="808080"/>
        </w:rPr>
        <w:t>(vermehre sich = in Fülle)</w:t>
      </w:r>
      <w:r>
        <w:rPr/>
        <w:t xml:space="preserve">.{{field-off:bible}} </w:t>
        <w:br/>
        <w:t>[[@BibleTOBIBLE:1Pe 1:3]]</w:t>
      </w:r>
      <w:r>
        <w:rPr>
          <w:b/>
        </w:rPr>
        <w:t>3</w:t>
      </w:r>
      <w:r>
        <w:rPr/>
        <w:t xml:space="preserve"> {{field-on:bible}}Gelobt sei der Gott und Vater unseres Herrn Jesus Christus, der uns wegen seiner großen Barmherzigkeit wieder gezeugt hat zu einer lebendigen Hoffnung durch die Auferstehung Jesu Christi von den Toten,{{field-off:bible}} </w:t>
        <w:br/>
        <w:t>[[@BibleTOBIBLE:1Pe 1:4]]</w:t>
      </w:r>
      <w:r>
        <w:rPr>
          <w:b/>
        </w:rPr>
        <w:t>4</w:t>
      </w:r>
      <w:r>
        <w:rPr/>
        <w:t xml:space="preserve"> {{field-on:bible}}zu einem unvergänglichen, reinen und unverwelklichen </w:t>
      </w:r>
      <w:r>
        <w:rPr>
          <w:color w:val="808080"/>
        </w:rPr>
        <w:t>(unvergänglichen)</w:t>
      </w:r>
      <w:r>
        <w:rPr/>
        <w:t xml:space="preserve"> Heilsbesitz </w:t>
      </w:r>
      <w:r>
        <w:rPr>
          <w:color w:val="808080"/>
        </w:rPr>
        <w:t>(Erbe)</w:t>
      </w:r>
      <w:r>
        <w:rPr/>
        <w:t xml:space="preserve">, für euch im Himmel aufbewahrt,{{field-off:bible}} </w:t>
        <w:br/>
        <w:t>[[@BibleTOBIBLE:1Pe 1:5]]</w:t>
      </w:r>
      <w:r>
        <w:rPr>
          <w:b/>
        </w:rPr>
        <w:t>5</w:t>
      </w:r>
      <w:r>
        <w:rPr/>
        <w:t xml:space="preserve"> {{field-on:bible}}die ihr durch Gottes Macht </w:t>
      </w:r>
      <w:r>
        <w:rPr>
          <w:color w:val="808080"/>
        </w:rPr>
        <w:t>(Kraft)</w:t>
      </w:r>
      <w:r>
        <w:rPr/>
        <w:t xml:space="preserve"> bewahrt seid durch den Glauben zur Rettung, die bereitet ist, um zur letzten Zeit </w:t>
      </w:r>
      <w:r>
        <w:rPr>
          <w:color w:val="808080"/>
        </w:rPr>
        <w:t>(Endzeit)</w:t>
      </w:r>
      <w:r>
        <w:rPr/>
        <w:t xml:space="preserve"> offenbart zu werden.{{field-off:bible}} </w:t>
        <w:br/>
        <w:t>[[@BibleTOBIBLE:1Pe 1:6]]</w:t>
      </w:r>
      <w:r>
        <w:rPr>
          <w:b/>
        </w:rPr>
        <w:t>6</w:t>
      </w:r>
      <w:r>
        <w:rPr/>
        <w:t xml:space="preserve"> {{field-on:bible}}In ihr jubelt ihr, die ihr jetzt ein wenig, wenn es sein soll, betrübt werdet durch mannigfache Prüfungen </w:t>
      </w:r>
      <w:r>
        <w:rPr>
          <w:color w:val="808080"/>
        </w:rPr>
        <w:t>(Erprobungen)</w:t>
      </w:r>
      <w:r>
        <w:rPr/>
        <w:t xml:space="preserve">,{{field-off:bible}} </w:t>
        <w:br/>
        <w:t>[[@BibleTOBIBLE:1Pe 1:7]]</w:t>
      </w:r>
      <w:r>
        <w:rPr>
          <w:b/>
        </w:rPr>
        <w:t>7</w:t>
      </w:r>
      <w:r>
        <w:rPr/>
        <w:t xml:space="preserve"> {{field-on:bible}}damit die Echtheit eures Glaubens, die viel wertvoller ist als das vergängliche Gold, das doch durch das Feuer geprüft wird, </w:t>
      </w:r>
      <w:r>
        <w:rPr>
          <w:color w:val="808080"/>
        </w:rPr>
        <w:t>(gefunden =)</w:t>
      </w:r>
      <w:r>
        <w:rPr/>
        <w:t xml:space="preserve"> erwiesen wird zu Lob und Ruhm und Ehre bei der Offenbarung Jesu Christi.{{field-off:bible}} </w:t>
        <w:br/>
        <w:t>[[@BibleTOBIBLE:1Pe 1:8]]</w:t>
      </w:r>
      <w:r>
        <w:rPr>
          <w:b/>
        </w:rPr>
        <w:t>8</w:t>
      </w:r>
      <w:r>
        <w:rPr/>
        <w:t xml:space="preserve"> {{field-on:bible}}Ihn liebt ihr, obwohl</w:t>
      </w:r>
      <w:r>
        <w:rPr>
          <w:rStyle w:val="Funotenanker"/>
        </w:rPr>
        <w:footnoteReference w:customMarkFollows="1" w:id="6585"/>
        <w:t>a</w:t>
      </w:r>
      <w:r>
        <w:rPr/>
        <w:t xml:space="preserve"> ihr ihn nicht seht; an ihn glaubt ihr, ohne</w:t>
      </w:r>
      <w:r>
        <w:rPr>
          <w:rStyle w:val="Funotenanker"/>
        </w:rPr>
        <w:footnoteReference w:customMarkFollows="1" w:id="6586"/>
        <w:t>b</w:t>
      </w:r>
      <w:r>
        <w:rPr/>
        <w:t xml:space="preserve"> ihn jetzt zu sehen, doch jubelnd mit unaussprechlicher und verklärter Freude,{{field-off:bible}} </w:t>
        <w:br/>
        <w:t>[[@BibleTOBIBLE:1Pe 1:9]]</w:t>
      </w:r>
      <w:r>
        <w:rPr>
          <w:b/>
        </w:rPr>
        <w:t>9</w:t>
      </w:r>
      <w:r>
        <w:rPr/>
        <w:t xml:space="preserve"> {{field-on:bible}}weil</w:t>
      </w:r>
      <w:r>
        <w:rPr>
          <w:rStyle w:val="Funotenanker"/>
        </w:rPr>
        <w:footnoteReference w:customMarkFollows="1" w:id="6587"/>
        <w:t>c</w:t>
      </w:r>
      <w:r>
        <w:rPr/>
        <w:t xml:space="preserve"> ihr das Ziel eures Glaubens erreicht, die Rettung eures Lebens</w:t>
      </w:r>
      <w:r>
        <w:rPr>
          <w:rStyle w:val="Funotenanker"/>
        </w:rPr>
        <w:footnoteReference w:customMarkFollows="1" w:id="6588"/>
        <w:t>d</w:t>
      </w:r>
      <w:r>
        <w:rPr/>
        <w:t xml:space="preserve">.{{field-off:bible}} </w:t>
        <w:br/>
        <w:t>[[@BibleTOBIBLE:1Pe 1:13]]</w:t>
      </w:r>
      <w:r>
        <w:rPr>
          <w:b/>
        </w:rPr>
        <w:t>13</w:t>
      </w:r>
      <w:r>
        <w:rPr/>
        <w:t xml:space="preserve"> {{field-on:bible}}Darum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{{field-on:bible}}Legt nun ab</w:t>
      </w:r>
      <w:r>
        <w:rPr>
          <w:rStyle w:val="Funotenanker"/>
        </w:rPr>
        <w:footnoteReference w:customMarkFollows="1" w:id="6589"/>
        <w:t>a</w:t>
      </w:r>
      <w:r>
        <w:rPr/>
        <w:t xml:space="preserve"> alle Schlechtigkeit und alle List und Heucheleien und Neid</w:t>
      </w:r>
      <w:r>
        <w:rPr>
          <w:rStyle w:val="Funotenanker"/>
        </w:rPr>
        <w:footnoteReference w:customMarkFollows="1" w:id="6590"/>
        <w:t>b</w:t>
      </w:r>
      <w:r>
        <w:rPr/>
        <w:t xml:space="preserve"> und allerlei</w:t>
      </w:r>
      <w:r>
        <w:rPr>
          <w:rStyle w:val="Funotenanker"/>
        </w:rPr>
        <w:footnoteReference w:customMarkFollows="1" w:id="6591"/>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6592"/>
        <w:t>d</w:t>
      </w:r>
      <w:r>
        <w:rPr/>
        <w:t xml:space="preserve"> neugeborene Kinder verlangt nach geistiger</w:t>
      </w:r>
      <w:r>
        <w:rPr>
          <w:rStyle w:val="Funotenanker"/>
        </w:rPr>
        <w:footnoteReference w:customMarkFollows="1" w:id="6593"/>
        <w:t>e</w:t>
      </w:r>
      <w:r>
        <w:rPr/>
        <w:t xml:space="preserve">, unverfälschter </w:t>
      </w:r>
      <w:r>
        <w:rPr>
          <w:color w:val="808080"/>
        </w:rPr>
        <w:t>(reiner)</w:t>
      </w:r>
      <w:r>
        <w:rPr/>
        <w:t xml:space="preserve"> Milch, damit</w:t>
      </w:r>
      <w:r>
        <w:rPr>
          <w:rStyle w:val="Funotenanker"/>
        </w:rPr>
        <w:footnoteReference w:customMarkFollows="1" w:id="6594"/>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6595"/>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6596"/>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6597"/>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6598"/>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6599"/>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6600"/>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6601"/>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6602"/>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6603"/>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6604"/>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6605"/>
        <w:t>q</w:t>
      </w:r>
      <w:r>
        <w:rPr/>
        <w:t xml:space="preserve">“ </w:t>
      </w:r>
      <w:r>
        <w:rPr>
          <w:color w:val="808080"/>
        </w:rPr>
        <w:t>(Nicht-Erbarmen, Hosea 2,25)</w:t>
      </w:r>
      <w:r>
        <w:rPr/>
        <w:t>, jetzt aber Erbarmen finden</w:t>
      </w:r>
      <w:r>
        <w:rPr>
          <w:rStyle w:val="Funotenanker"/>
        </w:rPr>
        <w:footnoteReference w:customMarkFollows="1" w:id="6606"/>
        <w:t>r</w:t>
      </w:r>
      <w:r>
        <w:rPr/>
        <w:t xml:space="preserve">.{{field-off:bible}} </w:t>
        <w:br/>
        <w:t>[[@BibleTOBIBLE:1Pe 2:18]]</w:t>
      </w:r>
      <w:r>
        <w:rPr>
          <w:b/>
        </w:rPr>
        <w:t>18</w:t>
      </w:r>
      <w:r>
        <w:rPr/>
        <w:t xml:space="preserve"> {{field-on:bible}} </w:t>
      </w:r>
      <w:r>
        <w:rPr>
          <w:color w:val="808080"/>
        </w:rPr>
        <w:t>(Die =)</w:t>
      </w:r>
      <w:r>
        <w:rPr/>
        <w:t xml:space="preserve"> Ihr</w:t>
      </w:r>
      <w:r>
        <w:rPr>
          <w:rStyle w:val="Funotenanker"/>
        </w:rPr>
        <w:footnoteReference w:customMarkFollows="1" w:id="6607"/>
        <w:t>s</w:t>
      </w:r>
      <w:r>
        <w:rPr/>
        <w:t xml:space="preserve"> Sklaven, gehorcht</w:t>
      </w:r>
      <w:r>
        <w:rPr>
          <w:rStyle w:val="Funotenanker"/>
        </w:rPr>
        <w:footnoteReference w:customMarkFollows="1" w:id="6608"/>
        <w:t>t</w:t>
      </w:r>
      <w:r>
        <w:rPr/>
        <w:t xml:space="preserve"> den Herren </w:t>
      </w:r>
      <w:r>
        <w:rPr>
          <w:color w:val="808080"/>
        </w:rPr>
        <w:t>(in aller Furcht =)</w:t>
      </w:r>
      <w:r>
        <w:rPr/>
        <w:t xml:space="preserve"> mit großem Respekt, nicht allein den guten und milden, sondern auch den </w:t>
      </w:r>
      <w:r>
        <w:rPr>
          <w:color w:val="808080"/>
        </w:rPr>
        <w:t>(krummen, verdrehten =)</w:t>
      </w:r>
      <w:r>
        <w:rPr/>
        <w:t xml:space="preserve"> schlechten.{{field-off:bible}} </w:t>
        <w:br/>
        <w:t>[[@BibleTOBIBLE:1Pe 2:19]]</w:t>
      </w:r>
      <w:r>
        <w:rPr>
          <w:b/>
        </w:rPr>
        <w:t>19</w:t>
      </w:r>
      <w:r>
        <w:rPr/>
        <w:t xml:space="preserve"> {{field-on:bible}}Dies nämlich ist </w:t>
      </w:r>
      <w:r>
        <w:rPr>
          <w:b/>
          <w:color w:val="808080"/>
        </w:rPr>
        <w:t>[</w:t>
      </w:r>
      <w:r>
        <w:rPr/>
        <w:t>die</w:t>
      </w:r>
      <w:r>
        <w:rPr>
          <w:b/>
          <w:color w:val="808080"/>
        </w:rPr>
        <w:t>]</w:t>
      </w:r>
      <w:r>
        <w:rPr/>
        <w:t xml:space="preserve"> Gnade, wenn jemand </w:t>
      </w:r>
      <w:r>
        <w:rPr>
          <w:color w:val="808080"/>
        </w:rPr>
        <w:t>(durch Bewusstsein Gottes =)</w:t>
      </w:r>
      <w:r>
        <w:rPr/>
        <w:t xml:space="preserve"> der sich Gottes bewusst ist, Kümmernisse erträgt - wenn</w:t>
      </w:r>
      <w:r>
        <w:rPr>
          <w:rStyle w:val="Funotenanker"/>
        </w:rPr>
        <w:footnoteReference w:customMarkFollows="1" w:id="6609"/>
        <w:t>u</w:t>
      </w:r>
      <w:r>
        <w:rPr/>
        <w:t xml:space="preserve"> er ungerechterweise leidet.{{field-off:bible}} </w:t>
        <w:br/>
        <w:t>[[@BibleTOBIBLE:1Pe 2:20]]</w:t>
      </w:r>
      <w:r>
        <w:rPr>
          <w:b/>
        </w:rPr>
        <w:t>20</w:t>
      </w:r>
      <w:r>
        <w:rPr/>
        <w:t xml:space="preserve"> {{field-on:bible}}Denn welcher Ruhm </w:t>
      </w:r>
      <w:r>
        <w:rPr>
          <w:b/>
          <w:color w:val="808080"/>
        </w:rPr>
        <w:t>[</w:t>
      </w:r>
      <w:r>
        <w:rPr/>
        <w:t>liegt darin</w:t>
      </w:r>
      <w:r>
        <w:rPr>
          <w:b/>
          <w:color w:val="808080"/>
        </w:rPr>
        <w:t>]</w:t>
      </w:r>
      <w:r>
        <w:rPr/>
        <w:t>, dass</w:t>
      </w:r>
      <w:r>
        <w:rPr>
          <w:rStyle w:val="Funotenanker"/>
        </w:rPr>
        <w:footnoteReference w:customMarkFollows="1" w:id="6610"/>
        <w:t>v</w:t>
      </w:r>
      <w:r>
        <w:rPr/>
        <w:t xml:space="preserve"> ihr ertragt, für Verfehlungen misshandelt zu werden?</w:t>
      </w:r>
      <w:r>
        <w:rPr>
          <w:rStyle w:val="Funotenanker"/>
        </w:rPr>
        <w:footnoteReference w:customMarkFollows="1" w:id="6611"/>
        <w:t>w</w:t>
      </w:r>
      <w:r>
        <w:rPr/>
        <w:t xml:space="preserve"> Dass ihr aber ertragt, für Rechtschaffenheit zu leiden</w:t>
      </w:r>
      <w:r>
        <w:rPr>
          <w:rStyle w:val="Funotenanker"/>
        </w:rPr>
        <w:footnoteReference w:customMarkFollows="1" w:id="6612"/>
        <w:t>x</w:t>
      </w:r>
      <w:r>
        <w:rPr/>
        <w:t xml:space="preserve">, das ist Gnade von Gott.{{field-off:bible}} </w:t>
        <w:br/>
        <w:t>[[@BibleTOBIBLE:1Pe 2:21]]</w:t>
      </w:r>
      <w:r>
        <w:rPr>
          <w:b/>
        </w:rPr>
        <w:t>21</w:t>
      </w:r>
      <w:r>
        <w:rPr/>
        <w:t xml:space="preserve"> {{field-on:bible}} </w:t>
        <w:br/>
        <w:t>Denn dazu nämlich seid ihr berufen.</w:t>
        <w:br/>
        <w:t>Denn auch Christus hat für euch gelitten</w:t>
        <w:br/>
        <w:t>und</w:t>
      </w:r>
      <w:r>
        <w:rPr>
          <w:rStyle w:val="Funotenanker"/>
        </w:rPr>
        <w:footnoteReference w:customMarkFollows="1" w:id="6613"/>
        <w:t>y</w:t>
      </w:r>
      <w:r>
        <w:rPr/>
        <w:t xml:space="preserve"> euch ein Vorbild</w:t>
      </w:r>
      <w:r>
        <w:rPr>
          <w:rStyle w:val="Funotenanker"/>
        </w:rPr>
        <w:footnoteReference w:customMarkFollows="1" w:id="6614"/>
        <w:t>z</w:t>
      </w:r>
      <w:r>
        <w:rPr/>
        <w:t xml:space="preserve"> hinterlassen,</w:t>
        <w:br/>
        <w:t>damit ihr seinen Fußtapfen nachfolgt.</w:t>
        <w:br/>
        <w:t xml:space="preserve">{{field-off:bible}} </w:t>
        <w:br/>
        <w:t>[[@BibleTOBIBLE:1Pe 2:22]]</w:t>
      </w:r>
      <w:r>
        <w:rPr>
          <w:b/>
        </w:rPr>
        <w:t>22</w:t>
      </w:r>
      <w:r>
        <w:rPr/>
        <w:t xml:space="preserve"> {{field-on:bible}} </w:t>
        <w:br/>
        <w:t xml:space="preserve">Der keine Sünde </w:t>
      </w:r>
      <w:r>
        <w:rPr>
          <w:color w:val="808080"/>
        </w:rPr>
        <w:t>(tat =)</w:t>
      </w:r>
      <w:r>
        <w:rPr/>
        <w:t xml:space="preserve"> beging,</w:t>
        <w:br/>
        <w:t xml:space="preserve">''noch wurde List </w:t>
      </w:r>
      <w:r>
        <w:rPr>
          <w:color w:val="808080"/>
        </w:rPr>
        <w:t>(Betrug)</w:t>
      </w:r>
      <w:r>
        <w:rPr/>
        <w:t xml:space="preserve"> in seinem Mund gefunden''.</w:t>
        <w:br/>
        <w:t xml:space="preserve">{{field-off:bible}} </w:t>
        <w:br/>
        <w:t>[[@BibleTOBIBLE:1Pe 2:23]]</w:t>
      </w:r>
      <w:r>
        <w:rPr>
          <w:b/>
        </w:rPr>
        <w:t>23</w:t>
      </w:r>
      <w:r>
        <w:rPr/>
        <w:t xml:space="preserve"> {{field-on:bible}} </w:t>
        <w:br/>
        <w:t>Der, obwohl</w:t>
      </w:r>
      <w:r>
        <w:rPr>
          <w:rStyle w:val="Funotenanker"/>
        </w:rPr>
        <w:footnoteReference w:customMarkFollows="1" w:id="6615"/>
        <w:t>aa</w:t>
      </w:r>
      <w:r>
        <w:rPr/>
        <w:t xml:space="preserve"> er beschimpft </w:t>
      </w:r>
      <w:r>
        <w:rPr>
          <w:color w:val="808080"/>
        </w:rPr>
        <w:t>(geschmäht)</w:t>
      </w:r>
      <w:r>
        <w:rPr/>
        <w:t xml:space="preserve"> wurde, nicht zurückschimpfte </w:t>
      </w:r>
      <w:r>
        <w:rPr>
          <w:color w:val="808080"/>
        </w:rPr>
        <w:t>(zurückschmähte)</w:t>
      </w:r>
      <w:r>
        <w:rPr/>
        <w:t>,</w:t>
        <w:br/>
        <w:t>obwohl</w:t>
      </w:r>
      <w:r>
        <w:rPr>
          <w:rStyle w:val="Funotenanker"/>
        </w:rPr>
        <w:footnoteReference w:customMarkFollows="1" w:id="6616"/>
        <w:t>ab</w:t>
      </w:r>
      <w:r>
        <w:rPr/>
        <w:t xml:space="preserve"> er litt, nicht drohte,</w:t>
        <w:br/>
        <w:t xml:space="preserve">sondern </w:t>
      </w:r>
      <w:r>
        <w:rPr>
          <w:b/>
          <w:color w:val="808080"/>
        </w:rPr>
        <w:t>[</w:t>
      </w:r>
      <w:r>
        <w:rPr/>
        <w:t>es</w:t>
      </w:r>
      <w:r>
        <w:rPr>
          <w:b/>
          <w:color w:val="808080"/>
        </w:rPr>
        <w:t>]</w:t>
      </w:r>
      <w:r>
        <w:rPr/>
        <w:t xml:space="preserve"> dem übergab, der</w:t>
      </w:r>
      <w:r>
        <w:rPr>
          <w:rStyle w:val="Funotenanker"/>
        </w:rPr>
        <w:footnoteReference w:customMarkFollows="1" w:id="6617"/>
        <w:t>ac</w:t>
      </w:r>
      <w:r>
        <w:rPr/>
        <w:t xml:space="preserve"> gerecht richtet.</w:t>
        <w:br/>
        <w:t xml:space="preserve">{{field-off:bible}} </w:t>
        <w:br/>
        <w:t>[[@BibleTOBIBLE:1Pe 2:24]]</w:t>
      </w:r>
      <w:r>
        <w:rPr>
          <w:b/>
        </w:rPr>
        <w:t>24</w:t>
      </w:r>
      <w:r>
        <w:rPr/>
        <w:t xml:space="preserve"> {{field-on:bible}} </w:t>
        <w:br/>
        <w:t>Der ''unsere Sünden selbst hinauftrug''</w:t>
        <w:br/>
        <w:t xml:space="preserve">an </w:t>
      </w:r>
      <w:r>
        <w:rPr>
          <w:color w:val="808080"/>
        </w:rPr>
        <w:t>(in)</w:t>
      </w:r>
      <w:r>
        <w:rPr/>
        <w:t xml:space="preserve"> seinem Körper </w:t>
      </w:r>
      <w:r>
        <w:rPr>
          <w:color w:val="808080"/>
        </w:rPr>
        <w:t>(Leib)</w:t>
      </w:r>
      <w:r>
        <w:rPr/>
        <w:t xml:space="preserve"> auf das Holz,</w:t>
        <w:br/>
        <w:t>damit wir, weil</w:t>
      </w:r>
      <w:r>
        <w:rPr>
          <w:rStyle w:val="Funotenanker"/>
        </w:rPr>
        <w:footnoteReference w:customMarkFollows="1" w:id="6618"/>
        <w:t>ad</w:t>
      </w:r>
      <w:r>
        <w:rPr/>
        <w:t xml:space="preserve"> wir den Sünden gestorben sind,</w:t>
        <w:br/>
        <w:t xml:space="preserve">durch die </w:t>
      </w:r>
      <w:r>
        <w:rPr>
          <w:color w:val="808080"/>
        </w:rPr>
        <w:t>(für die)</w:t>
      </w:r>
      <w:r>
        <w:rPr/>
        <w:t xml:space="preserve"> Gerechtigkeit leben.</w:t>
        <w:br/>
        <w:t>''Durch seine Strieme seid ihr geheilt''.</w:t>
        <w:br/>
        <w:t xml:space="preserve">{{field-off:bible}} </w:t>
        <w:br/>
        <w:t>[[@BibleTOBIBLE:1Pe 2:25]]</w:t>
      </w:r>
      <w:r>
        <w:rPr>
          <w:b/>
        </w:rPr>
        <w:t>25</w:t>
      </w:r>
      <w:r>
        <w:rPr/>
        <w:t xml:space="preserve"> {{field-on:bible}} </w:t>
        <w:br/>
        <w:t>Denn ihr ''irrtet herum wie Schafe''</w:t>
      </w:r>
      <w:r>
        <w:rPr>
          <w:rStyle w:val="Funotenanker"/>
        </w:rPr>
        <w:footnoteReference w:customMarkFollows="1" w:id="6619"/>
        <w:t>ae</w:t>
      </w:r>
      <w:r>
        <w:rPr/>
        <w:t>,</w:t>
        <w:br/>
        <w:t xml:space="preserve">aber jetzt seid ihr zurückgekehrt </w:t>
      </w:r>
      <w:r>
        <w:rPr>
          <w:color w:val="808080"/>
        </w:rPr>
        <w:t>(umgekehrt)</w:t>
      </w:r>
      <w:r>
        <w:rPr/>
        <w:t xml:space="preserve"> zum Hirten</w:t>
        <w:br/>
        <w:t xml:space="preserve">und Beschützer </w:t>
      </w:r>
      <w:r>
        <w:rPr>
          <w:color w:val="808080"/>
        </w:rPr>
        <w:t>(Aufseher )</w:t>
      </w:r>
      <w:r>
        <w:rPr/>
        <w:t xml:space="preserve"> eures Lebens. </w:t>
      </w:r>
      <w:r>
        <w:rPr>
          <w:position w:val="8"/>
          <w:sz w:val="19"/>
        </w:rPr>
        <w:t>[[ ℘ &gt;&gt; BibleTOBIBLE:Is 53:4]]</w:t>
      </w:r>
      <w:r>
        <w:rPr/>
        <w:t xml:space="preserve"> </w:t>
        <w:br/>
        <w:t xml:space="preserve">{{field-off:bible}} </w:t>
      </w:r>
    </w:p>
    <w:p>
      <w:pPr>
        <w:pStyle w:val="Berschrift3"/>
        <w:rPr/>
      </w:pPr>
      <w:r>
        <w:rPr/>
        <w:t>[[@BibleTOBIBLE:1Pe 3]]Kapitel 3</w:t>
      </w:r>
    </w:p>
    <w:p>
      <w:pPr>
        <w:pStyle w:val="Textkrper"/>
        <w:rPr/>
      </w:pPr>
      <w:r>
        <w:rPr/>
        <w:br/>
        <w:t>[[@BibleTOBIBLE:1Pe 3:9]]</w:t>
      </w:r>
      <w:r>
        <w:rPr>
          <w:b/>
        </w:rPr>
        <w:t>9</w:t>
      </w:r>
      <w:r>
        <w:rPr/>
        <w:t xml:space="preserve"> {{field-on:bible}}und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6620"/>
        <w:t>a</w:t>
      </w:r>
      <w:r>
        <w:rPr/>
        <w:t xml:space="preserve"> {{field-off:bible}} </w:t>
        <w:br/>
        <w:t>[[@BibleTOBIBLE:1Pe 3:18]]</w:t>
      </w:r>
      <w:r>
        <w:rPr>
          <w:b/>
        </w:rPr>
        <w:t>18</w:t>
      </w:r>
      <w:r>
        <w:rPr/>
        <w:t xml:space="preserve"> {{field-on:bible}} </w:t>
        <w:br/>
        <w:t xml:space="preserve">Denn auch Christus hat ein für allemal </w:t>
      </w:r>
      <w:r>
        <w:rPr>
          <w:color w:val="808080"/>
        </w:rPr>
        <w:t>(einmal)</w:t>
      </w:r>
      <w:r>
        <w:rPr/>
        <w:t xml:space="preserve"> für die Sünden gelitten,</w:t>
        <w:br/>
        <w:t>ein Gerechter für Ungerechte,</w:t>
        <w:br/>
        <w:t>um euch Zugang bei Gott zu verschaffen.</w:t>
        <w:br/>
        <w:t xml:space="preserve">Er wurde zwar leiblich </w:t>
      </w:r>
      <w:r>
        <w:rPr>
          <w:color w:val="808080"/>
        </w:rPr>
        <w:t>(im Leib)</w:t>
      </w:r>
      <w:r>
        <w:rPr/>
        <w:t xml:space="preserve"> getötet,</w:t>
        <w:br/>
        <w:t xml:space="preserve">aber geistlich </w:t>
      </w:r>
      <w:r>
        <w:rPr>
          <w:color w:val="808080"/>
        </w:rPr>
        <w:t>(im Geist)</w:t>
      </w:r>
      <w:r>
        <w:rPr/>
        <w:t xml:space="preserve"> lebendig gemacht.</w:t>
        <w:br/>
        <w:t xml:space="preserve">{{field-off:bible}} </w:t>
        <w:br/>
        <w:t>[[@BibleTOBIBLE:1Pe 3:19]]</w:t>
      </w:r>
      <w:r>
        <w:rPr>
          <w:b/>
        </w:rPr>
        <w:t>19</w:t>
      </w:r>
      <w:r>
        <w:rPr/>
        <w:t xml:space="preserve"> {{field-on:bible}}Wobei</w:t>
      </w:r>
      <w:r>
        <w:rPr>
          <w:rStyle w:val="Funotenanker"/>
        </w:rPr>
        <w:footnoteReference w:customMarkFollows="1" w:id="6621"/>
        <w:t>b</w:t>
      </w:r>
      <w:r>
        <w:rPr/>
        <w:t xml:space="preserve"> er auch zu den Geistern im Gefängnis ging und ihnen verkündigte,</w:t>
      </w:r>
      <w:r>
        <w:rPr>
          <w:rStyle w:val="Funotenanker"/>
        </w:rPr>
        <w:footnoteReference w:customMarkFollows="1" w:id="6622"/>
        <w:t>c</w:t>
      </w:r>
      <w:r>
        <w:rPr/>
        <w:t xml:space="preserve"> {{field-off:bible}} </w:t>
        <w:br/>
        <w:t>[[@BibleTOBIBLE:1Pe 3:20]]</w:t>
      </w:r>
      <w:r>
        <w:rPr>
          <w:b/>
        </w:rPr>
        <w:t>20</w:t>
      </w:r>
      <w:r>
        <w:rPr/>
        <w:t xml:space="preserve"> {{field-on:bible}}die einst ungehorsam waren, als Gottes Langmut </w:t>
      </w:r>
      <w:r>
        <w:rPr>
          <w:color w:val="808080"/>
        </w:rPr>
        <w:t>(Geduld)</w:t>
      </w:r>
      <w:r>
        <w:rPr/>
        <w:t xml:space="preserve"> abwartete </w:t>
      </w:r>
      <w:r>
        <w:rPr>
          <w:color w:val="808080"/>
        </w:rPr>
        <w:t>(wartete)</w:t>
      </w:r>
      <w:r>
        <w:rPr/>
        <w:t xml:space="preserve"> in den Tagen Noahs, als die Arche gebaut wurde, in der wenige, das heißt acht Personen </w:t>
      </w:r>
      <w:r>
        <w:rPr>
          <w:color w:val="808080"/>
        </w:rPr>
        <w:t>(Menschenleben)</w:t>
      </w:r>
      <w:r>
        <w:rPr/>
        <w:t xml:space="preserve">, durch das Wasser hindurch gerettet wurden.{{field-off:bible}} </w:t>
        <w:br/>
        <w:t>[[@BibleTOBIBLE:1Pe 3:21]]</w:t>
      </w:r>
      <w:r>
        <w:rPr>
          <w:b/>
        </w:rPr>
        <w:t>21</w:t>
      </w:r>
      <w:r>
        <w:rPr/>
        <w:t xml:space="preserve"> {{field-on:bible}}Es</w:t>
      </w:r>
      <w:r>
        <w:rPr>
          <w:rStyle w:val="Funotenanker"/>
        </w:rPr>
        <w:footnoteReference w:customMarkFollows="1" w:id="6623"/>
        <w:t>d</w:t>
      </w:r>
      <w:r>
        <w:rPr/>
        <w:t xml:space="preserve"> ist das Gegenbild der Taufe, die auch euch heute </w:t>
      </w:r>
      <w:r>
        <w:rPr>
          <w:color w:val="808080"/>
        </w:rPr>
        <w:t>(jetzt)</w:t>
      </w:r>
      <w:r>
        <w:rPr/>
        <w:t xml:space="preserve"> rettet, nicht durch die Entfernung des körperlichen Drecks </w:t>
      </w:r>
      <w:r>
        <w:rPr>
          <w:color w:val="808080"/>
        </w:rPr>
        <w:t>(Schmutzes)</w:t>
      </w:r>
      <w:r>
        <w:rPr/>
        <w:t>, sondern als Zusage</w:t>
      </w:r>
      <w:r>
        <w:rPr>
          <w:rStyle w:val="Funotenanker"/>
        </w:rPr>
        <w:footnoteReference w:customMarkFollows="1" w:id="6624"/>
        <w:t>e</w:t>
      </w:r>
      <w:r>
        <w:rPr/>
        <w:t xml:space="preserve"> einer </w:t>
      </w:r>
      <w:r>
        <w:rPr>
          <w:color w:val="808080"/>
        </w:rPr>
        <w:t>(guten =)</w:t>
      </w:r>
      <w:r>
        <w:rPr/>
        <w:t xml:space="preserve"> festen Bindung an Gott durch die Auferstehung Jesu Christi,{{field-off:bible}} </w:t>
        <w:br/>
        <w:t>[[@BibleTOBIBLE:1Pe 3:22]]</w:t>
      </w:r>
      <w:r>
        <w:rPr>
          <w:b/>
        </w:rPr>
        <w:t>22</w:t>
      </w:r>
      <w:r>
        <w:rPr/>
        <w:t xml:space="preserve"> {{field-on:bible}}der zur Rechten Gottes ist, nachdem</w:t>
      </w:r>
      <w:r>
        <w:rPr>
          <w:rStyle w:val="Funotenanker"/>
        </w:rPr>
        <w:footnoteReference w:customMarkFollows="1" w:id="6625"/>
        <w:t>f</w:t>
      </w:r>
      <w:r>
        <w:rPr/>
        <w:t xml:space="preserve"> er in den Himmel gelangt ist und</w:t>
      </w:r>
      <w:r>
        <w:rPr>
          <w:rStyle w:val="Funotenanker"/>
        </w:rPr>
        <w:footnoteReference w:customMarkFollows="1" w:id="6626"/>
        <w:t>g</w:t>
      </w:r>
      <w:r>
        <w:rPr/>
        <w:t xml:space="preserve"> ihm Engel und Mächte und Gewalten unterworfen wurden.{{field-off:bible}} </w:t>
      </w:r>
    </w:p>
    <w:p>
      <w:pPr>
        <w:pStyle w:val="Berschrift3"/>
        <w:rPr/>
      </w:pPr>
      <w:r>
        <w:rPr/>
        <w:t>[[@BibleTOBIBLE:1Pe 5]]Kapitel 5</w:t>
      </w:r>
    </w:p>
    <w:p>
      <w:pPr>
        <w:pStyle w:val="Textkrper"/>
        <w:rPr/>
      </w:pPr>
      <w:r>
        <w:rPr/>
        <w:br/>
        <w:t>[[@BibleTOBIBLE:1Pe 5:1]]</w:t>
      </w:r>
      <w:r>
        <w:rPr>
          <w:b/>
        </w:rPr>
        <w:t>1</w:t>
      </w:r>
      <w:r>
        <w:rPr/>
        <w:t xml:space="preserve"> {{field-on:bible}}Die Ältesten</w:t>
      </w:r>
      <w:r>
        <w:rPr>
          <w:rStyle w:val="Funotenanker"/>
        </w:rPr>
        <w:footnoteReference w:customMarkFollows="1" w:id="6627"/>
        <w:t>a</w:t>
      </w:r>
      <w:r>
        <w:rPr/>
        <w:t xml:space="preserve"> bei euch </w:t>
      </w:r>
      <w:r>
        <w:rPr>
          <w:strike/>
          <w:color w:val="808080"/>
        </w:rPr>
        <w:t>{nun}</w:t>
      </w:r>
      <w:r>
        <w:rPr/>
        <w:t xml:space="preserve"> </w:t>
      </w:r>
      <w:r>
        <w:rPr>
          <w:rStyle w:val="Funotenanker"/>
        </w:rPr>
        <w:footnoteReference w:customMarkFollows="1" w:id="6628"/>
        <w:t>b</w:t>
      </w:r>
      <w:r>
        <w:rPr/>
        <w:t xml:space="preserve"> bitte </w:t>
      </w:r>
      <w:r>
        <w:rPr>
          <w:color w:val="808080"/>
        </w:rPr>
        <w:t>(ermahne)</w:t>
      </w:r>
      <w:r>
        <w:rPr/>
        <w:t xml:space="preserve"> ich, der Mitälteste und Zeuge der Leiden Christi, auch der Teilnehmer an der Herrlichkeit, die offenbart werden wird:{{field-off:bible}} </w:t>
        <w:br/>
        <w:t>[[@BibleTOBIBLE:1Pe 5:2]]</w:t>
      </w:r>
      <w:r>
        <w:rPr>
          <w:b/>
        </w:rPr>
        <w:t>2</w:t>
      </w:r>
      <w:r>
        <w:rPr/>
        <w:t xml:space="preserve"> {{field-on:bible}}Leitet </w:t>
      </w:r>
      <w:r>
        <w:rPr>
          <w:color w:val="808080"/>
        </w:rPr>
        <w:t>(weidet)</w:t>
      </w:r>
      <w:r>
        <w:rPr/>
        <w:t xml:space="preserve"> die Herde Gottes bei euch, indem</w:t>
      </w:r>
      <w:r>
        <w:rPr>
          <w:rStyle w:val="Funotenanker"/>
        </w:rPr>
        <w:footnoteReference w:customMarkFollows="1" w:id="6629"/>
        <w:t>c</w:t>
      </w:r>
      <w:r>
        <w:rPr/>
        <w:t xml:space="preserve"> ihr für sie sorgt </w:t>
      </w:r>
      <w:r>
        <w:rPr>
          <w:color w:val="808080"/>
        </w:rPr>
        <w:t>(sie beaufsichtigt)</w:t>
      </w:r>
      <w:r>
        <w:rPr/>
        <w:t xml:space="preserve"> nicht gezwungen, sondern freiwillig gemäß Gottes </w:t>
      </w:r>
      <w:r>
        <w:rPr>
          <w:b/>
          <w:color w:val="808080"/>
        </w:rPr>
        <w:t>[</w:t>
      </w:r>
      <w:r>
        <w:rPr/>
        <w:t>Auftrag, Gebot</w:t>
      </w:r>
      <w:r>
        <w:rPr>
          <w:b/>
          <w:color w:val="808080"/>
        </w:rPr>
        <w:t>]</w:t>
      </w:r>
      <w:r>
        <w:rPr/>
        <w:t xml:space="preserve">, auch nicht um Gewinns willen </w:t>
      </w:r>
      <w:r>
        <w:rPr>
          <w:color w:val="808080"/>
        </w:rPr>
        <w:t>(aus Profitgier)</w:t>
      </w:r>
      <w:r>
        <w:rPr/>
        <w:t xml:space="preserve">, sondern bereitwillig,{{field-off:bible}} </w:t>
        <w:br/>
        <w:t>[[@BibleTOBIBLE:1Pe 5:3]]</w:t>
      </w:r>
      <w:r>
        <w:rPr>
          <w:b/>
        </w:rPr>
        <w:t>3</w:t>
      </w:r>
      <w:r>
        <w:rPr/>
        <w:t xml:space="preserve"> {{field-on:bible}}noch wie Herrscher über </w:t>
      </w:r>
      <w:r>
        <w:rPr>
          <w:b/>
          <w:color w:val="808080"/>
        </w:rPr>
        <w:t>[</w:t>
      </w:r>
      <w:r>
        <w:rPr/>
        <w:t>euren</w:t>
      </w:r>
      <w:r>
        <w:rPr>
          <w:b/>
          <w:color w:val="808080"/>
        </w:rPr>
        <w:t>]</w:t>
      </w:r>
      <w:r>
        <w:rPr/>
        <w:t xml:space="preserve"> Anteil </w:t>
      </w:r>
      <w:r>
        <w:rPr>
          <w:b/>
          <w:color w:val="808080"/>
        </w:rPr>
        <w:t>[</w:t>
      </w:r>
      <w:r>
        <w:rPr/>
        <w:t>an der Herde</w:t>
      </w:r>
      <w:r>
        <w:rPr>
          <w:b/>
          <w:color w:val="808080"/>
        </w:rPr>
        <w:t>]</w:t>
      </w:r>
      <w:r>
        <w:rPr/>
        <w:t xml:space="preserve">, sondern </w:t>
      </w:r>
      <w:r>
        <w:rPr>
          <w:color w:val="808080"/>
        </w:rPr>
        <w:t>(Vorbilder gewordene =)</w:t>
      </w:r>
      <w:r>
        <w:rPr/>
        <w:t xml:space="preserve"> als Vorbilder der Herde.{{field-off:bible}} </w:t>
        <w:br/>
        <w:t>[[@BibleTOBIBLE:1Pe 5:4]]</w:t>
      </w:r>
      <w:r>
        <w:rPr>
          <w:b/>
        </w:rPr>
        <w:t>4</w:t>
      </w:r>
      <w:r>
        <w:rPr/>
        <w:t xml:space="preserve"> {{field-on:bible}}Und wenn</w:t>
      </w:r>
      <w:r>
        <w:rPr>
          <w:rStyle w:val="Funotenanker"/>
        </w:rPr>
        <w:footnoteReference w:customMarkFollows="1" w:id="6630"/>
        <w:t>d</w:t>
      </w:r>
      <w:r>
        <w:rPr/>
        <w:t xml:space="preserve"> der Erzhirte </w:t>
      </w:r>
      <w:r>
        <w:rPr>
          <w:color w:val="808080"/>
        </w:rPr>
        <w:t>(Oberhirte)</w:t>
      </w:r>
      <w:r>
        <w:rPr/>
        <w:t xml:space="preserve"> erscheinen wird </w:t>
      </w:r>
      <w:r>
        <w:rPr>
          <w:color w:val="808080"/>
        </w:rPr>
        <w:t>(sich zeigen wird)</w:t>
      </w:r>
      <w:r>
        <w:rPr/>
        <w:t xml:space="preserve">, werdet ihr den unverwelklichen </w:t>
      </w:r>
      <w:r>
        <w:rPr>
          <w:color w:val="808080"/>
        </w:rPr>
        <w:t>(unvergänglichen)</w:t>
      </w:r>
      <w:r>
        <w:rPr/>
        <w:t xml:space="preserve"> Kranz der Herrlichkeit </w:t>
      </w:r>
      <w:r>
        <w:rPr>
          <w:color w:val="808080"/>
        </w:rPr>
        <w:t>(Ehre)</w:t>
      </w:r>
      <w:r>
        <w:rPr/>
        <w:t xml:space="preserve"> erlangen.{{field-off:bible}} </w:t>
        <w:br/>
        <w:t>[[@BibleTOBIBLE:1Pe 5:5]]</w:t>
      </w:r>
      <w:r>
        <w:rPr>
          <w:b/>
        </w:rPr>
        <w:t>5</w:t>
      </w:r>
      <w:r>
        <w:rPr/>
        <w:t xml:space="preserve"> {{field-on:bible}}Ebenso </w:t>
      </w:r>
      <w:r>
        <w:rPr>
          <w:color w:val="808080"/>
        </w:rPr>
        <w:t>(in gleicher Weise)</w:t>
      </w:r>
      <w:r>
        <w:rPr/>
        <w:t xml:space="preserve"> </w:t>
      </w:r>
      <w:r>
        <w:rPr>
          <w:b/>
          <w:color w:val="808080"/>
        </w:rPr>
        <w:t>[</w:t>
      </w:r>
      <w:r>
        <w:rPr/>
        <w:t>ihr</w:t>
      </w:r>
      <w:r>
        <w:rPr>
          <w:b/>
          <w:color w:val="808080"/>
        </w:rPr>
        <w:t>]</w:t>
      </w:r>
      <w:r>
        <w:rPr/>
        <w:t xml:space="preserve"> Jungen, ordnet euch den Ältesten </w:t>
      </w:r>
      <w:r>
        <w:rPr>
          <w:color w:val="808080"/>
        </w:rPr>
        <w:t>(Älteren)</w:t>
      </w:r>
      <w:r>
        <w:rPr/>
        <w:t xml:space="preserve"> unter! Alle aber legt </w:t>
      </w:r>
      <w:r>
        <w:rPr>
          <w:color w:val="808080"/>
        </w:rPr>
        <w:t>(zieht)</w:t>
      </w:r>
      <w:r>
        <w:rPr/>
        <w:t xml:space="preserve"> den anderen gegenüber die Demut an, denn Gott </w:t>
        <w:br/>
        <w:t>„widersetzt sich den Stolzen,</w:t>
        <w:br/>
        <w:t>den Demütigen aber gibt er Gnade“</w:t>
        <w:br/>
      </w:r>
      <w:r>
        <w:rPr>
          <w:color w:val="808080"/>
        </w:rPr>
        <w:t>(Sprüche 3,34 LXX)</w:t>
      </w:r>
      <w:r>
        <w:rPr/>
        <w:t xml:space="preserve">.{{field-off:bible}} </w:t>
        <w:br/>
        <w:t>[[@BibleTOBIBLE:1Pe 5:6]]</w:t>
      </w:r>
      <w:r>
        <w:rPr>
          <w:b/>
        </w:rPr>
        <w:t>6</w:t>
      </w:r>
      <w:r>
        <w:rPr/>
        <w:t xml:space="preserve"> {{field-on:bible}}Beugt euch </w:t>
      </w:r>
      <w:r>
        <w:rPr>
          <w:strike/>
          <w:color w:val="808080"/>
        </w:rPr>
        <w:t>{nun}</w:t>
      </w:r>
      <w:r>
        <w:rPr/>
        <w:t xml:space="preserve"> unter die starke Hand Gottes, damit er euch zu gegebener Zeit erhöht,{{field-off:bible}} </w:t>
        <w:br/>
        <w:t>[[@BibleTOBIBLE:1Pe 5:7]]</w:t>
      </w:r>
      <w:r>
        <w:rPr>
          <w:b/>
        </w:rPr>
        <w:t>7</w:t>
      </w:r>
      <w:r>
        <w:rPr/>
        <w:t xml:space="preserve"> {{field-on:bible}}indem</w:t>
      </w:r>
      <w:r>
        <w:rPr>
          <w:rStyle w:val="Funotenanker"/>
        </w:rPr>
        <w:footnoteReference w:customMarkFollows="1" w:id="6631"/>
        <w:t>e</w:t>
      </w:r>
      <w:r>
        <w:rPr/>
        <w:t xml:space="preserve"> ihr all eure Sorge auf ihn legt, denn er kümmert sich um euch.{{field-off:bible}} </w:t>
        <w:br/>
        <w:t>[[@BibleTOBIBLE:1Pe 5:8]]</w:t>
      </w:r>
      <w:r>
        <w:rPr>
          <w:b/>
        </w:rPr>
        <w:t>8</w:t>
      </w:r>
      <w:r>
        <w:rPr/>
        <w:t xml:space="preserve"> {{field-on:bible}}Seid besonnen </w:t>
      </w:r>
      <w:r>
        <w:rPr>
          <w:color w:val="808080"/>
        </w:rPr>
        <w:t>(nüchtern)</w:t>
      </w:r>
      <w:r>
        <w:rPr/>
        <w:t xml:space="preserve">, seid wachsam </w:t>
      </w:r>
      <w:r>
        <w:rPr>
          <w:color w:val="808080"/>
        </w:rPr>
        <w:t>(haltet die Augen offen)</w:t>
      </w:r>
      <w:r>
        <w:rPr/>
        <w:t xml:space="preserve">. Euer Feind, der Widersacher </w:t>
      </w:r>
      <w:r>
        <w:rPr>
          <w:color w:val="808080"/>
        </w:rPr>
        <w:t>(Verleumder, Teufel)</w:t>
      </w:r>
      <w:r>
        <w:rPr/>
        <w:t xml:space="preserve"> geht umher „wie ein brüllender Löwe“ </w:t>
      </w:r>
      <w:r>
        <w:rPr>
          <w:color w:val="808080"/>
        </w:rPr>
        <w:t>(Psalm 22,14)</w:t>
      </w:r>
      <w:r>
        <w:rPr/>
        <w:t xml:space="preserve"> und</w:t>
      </w:r>
      <w:r>
        <w:rPr>
          <w:rStyle w:val="Funotenanker"/>
        </w:rPr>
        <w:footnoteReference w:customMarkFollows="1" w:id="6632"/>
        <w:t>f</w:t>
      </w:r>
      <w:r>
        <w:rPr/>
        <w:t xml:space="preserve"> sucht, wen er verschlingen kann </w:t>
      </w:r>
      <w:r>
        <w:rPr>
          <w:color w:val="808080"/>
        </w:rPr>
        <w:t>(jemanden zum Verschlingen)</w:t>
      </w:r>
      <w:r>
        <w:rPr/>
        <w:t xml:space="preserve">;{{field-off:bible}} </w:t>
        <w:br/>
        <w:t>[[@BibleTOBIBLE:1Pe 5:9]]</w:t>
      </w:r>
      <w:r>
        <w:rPr>
          <w:b/>
        </w:rPr>
        <w:t>9</w:t>
      </w:r>
      <w:r>
        <w:rPr/>
        <w:t xml:space="preserve"> {{field-on:bible}}dem widersteht fest im Glauben, weil</w:t>
      </w:r>
      <w:r>
        <w:rPr>
          <w:rStyle w:val="Funotenanker"/>
        </w:rPr>
        <w:footnoteReference w:customMarkFollows="1" w:id="6633"/>
        <w:t>g</w:t>
      </w:r>
      <w:r>
        <w:rPr/>
        <w:t xml:space="preserve"> ihr wisst, dass sich die selben Leiden an eurer Bruderschaft in der Welt vollziehen.{{field-off:bible}} </w:t>
        <w:br/>
        <w:t>[[@BibleTOBIBLE:1Pe 5:10]]</w:t>
      </w:r>
      <w:r>
        <w:rPr>
          <w:b/>
        </w:rPr>
        <w:t>10</w:t>
      </w:r>
      <w:r>
        <w:rPr/>
        <w:t xml:space="preserve"> {{field-on:bible}}Aber der Gott aller Gnade, der euch berufen hat zu seiner ewigen Herrlichkeit in Christus Jesus, nachdem</w:t>
      </w:r>
      <w:r>
        <w:rPr>
          <w:rStyle w:val="Funotenanker"/>
        </w:rPr>
        <w:footnoteReference w:customMarkFollows="1" w:id="6634"/>
        <w:t>h</w:t>
      </w:r>
      <w:r>
        <w:rPr/>
        <w:t xml:space="preserve"> ihr ein wenig gelitten habt, wird </w:t>
      </w:r>
      <w:r>
        <w:rPr>
          <w:b/>
          <w:color w:val="808080"/>
        </w:rPr>
        <w:t>[</w:t>
      </w:r>
      <w:r>
        <w:rPr/>
        <w:t>euch</w:t>
      </w:r>
      <w:r>
        <w:rPr>
          <w:b/>
          <w:color w:val="808080"/>
        </w:rPr>
        <w:t>]</w:t>
      </w:r>
      <w:r>
        <w:rPr/>
        <w:t xml:space="preserve"> zurechthelfen </w:t>
      </w:r>
      <w:r>
        <w:rPr>
          <w:color w:val="808080"/>
        </w:rPr>
        <w:t>(in Ordnung bringen, vollenden)</w:t>
      </w:r>
      <w:r>
        <w:rPr/>
        <w:t xml:space="preserve">, stark machen </w:t>
      </w:r>
      <w:r>
        <w:rPr>
          <w:color w:val="808080"/>
        </w:rPr>
        <w:t>(befestigen)</w:t>
      </w:r>
      <w:r>
        <w:rPr/>
        <w:t xml:space="preserve">, Kraft verleihen, fest gründen </w:t>
      </w:r>
      <w:r>
        <w:rPr>
          <w:color w:val="808080"/>
        </w:rPr>
        <w:t>(befestigen)</w:t>
      </w:r>
      <w:r>
        <w:rPr/>
        <w:t xml:space="preserve">.{{field-off:bible}} </w:t>
        <w:br/>
        <w:t>[[@BibleTOBIBLE:1Pe 5:11]]</w:t>
      </w:r>
      <w:r>
        <w:rPr>
          <w:b/>
        </w:rPr>
        <w:t>11</w:t>
      </w:r>
      <w:r>
        <w:rPr/>
        <w:t xml:space="preserve"> {{field-on:bible}}Ihm sei die Macht </w:t>
      </w:r>
      <w:r>
        <w:rPr>
          <w:color w:val="808080"/>
        </w:rPr>
        <w:t>(Kraft, Stärke)</w:t>
      </w:r>
      <w:r>
        <w:rPr/>
        <w:t xml:space="preserve"> in Ewigkeit. Amen.{{field-off:bible}} </w:t>
        <w:br/>
        <w:t>[[@BibleTOBIBLE:1Pe 5:12]]</w:t>
      </w:r>
      <w:r>
        <w:rPr>
          <w:b/>
        </w:rPr>
        <w:t>12</w:t>
      </w:r>
      <w:r>
        <w:rPr/>
        <w:t xml:space="preserve"> {{field-on:bible}}Durch Silvanus, den treuen Bruder, wie ich meine, habe ich euch kurz geschrieben, um zu</w:t>
      </w:r>
      <w:r>
        <w:rPr>
          <w:rStyle w:val="Funotenanker"/>
        </w:rPr>
        <w:footnoteReference w:customMarkFollows="1" w:id="6635"/>
        <w:t>i</w:t>
      </w:r>
      <w:r>
        <w:rPr/>
        <w:t xml:space="preserve"> ermahnen und zu bezeugen, dass dies die wahre </w:t>
      </w:r>
      <w:r>
        <w:rPr>
          <w:color w:val="808080"/>
        </w:rPr>
        <w:t>(rechte, wirkliche, echte)</w:t>
      </w:r>
      <w:r>
        <w:rPr/>
        <w:t xml:space="preserve"> Gnade Gottes ist, in</w:t>
      </w:r>
      <w:r>
        <w:rPr>
          <w:rStyle w:val="Funotenanker"/>
        </w:rPr>
        <w:footnoteReference w:customMarkFollows="1" w:id="6636"/>
        <w:t>j</w:t>
      </w:r>
      <w:r>
        <w:rPr/>
        <w:t xml:space="preserve"> der ihr steht{{field-off:bible}} </w:t>
        <w:br/>
        <w:t>[[@BibleTOBIBLE:1Pe 5:13]]</w:t>
      </w:r>
      <w:r>
        <w:rPr>
          <w:b/>
        </w:rPr>
        <w:t>13</w:t>
      </w:r>
      <w:r>
        <w:rPr/>
        <w:t xml:space="preserve"> {{field-on:bible}}Es grüßt euch in Babylon</w:t>
      </w:r>
      <w:r>
        <w:rPr>
          <w:rStyle w:val="Funotenanker"/>
        </w:rPr>
        <w:footnoteReference w:customMarkFollows="1" w:id="6637"/>
        <w:t>k</w:t>
      </w:r>
      <w:r>
        <w:rPr/>
        <w:t xml:space="preserve"> die mit Auserwählte</w:t>
      </w:r>
      <w:r>
        <w:rPr>
          <w:rStyle w:val="Funotenanker"/>
        </w:rPr>
        <w:footnoteReference w:customMarkFollows="1" w:id="6638"/>
        <w:t>l</w:t>
      </w:r>
      <w:r>
        <w:rPr/>
        <w:t xml:space="preserve"> und Markus, mein Sohn.{{field-off:bible}} </w:t>
        <w:br/>
        <w:t>[[@BibleTOBIBLE:1Pe 5:14]]</w:t>
      </w:r>
      <w:r>
        <w:rPr>
          <w:b/>
        </w:rPr>
        <w:t>14</w:t>
      </w:r>
      <w:r>
        <w:rPr/>
        <w:t xml:space="preserve"> {{field-on:bible}}Grüßt einander mit dem Kuss der Liebe. Friede sei mit euch allen, die </w:t>
      </w:r>
      <w:r>
        <w:rPr>
          <w:b/>
          <w:color w:val="808080"/>
        </w:rPr>
        <w:t>[</w:t>
      </w:r>
      <w:r>
        <w:rPr/>
        <w:t>ihr</w:t>
      </w:r>
      <w:r>
        <w:rPr>
          <w:b/>
          <w:color w:val="808080"/>
        </w:rPr>
        <w:t>]</w:t>
      </w:r>
      <w:r>
        <w:rPr/>
        <w:t xml:space="preserve"> in Christus </w:t>
      </w:r>
      <w:r>
        <w:rPr>
          <w:b/>
          <w:color w:val="808080"/>
        </w:rPr>
        <w:t>[</w:t>
      </w:r>
      <w:r>
        <w:rPr/>
        <w:t>seid</w:t>
      </w:r>
      <w:r>
        <w:rPr>
          <w:b/>
          <w:color w:val="808080"/>
        </w:rPr>
        <w:t>]</w:t>
      </w:r>
      <w:r>
        <w:rPr/>
        <w:t xml:space="preserve">!{{field-off:bible}} </w:t>
      </w:r>
    </w:p>
    <w:p>
      <w:pPr>
        <w:pStyle w:val="Berschrift2"/>
        <w:rPr/>
      </w:pPr>
      <w:r>
        <w:rPr/>
        <w:t>[[@BibleTOBIBLE:2Pe]]2 Petrus</w:t>
      </w:r>
    </w:p>
    <w:p>
      <w:pPr>
        <w:pStyle w:val="Berschrift3"/>
        <w:rPr/>
      </w:pPr>
      <w:r>
        <w:rPr/>
        <w:t>[[@BibleTOBIBLE:2Pe 1]]Kapitel 1</w:t>
      </w:r>
    </w:p>
    <w:p>
      <w:pPr>
        <w:pStyle w:val="Textkrper"/>
        <w:rPr/>
      </w:pPr>
      <w:r>
        <w:rPr/>
        <w:br/>
        <w:t>[[@BibleTOBIBLE:2Pe 1:1]]</w:t>
      </w:r>
      <w:r>
        <w:rPr>
          <w:b/>
        </w:rPr>
        <w:t>1</w:t>
      </w:r>
      <w:r>
        <w:rPr/>
        <w:t xml:space="preserve"> {{field-on:bible}}Symeon</w:t>
      </w:r>
      <w:r>
        <w:rPr>
          <w:rStyle w:val="Funotenanker"/>
        </w:rPr>
        <w:footnoteReference w:customMarkFollows="1" w:id="6639"/>
        <w:t>a</w:t>
      </w:r>
      <w:r>
        <w:rPr/>
        <w:t xml:space="preserve"> Petrus, Knecht </w:t>
      </w:r>
      <w:r>
        <w:rPr>
          <w:color w:val="808080"/>
        </w:rPr>
        <w:t>(Sklave)</w:t>
      </w:r>
      <w:r>
        <w:rPr/>
        <w:t xml:space="preserve"> und Apostel Jesu Christi,</w:t>
      </w:r>
      <w:r>
        <w:rPr>
          <w:rStyle w:val="Funotenanker"/>
        </w:rPr>
        <w:footnoteReference w:customMarkFollows="1" w:id="6640"/>
        <w:t>b</w:t>
      </w:r>
      <w:r>
        <w:rPr/>
        <w:t xml:space="preserve"> an die, die</w:t>
      </w:r>
      <w:r>
        <w:rPr>
          <w:rStyle w:val="Funotenanker"/>
        </w:rPr>
        <w:footnoteReference w:customMarkFollows="1" w:id="6641"/>
        <w:t>c</w:t>
      </w:r>
      <w:r>
        <w:rPr/>
        <w:t xml:space="preserve"> einen unserem gleichwertigen </w:t>
      </w:r>
      <w:r>
        <w:rPr>
          <w:color w:val="808080"/>
        </w:rPr>
        <w:t>(gleichartigen)</w:t>
      </w:r>
      <w:r>
        <w:rPr/>
        <w:t xml:space="preserve"> Glauben empfangen haben in der Gerechtigkeit unseres Gottes und Retters Jesus Christus,</w:t>
      </w:r>
      <w:r>
        <w:rPr>
          <w:rStyle w:val="Funotenanker"/>
        </w:rPr>
        <w:footnoteReference w:customMarkFollows="1" w:id="6642"/>
        <w:t>d</w:t>
      </w:r>
      <w:r>
        <w:rPr/>
        <w:t xml:space="preserve"> {{field-off:bible}} </w:t>
        <w:br/>
        <w:t>[[@BibleTOBIBLE:2Pe 1:2]]</w:t>
      </w:r>
      <w:r>
        <w:rPr>
          <w:b/>
        </w:rPr>
        <w:t>2</w:t>
      </w:r>
      <w:r>
        <w:rPr/>
        <w:t xml:space="preserve"> {{field-on:bible}}Gnade und Friede </w:t>
      </w:r>
      <w:r>
        <w:rPr>
          <w:b/>
          <w:color w:val="808080"/>
        </w:rPr>
        <w:t>[</w:t>
      </w:r>
      <w:r>
        <w:rPr/>
        <w:t>seien</w:t>
      </w:r>
      <w:r>
        <w:rPr>
          <w:b/>
          <w:color w:val="808080"/>
        </w:rPr>
        <w:t>]</w:t>
      </w:r>
      <w:r>
        <w:rPr/>
        <w:t xml:space="preserve"> mit euch. </w:t>
      </w:r>
      <w:r>
        <w:rPr>
          <w:b/>
          <w:color w:val="808080"/>
        </w:rPr>
        <w:t>[</w:t>
      </w:r>
      <w:r>
        <w:rPr/>
        <w:t>Sie</w:t>
      </w:r>
      <w:r>
        <w:rPr>
          <w:b/>
          <w:color w:val="808080"/>
        </w:rPr>
        <w:t>]</w:t>
      </w:r>
      <w:r>
        <w:rPr/>
        <w:t xml:space="preserve"> mögen wachsen in der Erkenntnis Gottes und Jesu, unseres Herrn. </w:t>
      </w:r>
      <w:r>
        <w:rPr>
          <w:rStyle w:val="Funotenanker"/>
        </w:rPr>
        <w:footnoteReference w:customMarkFollows="1" w:id="6643"/>
        <w:t>e</w:t>
      </w:r>
      <w:r>
        <w:rPr/>
        <w:t xml:space="preserve"> {{field-off:bible}} </w:t>
        <w:br/>
        <w:t>[[@BibleTOBIBLE:2Pe 1:3]]</w:t>
      </w:r>
      <w:r>
        <w:rPr>
          <w:b/>
        </w:rPr>
        <w:t>3</w:t>
      </w:r>
      <w:r>
        <w:rPr/>
        <w:t xml:space="preserve"> {{field-on:bible}}Da uns alles, was wir zum Leben und zur Frömmigkeit brauchen, durch seine göttliche Macht geschenkt worden ist</w:t>
      </w:r>
      <w:r>
        <w:rPr>
          <w:rStyle w:val="Funotenanker"/>
        </w:rPr>
        <w:footnoteReference w:customMarkFollows="1" w:id="6644"/>
        <w:t>f</w:t>
      </w:r>
      <w:r>
        <w:rPr/>
        <w:t xml:space="preserve"> wegen der </w:t>
      </w:r>
      <w:r>
        <w:rPr>
          <w:color w:val="808080"/>
        </w:rPr>
        <w:t>(durch die)</w:t>
      </w:r>
      <w:r>
        <w:rPr/>
        <w:t xml:space="preserve"> Erkenntnis</w:t>
      </w:r>
      <w:r>
        <w:rPr>
          <w:rStyle w:val="Funotenanker"/>
        </w:rPr>
        <w:footnoteReference w:customMarkFollows="1" w:id="6645"/>
        <w:t>g</w:t>
      </w:r>
      <w:r>
        <w:rPr/>
        <w:t xml:space="preserve"> dessen, der uns berufen hat</w:t>
      </w:r>
      <w:r>
        <w:rPr>
          <w:rStyle w:val="Funotenanker"/>
        </w:rPr>
        <w:footnoteReference w:customMarkFollows="1" w:id="6646"/>
        <w:t>h</w:t>
      </w:r>
      <w:r>
        <w:rPr/>
        <w:t xml:space="preserve"> gemäß </w:t>
      </w:r>
      <w:r>
        <w:rPr>
          <w:color w:val="808080"/>
        </w:rPr>
        <w:t>(entsprechend)</w:t>
      </w:r>
      <w:r>
        <w:rPr/>
        <w:t xml:space="preserve"> seiner Ehre und Tugend,{{field-off:bible}} </w:t>
        <w:br/>
        <w:t>[[@BibleTOBIBLE:2Pe 1:4]]</w:t>
      </w:r>
      <w:r>
        <w:rPr>
          <w:b/>
        </w:rPr>
        <w:t>4</w:t>
      </w:r>
      <w:r>
        <w:rPr/>
        <w:t xml:space="preserve"> {{field-on:bible}}durch die uns die wertvollen und übergroßen</w:t>
      </w:r>
      <w:r>
        <w:rPr>
          <w:rStyle w:val="Funotenanker"/>
        </w:rPr>
        <w:footnoteReference w:customMarkFollows="1" w:id="6647"/>
        <w:t>i</w:t>
      </w:r>
      <w:r>
        <w:rPr/>
        <w:t xml:space="preserve"> Verheißungen geschenkt wurden, damit ihr durch sie Teilnehmer </w:t>
      </w:r>
      <w:r>
        <w:rPr>
          <w:color w:val="808080"/>
        </w:rPr>
        <w:t>(Genossen)</w:t>
      </w:r>
      <w:r>
        <w:rPr/>
        <w:t xml:space="preserve"> an der göttlichen Natur werdet, flieht dem Verderben </w:t>
      </w:r>
      <w:r>
        <w:rPr>
          <w:color w:val="808080"/>
        </w:rPr>
        <w:t>(Untergang)</w:t>
      </w:r>
      <w:r>
        <w:rPr/>
        <w:t xml:space="preserve">, durch die </w:t>
      </w:r>
      <w:r>
        <w:rPr>
          <w:color w:val="808080"/>
        </w:rPr>
        <w:t>(in der)</w:t>
      </w:r>
      <w:r>
        <w:rPr/>
        <w:t xml:space="preserve"> Welt durch die Begierde.{{field-off:bible}} </w:t>
        <w:br/>
        <w:t>[[@BibleTOBIBLE:2Pe 1:5]]</w:t>
      </w:r>
      <w:r>
        <w:rPr>
          <w:b/>
        </w:rPr>
        <w:t>5</w:t>
      </w:r>
      <w:r>
        <w:rPr/>
        <w:t xml:space="preserve"> {{field-on:bible}}Und eben darum, indem</w:t>
      </w:r>
      <w:r>
        <w:rPr>
          <w:rStyle w:val="Funotenanker"/>
        </w:rPr>
        <w:footnoteReference w:customMarkFollows="1" w:id="6648"/>
        <w:t>j</w:t>
      </w:r>
      <w:r>
        <w:rPr/>
        <w:t xml:space="preserve"> wendet größten Eifer auf und stellt durch euren Glauben </w:t>
      </w:r>
      <w:r>
        <w:rPr>
          <w:strike/>
          <w:color w:val="808080"/>
        </w:rPr>
        <w:t>{die}</w:t>
      </w:r>
      <w:r>
        <w:rPr/>
        <w:t xml:space="preserve"> Tugend</w:t>
      </w:r>
      <w:r>
        <w:rPr>
          <w:rStyle w:val="Funotenanker"/>
        </w:rPr>
        <w:footnoteReference w:customMarkFollows="1" w:id="6649"/>
        <w:t>k</w:t>
      </w:r>
      <w:r>
        <w:rPr/>
        <w:t xml:space="preserve"> her, durch </w:t>
      </w:r>
      <w:r>
        <w:rPr>
          <w:strike/>
          <w:color w:val="808080"/>
        </w:rPr>
        <w:t>{die}</w:t>
      </w:r>
      <w:r>
        <w:rPr/>
        <w:t xml:space="preserve"> Tugend </w:t>
      </w:r>
      <w:r>
        <w:rPr>
          <w:strike/>
          <w:color w:val="808080"/>
        </w:rPr>
        <w:t>{aber die}</w:t>
      </w:r>
      <w:r>
        <w:rPr/>
        <w:t xml:space="preserve"> Erkenntnis,{{field-off:bible}} </w:t>
        <w:br/>
        <w:t>[[@BibleTOBIBLE:2Pe 1:6]]</w:t>
      </w:r>
      <w:r>
        <w:rPr>
          <w:b/>
        </w:rPr>
        <w:t>6</w:t>
      </w:r>
      <w:r>
        <w:rPr/>
        <w:t xml:space="preserve"> {{field-on:bible}}durch </w:t>
      </w:r>
      <w:r>
        <w:rPr>
          <w:strike/>
          <w:color w:val="808080"/>
        </w:rPr>
        <w:t>{die}</w:t>
      </w:r>
      <w:r>
        <w:rPr/>
        <w:t xml:space="preserve"> Erkenntnis </w:t>
      </w:r>
      <w:r>
        <w:rPr>
          <w:strike/>
          <w:color w:val="808080"/>
        </w:rPr>
        <w:t>{aber die}</w:t>
      </w:r>
      <w:r>
        <w:rPr/>
        <w:t xml:space="preserve"> Enthaltsamkeit, durch </w:t>
      </w:r>
      <w:r>
        <w:rPr>
          <w:strike/>
          <w:color w:val="808080"/>
        </w:rPr>
        <w:t>{die}</w:t>
      </w:r>
      <w:r>
        <w:rPr/>
        <w:t xml:space="preserve"> Enthaltsamkeit </w:t>
      </w:r>
      <w:r>
        <w:rPr>
          <w:strike/>
          <w:color w:val="808080"/>
        </w:rPr>
        <w:t>{aber die}</w:t>
      </w:r>
      <w:r>
        <w:rPr/>
        <w:t xml:space="preserve"> Geduld, durch </w:t>
      </w:r>
      <w:r>
        <w:rPr>
          <w:strike/>
          <w:color w:val="808080"/>
        </w:rPr>
        <w:t>{die}</w:t>
      </w:r>
      <w:r>
        <w:rPr/>
        <w:t xml:space="preserve"> Geduld </w:t>
      </w:r>
      <w:r>
        <w:rPr>
          <w:strike/>
          <w:color w:val="808080"/>
        </w:rPr>
        <w:t>{aber die}</w:t>
      </w:r>
      <w:r>
        <w:rPr/>
        <w:t xml:space="preserve"> Frömmigkeit </w:t>
      </w:r>
      <w:r>
        <w:rPr>
          <w:color w:val="808080"/>
        </w:rPr>
        <w:t>(das Frommsein)</w:t>
      </w:r>
      <w:r>
        <w:rPr/>
        <w:t xml:space="preserve">,{{field-off:bible}} </w:t>
        <w:br/>
        <w:t>[[@BibleTOBIBLE:2Pe 1:7]]</w:t>
      </w:r>
      <w:r>
        <w:rPr>
          <w:b/>
        </w:rPr>
        <w:t>7</w:t>
      </w:r>
      <w:r>
        <w:rPr/>
        <w:t xml:space="preserve"> {{field-on:bible}}durch </w:t>
      </w:r>
      <w:r>
        <w:rPr>
          <w:strike/>
          <w:color w:val="808080"/>
        </w:rPr>
        <w:t>{die}</w:t>
      </w:r>
      <w:r>
        <w:rPr/>
        <w:t xml:space="preserve"> Frömmigkeit </w:t>
      </w:r>
      <w:r>
        <w:rPr>
          <w:color w:val="808080"/>
        </w:rPr>
        <w:t>(das Frommsein)</w:t>
      </w:r>
      <w:r>
        <w:rPr/>
        <w:t xml:space="preserve"> </w:t>
      </w:r>
      <w:r>
        <w:rPr>
          <w:strike/>
          <w:color w:val="808080"/>
        </w:rPr>
        <w:t>{aber die}</w:t>
      </w:r>
      <w:r>
        <w:rPr/>
        <w:t xml:space="preserve"> geschwisterliche Liebe, durch </w:t>
      </w:r>
      <w:r>
        <w:rPr>
          <w:strike/>
          <w:color w:val="808080"/>
        </w:rPr>
        <w:t>{die}</w:t>
      </w:r>
      <w:r>
        <w:rPr/>
        <w:t xml:space="preserve"> geschwisterliche Liebe </w:t>
      </w:r>
      <w:r>
        <w:rPr>
          <w:strike/>
          <w:color w:val="808080"/>
        </w:rPr>
        <w:t>{aber die}</w:t>
      </w:r>
      <w:r>
        <w:rPr/>
        <w:t xml:space="preserve"> </w:t>
      </w:r>
      <w:r>
        <w:rPr>
          <w:b/>
          <w:color w:val="808080"/>
        </w:rPr>
        <w:t>[</w:t>
      </w:r>
      <w:r>
        <w:rPr/>
        <w:t>Nächsten</w:t>
      </w:r>
      <w:r>
        <w:rPr>
          <w:b/>
          <w:color w:val="808080"/>
        </w:rPr>
        <w:t>]</w:t>
      </w:r>
      <w:r>
        <w:rPr/>
        <w:t xml:space="preserve">liebe </w:t>
      </w:r>
      <w:r>
        <w:rPr>
          <w:color w:val="808080"/>
        </w:rPr>
        <w:t>(Agape)</w:t>
      </w:r>
      <w:r>
        <w:rPr/>
        <w:t xml:space="preserve">.{{field-off:bible}} </w:t>
        <w:br/>
        <w:t>[[@BibleTOBIBLE:2Pe 1:8]]</w:t>
      </w:r>
      <w:r>
        <w:rPr>
          <w:b/>
        </w:rPr>
        <w:t>8</w:t>
      </w:r>
      <w:r>
        <w:rPr/>
        <w:t xml:space="preserve"> {{field-on:bible}}Denn dass</w:t>
      </w:r>
      <w:r>
        <w:rPr>
          <w:rStyle w:val="Funotenanker"/>
        </w:rPr>
        <w:footnoteReference w:customMarkFollows="1" w:id="6650"/>
        <w:t>l</w:t>
      </w:r>
      <w:r>
        <w:rPr/>
        <w:t xml:space="preserve"> ihr sie besitzt und sie reichlich vorhanden ist, macht euch nicht faul </w:t>
      </w:r>
      <w:r>
        <w:rPr>
          <w:color w:val="808080"/>
        </w:rPr>
        <w:t>(müßig)</w:t>
      </w:r>
      <w:r>
        <w:rPr/>
        <w:t xml:space="preserve"> und fruchtlos </w:t>
      </w:r>
      <w:r>
        <w:rPr>
          <w:color w:val="808080"/>
        </w:rPr>
        <w:t>(unfruchtbar)</w:t>
      </w:r>
      <w:r>
        <w:rPr/>
        <w:t xml:space="preserve"> zur Erkenntnis unseres Herrn Jesus Christus.{{field-off:bible}} </w:t>
        <w:br/>
        <w:t>[[@BibleTOBIBLE:2Pe 1:9]]</w:t>
      </w:r>
      <w:r>
        <w:rPr>
          <w:b/>
        </w:rPr>
        <w:t>9</w:t>
      </w:r>
      <w:r>
        <w:rPr/>
        <w:t xml:space="preserve"> {{field-on:bible}}Denn wer sie</w:t>
      </w:r>
      <w:r>
        <w:rPr>
          <w:rStyle w:val="Funotenanker"/>
        </w:rPr>
        <w:footnoteReference w:customMarkFollows="1" w:id="6651"/>
        <w:t>m</w:t>
      </w:r>
      <w:r>
        <w:rPr/>
        <w:t xml:space="preserve"> nicht hat, sieht nichts vor </w:t>
      </w:r>
      <w:r>
        <w:rPr>
          <w:b/>
          <w:color w:val="808080"/>
        </w:rPr>
        <w:t>[</w:t>
      </w:r>
      <w:r>
        <w:rPr/>
        <w:t>lauter</w:t>
      </w:r>
      <w:r>
        <w:rPr>
          <w:b/>
          <w:color w:val="808080"/>
        </w:rPr>
        <w:t>]</w:t>
      </w:r>
      <w:r>
        <w:rPr/>
        <w:t xml:space="preserve"> Kurzsichtigkeit</w:t>
      </w:r>
      <w:r>
        <w:rPr>
          <w:rStyle w:val="Funotenanker"/>
        </w:rPr>
        <w:footnoteReference w:customMarkFollows="1" w:id="6652"/>
        <w:t>n</w:t>
      </w:r>
      <w:r>
        <w:rPr/>
        <w:t xml:space="preserve">, vergaß die Reinigung von seinen früheren Sünden.{{field-off:bible}} </w:t>
        <w:br/>
        <w:t>[[@BibleTOBIBLE:2Pe 1:10]]</w:t>
      </w:r>
      <w:r>
        <w:rPr>
          <w:b/>
        </w:rPr>
        <w:t>10</w:t>
      </w:r>
      <w:r>
        <w:rPr/>
        <w:t xml:space="preserve"> {{field-on:bible}}Daher, Geschwister</w:t>
      </w:r>
      <w:r>
        <w:rPr>
          <w:rStyle w:val="Funotenanker"/>
        </w:rPr>
        <w:footnoteReference w:customMarkFollows="1" w:id="6653"/>
        <w:t>o</w:t>
      </w:r>
      <w:r>
        <w:rPr/>
        <w:t>, eifert um so mehr, eure Berufung und Erwählung zu festigen. Denn wenn</w:t>
      </w:r>
      <w:r>
        <w:rPr>
          <w:rStyle w:val="Funotenanker"/>
        </w:rPr>
        <w:footnoteReference w:customMarkFollows="1" w:id="6654"/>
        <w:t>p</w:t>
      </w:r>
      <w:r>
        <w:rPr/>
        <w:t xml:space="preserve"> ihr das tut, werdet ihr niemals sündigen </w:t>
      </w:r>
      <w:r>
        <w:rPr>
          <w:color w:val="808080"/>
        </w:rPr>
        <w:t>(fehlen)</w:t>
      </w:r>
      <w:r>
        <w:rPr/>
        <w:t xml:space="preserve">.{{field-off:bible}} </w:t>
        <w:br/>
        <w:t>[[@BibleTOBIBLE:2Pe 1:11]]</w:t>
      </w:r>
      <w:r>
        <w:rPr>
          <w:b/>
        </w:rPr>
        <w:t>11</w:t>
      </w:r>
      <w:r>
        <w:rPr/>
        <w:t xml:space="preserve"> {{field-on:bible}}Denn so </w:t>
      </w:r>
      <w:r>
        <w:rPr>
          <w:color w:val="808080"/>
        </w:rPr>
        <w:t>(reichlich =)</w:t>
      </w:r>
      <w:r>
        <w:rPr/>
        <w:t xml:space="preserve"> großzügig wird euch der Zugang </w:t>
      </w:r>
      <w:r>
        <w:rPr>
          <w:color w:val="808080"/>
        </w:rPr>
        <w:t>(Zutritt)</w:t>
      </w:r>
      <w:r>
        <w:rPr/>
        <w:t xml:space="preserve"> gewährt zur ewigen Königsherrschaft unseres Herrn und Retters Jesus Christus.{{field-off:bible}} </w:t>
      </w:r>
    </w:p>
    <w:p>
      <w:pPr>
        <w:pStyle w:val="Berschrift3"/>
        <w:rPr/>
      </w:pPr>
      <w:r>
        <w:rPr/>
        <w:t>[[@BibleTOBIBLE:2Pe 3]]Kapitel 3</w:t>
      </w:r>
    </w:p>
    <w:p>
      <w:pPr>
        <w:pStyle w:val="Textkrper"/>
        <w:rPr/>
      </w:pPr>
      <w:r>
        <w:rPr/>
        <w:br/>
        <w:t>[[@BibleTOBIBLE:2Pe 3:8]]</w:t>
      </w:r>
      <w:r>
        <w:rPr>
          <w:b/>
        </w:rPr>
        <w:t>8</w:t>
      </w:r>
      <w:r>
        <w:rPr/>
        <w:t xml:space="preserve"> {{field-on:bible}}In diesem aber soll euch nicht verborgen sein, ihr Lieben </w:t>
      </w:r>
      <w:r>
        <w:rPr>
          <w:color w:val="808080"/>
        </w:rPr>
        <w:t>(Geliebte)</w:t>
      </w:r>
      <w:r>
        <w:rPr/>
        <w:t xml:space="preserve"> </w:t>
      </w:r>
      <w:r>
        <w:rPr>
          <w:rStyle w:val="Funotenanker"/>
        </w:rPr>
        <w:footnoteReference w:customMarkFollows="1" w:id="6655"/>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6656"/>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6657"/>
        <w:t>c</w:t>
      </w:r>
      <w:r>
        <w:rPr/>
        <w:t xml:space="preserve"> {{field-off:bible}} </w:t>
        <w:br/>
        <w:t>[[@BibleTOBIBLE:2Pe 3:11]]</w:t>
      </w:r>
      <w:r>
        <w:rPr>
          <w:b/>
        </w:rPr>
        <w:t>11</w:t>
      </w:r>
      <w:r>
        <w:rPr/>
        <w:t xml:space="preserve"> {{field-on:bible}}Wenn sich dies alles auflöst</w:t>
      </w:r>
      <w:r>
        <w:rPr>
          <w:rStyle w:val="Funotenanker"/>
        </w:rPr>
        <w:footnoteReference w:customMarkFollows="1" w:id="6658"/>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6659"/>
        <w:t>Status</w:t>
      </w:r>
      <w:r>
        <w:rPr/>
        <w:t xml:space="preserve"> Was von Anfang an war, was wir gehört haben, was wir mit unseren Augen gesehen haben, was wir geschaut und unsere Hände berührt haben, über das Wort des Lebens –{{field-off:bible}} </w:t>
        <w:br/>
        <w:t>[[@BibleTOBIBLE:1Jn 1:2]]</w:t>
      </w:r>
      <w:r>
        <w:rPr>
          <w:b/>
        </w:rPr>
        <w:t>2</w:t>
      </w:r>
      <w:r>
        <w:rPr/>
        <w:t xml:space="preserve"> {{field-on:bible}}und das Leben ist erschienen </w:t>
      </w:r>
      <w:r>
        <w:rPr>
          <w:color w:val="808080"/>
        </w:rPr>
        <w:t>(wurde offenbar, sichtbar)</w:t>
      </w:r>
      <w:r>
        <w:rPr/>
        <w:t xml:space="preserve">, und wir sahen und bezeugen und verkünden Euch das ewige Leben, das bei dem Vater war und uns erschienen ist –{{field-off:bible}} </w:t>
        <w:br/>
        <w:t>[[@BibleTOBIBLE:1Jn 1:3]]</w:t>
      </w:r>
      <w:r>
        <w:rPr>
          <w:b/>
        </w:rPr>
        <w:t>3</w:t>
      </w:r>
      <w:r>
        <w:rPr/>
        <w:t xml:space="preserve"> {{field-on:bible}}was wir </w:t>
      </w:r>
      <w:r>
        <w:rPr>
          <w:b/>
          <w:color w:val="808080"/>
        </w:rPr>
        <w:t>[</w:t>
      </w:r>
      <w:r>
        <w:rPr/>
        <w:t>also</w:t>
      </w:r>
      <w:r>
        <w:rPr>
          <w:b/>
          <w:color w:val="808080"/>
        </w:rPr>
        <w:t>]</w:t>
      </w:r>
      <w:r>
        <w:rPr/>
        <w:t xml:space="preserve"> gesehen und gehört haben, verkünden wir auch Euch, damit auch Ihr mit uns Gemeinschaft habt. Und unsere Gemeinschaft mit dem Vater ist </w:t>
      </w:r>
      <w:r>
        <w:rPr>
          <w:strike/>
          <w:color w:val="808080"/>
        </w:rPr>
        <w:t>{aber}</w:t>
      </w:r>
      <w:r>
        <w:rPr/>
        <w:t xml:space="preserve"> auch </w:t>
      </w:r>
      <w:r>
        <w:rPr>
          <w:b/>
          <w:color w:val="808080"/>
        </w:rPr>
        <w:t>[</w:t>
      </w:r>
      <w:r>
        <w:rPr/>
        <w:t>Gemeinschaft</w:t>
      </w:r>
      <w:r>
        <w:rPr>
          <w:b/>
          <w:color w:val="808080"/>
        </w:rPr>
        <w:t>]</w:t>
      </w:r>
      <w:r>
        <w:rPr/>
        <w:t xml:space="preserve"> mit seinem Sohn Jesus Christus.{{field-off:bible}} </w:t>
        <w:br/>
        <w:t>[[@BibleTOBIBLE:1Jn 1:4]]</w:t>
      </w:r>
      <w:r>
        <w:rPr>
          <w:b/>
        </w:rPr>
        <w:t>4</w:t>
      </w:r>
      <w:r>
        <w:rPr/>
        <w:t xml:space="preserve"> {{field-on:bible}}Und dies </w:t>
      </w:r>
      <w:r>
        <w:rPr>
          <w:color w:val="808080"/>
        </w:rPr>
        <w:t>(diese Dinge)</w:t>
      </w:r>
      <w:r>
        <w:rPr/>
        <w:t xml:space="preserve"> schreiben wir, damit unsere Freue vollkommen sei.{{field-off:bible}}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1:6]]</w:t>
      </w:r>
      <w:r>
        <w:rPr>
          <w:b/>
        </w:rPr>
        <w:t>6</w:t>
      </w:r>
      <w:r>
        <w:rPr/>
        <w:t xml:space="preserve"> {{field-on:bible}}Wenn wir sagen, daß wir mit ihm Gemeinschaft haben und in der Dunkelheit </w:t>
      </w:r>
      <w:r>
        <w:rPr>
          <w:color w:val="808080"/>
        </w:rPr>
        <w:t>(in der Finsterniss, im Finstern)</w:t>
      </w:r>
      <w:r>
        <w:rPr/>
        <w:t xml:space="preserve"> wandeln </w:t>
      </w:r>
      <w:r>
        <w:rPr>
          <w:color w:val="808080"/>
        </w:rPr>
        <w:t>(leben)</w:t>
      </w:r>
      <w:r>
        <w:rPr/>
        <w:t xml:space="preserve">, lügen wir und tun die Wahrheit nicht.{{field-off:bible}} </w:t>
        <w:br/>
        <w:t>[[@BibleTOBIBLE:1Jn 1:7]]</w:t>
      </w:r>
      <w:r>
        <w:rPr>
          <w:b/>
        </w:rPr>
        <w:t>7</w:t>
      </w:r>
      <w:r>
        <w:rPr/>
        <w:t xml:space="preserve"> {{field-on:bible}}Wenn wir aber im Licht wandeln </w:t>
      </w:r>
      <w:r>
        <w:rPr>
          <w:color w:val="808080"/>
        </w:rPr>
        <w:t>(leben)</w:t>
      </w:r>
      <w:r>
        <w:rPr/>
        <w:t xml:space="preserve">, wie er im Licht ist, haben wir Gemeinschaft miteinander und das Blut Jesu, seines Sohnes, reinigt uns von aller Sünde.{{field-off:bible}}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6660"/>
        <w:t>Status</w:t>
      </w:r>
      <w:r>
        <w:rPr/>
        <w:t xml:space="preserve"> Meine Kinder, dieses schreibe ich euch, damit ihr nicht sündigt. Und wenn jemand sündigt, haben wir einen Parakleten </w:t>
      </w:r>
      <w:r>
        <w:rPr>
          <w:color w:val="808080"/>
        </w:rPr>
        <w:t>(Fürsprecher, Helfer, Beistand)</w:t>
      </w:r>
      <w:r>
        <w:rPr/>
        <w:t xml:space="preserve"> bei dem Vater, 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br/>
        <w:t>[[@BibleTOBIBLE:1Jn 2:3]]</w:t>
      </w:r>
      <w:r>
        <w:rPr>
          <w:b/>
        </w:rPr>
        <w:t>3</w:t>
      </w:r>
      <w:r>
        <w:rPr/>
        <w:t xml:space="preserve"> {{field-on:bible}}Und daran </w:t>
      </w:r>
      <w:r>
        <w:rPr>
          <w:color w:val="808080"/>
        </w:rPr>
        <w:t>(darin)</w:t>
      </w:r>
      <w:r>
        <w:rPr/>
        <w:t xml:space="preserve"> erkennen wir, daß wir ihn erkannt haben, daß </w:t>
      </w:r>
      <w:r>
        <w:rPr>
          <w:color w:val="808080"/>
        </w:rPr>
        <w:t>(wenn)</w:t>
      </w:r>
      <w:r>
        <w:rPr/>
        <w:t xml:space="preserve"> wir seine Gebote halten.{{field-off:bible}} </w:t>
        <w:br/>
        <w:t>[[@BibleTOBIBLE:1Jn 2:4]]</w:t>
      </w:r>
      <w:r>
        <w:rPr>
          <w:b/>
        </w:rPr>
        <w:t>4</w:t>
      </w:r>
      <w:r>
        <w:rPr/>
        <w:t xml:space="preserve"> {{field-on:bible}}Wer sagt: </w:t>
      </w:r>
      <w:r>
        <w:rPr>
          <w:strike/>
          <w:color w:val="808080"/>
        </w:rPr>
        <w:t>{Daß}</w:t>
      </w:r>
      <w:r>
        <w:rPr/>
        <w:t xml:space="preserve"> „Ich habe ihn erkannt“ und seine Gebote nicht hält, ist ein Lügner, und in diesem ist die Wahrheit nicht.{{field-off:bible}} </w:t>
        <w:br/>
        <w:t>[[@BibleTOBIBLE:1Jn 2:5]]</w:t>
      </w:r>
      <w:r>
        <w:rPr>
          <w:b/>
        </w:rPr>
        <w:t>5</w:t>
      </w:r>
      <w:r>
        <w:rPr/>
        <w:t xml:space="preserve"> {{field-on:bible}}Wer immer sein Wort bewahrt </w:t>
      </w:r>
      <w:r>
        <w:rPr>
          <w:color w:val="808080"/>
        </w:rPr>
        <w:t>(hält)</w:t>
      </w:r>
      <w:r>
        <w:rPr/>
        <w:t>, in diesem ist die Liebe Gottes</w:t>
      </w:r>
      <w:r>
        <w:rPr>
          <w:rStyle w:val="Funotenanker"/>
        </w:rPr>
        <w:footnoteReference w:customMarkFollows="1" w:id="6661"/>
        <w:t>a</w:t>
      </w:r>
      <w:r>
        <w:rPr/>
        <w:t xml:space="preserve"> wahrhaft </w:t>
      </w:r>
      <w:r>
        <w:rPr>
          <w:color w:val="808080"/>
        </w:rPr>
        <w:t>(wirklich)</w:t>
      </w:r>
      <w:r>
        <w:rPr/>
        <w:t xml:space="preserve"> vollendet. Daran </w:t>
      </w:r>
      <w:r>
        <w:rPr>
          <w:color w:val="808080"/>
        </w:rPr>
        <w:t>(Darin)</w:t>
      </w:r>
      <w:r>
        <w:rPr/>
        <w:t xml:space="preserve"> erkenn wir, daß wir in ihm sind.{{field-off:bible}} </w:t>
        <w:br/>
        <w:t>[[@BibleTOBIBLE:1Jn 2:6]]</w:t>
      </w:r>
      <w:r>
        <w:rPr>
          <w:b/>
        </w:rPr>
        <w:t>6</w:t>
      </w:r>
      <w:r>
        <w:rPr/>
        <w:t xml:space="preserve"> {{field-on:bible}}Wer behauptet </w:t>
      </w:r>
      <w:r>
        <w:rPr>
          <w:color w:val="808080"/>
        </w:rPr>
        <w:t>(sagt)</w:t>
      </w:r>
      <w:r>
        <w:rPr/>
        <w:t xml:space="preserve"> in ihm zu bleiben, muß </w:t>
      </w:r>
      <w:r>
        <w:rPr>
          <w:color w:val="808080"/>
        </w:rPr>
        <w:t>(ist verpflichtet)</w:t>
      </w:r>
      <w:r>
        <w:rPr/>
        <w:t>, wie jener wandelte, auch selbst</w:t>
      </w:r>
      <w:r>
        <w:rPr>
          <w:rStyle w:val="Funotenanker"/>
        </w:rPr>
        <w:footnoteReference w:customMarkFollows="1" w:id="6662"/>
        <w:t>b</w:t>
      </w:r>
      <w:r>
        <w:rPr/>
        <w:t xml:space="preserve"> </w:t>
      </w:r>
      <w:r>
        <w:rPr>
          <w:color w:val="808080"/>
        </w:rPr>
        <w:t>(zu)</w:t>
      </w:r>
      <w:r>
        <w:rPr/>
        <w:t xml:space="preserve"> wandeln.{{field-off:bible}} </w:t>
        <w:br/>
        <w:t>[[@BibleTOBIBLE:1Jn 2:7]]</w:t>
      </w:r>
      <w:r>
        <w:rPr>
          <w:b/>
        </w:rPr>
        <w:t>7</w:t>
      </w:r>
      <w:r>
        <w:rPr/>
        <w:t xml:space="preserve"> {{field-on:bible}}Geliebte, ich schreibe Euch nicht ein neues Gebot, sondern ein altes Gebot, das Ihr von Anfang an hattet. Das Gebot, das alte ist das Wort, das Ihr gehört habt.{{field-off:bible}} </w:t>
        <w:br/>
        <w:t>[[@BibleTOBIBLE:1Jn 2:8]]</w:t>
      </w:r>
      <w:r>
        <w:rPr>
          <w:b/>
        </w:rPr>
        <w:t>8</w:t>
      </w:r>
      <w:r>
        <w:rPr/>
        <w:t xml:space="preserve"> {{field-on:bible}}Dann aber </w:t>
      </w:r>
      <w:r>
        <w:rPr>
          <w:color w:val="808080"/>
        </w:rPr>
        <w:t>(Wiederum)</w:t>
      </w:r>
      <w:r>
        <w:rPr/>
        <w:t xml:space="preserve"> schreibe ich Euch </w:t>
      </w:r>
      <w:r>
        <w:rPr>
          <w:b/>
          <w:color w:val="808080"/>
        </w:rPr>
        <w:t>[</w:t>
      </w:r>
      <w:r>
        <w:rPr/>
        <w:t>doch</w:t>
      </w:r>
      <w:r>
        <w:rPr>
          <w:b/>
          <w:color w:val="808080"/>
        </w:rPr>
        <w:t>]</w:t>
      </w:r>
      <w:r>
        <w:rPr/>
        <w:t xml:space="preserve"> ein neues Gebot, das wahrhaftig </w:t>
      </w:r>
      <w:r>
        <w:rPr>
          <w:color w:val="808080"/>
        </w:rPr>
        <w:t>(wahr, wirklich)</w:t>
      </w:r>
      <w:r>
        <w:rPr/>
        <w:t xml:space="preserve"> in ihm ist und in Euch, denn die Finsternis </w:t>
      </w:r>
      <w:r>
        <w:rPr>
          <w:color w:val="808080"/>
        </w:rPr>
        <w:t>(Dunkelheit)</w:t>
      </w:r>
      <w:r>
        <w:rPr/>
        <w:t xml:space="preserve"> vergeht und das Licht, das wahre scheint schon.{{field-off:bible}} </w:t>
        <w:br/>
        <w:t>[[@BibleTOBIBLE:1Jn 2:9]]</w:t>
      </w:r>
      <w:r>
        <w:rPr>
          <w:b/>
        </w:rPr>
        <w:t>9</w:t>
      </w:r>
      <w:r>
        <w:rPr/>
        <w:t xml:space="preserve"> {{field-on:bible}}Wer behauptet </w:t>
      </w:r>
      <w:r>
        <w:rPr>
          <w:color w:val="808080"/>
        </w:rPr>
        <w:t>(sagt)</w:t>
      </w:r>
      <w:r>
        <w:rPr/>
        <w:t xml:space="preserve"> in dem Licht zu sein und seinen Bruder haßt, ist in der Finsternis </w:t>
      </w:r>
      <w:r>
        <w:rPr>
          <w:color w:val="808080"/>
        </w:rPr>
        <w:t>(Dunkelheit)</w:t>
      </w:r>
      <w:r>
        <w:rPr/>
        <w:t xml:space="preserve"> bis jetzt.{{field-off:bible}} </w:t>
        <w:br/>
        <w:t>[[@BibleTOBIBLE:1Jn 2:10]]</w:t>
      </w:r>
      <w:r>
        <w:rPr>
          <w:b/>
        </w:rPr>
        <w:t>10</w:t>
      </w:r>
      <w:r>
        <w:rPr/>
        <w:t xml:space="preserve"> {{field-on:bible}}Wer seinen Bruder liebt, bleibt im Licht, und in </w:t>
      </w:r>
      <w:r>
        <w:rPr>
          <w:color w:val="808080"/>
        </w:rPr>
        <w:t>(an)</w:t>
      </w:r>
      <w:r>
        <w:rPr/>
        <w:t xml:space="preserve"> ihm</w:t>
      </w:r>
      <w:r>
        <w:rPr>
          <w:rStyle w:val="Funotenanker"/>
        </w:rPr>
        <w:footnoteReference w:customMarkFollows="1" w:id="6663"/>
        <w:t>c</w:t>
      </w:r>
      <w:r>
        <w:rPr/>
        <w:t xml:space="preserve"> ist kein Anstoß </w:t>
      </w:r>
      <w:r>
        <w:rPr>
          <w:color w:val="808080"/>
        </w:rPr>
        <w:t>(Ärgerniss)</w:t>
      </w:r>
      <w:r>
        <w:rPr/>
        <w:t xml:space="preserve">.{{field-off:bible}} </w:t>
        <w:br/>
        <w:t>[[@BibleTOBIBLE:1Jn 2:11]]</w:t>
      </w:r>
      <w:r>
        <w:rPr>
          <w:b/>
        </w:rPr>
        <w:t>11</w:t>
      </w:r>
      <w:r>
        <w:rPr/>
        <w:t xml:space="preserve"> {{field-on:bible}}Wer aber seinen Bruder hasst, ist in der Finsternis </w:t>
      </w:r>
      <w:r>
        <w:rPr>
          <w:color w:val="808080"/>
        </w:rPr>
        <w:t>(Dunkelheit)</w:t>
      </w:r>
      <w:r>
        <w:rPr/>
        <w:t xml:space="preserve"> und wandelt in der Finsternis </w:t>
      </w:r>
      <w:r>
        <w:rPr>
          <w:color w:val="808080"/>
        </w:rPr>
        <w:t>(Dunkelheit)</w:t>
      </w:r>
      <w:r>
        <w:rPr/>
        <w:t xml:space="preserve"> und weiß nicht, wohin er geht, weil die Finsternis </w:t>
      </w:r>
      <w:r>
        <w:rPr>
          <w:color w:val="808080"/>
        </w:rPr>
        <w:t>(Dunkelheit)</w:t>
      </w:r>
      <w:r>
        <w:rPr/>
        <w:t xml:space="preserve"> seine Augen blind gemacht </w:t>
      </w:r>
      <w:r>
        <w:rPr>
          <w:color w:val="808080"/>
        </w:rPr>
        <w:t>(geblendet)</w:t>
      </w:r>
      <w:r>
        <w:rPr/>
        <w:t xml:space="preserve"> hat.{{field-off:bible}} </w:t>
        <w:br/>
        <w:t>[[@BibleTOBIBLE:1Jn 2:12]]</w:t>
      </w:r>
      <w:r>
        <w:rPr>
          <w:b/>
        </w:rPr>
        <w:t>12</w:t>
      </w:r>
      <w:r>
        <w:rPr/>
        <w:t xml:space="preserve"> {{field-on:bible}}Ich schreibe Euch, Kinder, dass </w:t>
      </w:r>
      <w:r>
        <w:rPr>
          <w:color w:val="808080"/>
        </w:rPr>
        <w:t>(weil)</w:t>
      </w:r>
      <w:r>
        <w:rPr/>
        <w:t xml:space="preserve"> Euch die Sünden vergeben </w:t>
      </w:r>
      <w:r>
        <w:rPr>
          <w:color w:val="808080"/>
        </w:rPr>
        <w:t>(erlassen; worden)</w:t>
      </w:r>
      <w:r>
        <w:rPr/>
        <w:t xml:space="preserve"> sind wegen seines Namens.{{field-off:bible}} </w:t>
        <w:br/>
        <w:t>[[@BibleTOBIBLE:1Jn 2:13]]</w:t>
      </w:r>
      <w:r>
        <w:rPr>
          <w:b/>
        </w:rPr>
        <w:t>13</w:t>
      </w:r>
      <w:r>
        <w:rPr/>
        <w:t xml:space="preserve"> {{field-on:bible}}Ich schreibe Euch,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schreibe Euch, Jünglinge, dass </w:t>
      </w:r>
      <w:r>
        <w:rPr>
          <w:color w:val="808080"/>
        </w:rPr>
        <w:t>(weil)</w:t>
      </w:r>
      <w:r>
        <w:rPr/>
        <w:t xml:space="preserve"> Ihr den Bösen </w:t>
      </w:r>
      <w:r>
        <w:rPr>
          <w:color w:val="808080"/>
        </w:rPr>
        <w:t>(Schlechten)</w:t>
      </w:r>
      <w:r>
        <w:rPr/>
        <w:t xml:space="preserve"> besiegt habt.{{field-off:bible}} </w:t>
        <w:br/>
        <w:t>[[@BibleTOBIBLE:1Jn 2:14]]</w:t>
      </w:r>
      <w:r>
        <w:rPr>
          <w:b/>
        </w:rPr>
        <w:t>14</w:t>
      </w:r>
      <w:r>
        <w:rPr/>
        <w:t xml:space="preserve"> {{field-on:bible}}Ich habe Euch geschrieben </w:t>
      </w:r>
      <w:r>
        <w:rPr>
          <w:color w:val="808080"/>
        </w:rPr>
        <w:t>(schreibe Euch)</w:t>
      </w:r>
      <w:r>
        <w:rPr/>
        <w:t xml:space="preserve">, Kinder, dass </w:t>
      </w:r>
      <w:r>
        <w:rPr>
          <w:color w:val="808080"/>
        </w:rPr>
        <w:t>(weil)</w:t>
      </w:r>
      <w:r>
        <w:rPr/>
        <w:t xml:space="preserve"> Ihr den Vater erkannt habt. Ich habe Euch geschrieben </w:t>
      </w:r>
      <w:r>
        <w:rPr>
          <w:color w:val="808080"/>
        </w:rPr>
        <w:t>(schreibe Euch)</w:t>
      </w:r>
      <w:r>
        <w:rPr/>
        <w:t xml:space="preserve">,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habe Euch geschrieben </w:t>
      </w:r>
      <w:r>
        <w:rPr>
          <w:color w:val="808080"/>
        </w:rPr>
        <w:t>(schreibe Euch)</w:t>
      </w:r>
      <w:r>
        <w:rPr/>
        <w:t xml:space="preserve">, Jünglinge, dass </w:t>
      </w:r>
      <w:r>
        <w:rPr>
          <w:color w:val="808080"/>
        </w:rPr>
        <w:t>(weil)</w:t>
      </w:r>
      <w:r>
        <w:rPr/>
        <w:t xml:space="preserve"> Ihr stark seid und das Wort Gottes in Euch bleibt und Ihr den Bösen </w:t>
      </w:r>
      <w:r>
        <w:rPr>
          <w:color w:val="808080"/>
        </w:rPr>
        <w:t>(Schlechten)</w:t>
      </w:r>
      <w:r>
        <w:rPr/>
        <w:t xml:space="preserve"> besiegt habt.{{field-off:bible}} </w:t>
        <w:br/>
        <w:t>[[@BibleTOBIBLE:1Jn 2:15]]</w:t>
      </w:r>
      <w:r>
        <w:rPr>
          <w:b/>
        </w:rPr>
        <w:t>15</w:t>
      </w:r>
      <w:r>
        <w:rPr/>
        <w:t xml:space="preserve"> {{field-on:bible}}Liebt nicht die Welt und nicht die Dinge </w:t>
      </w:r>
      <w:r>
        <w:rPr>
          <w:color w:val="808080"/>
        </w:rPr>
        <w:t>(das, was)</w:t>
      </w:r>
      <w:r>
        <w:rPr/>
        <w:t xml:space="preserve"> in der Welt </w:t>
      </w:r>
      <w:r>
        <w:rPr>
          <w:color w:val="808080"/>
        </w:rPr>
        <w:t>(</w:t>
      </w:r>
      <w:r>
        <w:rPr>
          <w:b/>
          <w:color w:val="808080"/>
        </w:rPr>
        <w:t>[</w:t>
      </w:r>
      <w:r>
        <w:rPr>
          <w:color w:val="808080"/>
        </w:rPr>
        <w:t>ist</w:t>
      </w:r>
      <w:r>
        <w:rPr>
          <w:b/>
          <w:color w:val="808080"/>
        </w:rPr>
        <w:t>]</w:t>
      </w:r>
      <w:r>
        <w:rPr>
          <w:color w:val="808080"/>
        </w:rPr>
        <w:t>)</w:t>
      </w:r>
      <w:r>
        <w:rPr/>
        <w:t xml:space="preserve">. Wenn einer die Welt liebt, ist die Liebe des Vaters </w:t>
      </w:r>
      <w:r>
        <w:rPr>
          <w:color w:val="808080"/>
        </w:rPr>
        <w:t>(zum Vater)</w:t>
      </w:r>
      <w:r>
        <w:rPr/>
        <w:t xml:space="preserve"> nicht in ihm.{{field-off:bible}} </w:t>
        <w:br/>
        <w:t>[[@BibleTOBIBLE:1Jn 2:16]]</w:t>
      </w:r>
      <w:r>
        <w:rPr>
          <w:b/>
        </w:rPr>
        <w:t>16</w:t>
      </w:r>
      <w:r>
        <w:rPr/>
        <w:t xml:space="preserve"> {{field-on:bible}}Denn alles </w:t>
      </w:r>
      <w:r>
        <w:rPr>
          <w:strike/>
          <w:color w:val="808080"/>
        </w:rPr>
        <w:t>{das}</w:t>
      </w:r>
      <w:r>
        <w:rPr/>
        <w:t xml:space="preserve"> in der Welt, die Begierde </w:t>
      </w:r>
      <w:r>
        <w:rPr>
          <w:color w:val="808080"/>
        </w:rPr>
        <w:t>(Lust)</w:t>
      </w:r>
      <w:r>
        <w:rPr/>
        <w:t xml:space="preserve"> des Fleisches und die Begierde </w:t>
      </w:r>
      <w:r>
        <w:rPr>
          <w:color w:val="808080"/>
        </w:rPr>
        <w:t>(Lust)</w:t>
      </w:r>
      <w:r>
        <w:rPr/>
        <w:t xml:space="preserve"> der Augen und der Hochmut </w:t>
      </w:r>
      <w:r>
        <w:rPr>
          <w:color w:val="808080"/>
        </w:rPr>
        <w:t>(Stolz)</w:t>
      </w:r>
      <w:r>
        <w:rPr/>
        <w:t xml:space="preserve"> des Lebens </w:t>
      </w:r>
      <w:r>
        <w:rPr>
          <w:color w:val="808080"/>
        </w:rPr>
        <w:t>(Vermögens)</w:t>
      </w:r>
      <w:r>
        <w:rPr/>
        <w:t xml:space="preserve">, ist nicht vom </w:t>
      </w:r>
      <w:r>
        <w:rPr>
          <w:color w:val="808080"/>
        </w:rPr>
        <w:t>(aus dem)</w:t>
      </w:r>
      <w:r>
        <w:rPr/>
        <w:t xml:space="preserve"> Vater, sondern von </w:t>
      </w:r>
      <w:r>
        <w:rPr>
          <w:color w:val="808080"/>
        </w:rPr>
        <w:t>(aus)</w:t>
      </w:r>
      <w:r>
        <w:rPr/>
        <w:t xml:space="preserve"> der Welt.{{field-off:bible}} </w:t>
        <w:br/>
        <w:t>[[@BibleTOBIBLE:1Jn 2:17]]</w:t>
      </w:r>
      <w:r>
        <w:rPr>
          <w:b/>
        </w:rPr>
        <w:t>17</w:t>
      </w:r>
      <w:r>
        <w:rPr/>
        <w:t xml:space="preserve"> {{field-on:bible}}Und die Welt vergeht und ihre Begierde </w:t>
      </w:r>
      <w:r>
        <w:rPr>
          <w:color w:val="808080"/>
        </w:rPr>
        <w:t>(Lust)</w:t>
      </w:r>
      <w:r>
        <w:rPr/>
        <w:t xml:space="preserve">, wer aber den Willen Gottes tut, bleibt in </w:t>
      </w:r>
      <w:r>
        <w:rPr>
          <w:strike/>
          <w:color w:val="808080"/>
        </w:rPr>
        <w:t>{die}</w:t>
      </w:r>
      <w:r>
        <w:rPr/>
        <w:t xml:space="preserve"> Ewigkeit.{{field-off:bible}} </w:t>
        <w:br/>
        <w:t>[[@BibleTOBIBLE:1Jn 2:18]]</w:t>
      </w:r>
      <w:r>
        <w:rPr>
          <w:b/>
        </w:rPr>
        <w:t>18</w:t>
      </w:r>
      <w:r>
        <w:rPr/>
        <w:t xml:space="preserve"> {{field-on:bible}}Kinder, </w:t>
      </w:r>
      <w:r>
        <w:rPr>
          <w:b/>
          <w:color w:val="808080"/>
        </w:rPr>
        <w:t>[</w:t>
      </w:r>
      <w:r>
        <w:rPr/>
        <w:t>es</w:t>
      </w:r>
      <w:r>
        <w:rPr>
          <w:b/>
          <w:color w:val="808080"/>
        </w:rPr>
        <w:t>]</w:t>
      </w:r>
      <w:r>
        <w:rPr/>
        <w:t xml:space="preserve"> ist </w:t>
      </w:r>
      <w:r>
        <w:rPr>
          <w:b/>
          <w:color w:val="808080"/>
        </w:rPr>
        <w:t>[</w:t>
      </w:r>
      <w:r>
        <w:rPr/>
        <w:t>die</w:t>
      </w:r>
      <w:r>
        <w:rPr>
          <w:b/>
          <w:color w:val="808080"/>
        </w:rPr>
        <w:t>]</w:t>
      </w:r>
      <w:r>
        <w:rPr/>
        <w:t xml:space="preserve"> letzte Stunde, und wie Ihr gehört habt, daß ein Antichristus </w:t>
      </w:r>
      <w:r>
        <w:rPr>
          <w:color w:val="808080"/>
        </w:rPr>
        <w:t>(der Antichrist)</w:t>
      </w:r>
      <w:r>
        <w:rPr/>
        <w:t xml:space="preserve"> kommt, sind jetzt auch viele Antichristusse </w:t>
      </w:r>
      <w:r>
        <w:rPr>
          <w:color w:val="808080"/>
        </w:rPr>
        <w:t>(Antichriste)</w:t>
      </w:r>
      <w:r>
        <w:rPr/>
        <w:t xml:space="preserve"> geworden </w:t>
      </w:r>
      <w:r>
        <w:rPr>
          <w:color w:val="808080"/>
        </w:rPr>
        <w:t>(entstanden, da)</w:t>
      </w:r>
      <w:r>
        <w:rPr/>
        <w:t xml:space="preserve">, woran </w:t>
      </w:r>
      <w:r>
        <w:rPr>
          <w:color w:val="808080"/>
        </w:rPr>
        <w:t>(woraus, woher)</w:t>
      </w:r>
      <w:r>
        <w:rPr/>
        <w:t xml:space="preserve"> wir erkennen, daß </w:t>
      </w:r>
      <w:r>
        <w:rPr>
          <w:b/>
          <w:color w:val="808080"/>
        </w:rPr>
        <w:t>[</w:t>
      </w:r>
      <w:r>
        <w:rPr/>
        <w:t>es die</w:t>
      </w:r>
      <w:r>
        <w:rPr>
          <w:b/>
          <w:color w:val="808080"/>
        </w:rPr>
        <w:t>]</w:t>
      </w:r>
      <w:r>
        <w:rPr/>
        <w:t xml:space="preserve"> letzte Stunde ist.{{field-off:bible}} </w:t>
        <w:br/>
        <w:t>[[@BibleTOBIBLE:1Jn 2:19]]</w:t>
      </w:r>
      <w:r>
        <w:rPr>
          <w:b/>
        </w:rPr>
        <w:t>19</w:t>
      </w:r>
      <w:r>
        <w:rPr/>
        <w:t xml:space="preserve"> {{field-on:bible}}Von </w:t>
      </w:r>
      <w:r>
        <w:rPr>
          <w:color w:val="808080"/>
        </w:rPr>
        <w:t>(Aus)</w:t>
      </w:r>
      <w:r>
        <w:rPr/>
        <w:t xml:space="preserve"> uns gingen </w:t>
      </w:r>
      <w:r>
        <w:rPr>
          <w:color w:val="808080"/>
        </w:rPr>
        <w:t>(kamen)</w:t>
      </w:r>
      <w:r>
        <w:rPr/>
        <w:t xml:space="preserve"> sie aus </w:t>
      </w:r>
      <w:r>
        <w:rPr>
          <w:color w:val="808080"/>
        </w:rPr>
        <w:t>(heraus)</w:t>
      </w:r>
      <w:r>
        <w:rPr/>
        <w:t xml:space="preserve">, aber sie waren nicht von </w:t>
      </w:r>
      <w:r>
        <w:rPr>
          <w:color w:val="808080"/>
        </w:rPr>
        <w:t>(aus)</w:t>
      </w:r>
      <w:r>
        <w:rPr/>
        <w:t xml:space="preserve"> uns. Wenn sie nämlich von </w:t>
      </w:r>
      <w:r>
        <w:rPr>
          <w:color w:val="808080"/>
        </w:rPr>
        <w:t>(aus)</w:t>
      </w:r>
      <w:r>
        <w:rPr/>
        <w:t xml:space="preserve"> uns gewesen wären, wären sie bei </w:t>
      </w:r>
      <w:r>
        <w:rPr>
          <w:color w:val="808080"/>
        </w:rPr>
        <w:t>(mit)</w:t>
      </w:r>
      <w:r>
        <w:rPr/>
        <w:t xml:space="preserve"> uns geblieben – aber damit offenbar wird </w:t>
      </w:r>
      <w:r>
        <w:rPr>
          <w:color w:val="808080"/>
        </w:rPr>
        <w:t>(sie offenbar gemacht werden)</w:t>
      </w:r>
      <w:r>
        <w:rPr/>
        <w:t xml:space="preserve">, dass sie alle nicht </w:t>
      </w:r>
      <w:r>
        <w:rPr>
          <w:color w:val="808080"/>
        </w:rPr>
        <w:t>(nicht alle)</w:t>
      </w:r>
      <w:r>
        <w:rPr/>
        <w:t xml:space="preserve"> von </w:t>
      </w:r>
      <w:r>
        <w:rPr>
          <w:color w:val="808080"/>
        </w:rPr>
        <w:t>(aus)</w:t>
      </w:r>
      <w:r>
        <w:rPr/>
        <w:t xml:space="preserve"> uns sind </w:t>
      </w:r>
      <w:r>
        <w:rPr>
          <w:b/>
          <w:color w:val="808080"/>
        </w:rPr>
        <w:t>[</w:t>
      </w:r>
      <w:r>
        <w:rPr/>
        <w:t>sind sie von uns gegangen</w:t>
      </w:r>
      <w:r>
        <w:rPr>
          <w:b/>
          <w:color w:val="808080"/>
        </w:rPr>
        <w:t>]</w:t>
      </w:r>
      <w:r>
        <w:rPr/>
        <w:t xml:space="preserve">.{{field-off:bible}} </w:t>
        <w:br/>
        <w:t>[[@BibleTOBIBLE:1Jn 2:20]]</w:t>
      </w:r>
      <w:r>
        <w:rPr>
          <w:b/>
        </w:rPr>
        <w:t>20</w:t>
      </w:r>
      <w:r>
        <w:rPr/>
        <w:t xml:space="preserve"> {{field-on:bible}}Und Ihr habt eine Salbung</w:t>
      </w:r>
      <w:r>
        <w:rPr>
          <w:rStyle w:val="Funotenanker"/>
        </w:rPr>
        <w:footnoteReference w:customMarkFollows="1" w:id="6664"/>
        <w:t>d</w:t>
      </w:r>
      <w:r>
        <w:rPr/>
        <w:t xml:space="preserve"> vom Heiligen und wißt alle </w:t>
      </w:r>
      <w:r>
        <w:rPr>
          <w:color w:val="808080"/>
        </w:rPr>
        <w:t>(seid alle Wissende, wißt es alle)</w:t>
      </w:r>
      <w:r>
        <w:rPr/>
        <w:t xml:space="preserve"> </w:t>
      </w:r>
      <w:r>
        <w:rPr>
          <w:rStyle w:val="Funotenanker"/>
        </w:rPr>
        <w:footnoteReference w:customMarkFollows="1" w:id="6665"/>
        <w:t>e</w:t>
      </w:r>
      <w:r>
        <w:rPr/>
        <w:t xml:space="preserve">.{{field-off:bible}} </w:t>
        <w:br/>
        <w:t>[[@BibleTOBIBLE:1Jn 2:21]]</w:t>
      </w:r>
      <w:r>
        <w:rPr>
          <w:b/>
        </w:rPr>
        <w:t>21</w:t>
      </w:r>
      <w:r>
        <w:rPr/>
        <w:t xml:space="preserve"> {{field-on:bible}}Ich habe Euch nicht geschrieben </w:t>
      </w:r>
      <w:r>
        <w:rPr>
          <w:color w:val="808080"/>
        </w:rPr>
        <w:t>(schreibe Euch nicht)</w:t>
      </w:r>
      <w:r>
        <w:rPr/>
        <w:t xml:space="preserve">, dass </w:t>
      </w:r>
      <w:r>
        <w:rPr>
          <w:color w:val="808080"/>
        </w:rPr>
        <w:t>(weil)</w:t>
      </w:r>
      <w:r>
        <w:rPr/>
        <w:t xml:space="preserve"> Ihr die Wahrheit nicht kennt, sondern dass </w:t>
      </w:r>
      <w:r>
        <w:rPr>
          <w:color w:val="808080"/>
        </w:rPr>
        <w:t>(weil)</w:t>
      </w:r>
      <w:r>
        <w:rPr/>
        <w:t xml:space="preserve"> Ihr sie kennt, und dass </w:t>
      </w:r>
      <w:r>
        <w:rPr>
          <w:color w:val="808080"/>
        </w:rPr>
        <w:t>(weil)</w:t>
      </w:r>
      <w:r>
        <w:rPr/>
        <w:t xml:space="preserve"> jede Lüge nicht aus der Wahrheit ist.{{field-off:bible}} </w:t>
        <w:br/>
        <w:t>[[@BibleTOBIBLE:1Jn 2:22]]</w:t>
      </w:r>
      <w:r>
        <w:rPr>
          <w:b/>
        </w:rPr>
        <w:t>22</w:t>
      </w:r>
      <w:r>
        <w:rPr/>
        <w:t xml:space="preserve"> {{field-on:bible}}Wer ist der Lügner, wenn nicht </w:t>
      </w:r>
      <w:r>
        <w:rPr>
          <w:b/>
          <w:color w:val="808080"/>
        </w:rPr>
        <w:t>[</w:t>
      </w:r>
      <w:r>
        <w:rPr/>
        <w:t>der,</w:t>
      </w:r>
      <w:r>
        <w:rPr>
          <w:b/>
          <w:color w:val="808080"/>
        </w:rPr>
        <w:t>]</w:t>
      </w:r>
      <w:r>
        <w:rPr/>
        <w:t xml:space="preserve"> der leugnet, dass Jesus </w:t>
      </w:r>
      <w:r>
        <w:rPr>
          <w:strike/>
          <w:color w:val="808080"/>
        </w:rPr>
        <w:t>{nicht}</w:t>
      </w:r>
      <w:r>
        <w:rPr/>
        <w:t xml:space="preserve"> der Christus ist? Dieser ist der Antichristus </w:t>
      </w:r>
      <w:r>
        <w:rPr>
          <w:color w:val="808080"/>
        </w:rPr>
        <w:t>(Antichrist)</w:t>
      </w:r>
      <w:r>
        <w:rPr/>
        <w:t xml:space="preserve">, der den Vater und den Sohn leugnet.{{field-off:bible}} </w:t>
        <w:br/>
        <w:t>[[@BibleTOBIBLE:1Jn 2:23]]</w:t>
      </w:r>
      <w:r>
        <w:rPr>
          <w:b/>
        </w:rPr>
        <w:t>23</w:t>
      </w:r>
      <w:r>
        <w:rPr/>
        <w:t xml:space="preserve"> {{field-on:bible}}Jeder, der den Sohn leugnet, hat auch den Vater nicht; wer den Sohn bekennt </w:t>
      </w:r>
      <w:r>
        <w:rPr>
          <w:color w:val="808080"/>
        </w:rPr>
        <w:t>(anerkennt)</w:t>
      </w:r>
      <w:r>
        <w:rPr/>
        <w:t xml:space="preserve">, hat auch den Vater.{{field-off:bible}} </w:t>
        <w:br/>
        <w:t>[[@BibleTOBIBLE:1Jn 2:24]]</w:t>
      </w:r>
      <w:r>
        <w:rPr>
          <w:b/>
        </w:rPr>
        <w:t>24</w:t>
      </w:r>
      <w:r>
        <w:rPr/>
        <w:t xml:space="preserve"> {{field-on:bible}} </w:t>
      </w:r>
      <w:r>
        <w:rPr>
          <w:color w:val="808080"/>
        </w:rPr>
        <w:t xml:space="preserve">(Ihr </w:t>
      </w:r>
      <w:r>
        <w:rPr>
          <w:b/>
          <w:color w:val="808080"/>
        </w:rPr>
        <w:t>[</w:t>
      </w:r>
      <w:r>
        <w:rPr>
          <w:color w:val="808080"/>
        </w:rPr>
        <w:t>nun:</w:t>
      </w:r>
      <w:r>
        <w:rPr>
          <w:b/>
          <w:color w:val="808080"/>
        </w:rPr>
        <w:t>]</w:t>
      </w:r>
      <w:r>
        <w:rPr>
          <w:color w:val="808080"/>
        </w:rPr>
        <w:t>)</w:t>
      </w:r>
      <w:r>
        <w:rPr/>
        <w:t xml:space="preserve"> Was Ihr von Anfang an gehört habt, bleibe in Euch. Wenn in Euch bleibt, was Ihr von Anfang an gehört habt, bleibt auch Ihr im Sohn und im Vater.{{field-off:bible}} </w:t>
        <w:br/>
        <w:t>[[@BibleTOBIBLE:1Jn 2:25]]</w:t>
      </w:r>
      <w:r>
        <w:rPr>
          <w:b/>
        </w:rPr>
        <w:t>25</w:t>
      </w:r>
      <w:r>
        <w:rPr/>
        <w:t xml:space="preserve"> {{field-on:bible}}Und dieses ist die Zusage </w:t>
      </w:r>
      <w:r>
        <w:rPr>
          <w:color w:val="808080"/>
        </w:rPr>
        <w:t>(die Verheißung das Versprechen)</w:t>
      </w:r>
      <w:r>
        <w:rPr/>
        <w:t xml:space="preserve">, die </w:t>
      </w:r>
      <w:r>
        <w:rPr>
          <w:color w:val="808080"/>
        </w:rPr>
        <w:t>(das)</w:t>
      </w:r>
      <w:r>
        <w:rPr/>
        <w:t xml:space="preserve"> er </w:t>
      </w:r>
      <w:r>
        <w:rPr>
          <w:color w:val="808080"/>
        </w:rPr>
        <w:t>(selbst)</w:t>
      </w:r>
      <w:r>
        <w:rPr/>
        <w:t xml:space="preserve"> uns gegeben </w:t>
      </w:r>
      <w:r>
        <w:rPr>
          <w:color w:val="808080"/>
        </w:rPr>
        <w:t>(zugesagt, verheißen, versprochen)</w:t>
      </w:r>
      <w:r>
        <w:rPr/>
        <w:t xml:space="preserve"> hat: das ewige Leben.{{field-off:bible}} </w:t>
        <w:br/>
        <w:t>[[@BibleTOBIBLE:1Jn 2:26]]</w:t>
      </w:r>
      <w:r>
        <w:rPr>
          <w:b/>
        </w:rPr>
        <w:t>26</w:t>
      </w:r>
      <w:r>
        <w:rPr/>
        <w:t xml:space="preserve"> {{field-on:bible}}Dies </w:t>
      </w:r>
      <w:r>
        <w:rPr>
          <w:color w:val="808080"/>
        </w:rPr>
        <w:t>(Diese Dinge)</w:t>
      </w:r>
      <w:r>
        <w:rPr/>
        <w:t xml:space="preserve"> schreibe </w:t>
      </w:r>
      <w:r>
        <w:rPr>
          <w:color w:val="808080"/>
        </w:rPr>
        <w:t>(habe)</w:t>
      </w:r>
      <w:r>
        <w:rPr/>
        <w:t xml:space="preserve"> ich Euch </w:t>
      </w:r>
      <w:r>
        <w:rPr>
          <w:color w:val="808080"/>
        </w:rPr>
        <w:t>(geschrieben)</w:t>
      </w:r>
      <w:r>
        <w:rPr/>
        <w:t xml:space="preserve"> über diejenigen, die Euch in die Irre führen </w:t>
      </w:r>
      <w:r>
        <w:rPr>
          <w:color w:val="808080"/>
        </w:rPr>
        <w:t>(verführen)</w:t>
      </w:r>
      <w:r>
        <w:rPr/>
        <w:t xml:space="preserve">.{{field-off:bible}} </w:t>
        <w:br/>
        <w:t>[[@BibleTOBIBLE:1Jn 2:27]]</w:t>
      </w:r>
      <w:r>
        <w:rPr>
          <w:b/>
        </w:rPr>
        <w:t>27</w:t>
      </w:r>
      <w:r>
        <w:rPr/>
        <w:t xml:space="preserve"> {{field-on:bible}}Und Ihr </w:t>
      </w:r>
      <w:r>
        <w:rPr>
          <w:b/>
          <w:color w:val="808080"/>
        </w:rPr>
        <w:t>[</w:t>
      </w:r>
      <w:r>
        <w:rPr/>
        <w:t>nun</w:t>
      </w:r>
      <w:r>
        <w:rPr>
          <w:b/>
          <w:color w:val="808080"/>
        </w:rPr>
        <w:t>]</w:t>
      </w:r>
      <w:r>
        <w:rPr/>
        <w:t xml:space="preserve">: Die Salbung, die Ihr empfangen habt von ihm, bleibt in Euch, und Ihr habt </w:t>
      </w:r>
      <w:r>
        <w:rPr>
          <w:b/>
          <w:color w:val="808080"/>
        </w:rPr>
        <w:t>[</w:t>
      </w:r>
      <w:r>
        <w:rPr/>
        <w:t>es</w:t>
      </w:r>
      <w:r>
        <w:rPr>
          <w:b/>
          <w:color w:val="808080"/>
        </w:rPr>
        <w:t>]</w:t>
      </w:r>
      <w:r>
        <w:rPr/>
        <w:t xml:space="preserve"> nicht nötig, daß einer Euch belehrt. Sondern, wie seine Salbung Euch über alles belehrt, und sie </w:t>
      </w:r>
      <w:r>
        <w:rPr>
          <w:color w:val="808080"/>
        </w:rPr>
        <w:t>(es)</w:t>
      </w:r>
      <w:r>
        <w:rPr/>
        <w:t xml:space="preserve"> wahr </w:t>
      </w:r>
      <w:r>
        <w:rPr>
          <w:color w:val="808080"/>
        </w:rPr>
        <w:t>(wahrhaftig)</w:t>
      </w:r>
      <w:r>
        <w:rPr/>
        <w:t xml:space="preserve"> ist und nicht Lüge ist </w:t>
      </w:r>
      <w:r>
        <w:rPr>
          <w:color w:val="808080"/>
        </w:rPr>
        <w:t>(</w:t>
      </w:r>
      <w:r>
        <w:rPr>
          <w:b/>
          <w:color w:val="808080"/>
        </w:rPr>
        <w:t>[</w:t>
      </w:r>
      <w:r>
        <w:rPr>
          <w:color w:val="808080"/>
        </w:rPr>
        <w:t>so</w:t>
      </w:r>
      <w:r>
        <w:rPr>
          <w:b/>
          <w:color w:val="808080"/>
        </w:rPr>
        <w:t>]</w:t>
      </w:r>
      <w:r>
        <w:rPr>
          <w:color w:val="808080"/>
        </w:rPr>
        <w:t xml:space="preserve"> ist sie (es) auch wahr (wahrhaftig) und nicht Lüge)</w:t>
      </w:r>
      <w:r>
        <w:rPr/>
        <w:t xml:space="preserve">, und wie sie Euch belehrt hat, </w:t>
      </w:r>
      <w:r>
        <w:rPr>
          <w:b/>
          <w:color w:val="808080"/>
        </w:rPr>
        <w:t>[</w:t>
      </w:r>
      <w:r>
        <w:rPr/>
        <w:t>so</w:t>
      </w:r>
      <w:r>
        <w:rPr>
          <w:b/>
          <w:color w:val="808080"/>
        </w:rPr>
        <w:t>]</w:t>
      </w:r>
      <w:r>
        <w:rPr/>
        <w:t xml:space="preserve"> bleibt </w:t>
      </w:r>
      <w:r>
        <w:rPr>
          <w:color w:val="808080"/>
        </w:rPr>
        <w:t>(Ihr)</w:t>
      </w:r>
      <w:r>
        <w:rPr/>
        <w:t xml:space="preserve"> in ihm.{{field-off:bible}} </w:t>
        <w:br/>
        <w:t>[[@BibleTOBIBLE:1Jn 2:28]]</w:t>
      </w:r>
      <w:r>
        <w:rPr>
          <w:b/>
        </w:rPr>
        <w:t>28</w:t>
      </w:r>
      <w:r>
        <w:rPr/>
        <w:t xml:space="preserve"> {{field-on:bible}}Und nun, Kinder, bleibt in ihm, damit wir, wenn er erscheint </w:t>
      </w:r>
      <w:r>
        <w:rPr>
          <w:color w:val="808080"/>
        </w:rPr>
        <w:t>(offenbart wird, sichtbar gemacht wird)</w:t>
      </w:r>
      <w:r>
        <w:rPr/>
        <w:t xml:space="preserve">, Zuversicht </w:t>
      </w:r>
      <w:r>
        <w:rPr>
          <w:color w:val="808080"/>
        </w:rPr>
        <w:t>(Freude)</w:t>
      </w:r>
      <w:r>
        <w:rPr/>
        <w:t xml:space="preserve"> haben und nicht beschämt werden von ihm in seiner Ankunft.{{field-off:bible}} </w:t>
        <w:br/>
        <w:t>[[@BibleTOBIBLE:1Jn 2:29]]</w:t>
      </w:r>
      <w:r>
        <w:rPr>
          <w:b/>
        </w:rPr>
        <w:t>29</w:t>
      </w:r>
      <w:r>
        <w:rPr/>
        <w:t xml:space="preserve"> {{field-on:bible}}Wenn Ihr wißt, dass er gerecht ist, </w:t>
      </w:r>
      <w:r>
        <w:rPr>
          <w:b/>
          <w:color w:val="808080"/>
        </w:rPr>
        <w:t>[</w:t>
      </w:r>
      <w:r>
        <w:rPr/>
        <w:t>so</w:t>
      </w:r>
      <w:r>
        <w:rPr>
          <w:b/>
          <w:color w:val="808080"/>
        </w:rPr>
        <w:t>]</w:t>
      </w:r>
      <w:r>
        <w:rPr/>
        <w:t xml:space="preserve"> erkennt </w:t>
      </w:r>
      <w:r>
        <w:rPr>
          <w:color w:val="808080"/>
        </w:rPr>
        <w:t>(Ihr)</w:t>
      </w:r>
      <w:r>
        <w:rPr/>
        <w:t>, dass jeder</w:t>
      </w:r>
      <w:r>
        <w:rPr>
          <w:rStyle w:val="Funotenanker"/>
        </w:rPr>
        <w:footnoteReference w:customMarkFollows="1" w:id="6666"/>
        <w:t>f</w:t>
      </w:r>
      <w:r>
        <w:rPr/>
        <w:t xml:space="preserve">, der die Gerechtigkeit tut, aus ihm geboren </w:t>
      </w:r>
      <w:r>
        <w:rPr>
          <w:color w:val="808080"/>
        </w:rPr>
        <w:t>(gezeugt)</w:t>
      </w:r>
      <w:r>
        <w:rPr/>
        <w:t xml:space="preserve"> ist.{{field-off:bible}} </w:t>
      </w:r>
    </w:p>
    <w:p>
      <w:pPr>
        <w:pStyle w:val="Berschrift3"/>
        <w:rPr/>
      </w:pPr>
      <w:r>
        <w:rPr/>
        <w:t>[[@BibleTOBIBLE:1Jn 3]]Kapitel 3</w:t>
      </w:r>
    </w:p>
    <w:p>
      <w:pPr>
        <w:pStyle w:val="Textkrper"/>
        <w:rPr/>
      </w:pPr>
      <w:r>
        <w:rPr/>
        <w:br/>
        <w:t>[[@BibleTOBIBLE:1Jn 3:1]]</w:t>
      </w:r>
      <w:r>
        <w:rPr>
          <w:b/>
        </w:rPr>
        <w:t>1</w:t>
      </w:r>
      <w:r>
        <w:rPr/>
        <w:t xml:space="preserve"> {{field-on:bible}} </w:t>
      </w:r>
      <w:r>
        <w:rPr>
          <w:rStyle w:val="Funotenanker"/>
        </w:rPr>
        <w:footnoteReference w:customMarkFollows="1" w:id="6667"/>
        <w:t>Status</w:t>
      </w:r>
      <w:r>
        <w:rPr/>
        <w:t xml:space="preserve"> Seht, welche </w:t>
      </w:r>
      <w:r>
        <w:rPr>
          <w:color w:val="808080"/>
        </w:rPr>
        <w:t>(was für eine)</w:t>
      </w:r>
      <w:r>
        <w:rPr/>
        <w:t xml:space="preserve"> Liebe uns der Vater geschenkt </w:t>
      </w:r>
      <w:r>
        <w:rPr>
          <w:color w:val="808080"/>
        </w:rPr>
        <w:t>(gegeben)</w:t>
      </w:r>
      <w:r>
        <w:rPr/>
        <w:t xml:space="preserve"> hat, daß wir Kinder Gottes genannt werden </w:t>
      </w:r>
      <w:r>
        <w:rPr>
          <w:color w:val="808080"/>
        </w:rPr>
        <w:t>(werden sollen; heißen, heißen sollen)</w:t>
      </w:r>
      <w:r>
        <w:rPr/>
        <w:t xml:space="preserve"> – und wir sind </w:t>
      </w:r>
      <w:r>
        <w:rPr>
          <w:b/>
          <w:color w:val="808080"/>
        </w:rPr>
        <w:t>[</w:t>
      </w:r>
      <w:r>
        <w:rPr/>
        <w:t>es</w:t>
      </w:r>
      <w:r>
        <w:rPr>
          <w:b/>
          <w:color w:val="808080"/>
        </w:rPr>
        <w:t>]</w:t>
      </w:r>
      <w:r>
        <w:rPr/>
        <w:t xml:space="preserve"> auch. Deshalb kennt </w:t>
      </w:r>
      <w:r>
        <w:rPr>
          <w:color w:val="808080"/>
        </w:rPr>
        <w:t>(erkennt)</w:t>
      </w:r>
      <w:r>
        <w:rPr/>
        <w:t xml:space="preserve"> die Welt uns nicht, weil sie ihn nicht gekannt </w:t>
      </w:r>
      <w:r>
        <w:rPr>
          <w:color w:val="808080"/>
        </w:rPr>
        <w:t>(erkannt)</w:t>
      </w:r>
      <w:r>
        <w:rPr/>
        <w:t xml:space="preserve"> hat.{{field-off:bible}} </w:t>
        <w:br/>
        <w:t>[[@BibleTOBIBLE:1Jn 3:2]]</w:t>
      </w:r>
      <w:r>
        <w:rPr>
          <w:b/>
        </w:rPr>
        <w:t>2</w:t>
      </w:r>
      <w:r>
        <w:rPr/>
        <w:t xml:space="preserve"> {{field-on:bible}}Geliebte, jetzt sind wir Kinder Gottes und es ist noch nicht sichtbar </w:t>
      </w:r>
      <w:r>
        <w:rPr>
          <w:color w:val="808080"/>
        </w:rPr>
        <w:t>(offenbar)</w:t>
      </w:r>
      <w:r>
        <w:rPr/>
        <w:t xml:space="preserve"> geworden </w:t>
      </w:r>
      <w:r>
        <w:rPr>
          <w:color w:val="808080"/>
        </w:rPr>
        <w:t>(gemacht worden)</w:t>
      </w:r>
      <w:r>
        <w:rPr/>
        <w:t xml:space="preserve">, was wir sein werden. Wir wissen, daß wir, wenn es sichtbar </w:t>
      </w:r>
      <w:r>
        <w:rPr>
          <w:color w:val="808080"/>
        </w:rPr>
        <w:t>(offenbar; gemacht)</w:t>
      </w:r>
      <w:r>
        <w:rPr/>
        <w:t xml:space="preserve"> wird </w:t>
      </w:r>
      <w:r>
        <w:rPr>
          <w:color w:val="808080"/>
        </w:rPr>
        <w:t>(er erscheinen wird)</w:t>
      </w:r>
      <w:r>
        <w:rPr/>
        <w:t xml:space="preserve">, ihm ähnlich </w:t>
      </w:r>
      <w:r>
        <w:rPr>
          <w:color w:val="808080"/>
        </w:rPr>
        <w:t>(gleich)</w:t>
      </w:r>
      <w:r>
        <w:rPr/>
        <w:t xml:space="preserve"> sein werden, weil wir ihn sehen werden, wie er ist.{{field-off:bible}} </w:t>
        <w:br/>
        <w:t>[[@BibleTOBIBLE:1Jn 3:3]]</w:t>
      </w:r>
      <w:r>
        <w:rPr>
          <w:b/>
        </w:rPr>
        <w:t>3</w:t>
      </w:r>
      <w:r>
        <w:rPr/>
        <w:t xml:space="preserve"> {{field-on:bible}}Und jeder, der diese Hoffnung auf ihn hat, heiligt </w:t>
      </w:r>
      <w:r>
        <w:rPr>
          <w:color w:val="808080"/>
        </w:rPr>
        <w:t>(reinigt)</w:t>
      </w:r>
      <w:r>
        <w:rPr/>
        <w:t xml:space="preserve"> sich, so wie er </w:t>
      </w:r>
      <w:r>
        <w:rPr>
          <w:color w:val="808080"/>
        </w:rPr>
        <w:t>(jener)</w:t>
      </w:r>
      <w:r>
        <w:rPr/>
        <w:t xml:space="preserve"> heilig </w:t>
      </w:r>
      <w:r>
        <w:rPr>
          <w:color w:val="808080"/>
        </w:rPr>
        <w:t>(rein)</w:t>
      </w:r>
      <w:r>
        <w:rPr/>
        <w:t xml:space="preserve"> ist.{{field-off:bible}} </w:t>
        <w:br/>
        <w:t>[[@BibleTOBIBLE:1Jn 3:4]]</w:t>
      </w:r>
      <w:r>
        <w:rPr>
          <w:b/>
        </w:rPr>
        <w:t>4</w:t>
      </w:r>
      <w:r>
        <w:rPr/>
        <w:t xml:space="preserve"> {{field-on:bible}}Jeder, der sündigt </w:t>
      </w:r>
      <w:r>
        <w:rPr>
          <w:color w:val="808080"/>
        </w:rPr>
        <w:t>(die Sünde tut)</w:t>
      </w:r>
      <w:r>
        <w:rPr/>
        <w:t xml:space="preserve">, handelt auch gesetzwidrig </w:t>
      </w:r>
      <w:r>
        <w:rPr>
          <w:color w:val="808080"/>
        </w:rPr>
        <w:t>(gesetzlos; tut auch die Gesetzwidrigkeit, Gesetzlosigkeit)</w:t>
      </w:r>
      <w:r>
        <w:rPr/>
        <w:t xml:space="preserve">, und die Sünde ist die Gesetzwidrigkeit </w:t>
      </w:r>
      <w:r>
        <w:rPr>
          <w:color w:val="808080"/>
        </w:rPr>
        <w:t>(Gesetzlosigkeit)</w:t>
      </w:r>
      <w:r>
        <w:rPr/>
        <w:t xml:space="preserve">.{{field-off:bible}} </w:t>
        <w:br/>
        <w:t>[[@BibleTOBIBLE:1Jn 3:5]]</w:t>
      </w:r>
      <w:r>
        <w:rPr>
          <w:b/>
        </w:rPr>
        <w:t>5</w:t>
      </w:r>
      <w:r>
        <w:rPr/>
        <w:t xml:space="preserve"> {{field-on:bible}}Und Ihr wißt, dass jener erschienen ist, damit er die Sünden trägt </w:t>
      </w:r>
      <w:r>
        <w:rPr>
          <w:color w:val="808080"/>
        </w:rPr>
        <w:t>(wegnimmt)</w:t>
      </w:r>
      <w:r>
        <w:rPr/>
        <w:t xml:space="preserve">, und in ihm ist keine Sünde.{{field-off:bible}} </w:t>
        <w:br/>
        <w:t>[[@BibleTOBIBLE:1Jn 3:6]]</w:t>
      </w:r>
      <w:r>
        <w:rPr>
          <w:b/>
        </w:rPr>
        <w:t>6</w:t>
      </w:r>
      <w:r>
        <w:rPr/>
        <w:t xml:space="preserve"> {{field-on:bible}}Jeder, der in ihm bleibt, sündigt nicht. Jeder der sündigt, hat ihn nicht gesehen und ihn nicht erkannt.{{field-off:bible}} </w:t>
        <w:br/>
        <w:t>[[@BibleTOBIBLE:1Jn 3:7]]</w:t>
      </w:r>
      <w:r>
        <w:rPr>
          <w:b/>
        </w:rPr>
        <w:t>7</w:t>
      </w:r>
      <w:r>
        <w:rPr/>
        <w:t xml:space="preserve"> {{field-on:bible}}Kinder </w:t>
      </w:r>
      <w:r>
        <w:rPr>
          <w:color w:val="808080"/>
        </w:rPr>
        <w:t>(Kindlein)</w:t>
      </w:r>
      <w:r>
        <w:rPr/>
        <w:t xml:space="preserve">, keiner soll Euch in die Irre führen </w:t>
      </w:r>
      <w:r>
        <w:rPr>
          <w:color w:val="808080"/>
        </w:rPr>
        <w:t>(täuschen, verführen)</w:t>
      </w:r>
      <w:r>
        <w:rPr/>
        <w:t xml:space="preserve">: Wer die Gerechtigkeit tut, ist gerecht, wie jener gerecht ist.{{field-off:bible}} </w:t>
        <w:br/>
        <w:t>[[@BibleTOBIBLE:1Jn 3:8]]</w:t>
      </w:r>
      <w:r>
        <w:rPr>
          <w:b/>
        </w:rPr>
        <w:t>8</w:t>
      </w:r>
      <w:r>
        <w:rPr/>
        <w:t xml:space="preserve"> {{field-on:bible}}Wer die Sünde tut, ist vom </w:t>
      </w:r>
      <w:r>
        <w:rPr>
          <w:color w:val="808080"/>
        </w:rPr>
        <w:t>(aus dem)</w:t>
      </w:r>
      <w:r>
        <w:rPr/>
        <w:t xml:space="preserve"> Teufel </w:t>
      </w:r>
      <w:r>
        <w:rPr>
          <w:color w:val="808080"/>
        </w:rPr>
        <w:t>(Satan)</w:t>
      </w:r>
      <w:r>
        <w:rPr/>
        <w:t xml:space="preserve">, denn der Teufel </w:t>
      </w:r>
      <w:r>
        <w:rPr>
          <w:color w:val="808080"/>
        </w:rPr>
        <w:t>(Satan)</w:t>
      </w:r>
      <w:r>
        <w:rPr/>
        <w:t xml:space="preserve"> sündigt von Anfang an. Dazu ist der Sohn Gottes erschienen, daß er die Werke des Teufels </w:t>
      </w:r>
      <w:r>
        <w:rPr>
          <w:color w:val="808080"/>
        </w:rPr>
        <w:t>(Satans)</w:t>
      </w:r>
      <w:r>
        <w:rPr/>
        <w:t xml:space="preserve"> zerstört.{{field-off:bible}} </w:t>
        <w:br/>
        <w:t>[[@BibleTOBIBLE:1Jn 3:9]]</w:t>
      </w:r>
      <w:r>
        <w:rPr>
          <w:b/>
        </w:rPr>
        <w:t>9</w:t>
      </w:r>
      <w:r>
        <w:rPr/>
        <w:t xml:space="preserve"> {{field-on:bible}}Jeder, der aus Gott geboren </w:t>
      </w:r>
      <w:r>
        <w:rPr>
          <w:color w:val="808080"/>
        </w:rPr>
        <w:t>(gezeugt)</w:t>
      </w:r>
      <w:r>
        <w:rPr/>
        <w:t xml:space="preserve"> ist, sündigt nicht </w:t>
      </w:r>
      <w:r>
        <w:rPr>
          <w:color w:val="808080"/>
        </w:rPr>
        <w:t>(tut nicht Sünde)</w:t>
      </w:r>
      <w:r>
        <w:rPr/>
        <w:t>, denn sein</w:t>
      </w:r>
      <w:r>
        <w:rPr>
          <w:rStyle w:val="Funotenanker"/>
        </w:rPr>
        <w:footnoteReference w:customMarkFollows="1" w:id="6668"/>
        <w:t>a</w:t>
      </w:r>
      <w:r>
        <w:rPr/>
        <w:t xml:space="preserve"> Samen bleibt in ihm, und er kann nicht sündigen, weil er aus Gott geboren </w:t>
      </w:r>
      <w:r>
        <w:rPr>
          <w:color w:val="808080"/>
        </w:rPr>
        <w:t>(gezeugt)</w:t>
      </w:r>
      <w:r>
        <w:rPr/>
        <w:t xml:space="preserve"> ist.{{field-off:bible}} </w:t>
        <w:br/>
        <w:t>[[@BibleTOBIBLE:1Jn 3:10]]</w:t>
      </w:r>
      <w:r>
        <w:rPr>
          <w:b/>
        </w:rPr>
        <w:t>10</w:t>
      </w:r>
      <w:r>
        <w:rPr/>
        <w:t xml:space="preserve"> {{field-on:bible}}Daran </w:t>
      </w:r>
      <w:r>
        <w:rPr>
          <w:color w:val="808080"/>
        </w:rPr>
        <w:t>(Darin)</w:t>
      </w:r>
      <w:r>
        <w:rPr/>
        <w:t xml:space="preserve"> sind die Kinder Gottes erkennbar </w:t>
      </w:r>
      <w:r>
        <w:rPr>
          <w:color w:val="808080"/>
        </w:rPr>
        <w:t>(sichtbar, offenbar)</w:t>
      </w:r>
      <w:r>
        <w:rPr/>
        <w:t xml:space="preserve"> und die Kinder des Teufels </w:t>
      </w:r>
      <w:r>
        <w:rPr>
          <w:color w:val="808080"/>
        </w:rPr>
        <w:t>(Satans)</w:t>
      </w:r>
      <w:r>
        <w:rPr/>
        <w:t xml:space="preserve">: Jeder, der Gerechtigkeit nicht tut, ist nicht aus Gott, und der, der seinen Bruder nicht liebt.{{field-off:bible}} </w:t>
        <w:br/>
        <w:t>[[@BibleTOBIBLE:1Jn 3:11]]</w:t>
      </w:r>
      <w:r>
        <w:rPr>
          <w:b/>
        </w:rPr>
        <w:t>11</w:t>
      </w:r>
      <w:r>
        <w:rPr/>
        <w:t xml:space="preserve"> {{field-on:bible}}Denn dieses ist die Botschaft, die ihr von Anfang an gehört habt, daß wir einander lieben sollen.{{field-off:bible}} </w:t>
        <w:br/>
        <w:t>[[@BibleTOBIBLE:1Jn 3:12]]</w:t>
      </w:r>
      <w:r>
        <w:rPr>
          <w:b/>
        </w:rPr>
        <w:t>12</w:t>
      </w:r>
      <w:r>
        <w:rPr/>
        <w:t xml:space="preserve"> {{field-on:bible}}Nicht wie Kain</w:t>
      </w:r>
      <w:r>
        <w:rPr>
          <w:b/>
          <w:color w:val="808080"/>
        </w:rPr>
        <w:t>[</w:t>
      </w:r>
      <w:r>
        <w:rPr/>
        <w:t>, der</w:t>
      </w:r>
      <w:r>
        <w:rPr>
          <w:b/>
          <w:color w:val="808080"/>
        </w:rPr>
        <w:t>]</w:t>
      </w:r>
      <w:r>
        <w:rPr/>
        <w:t xml:space="preserve"> aus dem Bösen </w:t>
      </w:r>
      <w:r>
        <w:rPr>
          <w:color w:val="808080"/>
        </w:rPr>
        <w:t>(Schlechten)</w:t>
      </w:r>
      <w:r>
        <w:rPr/>
        <w:t xml:space="preserve"> war und seinen Bruder ermordete </w:t>
      </w:r>
      <w:r>
        <w:rPr>
          <w:color w:val="808080"/>
        </w:rPr>
        <w:t>(schlachtete)</w:t>
      </w:r>
      <w:r>
        <w:rPr/>
        <w:t xml:space="preserve">. Und weshalb ermordete </w:t>
      </w:r>
      <w:r>
        <w:rPr>
          <w:color w:val="808080"/>
        </w:rPr>
        <w:t>(schlachtete)</w:t>
      </w:r>
      <w:r>
        <w:rPr/>
        <w:t xml:space="preserve"> er ihn? Weil seine Werke böse </w:t>
      </w:r>
      <w:r>
        <w:rPr>
          <w:color w:val="808080"/>
        </w:rPr>
        <w:t>(schlecht)</w:t>
      </w:r>
      <w:r>
        <w:rPr/>
        <w:t xml:space="preserve"> waren, die aber seines Bruders gerecht.{{field-off:bible}} </w:t>
        <w:br/>
        <w:t>[[@BibleTOBIBLE:1Jn 3:13]]</w:t>
      </w:r>
      <w:r>
        <w:rPr>
          <w:b/>
        </w:rPr>
        <w:t>13</w:t>
      </w:r>
      <w:r>
        <w:rPr/>
        <w:t xml:space="preserve"> {{field-on:bible}}Wundert</w:t>
      </w:r>
      <w:r>
        <w:rPr>
          <w:rStyle w:val="Funotenanker"/>
        </w:rPr>
        <w:footnoteReference w:customMarkFollows="1" w:id="6669"/>
        <w:t>b</w:t>
      </w:r>
      <w:r>
        <w:rPr/>
        <w:t xml:space="preserve"> Euch nicht, Brüder, wenn die Welt Euch haßt.{{field-off:bible}} </w:t>
        <w:br/>
        <w:t>[[@BibleTOBIBLE:1Jn 3:14]]</w:t>
      </w:r>
      <w:r>
        <w:rPr>
          <w:b/>
        </w:rPr>
        <w:t>14</w:t>
      </w:r>
      <w:r>
        <w:rPr/>
        <w:t xml:space="preserve"> {{field-on:bible}}Wir wissen, dass wir hinübergegangen sind vom </w:t>
      </w:r>
      <w:r>
        <w:rPr>
          <w:color w:val="808080"/>
        </w:rPr>
        <w:t>(aus dem)</w:t>
      </w:r>
      <w:r>
        <w:rPr/>
        <w:t xml:space="preserve"> Tod in das Leben, weil wir die Brüder lieben. Wer nicht liebt, bleibt im Tod.{{field-off:bible}} </w:t>
        <w:br/>
        <w:t>[[@BibleTOBIBLE:1Jn 3:15]]</w:t>
      </w:r>
      <w:r>
        <w:rPr>
          <w:b/>
        </w:rPr>
        <w:t>15</w:t>
      </w:r>
      <w:r>
        <w:rPr/>
        <w:t xml:space="preserve"> {{field-on:bible}}Jeder, der seinen Bruder hasst, ist ein Mörder </w:t>
      </w:r>
      <w:r>
        <w:rPr>
          <w:color w:val="808080"/>
        </w:rPr>
        <w:t>(Menschenmörder)</w:t>
      </w:r>
      <w:r>
        <w:rPr/>
        <w:t xml:space="preserve">, und Ihr wißt, dass kein </w:t>
      </w:r>
      <w:r>
        <w:rPr>
          <w:color w:val="808080"/>
        </w:rPr>
        <w:t>(jeder)</w:t>
      </w:r>
      <w:r>
        <w:rPr/>
        <w:t xml:space="preserve"> Mörder </w:t>
      </w:r>
      <w:r>
        <w:rPr>
          <w:color w:val="808080"/>
        </w:rPr>
        <w:t>(Menschenmörder)</w:t>
      </w:r>
      <w:r>
        <w:rPr/>
        <w:t xml:space="preserve"> ewiges Leben </w:t>
      </w:r>
      <w:r>
        <w:rPr>
          <w:color w:val="808080"/>
        </w:rPr>
        <w:t>(nicht)</w:t>
      </w:r>
      <w:r>
        <w:rPr/>
        <w:t xml:space="preserve"> bleibend in sich </w:t>
      </w:r>
      <w:r>
        <w:rPr>
          <w:color w:val="808080"/>
        </w:rPr>
        <w:t>(ihm)</w:t>
      </w:r>
      <w:r>
        <w:rPr/>
        <w:t xml:space="preserve"> hat.{{field-off:bible}} </w:t>
        <w:br/>
        <w:t>[[@BibleTOBIBLE:1Jn 3:16]]</w:t>
      </w:r>
      <w:r>
        <w:rPr>
          <w:b/>
        </w:rPr>
        <w:t>16</w:t>
      </w:r>
      <w:r>
        <w:rPr/>
        <w:t xml:space="preserve"> {{field-on:bible}}Daran </w:t>
      </w:r>
      <w:r>
        <w:rPr>
          <w:color w:val="808080"/>
        </w:rPr>
        <w:t>(Darin)</w:t>
      </w:r>
      <w:r>
        <w:rPr/>
        <w:t xml:space="preserve"> haben wir die Liebe erkannt, dass jener für uns sein Leben </w:t>
      </w:r>
      <w:r>
        <w:rPr>
          <w:color w:val="808080"/>
        </w:rPr>
        <w:t>(seine Seele)</w:t>
      </w:r>
      <w:r>
        <w:rPr/>
        <w:t xml:space="preserve"> hingegeben </w:t>
      </w:r>
      <w:r>
        <w:rPr>
          <w:color w:val="808080"/>
        </w:rPr>
        <w:t>(eingesetzt)</w:t>
      </w:r>
      <w:r>
        <w:rPr/>
        <w:t xml:space="preserve"> hat. Auch müssen </w:t>
      </w:r>
      <w:r>
        <w:rPr>
          <w:color w:val="808080"/>
        </w:rPr>
        <w:t>(sind verpflichtet)</w:t>
      </w:r>
      <w:r>
        <w:rPr/>
        <w:t xml:space="preserve"> für die Brüder das Leben </w:t>
      </w:r>
      <w:r>
        <w:rPr>
          <w:color w:val="808080"/>
        </w:rPr>
        <w:t>(die Seele)</w:t>
      </w:r>
      <w:r>
        <w:rPr/>
        <w:t xml:space="preserve"> hinzugeben </w:t>
      </w:r>
      <w:r>
        <w:rPr>
          <w:color w:val="808080"/>
        </w:rPr>
        <w:t>(einzusetzen)</w:t>
      </w:r>
      <w:r>
        <w:rPr/>
        <w:t xml:space="preserve">.{{field-off:bible}} </w:t>
        <w:br/>
        <w:t>[[@BibleTOBIBLE:1Jn 3:17]]</w:t>
      </w:r>
      <w:r>
        <w:rPr>
          <w:b/>
        </w:rPr>
        <w:t>17</w:t>
      </w:r>
      <w:r>
        <w:rPr/>
        <w:t xml:space="preserve"> {{field-on:bible}}Wenn einer </w:t>
      </w:r>
      <w:r>
        <w:rPr>
          <w:color w:val="808080"/>
        </w:rPr>
        <w:t>(Wer)</w:t>
      </w:r>
      <w:r>
        <w:rPr/>
        <w:t xml:space="preserve"> also die Lebensnotwendigkeiten </w:t>
      </w:r>
      <w:r>
        <w:rPr>
          <w:color w:val="808080"/>
        </w:rPr>
        <w:t>(das Leben; Vermögen in)</w:t>
      </w:r>
      <w:r>
        <w:rPr/>
        <w:t xml:space="preserve"> der Welt hat und </w:t>
      </w:r>
      <w:r>
        <w:rPr>
          <w:b/>
          <w:color w:val="808080"/>
        </w:rPr>
        <w:t>[</w:t>
      </w:r>
      <w:r>
        <w:rPr/>
        <w:t>er</w:t>
      </w:r>
      <w:r>
        <w:rPr>
          <w:b/>
          <w:color w:val="808080"/>
        </w:rPr>
        <w:t>]</w:t>
      </w:r>
      <w:r>
        <w:rPr/>
        <w:t xml:space="preserve"> sieht seinen Bruder Not leiden </w:t>
      </w:r>
      <w:r>
        <w:rPr>
          <w:color w:val="808080"/>
        </w:rPr>
        <w:t>(haben)</w:t>
      </w:r>
      <w:r>
        <w:rPr/>
        <w:t xml:space="preserve"> und verschließt sein Herz </w:t>
      </w:r>
      <w:r>
        <w:rPr>
          <w:color w:val="808080"/>
        </w:rPr>
        <w:t>(Innerstes)</w:t>
      </w:r>
      <w:r>
        <w:rPr/>
        <w:t xml:space="preserve"> vor ihm, wie bleibt </w:t>
      </w:r>
      <w:r>
        <w:rPr>
          <w:color w:val="808080"/>
        </w:rPr>
        <w:t>(</w:t>
      </w:r>
      <w:r>
        <w:rPr>
          <w:b/>
          <w:color w:val="808080"/>
        </w:rPr>
        <w:t>[</w:t>
      </w:r>
      <w:r>
        <w:rPr>
          <w:color w:val="808080"/>
        </w:rPr>
        <w:t>kann, (soll)</w:t>
      </w:r>
      <w:r>
        <w:rPr>
          <w:b/>
          <w:color w:val="808080"/>
        </w:rPr>
        <w:t>]</w:t>
      </w:r>
      <w:r>
        <w:rPr>
          <w:color w:val="808080"/>
        </w:rPr>
        <w:t>)</w:t>
      </w:r>
      <w:r>
        <w:rPr/>
        <w:t xml:space="preserve"> die Liebe Gottes in ihm </w:t>
      </w:r>
      <w:r>
        <w:rPr>
          <w:color w:val="808080"/>
        </w:rPr>
        <w:t>(bleiben)</w:t>
      </w:r>
      <w:r>
        <w:rPr/>
        <w:t xml:space="preserve">?{{field-off:bible}} </w:t>
        <w:br/>
        <w:t>[[@BibleTOBIBLE:1Jn 3:18]]</w:t>
      </w:r>
      <w:r>
        <w:rPr>
          <w:b/>
        </w:rPr>
        <w:t>18</w:t>
      </w:r>
      <w:r>
        <w:rPr/>
        <w:t xml:space="preserve"> {{field-on:bible}}Kinder </w:t>
      </w:r>
      <w:r>
        <w:rPr>
          <w:color w:val="808080"/>
        </w:rPr>
        <w:t>(Kindlein)</w:t>
      </w:r>
      <w:r>
        <w:rPr/>
        <w:t xml:space="preserve">, laßt uns nicht mit </w:t>
      </w:r>
      <w:r>
        <w:rPr>
          <w:color w:val="808080"/>
        </w:rPr>
        <w:t>(einem)</w:t>
      </w:r>
      <w:r>
        <w:rPr/>
        <w:t xml:space="preserve"> Wort und nicht mit der Zunge lieben, sondern in Tat und Wahrheit.{{field-off:bible}} </w:t>
        <w:br/>
        <w:t>[[@BibleTOBIBLE:1Jn 3:19]]</w:t>
      </w:r>
      <w:r>
        <w:rPr>
          <w:b/>
        </w:rPr>
        <w:t>19</w:t>
      </w:r>
      <w:r>
        <w:rPr/>
        <w:t xml:space="preserve"> {{field-on:bible}}Daran </w:t>
      </w:r>
      <w:r>
        <w:rPr>
          <w:color w:val="808080"/>
        </w:rPr>
        <w:t>(Darin)</w:t>
      </w:r>
      <w:r>
        <w:rPr/>
        <w:t xml:space="preserve"> </w:t>
      </w:r>
      <w:r>
        <w:rPr>
          <w:rStyle w:val="Funotenanker"/>
        </w:rPr>
        <w:footnoteReference w:customMarkFollows="1" w:id="6670"/>
        <w:t>c</w:t>
      </w:r>
      <w:r>
        <w:rPr/>
        <w:t xml:space="preserve"> werden wir erkennen, dass wir aus der Wahrheit sind, und vor ihm </w:t>
      </w:r>
      <w:r>
        <w:rPr>
          <w:color w:val="808080"/>
        </w:rPr>
        <w:t>(ihm gegenüber, in seiner Gegenwart)</w:t>
      </w:r>
      <w:r>
        <w:rPr/>
        <w:t xml:space="preserve"> werden wir unser Herz überzeugen </w:t>
      </w:r>
      <w:r>
        <w:rPr>
          <w:color w:val="808080"/>
        </w:rPr>
        <w:t>(beruhigen)</w:t>
      </w:r>
      <w:r>
        <w:rPr/>
        <w:t xml:space="preserve">,{{field-off:bible}} </w:t>
        <w:br/>
        <w:t>[[@BibleTOBIBLE:1Jn 3:20]]</w:t>
      </w:r>
      <w:r>
        <w:rPr>
          <w:b/>
        </w:rPr>
        <w:t>20</w:t>
      </w:r>
      <w:r>
        <w:rPr/>
        <w:t xml:space="preserve"> {{field-on:bible}}dass, wenn </w:t>
      </w:r>
      <w:r>
        <w:rPr>
          <w:color w:val="808080"/>
        </w:rPr>
        <w:t>(</w:t>
      </w:r>
      <w:r>
        <w:rPr>
          <w:b/>
          <w:color w:val="808080"/>
        </w:rPr>
        <w:t>[</w:t>
      </w:r>
      <w:r>
        <w:rPr>
          <w:color w:val="808080"/>
        </w:rPr>
        <w:t>in Bezug auf alles</w:t>
      </w:r>
      <w:r>
        <w:rPr>
          <w:b/>
          <w:color w:val="808080"/>
        </w:rPr>
        <w:t>]</w:t>
      </w:r>
      <w:r>
        <w:rPr>
          <w:color w:val="808080"/>
        </w:rPr>
        <w:t>, dessentwegen)</w:t>
      </w:r>
      <w:r>
        <w:rPr/>
        <w:t xml:space="preserve"> das Herz uns verurteilt, </w:t>
      </w:r>
      <w:r>
        <w:rPr>
          <w:strike/>
          <w:color w:val="808080"/>
        </w:rPr>
        <w:t>{dass}</w:t>
      </w:r>
      <w:r>
        <w:rPr/>
        <w:t xml:space="preserve"> </w:t>
      </w:r>
      <w:r>
        <w:rPr>
          <w:color w:val="808080"/>
        </w:rPr>
        <w:t>(denn)</w:t>
      </w:r>
      <w:r>
        <w:rPr/>
        <w:t xml:space="preserve"> Gott </w:t>
      </w:r>
      <w:r>
        <w:rPr>
          <w:color w:val="808080"/>
        </w:rPr>
        <w:t>(ist)</w:t>
      </w:r>
      <w:r>
        <w:rPr/>
        <w:t xml:space="preserve"> größer ist als unser Herz und </w:t>
      </w:r>
      <w:r>
        <w:rPr>
          <w:color w:val="808080"/>
        </w:rPr>
        <w:t>(kennt)</w:t>
      </w:r>
      <w:r>
        <w:rPr/>
        <w:t xml:space="preserve"> alles kennt.</w:t>
      </w:r>
      <w:r>
        <w:rPr>
          <w:rStyle w:val="Funotenanker"/>
        </w:rPr>
        <w:footnoteReference w:customMarkFollows="1" w:id="6671"/>
        <w:t>d</w:t>
      </w:r>
      <w:r>
        <w:rPr/>
        <w:t xml:space="preserve"> {{field-off:bible}} </w:t>
        <w:br/>
        <w:t>[[@BibleTOBIBLE:1Jn 3:21]]</w:t>
      </w:r>
      <w:r>
        <w:rPr>
          <w:b/>
        </w:rPr>
        <w:t>21</w:t>
      </w:r>
      <w:r>
        <w:rPr/>
        <w:t xml:space="preserve"> {{field-on:bible}}Geliebte, wenn das Herz uns nicht verurteilt</w:t>
      </w:r>
      <w:r>
        <w:rPr>
          <w:rStyle w:val="Funotenanker"/>
        </w:rPr>
        <w:footnoteReference w:customMarkFollows="1" w:id="6672"/>
        <w:t>e</w:t>
      </w:r>
      <w:r>
        <w:rPr/>
        <w:t xml:space="preserve">, haben wir Zuversicht </w:t>
      </w:r>
      <w:r>
        <w:rPr>
          <w:color w:val="808080"/>
        </w:rPr>
        <w:t>(Freimut, Offenheit, offenen Zugang)</w:t>
      </w:r>
      <w:r>
        <w:rPr/>
        <w:t xml:space="preserve"> gegenüber </w:t>
      </w:r>
      <w:r>
        <w:rPr>
          <w:color w:val="808080"/>
        </w:rPr>
        <w:t>(zu)</w:t>
      </w:r>
      <w:r>
        <w:rPr/>
        <w:t xml:space="preserve"> Gott,{{field-off:bible}} </w:t>
        <w:br/>
        <w:t>[[@BibleTOBIBLE:1Jn 3:22]]</w:t>
      </w:r>
      <w:r>
        <w:rPr>
          <w:b/>
        </w:rPr>
        <w:t>22</w:t>
      </w:r>
      <w:r>
        <w:rPr/>
        <w:t xml:space="preserve"> {{field-on:bible}}und was immer wir erbitten, empfangen wir von ihm, weil wir seine Gebote halten und das </w:t>
      </w:r>
      <w:r>
        <w:rPr>
          <w:color w:val="808080"/>
        </w:rPr>
        <w:t>(vor)</w:t>
      </w:r>
      <w:r>
        <w:rPr/>
        <w:t xml:space="preserve"> ihm Angenehme tun.{{field-off:bible}} </w:t>
        <w:br/>
        <w:t>[[@BibleTOBIBLE:1Jn 3:23]]</w:t>
      </w:r>
      <w:r>
        <w:rPr>
          <w:b/>
        </w:rPr>
        <w:t>23</w:t>
      </w:r>
      <w:r>
        <w:rPr/>
        <w:t xml:space="preserve"> {{field-on:bible}}Und dies ist sein Gebot, daß wir an den Namen seines Sohnes Jesus Christus glauben und einander liebern, wie er </w:t>
      </w:r>
      <w:r>
        <w:rPr>
          <w:b/>
          <w:color w:val="808080"/>
        </w:rPr>
        <w:t>[</w:t>
      </w:r>
      <w:r>
        <w:rPr/>
        <w:t>es</w:t>
      </w:r>
      <w:r>
        <w:rPr>
          <w:b/>
          <w:color w:val="808080"/>
        </w:rPr>
        <w:t>]</w:t>
      </w:r>
      <w:r>
        <w:rPr/>
        <w:t xml:space="preserve"> uns als </w:t>
      </w:r>
      <w:r>
        <w:rPr>
          <w:color w:val="808080"/>
        </w:rPr>
        <w:t>(ein)</w:t>
      </w:r>
      <w:r>
        <w:rPr/>
        <w:t xml:space="preserve"> Gebot gegeben hat.{{field-off:bible}} </w:t>
        <w:br/>
        <w:t>[[@BibleTOBIBLE:1Jn 3:24]]</w:t>
      </w:r>
      <w:r>
        <w:rPr>
          <w:b/>
        </w:rPr>
        <w:t>24</w:t>
      </w:r>
      <w:r>
        <w:rPr/>
        <w:t xml:space="preserve"> {{field-on:bible}}Und wer seine Gebote hält, bleibt in ihm und er in ihm; und daran </w:t>
      </w:r>
      <w:r>
        <w:rPr>
          <w:color w:val="808080"/>
        </w:rPr>
        <w:t>(darin)</w:t>
      </w:r>
      <w:r>
        <w:rPr/>
        <w:t xml:space="preserve"> erkennen wir, daß er in uns bleibt: an </w:t>
      </w:r>
      <w:r>
        <w:rPr>
          <w:color w:val="808080"/>
        </w:rPr>
        <w:t>(aus)</w:t>
      </w:r>
      <w:r>
        <w:rPr/>
        <w:t xml:space="preserve"> dem Geist, den er uns gegeben hat.{{field-off:bible}}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6673"/>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6674"/>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6675"/>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6676"/>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6677"/>
        <w:t>d</w:t>
      </w:r>
      <w:r>
        <w:rPr/>
        <w:t xml:space="preserve">, denn die Liebe ist von </w:t>
      </w:r>
      <w:r>
        <w:rPr>
          <w:color w:val="808080"/>
        </w:rPr>
        <w:t>(aus)</w:t>
      </w:r>
      <w:r>
        <w:rPr/>
        <w:t xml:space="preserve"> Gott, und jeder, der liebt,</w:t>
      </w:r>
      <w:r>
        <w:rPr>
          <w:rStyle w:val="Funotenanker"/>
        </w:rPr>
        <w:footnoteReference w:customMarkFollows="1" w:id="6678"/>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6679"/>
        <w:t>f</w:t>
      </w:r>
      <w:r>
        <w:rPr/>
        <w:t xml:space="preserve"> und kennt Gott.{{field-off:bible}} </w:t>
        <w:br/>
        <w:t>[[@BibleTOBIBLE:1Jn 4:8]]</w:t>
      </w:r>
      <w:r>
        <w:rPr>
          <w:b/>
        </w:rPr>
        <w:t>8</w:t>
      </w:r>
      <w:r>
        <w:rPr/>
        <w:t xml:space="preserve"> {{field-on:bible}}Wer nicht liebt,</w:t>
      </w:r>
      <w:r>
        <w:rPr>
          <w:rStyle w:val="Funotenanker"/>
        </w:rPr>
        <w:footnoteReference w:customMarkFollows="1" w:id="6680"/>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6681"/>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6682"/>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6683"/>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6684"/>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6685"/>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6686"/>
        <w:t>Status</w:t>
      </w:r>
      <w:r>
        <w:rPr/>
        <w:t xml:space="preserve"> Jeder, der glaubt, daß Jesus der Christus </w:t>
      </w:r>
      <w:r>
        <w:rPr>
          <w:color w:val="808080"/>
        </w:rPr>
        <w:t>(Messias)</w:t>
      </w:r>
      <w:r>
        <w:rPr/>
        <w:t xml:space="preserve"> ist, ist aus </w:t>
      </w:r>
      <w:r>
        <w:rPr>
          <w:strike/>
          <w:color w:val="808080"/>
        </w:rPr>
        <w:t>{dem}</w:t>
      </w:r>
      <w:r>
        <w:rPr/>
        <w:t xml:space="preserve"> Gott geboren </w:t>
      </w:r>
      <w:r>
        <w:rPr>
          <w:color w:val="808080"/>
        </w:rPr>
        <w:t>(gezeugt, entstanden)</w:t>
      </w:r>
      <w:r>
        <w:rPr/>
        <w:t xml:space="preserve">, und jeder, der den Gebärenden </w:t>
      </w:r>
      <w:r>
        <w:rPr>
          <w:color w:val="808080"/>
        </w:rPr>
        <w:t>(Zeugenden)</w:t>
      </w:r>
      <w:r>
        <w:rPr/>
        <w:t xml:space="preserve"> liebt, liebt auch den aus ihm Geborenen </w:t>
      </w:r>
      <w:r>
        <w:rPr>
          <w:color w:val="808080"/>
        </w:rPr>
        <w:t>(Gezeugten)</w:t>
      </w:r>
      <w:r>
        <w:rPr/>
        <w:t xml:space="preserve"> </w:t>
      </w:r>
      <w:r>
        <w:rPr>
          <w:rStyle w:val="Funotenanker"/>
        </w:rPr>
        <w:footnoteReference w:customMarkFollows="1" w:id="6687"/>
        <w:t>a</w:t>
      </w:r>
      <w:r>
        <w:rPr/>
        <w:t xml:space="preserve">.{{field-off:bible}} </w:t>
        <w:br/>
        <w:t>[[@BibleTOBIBLE:1Jn 5:2]]</w:t>
      </w:r>
      <w:r>
        <w:rPr>
          <w:b/>
        </w:rPr>
        <w:t>2</w:t>
      </w:r>
      <w:r>
        <w:rPr/>
        <w:t xml:space="preserve"> {{field-on:bible}}Daran erkennen wir, daß wir die Kinder </w:t>
      </w:r>
      <w:r>
        <w:rPr>
          <w:strike/>
          <w:color w:val="808080"/>
        </w:rPr>
        <w:t>{des}</w:t>
      </w:r>
      <w:r>
        <w:rPr/>
        <w:t xml:space="preserve"> Gottes lieben, daß </w:t>
      </w:r>
      <w:r>
        <w:rPr>
          <w:color w:val="808080"/>
        </w:rPr>
        <w:t>(wenn)</w:t>
      </w:r>
      <w:r>
        <w:rPr/>
        <w:t xml:space="preserve"> wir </w:t>
      </w:r>
      <w:r>
        <w:rPr>
          <w:strike/>
          <w:color w:val="808080"/>
        </w:rPr>
        <w:t>{den}</w:t>
      </w:r>
      <w:r>
        <w:rPr/>
        <w:t xml:space="preserve"> Gott lieben und seine Gebote halten </w:t>
      </w:r>
      <w:r>
        <w:rPr>
          <w:color w:val="808080"/>
        </w:rPr>
        <w:t>(tun)</w:t>
      </w:r>
      <w:r>
        <w:rPr/>
        <w:t xml:space="preserve">.{{field-off:bible}} </w:t>
        <w:br/>
        <w:t>[[@BibleTOBIBLE:1Jn 5:3]]</w:t>
      </w:r>
      <w:r>
        <w:rPr>
          <w:b/>
        </w:rPr>
        <w:t>3</w:t>
      </w:r>
      <w:r>
        <w:rPr/>
        <w:t xml:space="preserve"> {{field-on:bible}}Das nämlich ist die Liebe zu </w:t>
      </w:r>
      <w:r>
        <w:rPr>
          <w:strike/>
          <w:color w:val="808080"/>
        </w:rPr>
        <w:t>{dem}</w:t>
      </w:r>
      <w:r>
        <w:rPr/>
        <w:t xml:space="preserve"> Gott</w:t>
      </w:r>
      <w:r>
        <w:rPr>
          <w:rStyle w:val="Funotenanker"/>
        </w:rPr>
        <w:footnoteReference w:customMarkFollows="1" w:id="6688"/>
        <w:t>b</w:t>
      </w:r>
      <w:r>
        <w:rPr/>
        <w:t xml:space="preserve">, daß wir seine Gebote halten </w:t>
      </w:r>
      <w:r>
        <w:rPr>
          <w:color w:val="808080"/>
        </w:rPr>
        <w:t>(bewahren)</w:t>
      </w:r>
      <w:r>
        <w:rPr/>
        <w:t xml:space="preserve"> – und seine Gebote sind nicht schwer.{{field-off:bible}} </w:t>
        <w:br/>
        <w:t>[[@BibleTOBIBLE:1Jn 5:4]]</w:t>
      </w:r>
      <w:r>
        <w:rPr>
          <w:b/>
        </w:rPr>
        <w:t>4</w:t>
      </w:r>
      <w:r>
        <w:rPr/>
        <w:t xml:space="preserve"> {{field-on:bible}}Denn alles, was aus </w:t>
      </w:r>
      <w:r>
        <w:rPr>
          <w:color w:val="808080"/>
        </w:rPr>
        <w:t>(von)</w:t>
      </w:r>
      <w:r>
        <w:rPr/>
        <w:t xml:space="preserve"> Gott geboren </w:t>
      </w:r>
      <w:r>
        <w:rPr>
          <w:color w:val="808080"/>
        </w:rPr>
        <w:t>(gezeugt, entstanden)</w:t>
      </w:r>
      <w:r>
        <w:rPr/>
        <w:t xml:space="preserve"> ist, besiegt die Welt. Und das ist der Sieg, der die Welt besiegt hat: Unser Glaube.{{field-off:bible}} </w:t>
        <w:br/>
        <w:t>[[@BibleTOBIBLE:1Jn 5:5]]</w:t>
      </w:r>
      <w:r>
        <w:rPr>
          <w:b/>
        </w:rPr>
        <w:t>5</w:t>
      </w:r>
      <w:r>
        <w:rPr/>
        <w:t xml:space="preserve"> {{field-on:bible}}Wer aber ist </w:t>
      </w:r>
      <w:r>
        <w:rPr>
          <w:b/>
          <w:color w:val="808080"/>
        </w:rPr>
        <w:t>[</w:t>
      </w:r>
      <w:r>
        <w:rPr/>
        <w:t xml:space="preserve">der </w:t>
      </w:r>
      <w:r>
        <w:rPr>
          <w:color w:val="808080"/>
        </w:rPr>
        <w:t>(es)</w:t>
      </w:r>
      <w:r>
        <w:rPr/>
        <w:t>,</w:t>
      </w:r>
      <w:r>
        <w:rPr>
          <w:b/>
          <w:color w:val="808080"/>
        </w:rPr>
        <w:t>]</w:t>
      </w:r>
      <w:r>
        <w:rPr/>
        <w:t xml:space="preserve"> der die Welt besiegt, wenn nicht der, der glaubt, daß Jesus der Sohn </w:t>
      </w:r>
      <w:r>
        <w:rPr>
          <w:strike/>
          <w:color w:val="808080"/>
        </w:rPr>
        <w:t>{des}</w:t>
      </w:r>
      <w:r>
        <w:rPr/>
        <w:t xml:space="preserve"> Gottes ist?{{field-off:bible}} </w:t>
        <w:br/>
        <w:t>[[@BibleTOBIBLE:1Jn 5:6]]</w:t>
      </w:r>
      <w:r>
        <w:rPr>
          <w:b/>
        </w:rPr>
        <w:t>6</w:t>
      </w:r>
      <w:r>
        <w:rPr/>
        <w:t xml:space="preserve"> {{field-on:bible}}Dieser ist es </w:t>
      </w:r>
      <w:r>
        <w:rPr>
          <w:color w:val="808080"/>
        </w:rPr>
        <w:t>(der)</w:t>
      </w:r>
      <w:r>
        <w:rPr/>
        <w:t xml:space="preserve">, der durch Wasser und Blut gekommen ist, Jesus Christus. Nicht im Wasser allein, sondern im Wasser und im Blut. Und der Geist ist </w:t>
      </w:r>
      <w:r>
        <w:rPr>
          <w:b/>
          <w:color w:val="808080"/>
        </w:rPr>
        <w:t>[</w:t>
      </w:r>
      <w:r>
        <w:rPr/>
        <w:t xml:space="preserve">es </w:t>
      </w:r>
      <w:r>
        <w:rPr>
          <w:color w:val="808080"/>
        </w:rPr>
        <w:t>(der)</w:t>
      </w:r>
      <w:r>
        <w:rPr/>
        <w:t>,</w:t>
      </w:r>
      <w:r>
        <w:rPr>
          <w:b/>
          <w:color w:val="808080"/>
        </w:rPr>
        <w:t>]</w:t>
      </w:r>
      <w:r>
        <w:rPr/>
        <w:t xml:space="preserve"> der bezeugt, denn </w:t>
      </w:r>
      <w:r>
        <w:rPr>
          <w:color w:val="808080"/>
        </w:rPr>
        <w:t>(daß)</w:t>
      </w:r>
      <w:r>
        <w:rPr/>
        <w:t xml:space="preserve"> der Geist die Wahrheit </w:t>
      </w:r>
      <w:r>
        <w:rPr>
          <w:color w:val="808080"/>
        </w:rPr>
        <w:t>(ist)</w:t>
      </w:r>
      <w:r>
        <w:rPr/>
        <w:t xml:space="preserve">.{{field-off:bible}} </w:t>
        <w:br/>
        <w:t>[[@BibleTOBIBLE:1Jn 5:7]]</w:t>
      </w:r>
      <w:r>
        <w:rPr>
          <w:b/>
        </w:rPr>
        <w:t>7</w:t>
      </w:r>
      <w:r>
        <w:rPr/>
        <w:t xml:space="preserve"> {{field-on:bible}}Denn drei sind </w:t>
      </w:r>
      <w:r>
        <w:rPr>
          <w:b/>
          <w:color w:val="808080"/>
        </w:rPr>
        <w:t>[</w:t>
      </w:r>
      <w:r>
        <w:rPr/>
        <w:t>es</w:t>
      </w:r>
      <w:r>
        <w:rPr>
          <w:b/>
          <w:color w:val="808080"/>
        </w:rPr>
        <w:t>]</w:t>
      </w:r>
      <w:r>
        <w:rPr/>
        <w:t xml:space="preserve">, die Zeugnis geben </w:t>
      </w:r>
      <w:r>
        <w:rPr>
          <w:color w:val="808080"/>
        </w:rPr>
        <w:t>(ablegen; bezeugen)</w:t>
      </w:r>
      <w:r>
        <w:rPr/>
        <w:t>,</w:t>
      </w:r>
      <w:r>
        <w:rPr>
          <w:rStyle w:val="Funotenanker"/>
        </w:rPr>
        <w:footnoteReference w:customMarkFollows="1" w:id="6689"/>
        <w:t>c</w:t>
      </w:r>
      <w:r>
        <w:rPr/>
        <w:t xml:space="preserve"> {{field-off:bible}} </w:t>
        <w:br/>
        <w:t>[[@BibleTOBIBLE:1Jn 5:8]]</w:t>
      </w:r>
      <w:r>
        <w:rPr>
          <w:b/>
        </w:rPr>
        <w:t>8</w:t>
      </w:r>
      <w:r>
        <w:rPr/>
        <w:t xml:space="preserve"> {{field-on:bible}}Der Geist und das Wasser und das Blut, und die drei sind in das Eine </w:t>
      </w:r>
      <w:r>
        <w:rPr>
          <w:color w:val="808080"/>
        </w:rPr>
        <w:t>(eins)</w:t>
      </w:r>
      <w:r>
        <w:rPr/>
        <w:t xml:space="preserve"> </w:t>
      </w:r>
      <w:r>
        <w:rPr>
          <w:rStyle w:val="Funotenanker"/>
        </w:rPr>
        <w:footnoteReference w:customMarkFollows="1" w:id="6690"/>
        <w:t>d</w:t>
      </w:r>
      <w:r>
        <w:rPr/>
        <w:t xml:space="preserve">.{{field-off:bible}} </w:t>
        <w:br/>
        <w:t>[[@BibleTOBIBLE:1Jn 5:9]]</w:t>
      </w:r>
      <w:r>
        <w:rPr>
          <w:b/>
        </w:rPr>
        <w:t>9</w:t>
      </w:r>
      <w:r>
        <w:rPr/>
        <w:t xml:space="preserve"> {{field-on:bible}}Wenn wir das Zeugnis der Menschen annehmen – das Zeugnis Gottes ist größer, weil dies das Zeugnis Gottes ist, das er über </w:t>
      </w:r>
      <w:r>
        <w:rPr>
          <w:color w:val="808080"/>
        </w:rPr>
        <w:t>(für)</w:t>
      </w:r>
      <w:r>
        <w:rPr/>
        <w:t xml:space="preserve"> seinen Sohne Zeugnis gegeben </w:t>
      </w:r>
      <w:r>
        <w:rPr>
          <w:color w:val="808080"/>
        </w:rPr>
        <w:t>(abgelegt; bezeugt)</w:t>
      </w:r>
      <w:r>
        <w:rPr/>
        <w:t xml:space="preserve"> hat.{{field-off:bible}} </w:t>
        <w:br/>
        <w:t>[[@BibleTOBIBLE:1Jn 5:10]]</w:t>
      </w:r>
      <w:r>
        <w:rPr>
          <w:b/>
        </w:rPr>
        <w:t>10</w:t>
      </w:r>
      <w:r>
        <w:rPr/>
        <w:t xml:space="preserve"> {{field-on:bible}}Wer an den Sohn Gottes glaubt, hat das Zeugnis in sich; wer Gott nicht glaubt, hat </w:t>
      </w:r>
      <w:r>
        <w:rPr>
          <w:b/>
          <w:color w:val="808080"/>
        </w:rPr>
        <w:t>[</w:t>
      </w:r>
      <w:r>
        <w:rPr/>
        <w:t>aus ihm</w:t>
      </w:r>
      <w:r>
        <w:rPr>
          <w:b/>
          <w:color w:val="808080"/>
        </w:rPr>
        <w:t>]</w:t>
      </w:r>
      <w:r>
        <w:rPr/>
        <w:t xml:space="preserve"> einen Lügner gemacht, weil er nicht an das Zeugnis geglaubt hat, das Gott über </w:t>
      </w:r>
      <w:r>
        <w:rPr>
          <w:color w:val="808080"/>
        </w:rPr>
        <w:t>(für)</w:t>
      </w:r>
      <w:r>
        <w:rPr/>
        <w:t xml:space="preserve"> seinen Sohn gegeben </w:t>
      </w:r>
      <w:r>
        <w:rPr>
          <w:color w:val="808080"/>
        </w:rPr>
        <w:t>(abgelegt; bezeugt)</w:t>
      </w:r>
      <w:r>
        <w:rPr/>
        <w:t xml:space="preserve"> hat.{{field-off:bible}} </w:t>
        <w:br/>
        <w:t>[[@BibleTOBIBLE:1Jn 5:11]]</w:t>
      </w:r>
      <w:r>
        <w:rPr>
          <w:b/>
        </w:rPr>
        <w:t>11</w:t>
      </w:r>
      <w:r>
        <w:rPr/>
        <w:t xml:space="preserve"> {{field-on:bible}}Und dies ist das Zeugnis,</w:t>
      </w:r>
      <w:r>
        <w:rPr>
          <w:rStyle w:val="Funotenanker"/>
        </w:rPr>
        <w:footnoteReference w:customMarkFollows="1" w:id="6691"/>
        <w:t>e</w:t>
      </w:r>
      <w:r>
        <w:rPr/>
        <w:t xml:space="preserve"> dass Gott uns ewiges Leben gegeben hat und dieses Leben in seinem Sohn ist.{{field-off:bible}} </w:t>
        <w:br/>
        <w:t>[[@BibleTOBIBLE:1Jn 5:12]]</w:t>
      </w:r>
      <w:r>
        <w:rPr>
          <w:b/>
        </w:rPr>
        <w:t>12</w:t>
      </w:r>
      <w:r>
        <w:rPr/>
        <w:t xml:space="preserve"> {{field-on:bible}}Wer den Sohn hat, hat das Leben. Wer den Sohn Gottes nicht hat, hat das Leben nicht.{{field-off:bible}} </w:t>
        <w:br/>
        <w:t>[[@BibleTOBIBLE:1Jn 5:13]]</w:t>
      </w:r>
      <w:r>
        <w:rPr>
          <w:b/>
        </w:rPr>
        <w:t>13</w:t>
      </w:r>
      <w:r>
        <w:rPr/>
        <w:t xml:space="preserve"> {{field-on:bible}}Dies </w:t>
      </w:r>
      <w:r>
        <w:rPr>
          <w:color w:val="808080"/>
        </w:rPr>
        <w:t>(Diese Dinge)</w:t>
      </w:r>
      <w:r>
        <w:rPr/>
        <w:t xml:space="preserve"> habe ich Euch – denen, die an den Namen des Sohnes Gottes glauben – geschrieben, damit Ihr wisst, dass Ihr ewiges Leben habt.{{field-off:bible}}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5:15]]</w:t>
      </w:r>
      <w:r>
        <w:rPr>
          <w:b/>
        </w:rPr>
        <w:t>15</w:t>
      </w:r>
      <w:r>
        <w:rPr/>
        <w:t xml:space="preserve"> {{field-on:bible}}Und wenn wir wissen, dass er uns erhört </w:t>
      </w:r>
      <w:r>
        <w:rPr>
          <w:color w:val="808080"/>
        </w:rPr>
        <w:t>(hört)</w:t>
      </w:r>
      <w:r>
        <w:rPr/>
        <w:t xml:space="preserve"> in Bezug auf </w:t>
      </w:r>
      <w:r>
        <w:rPr>
          <w:b/>
          <w:color w:val="808080"/>
        </w:rPr>
        <w:t>[</w:t>
      </w:r>
      <w:r>
        <w:rPr/>
        <w:t>alles</w:t>
      </w:r>
      <w:r>
        <w:rPr>
          <w:b/>
          <w:color w:val="808080"/>
        </w:rPr>
        <w:t>]</w:t>
      </w:r>
      <w:r>
        <w:rPr/>
        <w:t xml:space="preserve">, was </w:t>
      </w:r>
      <w:r>
        <w:rPr>
          <w:color w:val="808080"/>
        </w:rPr>
        <w:t>(immer)</w:t>
      </w:r>
      <w:r>
        <w:rPr/>
        <w:t xml:space="preserve"> wir erbitten, wissen wir, dass wir alles </w:t>
      </w:r>
      <w:r>
        <w:rPr>
          <w:color w:val="808080"/>
        </w:rPr>
        <w:t>(das Erbetene, die erbetenen Dinge)</w:t>
      </w:r>
      <w:r>
        <w:rPr/>
        <w:t xml:space="preserve"> haben, was </w:t>
      </w:r>
      <w:r>
        <w:rPr>
          <w:color w:val="808080"/>
        </w:rPr>
        <w:t>(die)</w:t>
      </w:r>
      <w:r>
        <w:rPr/>
        <w:t xml:space="preserve"> wir von ihm erbeten haben.{{field-off:bible}} </w:t>
        <w:br/>
        <w:t>[[@BibleTOBIBLE:1Jn 5:16]]</w:t>
      </w:r>
      <w:r>
        <w:rPr>
          <w:b/>
        </w:rPr>
        <w:t>16</w:t>
      </w:r>
      <w:r>
        <w:rPr/>
        <w:t xml:space="preserve"> {{field-on:bible}}Wenn einer seinen Bruder sündigen sieht, eine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 soll </w:t>
      </w:r>
      <w:r>
        <w:rPr>
          <w:color w:val="808080"/>
        </w:rPr>
        <w:t>(wird)</w:t>
      </w:r>
      <w:r>
        <w:rPr/>
        <w:t xml:space="preserve"> er </w:t>
      </w:r>
      <w:r>
        <w:rPr>
          <w:b/>
          <w:color w:val="808080"/>
        </w:rPr>
        <w:t>[</w:t>
      </w:r>
      <w:r>
        <w:rPr/>
        <w:t>für ihn</w:t>
      </w:r>
      <w:r>
        <w:rPr>
          <w:b/>
          <w:color w:val="808080"/>
        </w:rPr>
        <w:t>]</w:t>
      </w:r>
      <w:r>
        <w:rPr/>
        <w:t xml:space="preserve"> bitten, und er </w:t>
      </w:r>
      <w:r>
        <w:rPr>
          <w:color w:val="808080"/>
        </w:rPr>
        <w:t>(Gott)</w:t>
      </w:r>
      <w:r>
        <w:rPr/>
        <w:t xml:space="preserve"> wird ihm Leben geben - denen die nicht zum Tod sündigen. Es gibt Sünde</w:t>
      </w:r>
      <w:r>
        <w:rPr>
          <w:b/>
          <w:color w:val="808080"/>
        </w:rPr>
        <w:t>[</w:t>
      </w:r>
      <w:r>
        <w:rPr/>
        <w:t>, die</w:t>
      </w:r>
      <w:r>
        <w:rPr>
          <w:b/>
          <w:color w:val="808080"/>
        </w:rPr>
        <w:t>]</w:t>
      </w:r>
      <w:r>
        <w:rPr/>
        <w:t xml:space="preserve"> zum Tod </w:t>
      </w:r>
      <w:r>
        <w:rPr>
          <w:b/>
          <w:color w:val="808080"/>
        </w:rPr>
        <w:t>[</w:t>
      </w:r>
      <w:r>
        <w:rPr/>
        <w:t>führt</w:t>
      </w:r>
      <w:r>
        <w:rPr>
          <w:b/>
          <w:color w:val="808080"/>
        </w:rPr>
        <w:t>]</w:t>
      </w:r>
      <w:r>
        <w:rPr/>
        <w:t xml:space="preserve">. Nicht über diese </w:t>
      </w:r>
      <w:r>
        <w:rPr>
          <w:color w:val="808080"/>
        </w:rPr>
        <w:t>(jene)</w:t>
      </w:r>
      <w:r>
        <w:rPr/>
        <w:t xml:space="preserve"> </w:t>
      </w:r>
      <w:r>
        <w:rPr>
          <w:b/>
          <w:color w:val="808080"/>
        </w:rPr>
        <w:t>[</w:t>
      </w:r>
      <w:r>
        <w:rPr/>
        <w:t>Sünde</w:t>
      </w:r>
      <w:r>
        <w:rPr>
          <w:b/>
          <w:color w:val="808080"/>
        </w:rPr>
        <w:t>]</w:t>
      </w:r>
      <w:r>
        <w:rPr/>
        <w:t xml:space="preserve"> sage ich, daß er bitten soll.{{field-off:bible}} </w:t>
        <w:br/>
        <w:t>[[@BibleTOBIBLE:1Jn 5:17]]</w:t>
      </w:r>
      <w:r>
        <w:rPr>
          <w:b/>
        </w:rPr>
        <w:t>17</w:t>
      </w:r>
      <w:r>
        <w:rPr/>
        <w:t xml:space="preserve"> {{field-on:bible}}Jedes Unrecht </w:t>
      </w:r>
      <w:r>
        <w:rPr>
          <w:b/>
          <w:color w:val="808080"/>
        </w:rPr>
        <w:t>[</w:t>
      </w:r>
      <w:r>
        <w:rPr/>
        <w:t>Jede Ungerechtigkeit</w:t>
      </w:r>
      <w:r>
        <w:rPr>
          <w:b/>
          <w:color w:val="808080"/>
        </w:rPr>
        <w:t>]</w:t>
      </w:r>
      <w:r>
        <w:rPr/>
        <w:t xml:space="preserve"> ist Sünde, und es gibt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.{{field-off:bible}} </w:t>
        <w:br/>
        <w:t>[[@BibleTOBIBLE:1Jn 5:18]]</w:t>
      </w:r>
      <w:r>
        <w:rPr>
          <w:b/>
        </w:rPr>
        <w:t>18</w:t>
      </w:r>
      <w:r>
        <w:rPr/>
        <w:t xml:space="preserve"> {{field-on:bible}}Wir wissen, daß jeder, der aus </w:t>
      </w:r>
      <w:r>
        <w:rPr>
          <w:color w:val="808080"/>
        </w:rPr>
        <w:t>(von)</w:t>
      </w:r>
      <w:r>
        <w:rPr/>
        <w:t xml:space="preserve"> Gott geboren </w:t>
      </w:r>
      <w:r>
        <w:rPr>
          <w:color w:val="808080"/>
        </w:rPr>
        <w:t>(gezeugt)</w:t>
      </w:r>
      <w:r>
        <w:rPr/>
        <w:t xml:space="preserve"> ist, nicht sündigt, sondern, wer aus </w:t>
      </w:r>
      <w:r>
        <w:rPr>
          <w:color w:val="808080"/>
        </w:rPr>
        <w:t>(von)</w:t>
      </w:r>
      <w:r>
        <w:rPr/>
        <w:t xml:space="preserve"> Gott geboren </w:t>
      </w:r>
      <w:r>
        <w:rPr>
          <w:color w:val="808080"/>
        </w:rPr>
        <w:t>(gezeugt)</w:t>
      </w:r>
      <w:r>
        <w:rPr/>
        <w:t xml:space="preserve"> wurde, den bewahrt er</w:t>
      </w:r>
      <w:r>
        <w:rPr>
          <w:rStyle w:val="Funotenanker"/>
        </w:rPr>
        <w:footnoteReference w:customMarkFollows="1" w:id="6692"/>
        <w:t>f</w:t>
      </w:r>
      <w:r>
        <w:rPr/>
        <w:t xml:space="preserve"> </w:t>
      </w:r>
      <w:r>
        <w:rPr>
          <w:color w:val="808080"/>
        </w:rPr>
        <w:t>(der hütet/bewahrt sich)</w:t>
      </w:r>
      <w:r>
        <w:rPr/>
        <w:t xml:space="preserve"> </w:t>
      </w:r>
      <w:r>
        <w:rPr>
          <w:rStyle w:val="Funotenanker"/>
        </w:rPr>
        <w:footnoteReference w:customMarkFollows="1" w:id="6693"/>
        <w:t>g</w:t>
      </w:r>
      <w:r>
        <w:rPr/>
        <w:t xml:space="preserve">, und der Böse </w:t>
      </w:r>
      <w:r>
        <w:rPr>
          <w:color w:val="808080"/>
        </w:rPr>
        <w:t>(Schlechte)</w:t>
      </w:r>
      <w:r>
        <w:rPr/>
        <w:t xml:space="preserve"> berührt </w:t>
      </w:r>
      <w:r>
        <w:rPr>
          <w:color w:val="808080"/>
        </w:rPr>
        <w:t>(erreicht)</w:t>
      </w:r>
      <w:r>
        <w:rPr/>
        <w:t xml:space="preserve"> ihn nicht.{{field-off:bible}} </w:t>
        <w:br/>
        <w:t>[[@BibleTOBIBLE:1Jn 5:19]]</w:t>
      </w:r>
      <w:r>
        <w:rPr>
          <w:b/>
        </w:rPr>
        <w:t>19</w:t>
      </w:r>
      <w:r>
        <w:rPr/>
        <w:t xml:space="preserve"> {{field-on:bible}}Wir wissen, daß wir aus Gott sind und die ganze Welt im </w:t>
      </w:r>
      <w:r>
        <w:rPr>
          <w:color w:val="808080"/>
        </w:rPr>
        <w:t xml:space="preserve">(in </w:t>
      </w:r>
      <w:r>
        <w:rPr>
          <w:b/>
          <w:color w:val="808080"/>
        </w:rPr>
        <w:t>[</w:t>
      </w:r>
      <w:r>
        <w:rPr>
          <w:color w:val="808080"/>
        </w:rPr>
        <w:t>der Sphäre des</w:t>
      </w:r>
      <w:r>
        <w:rPr>
          <w:b/>
          <w:color w:val="808080"/>
        </w:rPr>
        <w:t>]</w:t>
      </w:r>
      <w:r>
        <w:rPr>
          <w:color w:val="808080"/>
        </w:rPr>
        <w:t>)</w:t>
      </w:r>
      <w:r>
        <w:rPr/>
        <w:t xml:space="preserve"> Bösen </w:t>
      </w:r>
      <w:r>
        <w:rPr>
          <w:color w:val="808080"/>
        </w:rPr>
        <w:t>(Schlechten, Argen)</w:t>
      </w:r>
      <w:r>
        <w:rPr/>
        <w:t xml:space="preserve"> liegt.{{field-off:bible}} </w:t>
        <w:br/>
        <w:t>[[@BibleTOBIBLE:1Jn 5:20]]</w:t>
      </w:r>
      <w:r>
        <w:rPr>
          <w:b/>
        </w:rPr>
        <w:t>20</w:t>
      </w:r>
      <w:r>
        <w:rPr/>
        <w:t xml:space="preserve"> {{field-on:bible}}Wir wissen aber, dass der Sohn Gottes gekommen ist und uns gegeben hat </w:t>
      </w:r>
      <w:r>
        <w:rPr>
          <w:b/>
          <w:color w:val="808080"/>
        </w:rPr>
        <w:t>[</w:t>
      </w:r>
      <w:r>
        <w:rPr/>
        <w:t>das</w:t>
      </w:r>
      <w:r>
        <w:rPr>
          <w:b/>
          <w:color w:val="808080"/>
        </w:rPr>
        <w:t>]</w:t>
      </w:r>
      <w:r>
        <w:rPr/>
        <w:t xml:space="preserve"> Erkenntnisvermögen </w:t>
      </w:r>
      <w:r>
        <w:rPr>
          <w:color w:val="808080"/>
        </w:rPr>
        <w:t>(Verstehen, Sinn)</w:t>
      </w:r>
      <w:r>
        <w:rPr/>
        <w:t>, damit wir erkennen den Wahrhaftigen</w:t>
      </w:r>
      <w:r>
        <w:rPr>
          <w:rStyle w:val="Funotenanker"/>
        </w:rPr>
        <w:footnoteReference w:customMarkFollows="1" w:id="6694"/>
        <w:t>h</w:t>
      </w:r>
      <w:r>
        <w:rPr/>
        <w:t xml:space="preserve">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6695"/>
        <w:t>i</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6696"/>
        <w:t>Status</w:t>
      </w:r>
      <w:r>
        <w:rPr/>
        <w:t xml:space="preserve"> Eine </w:t>
      </w:r>
      <w:r>
        <w:rPr>
          <w:color w:val="808080"/>
        </w:rPr>
        <w:t>(die)</w:t>
      </w:r>
      <w:r>
        <w:rPr/>
        <w:t xml:space="preserve"> Offenbarung Jesu Christi</w:t>
      </w:r>
      <w:r>
        <w:rPr>
          <w:rStyle w:val="Funotenanker"/>
        </w:rPr>
        <w:footnoteReference w:customMarkFollows="1" w:id="6697"/>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6698"/>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6699"/>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6700"/>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6701"/>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02"/>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 sagt </w:t>
      </w:r>
      <w:r>
        <w:rPr>
          <w:smallCaps/>
          <w:color w:val="FF0000"/>
        </w:rPr>
        <w:t>JHWH</w:t>
      </w:r>
      <w:r>
        <w:rPr/>
        <w:t xml:space="preserve"> </w:t>
      </w:r>
      <w:r>
        <w:rPr>
          <w:color w:val="808080"/>
        </w:rPr>
        <w:t>(Herr)</w:t>
      </w:r>
      <w:r>
        <w:rPr/>
        <w:t xml:space="preserve"> </w:t>
      </w:r>
      <w:r>
        <w:rPr>
          <w:rStyle w:val="Funotenanker"/>
        </w:rPr>
        <w:footnoteReference w:customMarkFollows="1" w:id="6703"/>
        <w:t>g</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6704"/>
        <w:t>h</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6705"/>
        <w:t>i</w:t>
      </w:r>
      <w:r>
        <w:rPr/>
        <w:t xml:space="preserve"> wegen </w:t>
      </w:r>
      <w:r>
        <w:rPr>
          <w:color w:val="808080"/>
        </w:rPr>
        <w:t>(aufgrund)</w:t>
      </w:r>
      <w:r>
        <w:rPr/>
        <w:t xml:space="preserve"> des Wortes Gottes</w:t>
      </w:r>
      <w:r>
        <w:rPr>
          <w:rStyle w:val="Funotenanker"/>
        </w:rPr>
        <w:footnoteReference w:customMarkFollows="1" w:id="6706"/>
        <w:t>j</w:t>
      </w:r>
      <w:r>
        <w:rPr/>
        <w:t xml:space="preserve"> und des Zeugnisses </w:t>
      </w:r>
      <w:r>
        <w:rPr>
          <w:color w:val="808080"/>
        </w:rPr>
        <w:t>(der Bezeugung)</w:t>
      </w:r>
      <w:r>
        <w:rPr/>
        <w:t xml:space="preserve"> Jesu.</w:t>
      </w:r>
      <w:r>
        <w:rPr>
          <w:rStyle w:val="Funotenanker"/>
        </w:rPr>
        <w:footnoteReference w:customMarkFollows="1" w:id="6707"/>
        <w:t>k</w:t>
      </w:r>
      <w:r>
        <w:rPr/>
        <w:t xml:space="preserve"> {{field-off:bible}} </w:t>
        <w:br/>
        <w:t>[[@BibleTOBIBLE:Re 1:10]]</w:t>
      </w:r>
      <w:r>
        <w:rPr>
          <w:b/>
        </w:rPr>
        <w:t>10</w:t>
      </w:r>
      <w:r>
        <w:rPr/>
        <w:t xml:space="preserve"> {{field-on:bible}}Ich befand mich im Geist am Tag des Herrn</w:t>
      </w:r>
      <w:r>
        <w:rPr>
          <w:rStyle w:val="Funotenanker"/>
        </w:rPr>
        <w:footnoteReference w:customMarkFollows="1" w:id="6708"/>
        <w:t>l</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6709"/>
        <w:t>m</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6710"/>
        <w:t>n</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6711"/>
        <w:t>o</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6712"/>
        <w:t>p</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6713"/>
        <w:t>q</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6714"/>
        <w:t>r</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6715"/>
        <w:t>s</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6716"/>
        <w:t>t</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6717"/>
        <w:t>u</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18"/>
        <w:t>v</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6719"/>
        <w:t>w</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6720"/>
        <w:t>x</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2]]Kapitel 2</w:t>
      </w:r>
    </w:p>
    <w:p>
      <w:pPr>
        <w:pStyle w:val="Textkrper"/>
        <w:rPr/>
      </w:pPr>
      <w:r>
        <w:rPr/>
        <w:br/>
        <w:t>[[@BibleTOBIBLE:Re 2:1]]</w:t>
      </w:r>
      <w:r>
        <w:rPr>
          <w:b/>
        </w:rPr>
        <w:t>1</w:t>
      </w:r>
      <w:r>
        <w:rPr/>
        <w:t xml:space="preserve"> {{field-on:bible}} </w:t>
      </w:r>
      <w:r>
        <w:rPr>
          <w:rStyle w:val="Funotenanker"/>
        </w:rPr>
        <w:footnoteReference w:customMarkFollows="1" w:id="6721"/>
        <w:t>Status</w:t>
      </w:r>
      <w:r>
        <w:rPr/>
        <w:t xml:space="preserve"> Dem Engel der Kirche </w:t>
      </w:r>
      <w:r>
        <w:rPr>
          <w:color w:val="808080"/>
        </w:rPr>
        <w:t>(Gemeinde)</w:t>
      </w:r>
      <w:r>
        <w:rPr/>
        <w:t xml:space="preserve"> in Ephesus schreibe: Dieses sagt der, der die sieben Sterne in seiner Rechten festhält, der inmitten der sieben goldenen Leuchtern umhergeht:{{field-off:bible}} </w:t>
        <w:br/>
        <w:t>[[@BibleTOBIBLE:Re 2:2]]</w:t>
      </w:r>
      <w:r>
        <w:rPr>
          <w:b/>
        </w:rPr>
        <w:t>2</w:t>
      </w:r>
      <w:r>
        <w:rPr/>
        <w:t xml:space="preserve"> {{field-on:bible}}Ich kenne deine Werke und deine Mühe und deine Ausdauer, und </w:t>
      </w:r>
      <w:r>
        <w:rPr>
          <w:b/>
          <w:color w:val="808080"/>
        </w:rPr>
        <w:t>[</w:t>
      </w:r>
      <w:r>
        <w:rPr/>
        <w:t>ich weiß,</w:t>
      </w:r>
      <w:r>
        <w:rPr>
          <w:b/>
          <w:color w:val="808080"/>
        </w:rPr>
        <w:t>]</w:t>
      </w:r>
      <w:r>
        <w:rPr/>
        <w:t xml:space="preserve"> dass du Böse nicht erträgtst, und diejenigen </w:t>
      </w:r>
      <w:r>
        <w:rPr>
          <w:color w:val="808080"/>
        </w:rPr>
        <w:t>(die)</w:t>
      </w:r>
      <w:r>
        <w:rPr/>
        <w:t xml:space="preserve"> geprüft hast, die sich Apostel nennen und </w:t>
      </w:r>
      <w:r>
        <w:rPr>
          <w:b/>
          <w:color w:val="808080"/>
        </w:rPr>
        <w:t>[</w:t>
      </w:r>
      <w:r>
        <w:rPr/>
        <w:t>es</w:t>
      </w:r>
      <w:r>
        <w:rPr>
          <w:b/>
          <w:color w:val="808080"/>
        </w:rPr>
        <w:t>]</w:t>
      </w:r>
      <w:r>
        <w:rPr/>
        <w:t xml:space="preserve"> nicht sind, und sie </w:t>
      </w:r>
      <w:r>
        <w:rPr>
          <w:color w:val="808080"/>
        </w:rPr>
        <w:t>(als)</w:t>
      </w:r>
      <w:r>
        <w:rPr/>
        <w:t xml:space="preserve"> Lügner gefunden </w:t>
      </w:r>
      <w:r>
        <w:rPr>
          <w:color w:val="808080"/>
        </w:rPr>
        <w:t>(erkannt)</w:t>
      </w:r>
      <w:r>
        <w:rPr/>
        <w:t xml:space="preserve"> hast,{{field-off:bible}} </w:t>
        <w:br/>
        <w:t>[[@BibleTOBIBLE:Re 2:3]]</w:t>
      </w:r>
      <w:r>
        <w:rPr>
          <w:b/>
        </w:rPr>
        <w:t>3</w:t>
      </w:r>
      <w:r>
        <w:rPr/>
        <w:t xml:space="preserve"> {{field-on:bible}}und Ausdauer hast und ertragen </w:t>
      </w:r>
      <w:r>
        <w:rPr>
          <w:color w:val="808080"/>
        </w:rPr>
        <w:t>(gelitten)</w:t>
      </w:r>
      <w:r>
        <w:rPr/>
        <w:t xml:space="preserve"> hast wegen meines Namens und nicht müde geworden bist.{{field-off:bible}} </w:t>
        <w:br/>
        <w:t>[[@BibleTOBIBLE:Re 2:4]]</w:t>
      </w:r>
      <w:r>
        <w:rPr>
          <w:b/>
        </w:rPr>
        <w:t>4</w:t>
      </w:r>
      <w:r>
        <w:rPr/>
        <w:t xml:space="preserve"> {{field-on:bible}}Aber ich habe gegen dich, dass du deine Liebe, die erste, verlassen hast.{{field-off:bible}} </w:t>
        <w:br/>
        <w:t>[[@BibleTOBIBLE:Re 2:5]]</w:t>
      </w:r>
      <w:r>
        <w:rPr>
          <w:b/>
        </w:rPr>
        <w:t>5</w:t>
      </w:r>
      <w:r>
        <w:rPr/>
        <w:t xml:space="preserve"> {{field-on:bible}}Erinnere dich also, von wo aus du gefallen bist und kehre um </w:t>
      </w:r>
      <w:r>
        <w:rPr>
          <w:color w:val="808080"/>
        </w:rPr>
        <w:t>(ändere deinen Sinn, bekehre dich, bereue)</w:t>
      </w:r>
      <w:r>
        <w:rPr/>
        <w:t xml:space="preserve"> und verwirkliche </w:t>
      </w:r>
      <w:r>
        <w:rPr>
          <w:color w:val="808080"/>
        </w:rPr>
        <w:t>(tu)</w:t>
      </w:r>
      <w:r>
        <w:rPr/>
        <w:t xml:space="preserve"> die ersten Werke. Wenn aber nicht, komme ich zu dir und entferne deinen Leuchter von </w:t>
      </w:r>
      <w:r>
        <w:rPr>
          <w:color w:val="808080"/>
        </w:rPr>
        <w:t>(aus)</w:t>
      </w:r>
      <w:r>
        <w:rPr/>
        <w:t xml:space="preserve"> seinem Platz, wenn du nicht umkehrst </w:t>
      </w:r>
      <w:r>
        <w:rPr>
          <w:color w:val="808080"/>
        </w:rPr>
        <w:t>(nicht deinen Sinn änderst, dich nicht bekehrst, bereust)</w:t>
      </w:r>
      <w:r>
        <w:rPr/>
        <w:t xml:space="preserve">.{{field-off:bible}} </w:t>
        <w:br/>
        <w:t>[[@BibleTOBIBLE:Re 2:6]]</w:t>
      </w:r>
      <w:r>
        <w:rPr>
          <w:b/>
        </w:rPr>
        <w:t>6</w:t>
      </w:r>
      <w:r>
        <w:rPr/>
        <w:t xml:space="preserve"> {{field-on:bible}}Aber dies hast du, dass du die Werke der Nikolaiter </w:t>
      </w:r>
      <w:r>
        <w:rPr>
          <w:color w:val="808080"/>
        </w:rPr>
        <w:t>(der Anhänger des Nikolaos)</w:t>
      </w:r>
      <w:r>
        <w:rPr/>
        <w:t xml:space="preserve"> hasst, die auch ich hasse.{{field-off:bible}} </w:t>
        <w:br/>
        <w:t>[[@BibleTOBIBLE:Re 2:7]]</w:t>
      </w:r>
      <w:r>
        <w:rPr>
          <w:b/>
        </w:rPr>
        <w:t>7</w:t>
      </w:r>
      <w:r>
        <w:rPr/>
        <w:t xml:space="preserve"> {{field-on:bible}}Wer ein Ohr hat, höre, was der Geist den Kirchen </w:t>
      </w:r>
      <w:r>
        <w:rPr>
          <w:color w:val="808080"/>
        </w:rPr>
        <w:t>(Gemeinden)</w:t>
      </w:r>
      <w:r>
        <w:rPr/>
        <w:t xml:space="preserve"> sagt. Dem, der siegt, werde ich zu essen geben vom </w:t>
      </w:r>
      <w:r>
        <w:rPr>
          <w:color w:val="808080"/>
        </w:rPr>
        <w:t>(aus dem)</w:t>
      </w:r>
      <w:r>
        <w:rPr/>
        <w:t xml:space="preserve"> Holz </w:t>
      </w:r>
      <w:r>
        <w:rPr>
          <w:color w:val="808080"/>
        </w:rPr>
        <w:t>(Baum)</w:t>
      </w:r>
      <w:r>
        <w:rPr/>
        <w:t xml:space="preserve"> des Lebens, das im Garten </w:t>
      </w:r>
      <w:r>
        <w:rPr>
          <w:color w:val="808080"/>
        </w:rPr>
        <w:t>(Paradies)</w:t>
      </w:r>
      <w:r>
        <w:rPr/>
        <w:t xml:space="preserve"> Gottes ist.{{field-off:bible}} </w:t>
        <w:br/>
        <w:t>[[@BibleTOBIBLE:Re 2:8]]</w:t>
      </w:r>
      <w:r>
        <w:rPr>
          <w:b/>
        </w:rPr>
        <w:t>8</w:t>
      </w:r>
      <w:r>
        <w:rPr/>
        <w:t xml:space="preserve"> {{field-on:bible}}Und dem Engel der Kirche </w:t>
      </w:r>
      <w:r>
        <w:rPr>
          <w:color w:val="808080"/>
        </w:rPr>
        <w:t>(Gemeinde)</w:t>
      </w:r>
      <w:r>
        <w:rPr/>
        <w:t xml:space="preserve"> in Smyrna schreibe: Dies sagt der Erste und der Letzte, der tot war und zum Leben kam:{{field-off:bible}} </w:t>
        <w:br/>
        <w:t>[[@BibleTOBIBLE:Re 2:9]]</w:t>
      </w:r>
      <w:r>
        <w:rPr>
          <w:b/>
        </w:rPr>
        <w:t>9</w:t>
      </w:r>
      <w:r>
        <w:rPr/>
        <w:t xml:space="preserve"> {{field-on:bible}}Ich kenne deine Bedrängnis </w:t>
      </w:r>
      <w:r>
        <w:rPr>
          <w:color w:val="808080"/>
        </w:rPr>
        <w:t>(Not; deinen Kummer)</w:t>
      </w:r>
      <w:r>
        <w:rPr/>
        <w:t xml:space="preserve"> und deine Armut – aber du bist reich – und die Verleumdung </w:t>
      </w:r>
      <w:r>
        <w:rPr>
          <w:color w:val="808080"/>
        </w:rPr>
        <w:t>(Lästerung)</w:t>
      </w:r>
      <w:r>
        <w:rPr/>
        <w:t xml:space="preserve"> von Seiten derer </w:t>
      </w:r>
      <w:r>
        <w:rPr>
          <w:color w:val="808080"/>
        </w:rPr>
        <w:t>(aus denen)</w:t>
      </w:r>
      <w:r>
        <w:rPr/>
        <w:t xml:space="preserve">, die behaupten </w:t>
      </w:r>
      <w:r>
        <w:rPr>
          <w:color w:val="808080"/>
        </w:rPr>
        <w:t>(sich sagen)</w:t>
      </w:r>
      <w:r>
        <w:rPr/>
        <w:t xml:space="preserve"> Juden zu sein und </w:t>
      </w:r>
      <w:r>
        <w:rPr>
          <w:b/>
          <w:color w:val="808080"/>
        </w:rPr>
        <w:t>[</w:t>
      </w:r>
      <w:r>
        <w:rPr/>
        <w:t>es</w:t>
      </w:r>
      <w:r>
        <w:rPr>
          <w:b/>
          <w:color w:val="808080"/>
        </w:rPr>
        <w:t>]</w:t>
      </w:r>
      <w:r>
        <w:rPr/>
        <w:t xml:space="preserve"> nicht sind, sondern eine Versammlung </w:t>
      </w:r>
      <w:r>
        <w:rPr>
          <w:color w:val="808080"/>
        </w:rPr>
        <w:t>(Synagoge)</w:t>
      </w:r>
      <w:r>
        <w:rPr/>
        <w:t xml:space="preserve"> des Satans.{{field-off:bible}} </w:t>
        <w:br/>
        <w:t>[[@BibleTOBIBLE:Re 2:10]]</w:t>
      </w:r>
      <w:r>
        <w:rPr>
          <w:b/>
        </w:rPr>
        <w:t>10</w:t>
      </w:r>
      <w:r>
        <w:rPr/>
        <w:t xml:space="preserve"> {{field-on:bible}}In keiner Weise fürchte das, was </w:t>
      </w:r>
      <w:r>
        <w:rPr>
          <w:color w:val="808080"/>
        </w:rPr>
        <w:t>(die Dinge, die)</w:t>
      </w:r>
      <w:r>
        <w:rPr/>
        <w:t xml:space="preserve"> du im Begriff bist zu leiden </w:t>
      </w:r>
      <w:r>
        <w:rPr>
          <w:color w:val="808080"/>
        </w:rPr>
        <w:t>(du leiden wirst; sollst)</w:t>
      </w:r>
      <w:r>
        <w:rPr/>
        <w:t xml:space="preserve">. Sieh, der Teufel </w:t>
      </w:r>
      <w:r>
        <w:rPr>
          <w:color w:val="808080"/>
        </w:rPr>
        <w:t>(Verleumder)</w:t>
      </w:r>
      <w:r>
        <w:rPr/>
        <w:t xml:space="preserve"> ist im Begriff, </w:t>
      </w:r>
      <w:r>
        <w:rPr>
          <w:b/>
          <w:color w:val="808080"/>
        </w:rPr>
        <w:t>[</w:t>
      </w:r>
      <w:r>
        <w:rPr/>
        <w:t>einige</w:t>
      </w:r>
      <w:r>
        <w:rPr>
          <w:b/>
          <w:color w:val="808080"/>
        </w:rPr>
        <w:t>]</w:t>
      </w:r>
      <w:r>
        <w:rPr/>
        <w:t xml:space="preserve"> von </w:t>
      </w:r>
      <w:r>
        <w:rPr>
          <w:color w:val="808080"/>
        </w:rPr>
        <w:t>(aus)</w:t>
      </w:r>
      <w:r>
        <w:rPr/>
        <w:t xml:space="preserve"> euch ins Gefängnis zu werfen, damit ihr versucht </w:t>
      </w:r>
      <w:r>
        <w:rPr>
          <w:color w:val="808080"/>
        </w:rPr>
        <w:t>(erprobt, geprüft)</w:t>
      </w:r>
      <w:r>
        <w:rPr/>
        <w:t xml:space="preserve"> werdet und ihr werdet zehn Tage lang Bedrängnis </w:t>
      </w:r>
      <w:r>
        <w:rPr>
          <w:color w:val="808080"/>
        </w:rPr>
        <w:t>(Not, Kummer)</w:t>
      </w:r>
      <w:r>
        <w:rPr/>
        <w:t xml:space="preserve"> haben. Sei treu bis zum Tod, und ich werde dir den Kranz </w:t>
      </w:r>
      <w:r>
        <w:rPr>
          <w:color w:val="808080"/>
        </w:rPr>
        <w:t>(die Krone)</w:t>
      </w:r>
      <w:r>
        <w:rPr/>
        <w:t xml:space="preserve"> des Lebens geben.{{field-off:bible}} </w:t>
        <w:br/>
        <w:t>[[@BibleTOBIBLE:Re 2:11]]</w:t>
      </w:r>
      <w:r>
        <w:rPr>
          <w:b/>
        </w:rPr>
        <w:t>11</w:t>
      </w:r>
      <w:r>
        <w:rPr/>
        <w:t xml:space="preserve"> {{field-on:bible}}Wer ein Ohr hat, höre, was der Geist den Kirchen </w:t>
      </w:r>
      <w:r>
        <w:rPr>
          <w:color w:val="808080"/>
        </w:rPr>
        <w:t>(Gemeinden)</w:t>
      </w:r>
      <w:r>
        <w:rPr/>
        <w:t xml:space="preserve"> sagt. Wer siegt, soll in keiner Weise Schaden </w:t>
      </w:r>
      <w:r>
        <w:rPr>
          <w:color w:val="808080"/>
        </w:rPr>
        <w:t>(Unrecht)</w:t>
      </w:r>
      <w:r>
        <w:rPr/>
        <w:t xml:space="preserve"> leiden aus dem zweiten Tod.{{field-off:bible}} </w:t>
        <w:br/>
        <w:t>[[@BibleTOBIBLE:Re 2:12]]</w:t>
      </w:r>
      <w:r>
        <w:rPr>
          <w:b/>
        </w:rPr>
        <w:t>12</w:t>
      </w:r>
      <w:r>
        <w:rPr/>
        <w:t xml:space="preserve"> {{field-on:bible}}Und dem Engel der Kirche </w:t>
      </w:r>
      <w:r>
        <w:rPr>
          <w:color w:val="808080"/>
        </w:rPr>
        <w:t>(Gemeinde)</w:t>
      </w:r>
      <w:r>
        <w:rPr/>
        <w:t xml:space="preserve"> in Pergamon schreibe: Dies sagt der, der das Schwert, das zweischneidige, das scharfe hat:{{field-off:bible}} </w:t>
        <w:br/>
        <w:t>[[@BibleTOBIBLE:Re 2:13]]</w:t>
      </w:r>
      <w:r>
        <w:rPr>
          <w:b/>
        </w:rPr>
        <w:t>13</w:t>
      </w:r>
      <w:r>
        <w:rPr/>
        <w:t xml:space="preserve"> {{field-on:bible}}Ich weiß, wo du wohnst, wo der Thron des Satans </w:t>
      </w:r>
      <w:r>
        <w:rPr>
          <w:b/>
          <w:color w:val="808080"/>
        </w:rPr>
        <w:t>[</w:t>
      </w:r>
      <w:r>
        <w:rPr/>
        <w:t>ist</w:t>
      </w:r>
      <w:r>
        <w:rPr>
          <w:b/>
          <w:color w:val="808080"/>
        </w:rPr>
        <w:t>]</w:t>
      </w:r>
      <w:r>
        <w:rPr/>
        <w:t xml:space="preserve">, und du hältst meinen Namen fest und du hast meinen Glauben nicht verleugnet </w:t>
      </w:r>
      <w:r>
        <w:rPr>
          <w:color w:val="808080"/>
        </w:rPr>
        <w:t>(verweigert)</w:t>
      </w:r>
      <w:r>
        <w:rPr/>
        <w:t xml:space="preserve">, sogar </w:t>
      </w:r>
      <w:r>
        <w:rPr>
          <w:color w:val="808080"/>
        </w:rPr>
        <w:t>(auch)</w:t>
      </w:r>
      <w:r>
        <w:rPr/>
        <w:t xml:space="preserve"> in den Tagen des Antipas, mein Zeuge, mein treuer, der getötet wurde bei euch, wo der Satan wohnt.{{field-off:bible}} </w:t>
        <w:br/>
        <w:t>[[@BibleTOBIBLE:Re 2:14]]</w:t>
      </w:r>
      <w:r>
        <w:rPr>
          <w:b/>
        </w:rPr>
        <w:t>14</w:t>
      </w:r>
      <w:r>
        <w:rPr/>
        <w:t xml:space="preserve"> {{field-on:bible}}Aber ich habe gegen dich wenig </w:t>
      </w:r>
      <w:r>
        <w:rPr>
          <w:color w:val="808080"/>
        </w:rPr>
        <w:t>(wenige Dinge)</w:t>
      </w:r>
      <w:r>
        <w:rPr/>
        <w:t xml:space="preserve">, weil du dort </w:t>
      </w:r>
      <w:r>
        <w:rPr>
          <w:b/>
          <w:color w:val="808080"/>
        </w:rPr>
        <w:t>[</w:t>
      </w:r>
      <w:r>
        <w:rPr/>
        <w:t xml:space="preserve">solche </w:t>
      </w:r>
      <w:r>
        <w:rPr>
          <w:color w:val="808080"/>
        </w:rPr>
        <w:t>(einige)</w:t>
      </w:r>
      <w:r>
        <w:rPr>
          <w:b/>
          <w:color w:val="808080"/>
        </w:rPr>
        <w:t>]</w:t>
      </w:r>
      <w:r>
        <w:rPr/>
        <w:t xml:space="preserve"> hast, die </w:t>
      </w:r>
      <w:r>
        <w:rPr>
          <w:color w:val="808080"/>
        </w:rPr>
        <w:t>(sich an)</w:t>
      </w:r>
      <w:r>
        <w:rPr/>
        <w:t xml:space="preserve"> die Lehre des Balaam festhalten </w:t>
      </w:r>
      <w:r>
        <w:rPr>
          <w:color w:val="808080"/>
        </w:rPr>
        <w:t>(halten)</w:t>
      </w:r>
      <w:r>
        <w:rPr/>
        <w:t xml:space="preserve">, der dem Balak gelehrt hat, einen Anstoß </w:t>
      </w:r>
      <w:r>
        <w:rPr>
          <w:color w:val="808080"/>
        </w:rPr>
        <w:t>(eine Verführung, ein Ärgernis)</w:t>
      </w:r>
      <w:r>
        <w:rPr/>
        <w:t xml:space="preserve"> vor die Söhne Israels zu werfen </w:t>
      </w:r>
      <w:r>
        <w:rPr>
          <w:color w:val="808080"/>
        </w:rPr>
        <w:t>(die Söhne Israels zu verführen)</w:t>
      </w:r>
      <w:r>
        <w:rPr/>
        <w:t xml:space="preserve">, den Götzen Geopfertes </w:t>
      </w:r>
      <w:r>
        <w:rPr>
          <w:color w:val="808080"/>
        </w:rPr>
        <w:t>(Götzenopferfleisch)</w:t>
      </w:r>
      <w:r>
        <w:rPr/>
        <w:t xml:space="preserve"> zu essen und Unzucht zu treiben.{{field-off:bible}} </w:t>
        <w:br/>
        <w:t>[[@BibleTOBIBLE:Re 2:15]]</w:t>
      </w:r>
      <w:r>
        <w:rPr>
          <w:b/>
        </w:rPr>
        <w:t>15</w:t>
      </w:r>
      <w:r>
        <w:rPr/>
        <w:t xml:space="preserve"> {{field-on:bible}}So hast auch du </w:t>
      </w:r>
      <w:r>
        <w:rPr>
          <w:b/>
          <w:color w:val="808080"/>
        </w:rPr>
        <w:t>[</w:t>
      </w:r>
      <w:r>
        <w:rPr/>
        <w:t xml:space="preserve">solche </w:t>
      </w:r>
      <w:r>
        <w:rPr>
          <w:color w:val="808080"/>
        </w:rPr>
        <w:t>(einige)</w:t>
      </w:r>
      <w:r>
        <w:rPr>
          <w:b/>
          <w:color w:val="808080"/>
        </w:rPr>
        <w:t>]</w:t>
      </w:r>
      <w:r>
        <w:rPr/>
        <w:t xml:space="preserve">, die </w:t>
      </w:r>
      <w:r>
        <w:rPr>
          <w:color w:val="808080"/>
        </w:rPr>
        <w:t>(sich an)</w:t>
      </w:r>
      <w:r>
        <w:rPr/>
        <w:t xml:space="preserve"> die Lehre der Nikolaiter gleicherweise festhalten </w:t>
      </w:r>
      <w:r>
        <w:rPr>
          <w:color w:val="808080"/>
        </w:rPr>
        <w:t>(halten)</w:t>
      </w:r>
      <w:r>
        <w:rPr/>
        <w:t xml:space="preserve">.{{field-off:bible}} </w:t>
        <w:br/>
        <w:t>[[@BibleTOBIBLE:Re 2:16]]</w:t>
      </w:r>
      <w:r>
        <w:rPr>
          <w:b/>
        </w:rPr>
        <w:t>16</w:t>
      </w:r>
      <w:r>
        <w:rPr/>
        <w:t xml:space="preserve"> {{field-on:bible}}Kehr um </w:t>
      </w:r>
      <w:r>
        <w:rPr>
          <w:color w:val="808080"/>
        </w:rPr>
        <w:t>(Ändere deinen Sinn, Bekehre dich, Bereue)</w:t>
      </w:r>
      <w:r>
        <w:rPr/>
        <w:t xml:space="preserve"> also: Wenn aber nicht, komme ich zu dir schnell und führe Krieg gegen sie </w:t>
      </w:r>
      <w:r>
        <w:rPr>
          <w:color w:val="808080"/>
        </w:rPr>
        <w:t>(mit ihnen)</w:t>
      </w:r>
      <w:r>
        <w:rPr/>
        <w:t xml:space="preserve"> mit dem Schwert meines Mundes.{{field-off:bible}} </w:t>
        <w:br/>
        <w:t>[[@BibleTOBIBLE:Re 2:17]]</w:t>
      </w:r>
      <w:r>
        <w:rPr>
          <w:b/>
        </w:rPr>
        <w:t>17</w:t>
      </w:r>
      <w:r>
        <w:rPr/>
        <w:t xml:space="preserve"> {{field-on:bible}}Wer ein Ohr hat, höre, was der Geist den Kirchen </w:t>
      </w:r>
      <w:r>
        <w:rPr>
          <w:color w:val="808080"/>
        </w:rPr>
        <w:t>(Gemeinden)</w:t>
      </w:r>
      <w:r>
        <w:rPr/>
        <w:t xml:space="preserve"> sagt. Dem, der siegt, werde ich </w:t>
      </w:r>
      <w:r>
        <w:rPr>
          <w:strike/>
          <w:color w:val="808080"/>
        </w:rPr>
        <w:t>{ihm}</w:t>
      </w:r>
      <w:r>
        <w:rPr/>
        <w:t xml:space="preserve"> vom Manna, dem verborgenen geben und ich werde ihm einen weißen Stein </w:t>
      </w:r>
      <w:r>
        <w:rPr>
          <w:color w:val="808080"/>
        </w:rPr>
        <w:t>(Kiesel)</w:t>
      </w:r>
      <w:r>
        <w:rPr/>
        <w:t xml:space="preserve"> geben, und auf dem Stein </w:t>
      </w:r>
      <w:r>
        <w:rPr>
          <w:color w:val="808080"/>
        </w:rPr>
        <w:t>(Kiesel)</w:t>
      </w:r>
      <w:r>
        <w:rPr/>
        <w:t xml:space="preserve"> einen neuen Namen geschrieben, den keiner kennt, außer dem, der </w:t>
      </w:r>
      <w:r>
        <w:rPr>
          <w:b/>
          <w:color w:val="808080"/>
        </w:rPr>
        <w:t>[</w:t>
      </w:r>
      <w:r>
        <w:rPr/>
        <w:t>ihn</w:t>
      </w:r>
      <w:r>
        <w:rPr>
          <w:b/>
          <w:color w:val="808080"/>
        </w:rPr>
        <w:t>]</w:t>
      </w:r>
      <w:r>
        <w:rPr/>
        <w:t xml:space="preserve"> empfängt.{{field-off:bible}} </w:t>
        <w:br/>
        <w:t>[[@BibleTOBIBLE:Re 2:18]]</w:t>
      </w:r>
      <w:r>
        <w:rPr>
          <w:b/>
        </w:rPr>
        <w:t>18</w:t>
      </w:r>
      <w:r>
        <w:rPr/>
        <w:t xml:space="preserve"> {{field-on:bible}}Und dem Engel der Kirche </w:t>
      </w:r>
      <w:r>
        <w:rPr>
          <w:color w:val="808080"/>
        </w:rPr>
        <w:t>(Gemeinde)</w:t>
      </w:r>
      <w:r>
        <w:rPr/>
        <w:t xml:space="preserve"> in Thyatira schreibe: Dies sagt der Sohn Gottes, der </w:t>
      </w:r>
      <w:r>
        <w:rPr>
          <w:strike/>
          <w:color w:val="808080"/>
        </w:rPr>
        <w:t>{seine}</w:t>
      </w:r>
      <w:r>
        <w:rPr/>
        <w:t xml:space="preserve"> Augen hat wie eine Flamme von Feuer und </w:t>
      </w:r>
      <w:r>
        <w:rPr>
          <w:strike/>
          <w:color w:val="808080"/>
        </w:rPr>
        <w:t>{seine}</w:t>
      </w:r>
      <w:r>
        <w:rPr/>
        <w:t xml:space="preserve"> Füße gleich glänzender Bronze.</w:t>
      </w:r>
      <w:r>
        <w:rPr>
          <w:rStyle w:val="Funotenanker"/>
        </w:rPr>
        <w:footnoteReference w:customMarkFollows="1" w:id="6722"/>
        <w:t>a</w:t>
      </w:r>
      <w:r>
        <w:rPr/>
        <w:t xml:space="preserve"> {{field-off:bible}} </w:t>
        <w:br/>
        <w:t>[[@BibleTOBIBLE:Re 2:19]]</w:t>
      </w:r>
      <w:r>
        <w:rPr>
          <w:b/>
        </w:rPr>
        <w:t>19</w:t>
      </w:r>
      <w:r>
        <w:rPr/>
        <w:t xml:space="preserve"> {{field-on:bible}}Ich kenne deine Werke und deine Liebe und </w:t>
      </w:r>
      <w:r>
        <w:rPr>
          <w:b/>
          <w:color w:val="808080"/>
        </w:rPr>
        <w:t>[</w:t>
      </w:r>
      <w:r>
        <w:rPr/>
        <w:t>deine</w:t>
      </w:r>
      <w:r>
        <w:rPr>
          <w:b/>
          <w:color w:val="808080"/>
        </w:rPr>
        <w:t>]</w:t>
      </w:r>
      <w:r>
        <w:rPr/>
        <w:t xml:space="preserve"> Gerechtigkeit und </w:t>
      </w:r>
      <w:r>
        <w:rPr>
          <w:b/>
          <w:color w:val="808080"/>
        </w:rPr>
        <w:t>[</w:t>
      </w:r>
      <w:r>
        <w:rPr/>
        <w:t>deine</w:t>
      </w:r>
      <w:r>
        <w:rPr>
          <w:b/>
          <w:color w:val="808080"/>
        </w:rPr>
        <w:t>]</w:t>
      </w:r>
      <w:r>
        <w:rPr/>
        <w:t xml:space="preserve"> Ausdauer, und deine letzten Werke</w:t>
      </w:r>
      <w:r>
        <w:rPr>
          <w:b/>
          <w:color w:val="808080"/>
        </w:rPr>
        <w:t>[</w:t>
      </w:r>
      <w:r>
        <w:rPr/>
        <w:t>, die</w:t>
      </w:r>
      <w:r>
        <w:rPr>
          <w:b/>
          <w:color w:val="808080"/>
        </w:rPr>
        <w:t>]</w:t>
      </w:r>
      <w:r>
        <w:rPr/>
        <w:t xml:space="preserve"> mehr </w:t>
      </w:r>
      <w:r>
        <w:rPr>
          <w:b/>
          <w:color w:val="808080"/>
        </w:rPr>
        <w:t>[</w:t>
      </w:r>
      <w:r>
        <w:rPr/>
        <w:t>sind</w:t>
      </w:r>
      <w:r>
        <w:rPr>
          <w:b/>
          <w:color w:val="808080"/>
        </w:rPr>
        <w:t>]</w:t>
      </w:r>
      <w:r>
        <w:rPr/>
        <w:t xml:space="preserve"> als die ersten.{{field-off:bible}} </w:t>
        <w:br/>
        <w:t>[[@BibleTOBIBLE:Re 2:20]]</w:t>
      </w:r>
      <w:r>
        <w:rPr>
          <w:b/>
        </w:rPr>
        <w:t>20</w:t>
      </w:r>
      <w:r>
        <w:rPr/>
        <w:t xml:space="preserve"> {{field-on:bible}}Aber ich habe gegen dich, dass du die Frau Isebel duldest </w:t>
      </w:r>
      <w:r>
        <w:rPr>
          <w:color w:val="808080"/>
        </w:rPr>
        <w:t>(zulässt, lässt)</w:t>
      </w:r>
      <w:r>
        <w:rPr/>
        <w:t xml:space="preserve">, die von sich behauptet, Prophetin zu sein </w:t>
      </w:r>
      <w:r>
        <w:rPr>
          <w:color w:val="808080"/>
        </w:rPr>
        <w:t>(die sich Prophetin sagt/nennt)</w:t>
      </w:r>
      <w:r>
        <w:rPr/>
        <w:t xml:space="preserve"> und lehrt und meine Knechte in die Irre führt, Unzucht zu treiben und den Götzen Geopfertes </w:t>
      </w:r>
      <w:r>
        <w:rPr>
          <w:color w:val="808080"/>
        </w:rPr>
        <w:t>(Götzenopferfleisch)</w:t>
      </w:r>
      <w:r>
        <w:rPr/>
        <w:t xml:space="preserve"> zu essen.{{field-off:bible}} </w:t>
        <w:br/>
        <w:t>[[@BibleTOBIBLE:Re 2:21]]</w:t>
      </w:r>
      <w:r>
        <w:rPr>
          <w:b/>
        </w:rPr>
        <w:t>21</w:t>
      </w:r>
      <w:r>
        <w:rPr/>
        <w:t xml:space="preserve"> {{field-on:bible}}Und ich habe ihr Zeit gegeben, damit sie umkehre </w:t>
      </w:r>
      <w:r>
        <w:rPr>
          <w:color w:val="808080"/>
        </w:rPr>
        <w:t>(ihren Sinn ändere, sich bekehre, bereue)</w:t>
      </w:r>
      <w:r>
        <w:rPr/>
        <w:t xml:space="preserve">, und sie will nicht umkehren </w:t>
      </w:r>
      <w:r>
        <w:rPr>
          <w:color w:val="808080"/>
        </w:rPr>
        <w:t>(nicht ihren Sinn änderen, sich nicht bekehren, nicht bereuen)</w:t>
      </w:r>
      <w:r>
        <w:rPr/>
        <w:t xml:space="preserve"> von </w:t>
      </w:r>
      <w:r>
        <w:rPr>
          <w:color w:val="808080"/>
        </w:rPr>
        <w:t>(aus)</w:t>
      </w:r>
      <w:r>
        <w:rPr/>
        <w:t xml:space="preserve"> ihrer Unzucht.{{field-off:bible}} </w:t>
        <w:br/>
        <w:t>[[@BibleTOBIBLE:Re 2:22]]</w:t>
      </w:r>
      <w:r>
        <w:rPr>
          <w:b/>
        </w:rPr>
        <w:t>22</w:t>
      </w:r>
      <w:r>
        <w:rPr/>
        <w:t xml:space="preserve"> {{field-on:bible}}Sieh, ich werfe sie auf die </w:t>
      </w:r>
      <w:r>
        <w:rPr>
          <w:color w:val="808080"/>
        </w:rPr>
        <w:t>(in die)</w:t>
      </w:r>
      <w:r>
        <w:rPr/>
        <w:t xml:space="preserve"> Bahre </w:t>
      </w:r>
      <w:r>
        <w:rPr>
          <w:color w:val="808080"/>
        </w:rPr>
        <w:t>(Liege)</w:t>
      </w:r>
      <w:r>
        <w:rPr/>
        <w:t xml:space="preserve"> und diejenigen, die mit ihr Ehebruch begehen in eine große Bedrängnis, wenn sie nicht umkehren </w:t>
      </w:r>
      <w:r>
        <w:rPr>
          <w:color w:val="808080"/>
        </w:rPr>
        <w:t>(nicht ihren Sinn ändern, sich nicht bekehren, nicht bereuen)</w:t>
      </w:r>
      <w:r>
        <w:rPr/>
        <w:t xml:space="preserve"> von </w:t>
      </w:r>
      <w:r>
        <w:rPr>
          <w:color w:val="808080"/>
        </w:rPr>
        <w:t>(aus)</w:t>
      </w:r>
      <w:r>
        <w:rPr/>
        <w:t xml:space="preserve"> ihren</w:t>
      </w:r>
      <w:r>
        <w:rPr>
          <w:rStyle w:val="Funotenanker"/>
        </w:rPr>
        <w:footnoteReference w:customMarkFollows="1" w:id="6723"/>
        <w:t>b</w:t>
      </w:r>
      <w:r>
        <w:rPr/>
        <w:t xml:space="preserve"> Werken,{{field-off:bible}} </w:t>
        <w:br/>
        <w:t>[[@BibleTOBIBLE:Re 2:23]]</w:t>
      </w:r>
      <w:r>
        <w:rPr>
          <w:b/>
        </w:rPr>
        <w:t>23</w:t>
      </w:r>
      <w:r>
        <w:rPr/>
        <w:t xml:space="preserve"> {{field-on:bible}}und ihre Kinder werde ich töten in einem Tod. Und alle die Kirchen </w:t>
      </w:r>
      <w:r>
        <w:rPr>
          <w:color w:val="808080"/>
        </w:rPr>
        <w:t>(Gemeinden)</w:t>
      </w:r>
      <w:r>
        <w:rPr/>
        <w:t xml:space="preserve"> werden wissen, dass ich der bin, der Nieren und Herzen erforscht, und ich werde euch – einem jeden </w:t>
      </w:r>
      <w:r>
        <w:rPr>
          <w:color w:val="808080"/>
        </w:rPr>
        <w:t>(jedem)</w:t>
      </w:r>
      <w:r>
        <w:rPr/>
        <w:t xml:space="preserve"> – entsprechend eurer Werke geben.{{field-off:bible}} </w:t>
        <w:br/>
        <w:t>[[@BibleTOBIBLE:Re 2:24]]</w:t>
      </w:r>
      <w:r>
        <w:rPr>
          <w:b/>
        </w:rPr>
        <w:t>24</w:t>
      </w:r>
      <w:r>
        <w:rPr/>
        <w:t xml:space="preserve"> {{field-on:bible}}Euch aber sage ich, den übrigen in Thyatira, alle die diese Lehre nicht haben, welche die Tiefen Satans nicht erkannt haben, wie sie sagen: Nicht werfe ich auf euch eine andere Last,{{field-off:bible}} </w:t>
        <w:br/>
        <w:t>[[@BibleTOBIBLE:Re 2:25]]</w:t>
      </w:r>
      <w:r>
        <w:rPr>
          <w:b/>
        </w:rPr>
        <w:t>25</w:t>
      </w:r>
      <w:r>
        <w:rPr/>
        <w:t xml:space="preserve"> {{field-on:bible}}jedoch </w:t>
      </w:r>
      <w:r>
        <w:rPr>
          <w:color w:val="808080"/>
        </w:rPr>
        <w:t>(nur)</w:t>
      </w:r>
      <w:r>
        <w:rPr/>
        <w:t xml:space="preserve">, was ihr habt, haltet fest, bis ich komme.{{field-off:bible}} </w:t>
        <w:br/>
        <w:t>[[@BibleTOBIBLE:Re 2:26]]</w:t>
      </w:r>
      <w:r>
        <w:rPr>
          <w:b/>
        </w:rPr>
        <w:t>26</w:t>
      </w:r>
      <w:r>
        <w:rPr/>
        <w:t xml:space="preserve"> {{field-on:bible}}Und wer siegt und bis zum Ende meine Werke bewahrt, dem </w:t>
      </w:r>
      <w:r>
        <w:rPr>
          <w:color w:val="808080"/>
        </w:rPr>
        <w:t>(ihm)</w:t>
      </w:r>
      <w:r>
        <w:rPr/>
        <w:t xml:space="preserve"> werde ich Vollmacht über die Völker geben{{field-off:bible}} </w:t>
        <w:br/>
        <w:t>[[@BibleTOBIBLE:Re 2:27]]</w:t>
      </w:r>
      <w:r>
        <w:rPr>
          <w:b/>
        </w:rPr>
        <w:t>27</w:t>
      </w:r>
      <w:r>
        <w:rPr/>
        <w:t xml:space="preserve"> {{field-on:bible}}und er wird sie mit einem eisernen Stab weiden, </w:t>
      </w:r>
      <w:r>
        <w:rPr>
          <w:strike/>
          <w:color w:val="808080"/>
        </w:rPr>
        <w:t>{so}</w:t>
      </w:r>
      <w:r>
        <w:rPr/>
        <w:t xml:space="preserve"> wie die tönernen Gefäße zerschlagen werden</w:t>
      </w:r>
      <w:r>
        <w:rPr>
          <w:rStyle w:val="Funotenanker"/>
        </w:rPr>
        <w:footnoteReference w:customMarkFollows="1" w:id="6724"/>
        <w:t>c</w:t>
      </w:r>
      <w:r>
        <w:rPr/>
        <w:t xml:space="preserve">,{{field-off:bible}} </w:t>
        <w:br/>
        <w:t>[[@BibleTOBIBLE:Re 2:28]]</w:t>
      </w:r>
      <w:r>
        <w:rPr>
          <w:b/>
        </w:rPr>
        <w:t>28</w:t>
      </w:r>
      <w:r>
        <w:rPr/>
        <w:t xml:space="preserve"> {{field-on:bible}}wie auch ich von meinem Vater empfangen habe, und ich werde ihm den Morgenstern geben.{{field-off:bible}} </w:t>
        <w:br/>
        <w:t>[[@BibleTOBIBLE:Re 2:29]]</w:t>
      </w:r>
      <w:r>
        <w:rPr>
          <w:b/>
        </w:rPr>
        <w:t>29</w:t>
      </w:r>
      <w:r>
        <w:rPr/>
        <w:t xml:space="preserve"> {{field-on:bible}}Wer ein Ohr hat, höre, was der Geist den Kirchen </w:t>
      </w:r>
      <w:r>
        <w:rPr>
          <w:color w:val="808080"/>
        </w:rPr>
        <w:t>(Gemeinden)</w:t>
      </w:r>
      <w:r>
        <w:rPr/>
        <w:t xml:space="preserve"> sagt.{{field-off:bible}} </w:t>
      </w:r>
    </w:p>
    <w:p>
      <w:pPr>
        <w:pStyle w:val="Berschrift3"/>
        <w:rPr/>
      </w:pPr>
      <w:r>
        <w:rPr/>
        <w:t>[[@BibleTOBIBLE:Re 3]]Kapitel 3</w:t>
      </w:r>
    </w:p>
    <w:p>
      <w:pPr>
        <w:pStyle w:val="Textkrper"/>
        <w:rPr/>
      </w:pPr>
      <w:r>
        <w:rPr/>
        <w:br/>
        <w:t>[[@BibleTOBIBLE:Re 3:7]]</w:t>
      </w:r>
      <w:r>
        <w:rPr>
          <w:b/>
        </w:rPr>
        <w:t>7</w:t>
      </w:r>
      <w:r>
        <w:rPr/>
        <w:t xml:space="preserve"> {{field-on:bible}}Und dem Geist</w:t>
      </w:r>
      <w:r>
        <w:rPr>
          <w:color w:val="808080"/>
        </w:rPr>
        <w:t>(Engel, Beschützer, Wächter)</w:t>
      </w:r>
      <w:r>
        <w:rPr/>
        <w:t xml:space="preserve"> </w:t>
      </w:r>
      <w:r>
        <w:rPr>
          <w:rStyle w:val="Funotenanker"/>
        </w:rPr>
        <w:footnoteReference w:customMarkFollows="1" w:id="6725"/>
        <w:t>a</w:t>
      </w:r>
      <w:r>
        <w:rPr/>
        <w:t xml:space="preserve">der Gemeinde in Philadelphia schreibe: „Dies sagt der Heilige, der Wahrhaftige </w:t>
      </w:r>
      <w:r>
        <w:rPr>
          <w:color w:val="808080"/>
        </w:rPr>
        <w:t>(Wahre)</w:t>
      </w:r>
      <w:r>
        <w:rPr/>
        <w:t xml:space="preserve"> </w:t>
      </w:r>
      <w:r>
        <w:rPr>
          <w:rStyle w:val="Funotenanker"/>
        </w:rPr>
        <w:footnoteReference w:customMarkFollows="1" w:id="6726"/>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6727"/>
        <w:t>c</w:t>
      </w:r>
      <w:r>
        <w:rPr/>
        <w:t xml:space="preserve"> </w:t>
      </w:r>
      <w:r>
        <w:rPr>
          <w:rStyle w:val="Funotenanker"/>
        </w:rPr>
        <w:footnoteReference w:customMarkFollows="1" w:id="6728"/>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6729"/>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6730"/>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6731"/>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6732"/>
        <w:t>a</w:t>
      </w:r>
      <w:r>
        <w:rPr/>
        <w:t xml:space="preserve"> gehört hatte – sprach</w:t>
      </w:r>
      <w:r>
        <w:rPr>
          <w:rStyle w:val="Funotenanker"/>
        </w:rPr>
        <w:footnoteReference w:customMarkFollows="1" w:id="6733"/>
        <w:t>b</w:t>
      </w:r>
      <w:r>
        <w:rPr/>
        <w:t xml:space="preserve">: „Komm herauf, dann </w:t>
      </w:r>
      <w:r>
        <w:rPr>
          <w:color w:val="808080"/>
        </w:rPr>
        <w:t>(und)</w:t>
      </w:r>
      <w:r>
        <w:rPr/>
        <w:t xml:space="preserve"> werde ich dir zeigen, was danach geschehen muss!“</w:t>
      </w:r>
      <w:r>
        <w:rPr>
          <w:rStyle w:val="Funotenanker"/>
        </w:rPr>
        <w:footnoteReference w:customMarkFollows="1" w:id="6734"/>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6735"/>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6736"/>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6737"/>
        <w:t>f</w:t>
      </w:r>
      <w:r>
        <w:rPr/>
        <w:t xml:space="preserve"> 24 Älteste </w:t>
      </w:r>
      <w:r>
        <w:rPr>
          <w:color w:val="808080"/>
        </w:rPr>
        <w:t>(Greise)</w:t>
      </w:r>
      <w:r>
        <w:rPr/>
        <w:t>, gekleidet</w:t>
      </w:r>
      <w:r>
        <w:rPr>
          <w:rStyle w:val="Funotenanker"/>
        </w:rPr>
        <w:footnoteReference w:customMarkFollows="1" w:id="6738"/>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6739"/>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6740"/>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6741"/>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6742"/>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6743"/>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6744"/>
        <w:t>m</w:t>
      </w:r>
      <w:r>
        <w:rPr/>
        <w:t>, der lebt</w:t>
      </w:r>
      <w:r>
        <w:rPr>
          <w:rStyle w:val="Funotenanker"/>
        </w:rPr>
        <w:footnoteReference w:customMarkFollows="1" w:id="6745"/>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46"/>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6747"/>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6748"/>
        <w:t>q</w:t>
      </w:r>
      <w:r>
        <w:rPr/>
        <w:t xml:space="preserve">, und sie werfen ihre Siegeskränze vor den Thron, wobei </w:t>
      </w:r>
      <w:r>
        <w:rPr>
          <w:color w:val="808080"/>
        </w:rPr>
        <w:t>(während)</w:t>
      </w:r>
      <w:r>
        <w:rPr/>
        <w:t xml:space="preserve"> sie rufen</w:t>
      </w:r>
      <w:r>
        <w:rPr>
          <w:rStyle w:val="Funotenanker"/>
        </w:rPr>
        <w:footnoteReference w:customMarkFollows="1" w:id="6749"/>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6750"/>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6751"/>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6752"/>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6753"/>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6754"/>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6755"/>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6756"/>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6757"/>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6758"/>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6759"/>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6760"/>
        <w:t>j</w:t>
      </w:r>
      <w:r>
        <w:rPr/>
        <w:t xml:space="preserve"> – das</w:t>
      </w:r>
      <w:r>
        <w:rPr>
          <w:rStyle w:val="Funotenanker"/>
        </w:rPr>
        <w:footnoteReference w:customMarkFollows="1" w:id="6761"/>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6762"/>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6763"/>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6764"/>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6765"/>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6766"/>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6767"/>
        <w:t>q</w:t>
      </w:r>
      <w:r>
        <w:rPr/>
        <w:t xml:space="preserve"> „Würdig ist das Lamm </w:t>
      </w:r>
      <w:r>
        <w:rPr>
          <w:color w:val="808080"/>
        </w:rPr>
        <w:t>(Schaf)</w:t>
      </w:r>
      <w:r>
        <w:rPr/>
        <w:t>, das geschlachtet wurde,</w:t>
      </w:r>
      <w:r>
        <w:rPr>
          <w:rStyle w:val="Funotenanker"/>
        </w:rPr>
        <w:footnoteReference w:customMarkFollows="1" w:id="6768"/>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6769"/>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70"/>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6771"/>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6772"/>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6773"/>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6774"/>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6775"/>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6776"/>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6777"/>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6778"/>
        <w:t>f</w:t>
      </w:r>
      <w:r>
        <w:rPr/>
        <w:t>: „Fügt weder der Erde noch dem Meer noch den Bäumen Schaden zu</w:t>
      </w:r>
      <w:r>
        <w:rPr>
          <w:rStyle w:val="Funotenanker"/>
        </w:rPr>
        <w:footnoteReference w:customMarkFollows="1" w:id="6779"/>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6780"/>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6781"/>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82"/>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6783"/>
        <w:t>k</w:t>
      </w:r>
      <w:r>
        <w:rPr/>
        <w:t xml:space="preserve"> an mich und fragte</w:t>
      </w:r>
      <w:r>
        <w:rPr>
          <w:rStyle w:val="Funotenanker"/>
        </w:rPr>
        <w:footnoteReference w:customMarkFollows="1" w:id="6784"/>
        <w:t>l</w:t>
      </w:r>
      <w:r>
        <w:rPr/>
        <w:t xml:space="preserve">: „Diejenigen, die in die weißen Gewänder </w:t>
      </w:r>
      <w:r>
        <w:rPr>
          <w:color w:val="808080"/>
        </w:rPr>
        <w:t>(Kleider)</w:t>
      </w:r>
      <w:r>
        <w:rPr/>
        <w:t xml:space="preserve"> gekleidet sind</w:t>
      </w:r>
      <w:r>
        <w:rPr>
          <w:rStyle w:val="Funotenanker"/>
        </w:rPr>
        <w:footnoteReference w:customMarkFollows="1" w:id="6785"/>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12]]Kapitel 12</w:t>
      </w:r>
    </w:p>
    <w:p>
      <w:pPr>
        <w:pStyle w:val="Textkrper"/>
        <w:rPr/>
      </w:pPr>
      <w:r>
        <w:rPr/>
        <w:br/>
        <w:t>[[@BibleTOBIBLE:Re 12:1]]</w:t>
      </w:r>
      <w:r>
        <w:rPr>
          <w:b/>
        </w:rPr>
        <w:t>1</w:t>
      </w:r>
      <w:r>
        <w:rPr/>
        <w:t xml:space="preserve"> {{field-on:bible}}Und es erschien ein großes Zeichen am Himmel </w:t>
      </w:r>
      <w:r>
        <w:rPr>
          <w:color w:val="808080"/>
        </w:rPr>
        <w:t>(im Himmel)</w:t>
      </w:r>
      <w:r>
        <w:rPr/>
        <w:t xml:space="preserve">: eine Frau, umworfen mit der Sonne, und der Mond unter ihren Füssen, und auf ihrem Haupt ein Kranz von zwölf Sternen.{{field-off:bible}} </w:t>
        <w:br/>
        <w:t>[[@BibleTOBIBLE:Re 12:2]]</w:t>
      </w:r>
      <w:r>
        <w:rPr>
          <w:b/>
        </w:rPr>
        <w:t>2</w:t>
      </w:r>
      <w:r>
        <w:rPr/>
        <w:t xml:space="preserve"> {{field-on:bible}}Sie trägt schwanger, und sie schreit in Wehen und Schmerzen einer Geburt.{{field-off:bible}} </w:t>
        <w:br/>
        <w:t>[[@BibleTOBIBLE:Re 12:3]]</w:t>
      </w:r>
      <w:r>
        <w:rPr>
          <w:b/>
        </w:rPr>
        <w:t>3</w:t>
      </w:r>
      <w:r>
        <w:rPr/>
        <w:t xml:space="preserve"> {{field-on:bible}}Und ein anderes Zeichen erschien am Himmel: Siehe, ein Drache, gross und feuerrot, mit sieben Köpfen und zehn Hörnern, und auf seinen Köpfen sieben Diademe.{{field-off:bible}} </w:t>
      </w:r>
    </w:p>
    <w:p>
      <w:pPr>
        <w:pStyle w:val="Berschrift3"/>
        <w:rPr/>
      </w:pPr>
      <w:r>
        <w:rPr/>
        <w:t>[[@BibleTOBIBLE:Re 13]]Kapitel 13</w:t>
      </w:r>
    </w:p>
    <w:p>
      <w:pPr>
        <w:pStyle w:val="Textkrper"/>
        <w:spacing w:before="0" w:after="283"/>
        <w:rPr/>
      </w:pPr>
      <w:r>
        <w:rPr/>
        <w:br/>
        <w:t>[[@BibleTOBIBLE:Re 13:1]]</w:t>
      </w:r>
      <w:r>
        <w:rPr>
          <w:b/>
        </w:rPr>
        <w:t>1</w:t>
      </w:r>
      <w:r>
        <w:rPr/>
        <w:t xml:space="preserve"> {{field-on:bible}} </w:t>
      </w:r>
      <w:r>
        <w:rPr>
          <w:rStyle w:val="Funotenanker"/>
        </w:rPr>
        <w:footnoteReference w:customMarkFollows="1" w:id="6786"/>
        <w:t>Status</w:t>
      </w:r>
      <w:r>
        <w:rPr/>
        <w:t xml:space="preserve"> Und ich sah ein Tier aus dem Meer aufsteigen, welches zehn Hörner und sieben Köpfe und auf seinen Hörnern zehn Diademe und auf seinen Köpfen </w:t>
      </w:r>
      <w:r>
        <w:rPr>
          <w:rStyle w:val="Funotenanker"/>
        </w:rPr>
        <w:footnoteReference w:customMarkFollows="1" w:id="6787"/>
        <w:t>a</w:t>
      </w:r>
      <w:r>
        <w:rPr/>
        <w:t xml:space="preserve"> einen blasphemischen Namen </w:t>
      </w:r>
      <w:r>
        <w:rPr>
          <w:rStyle w:val="Funotenanker"/>
        </w:rPr>
        <w:footnoteReference w:customMarkFollows="1" w:id="6788"/>
        <w:t>b</w:t>
      </w:r>
      <w:r>
        <w:rPr/>
        <w:t xml:space="preserve"> hatte.{{field-off:bible}} </w:t>
        <w:br/>
        <w:t>[[@BibleTOBIBLE:Re 13:2]]</w:t>
      </w:r>
      <w:r>
        <w:rPr>
          <w:b/>
        </w:rPr>
        <w:t>2</w:t>
      </w:r>
      <w:r>
        <w:rPr/>
        <w:t xml:space="preserve"> {{field-on:bible}}Und das Tier, welches ich sah, war wie ein Leopard und seine Füße wie die eines Bären und sein Mund wie der Mund eines Löwen. Und der Drache gab ihm seine Macht und seinen Thron und große Gewalt.{{field-off:bible}} </w:t>
        <w:br/>
        <w:t>[[@BibleTOBIBLE:Re 13:3]]</w:t>
      </w:r>
      <w:r>
        <w:rPr>
          <w:b/>
        </w:rPr>
        <w:t>3</w:t>
      </w:r>
      <w:r>
        <w:rPr/>
        <w:t xml:space="preserve"> {{field-on:bible}}Und </w:t>
      </w:r>
      <w:r>
        <w:rPr>
          <w:b/>
          <w:color w:val="808080"/>
        </w:rPr>
        <w:t>[</w:t>
      </w:r>
      <w:r>
        <w:rPr/>
        <w:t>ich sah</w:t>
      </w:r>
      <w:r>
        <w:rPr>
          <w:b/>
          <w:color w:val="808080"/>
        </w:rPr>
        <w:t>]</w:t>
      </w:r>
      <w:r>
        <w:rPr/>
        <w:t xml:space="preserve"> einen seiner Köpfe wie zu Tode ge-schlachtet und die Wunde seines Todes wurde geheilt. Und die ganze Welt wunderte sich hinter dem Tier her.{{field-off:bible}} </w:t>
        <w:br/>
        <w:t>[[@BibleTOBIBLE:Re 13:4]]</w:t>
      </w:r>
      <w:r>
        <w:rPr>
          <w:b/>
        </w:rPr>
        <w:t>4</w:t>
      </w:r>
      <w:r>
        <w:rPr/>
        <w:t xml:space="preserve"> {{field-on:bible}}Und sie beteten den Drachen an,weil er dem Tier die Gewalt gegeben hatte, und sie beugten ihre Knie vor dem Tier, wobei sie sagten: „Wer ist wie das Tier und wer kann es bekämpfen?“{{field-off:bible}} </w:t>
        <w:br/>
        <w:t>[[@BibleTOBIBLE:Re 13:5]]</w:t>
      </w:r>
      <w:r>
        <w:rPr>
          <w:b/>
        </w:rPr>
        <w:t>5</w:t>
      </w:r>
      <w:r>
        <w:rPr/>
        <w:t xml:space="preserve"> {{field-on:bible}}Und ihm wurde ein Mund gegeben um Lautes und Blasphemisches zu reden und ihm wurde Gewalt gegeben, </w:t>
      </w:r>
      <w:r>
        <w:rPr>
          <w:color w:val="808080"/>
        </w:rPr>
        <w:t>(es)</w:t>
      </w:r>
      <w:r>
        <w:rPr/>
        <w:t xml:space="preserve"> zweiundvierzig Monate zu tun </w:t>
      </w:r>
      <w:r>
        <w:rPr>
          <w:rStyle w:val="Funotenanker"/>
        </w:rPr>
        <w:footnoteReference w:customMarkFollows="1" w:id="6789"/>
        <w:t>c</w:t>
      </w:r>
      <w:r>
        <w:rPr/>
        <w:t xml:space="preserve"> {{field-off:bible}} </w:t>
        <w:br/>
        <w:t>[[@BibleTOBIBLE:Re 13:6]]</w:t>
      </w:r>
      <w:r>
        <w:rPr>
          <w:b/>
        </w:rPr>
        <w:t>6</w:t>
      </w:r>
      <w:r>
        <w:rPr/>
        <w:t xml:space="preserve"> {{field-on:bible}}Und es öffnete seinen Mund zur Blasphemie um Gott zu lästern, seinen Namen und sein Zelt und diejenigen, welche im Himmel leben.{{field-off:bible}} </w:t>
        <w:br/>
        <w:t>[[@BibleTOBIBLE:Re 13:7]]</w:t>
      </w:r>
      <w:r>
        <w:rPr>
          <w:b/>
        </w:rPr>
        <w:t>7</w:t>
      </w:r>
      <w:r>
        <w:rPr/>
        <w:t xml:space="preserve"> {{field-on:bible}} </w:t>
      </w:r>
      <w:r>
        <w:rPr>
          <w:rStyle w:val="Funotenanker"/>
        </w:rPr>
        <w:footnoteReference w:customMarkFollows="1" w:id="6790"/>
        <w:t>d</w:t>
      </w:r>
      <w:r>
        <w:rPr/>
        <w:t xml:space="preserve"> ihm wurde gegeben die Gewalt über jeden Stamm und </w:t>
      </w:r>
      <w:r>
        <w:rPr>
          <w:color w:val="808080"/>
        </w:rPr>
        <w:t>(jedes)</w:t>
      </w:r>
      <w:r>
        <w:rPr/>
        <w:t xml:space="preserve"> Volk und </w:t>
      </w:r>
      <w:r>
        <w:rPr>
          <w:color w:val="808080"/>
        </w:rPr>
        <w:t>(jede)</w:t>
      </w:r>
      <w:r>
        <w:rPr/>
        <w:t xml:space="preserve"> Sprache und </w:t>
      </w:r>
      <w:r>
        <w:rPr>
          <w:color w:val="808080"/>
        </w:rPr>
        <w:t>(jede)</w:t>
      </w:r>
      <w:r>
        <w:rPr/>
        <w:t xml:space="preserve"> Nation.{{field-off:bible}} </w:t>
        <w:br/>
        <w:t>[[@BibleTOBIBLE:Re 13:8]]</w:t>
      </w:r>
      <w:r>
        <w:rPr>
          <w:b/>
        </w:rPr>
        <w:t>8</w:t>
      </w:r>
      <w:r>
        <w:rPr/>
        <w:t xml:space="preserve"> {{field-on:bible}}Und alle, die auf der Erde leben, werden vor ihm ihre Knie beugen, </w:t>
      </w:r>
      <w:r>
        <w:rPr>
          <w:color w:val="808080"/>
        </w:rPr>
        <w:t>(jeder)</w:t>
      </w:r>
      <w:r>
        <w:rPr/>
        <w:t xml:space="preserve"> dessen Name </w:t>
      </w:r>
      <w:r>
        <w:rPr>
          <w:rStyle w:val="Funotenanker"/>
        </w:rPr>
        <w:footnoteReference w:customMarkFollows="1" w:id="6791"/>
        <w:t>e</w:t>
      </w:r>
      <w:r>
        <w:rPr/>
        <w:t xml:space="preserve"> nicht geschrieben wurde in das Buch des Lebens des geschlachteten Lammes, vom Anfang der Welt an.{{field-off:bible}} </w:t>
        <w:br/>
        <w:t>[[@BibleTOBIBLE:Re 13:9]]</w:t>
      </w:r>
      <w:r>
        <w:rPr>
          <w:b/>
        </w:rPr>
        <w:t>9</w:t>
      </w:r>
      <w:r>
        <w:rPr/>
        <w:t xml:space="preserve"> {{field-on:bible}}Wenn jemand ein Ohr hat, so höre er.{{field-off:bible}} </w:t>
        <w:br/>
        <w:t>[[@BibleTOBIBLE:Re 13:10]]</w:t>
      </w:r>
      <w:r>
        <w:rPr>
          <w:b/>
        </w:rPr>
        <w:t>10</w:t>
      </w:r>
      <w:r>
        <w:rPr/>
        <w:t xml:space="preserve"> {{field-on:bible}}Wenn jemand in Gefangenschaft führt, so geht er in Gefangenschaft</w:t>
      </w:r>
      <w:r>
        <w:rPr>
          <w:rStyle w:val="Funotenanker"/>
        </w:rPr>
        <w:footnoteReference w:customMarkFollows="1" w:id="6792"/>
        <w:t>f</w:t>
      </w:r>
      <w:r>
        <w:rPr/>
        <w:t xml:space="preserve"> Wenn jemand mit einem Schwert tötet, so wird er mit einem Schwert getötet </w:t>
      </w:r>
      <w:r>
        <w:rPr>
          <w:rStyle w:val="Funotenanker"/>
        </w:rPr>
        <w:footnoteReference w:customMarkFollows="1" w:id="6793"/>
        <w:t>g</w:t>
      </w:r>
      <w:r>
        <w:rPr/>
        <w:t xml:space="preserve">. Hier ist die Geduld und der Glaube der Heiligen.{{field-off:bible}} </w:t>
        <w:br/>
        <w:t>[[@BibleTOBIBLE:Re 13:11]]</w:t>
      </w:r>
      <w:r>
        <w:rPr>
          <w:b/>
        </w:rPr>
        <w:t>11</w:t>
      </w:r>
      <w:r>
        <w:rPr/>
        <w:t xml:space="preserve"> {{field-on:bible}}Und ich sah ein anderes Tier aus der Erde hinaufsteigen und es hatte zwei Hörner wie ein Lamm und sprach wie ein Drache.{{field-off:bible}} </w:t>
        <w:br/>
        <w:t>[[@BibleTOBIBLE:Re 13:12]]</w:t>
      </w:r>
      <w:r>
        <w:rPr>
          <w:b/>
        </w:rPr>
        <w:t>12</w:t>
      </w:r>
      <w:r>
        <w:rPr/>
        <w:t xml:space="preserve"> {{field-on:bible}}Und die ganze Gewalt des ersten Tieres tat es vor ihm, und es veranlasst die Erde und die auf ihr Lebenden, dass sie das erste Tier anbeten, dessen tödliche Wunde geheilt wurde.{{field-off:bible}} </w:t>
        <w:br/>
        <w:t>[[@BibleTOBIBLE:Re 13:13]]</w:t>
      </w:r>
      <w:r>
        <w:rPr>
          <w:b/>
        </w:rPr>
        <w:t>13</w:t>
      </w:r>
      <w:r>
        <w:rPr/>
        <w:t xml:space="preserve"> {{field-on:bible}}Und es tut große Zeichen, indem es auch selbst Feuer aus dem Himmel auf die Erde herabkommen lasse vor den Menschen.{{field-off:bible}} </w:t>
        <w:br/>
        <w:t>[[@BibleTOBIBLE:Re 13:14]]</w:t>
      </w:r>
      <w:r>
        <w:rPr>
          <w:b/>
        </w:rPr>
        <w:t>14</w:t>
      </w:r>
      <w:r>
        <w:rPr/>
        <w:t xml:space="preserve"> {{field-on:bible}}Und es täuschte diejenigen, welche auf der Erde wohnen, durch die Zeichen, die ihm vor dem Tier zu tun gegeben worden, indem es diesen auf der Erde Lebenden befahl </w:t>
      </w:r>
      <w:r>
        <w:rPr>
          <w:rStyle w:val="Funotenanker"/>
        </w:rPr>
        <w:footnoteReference w:customMarkFollows="1" w:id="6794"/>
        <w:t>h</w:t>
      </w:r>
      <w:r>
        <w:rPr/>
        <w:t xml:space="preserve">, dem Tier ein Bild zu machen, welches die Wunde des Schwertes hat und </w:t>
      </w:r>
      <w:r>
        <w:rPr>
          <w:color w:val="808080"/>
        </w:rPr>
        <w:t>(wieder)</w:t>
      </w:r>
      <w:r>
        <w:rPr/>
        <w:t xml:space="preserve"> lebendig wurde.{{field-off:bible}} </w:t>
        <w:br/>
        <w:t>[[@BibleTOBIBLE:Re 13:15]]</w:t>
      </w:r>
      <w:r>
        <w:rPr>
          <w:b/>
        </w:rPr>
        <w:t>15</w:t>
      </w:r>
      <w:r>
        <w:rPr/>
        <w:t xml:space="preserve"> {{field-on:bible}}Und ihm wurde gegeben dem Bild des Tieres Geist zu geben, sodass auch das Bild des Tieres sprach und veranlasste, dass alle </w:t>
      </w:r>
      <w:r>
        <w:rPr>
          <w:rStyle w:val="Funotenanker"/>
        </w:rPr>
        <w:footnoteReference w:customMarkFollows="1" w:id="6795"/>
        <w:t>i</w:t>
      </w:r>
      <w:r>
        <w:rPr/>
        <w:t xml:space="preserve"> getötet werden, die nicht anbeten das Bild des Tieres.{{field-off:bible}} </w:t>
        <w:br/>
        <w:t>[[@BibleTOBIBLE:Re 13:16]]</w:t>
      </w:r>
      <w:r>
        <w:rPr>
          <w:b/>
        </w:rPr>
        <w:t>16</w:t>
      </w:r>
      <w:r>
        <w:rPr/>
        <w:t xml:space="preserve"> {{field-on:bible}}Und es veranlasst alle dazu, die Kleinen und die Großen, und die Reichen und die Armen, und die Freien und die Sklaven, dass sie sich ein Malzeichen geben an die rechte Hand oder ihre Stirn.{{field-off:bible}} </w:t>
        <w:br/>
        <w:t>[[@BibleTOBIBLE:Re 13:17]]</w:t>
      </w:r>
      <w:r>
        <w:rPr>
          <w:b/>
        </w:rPr>
        <w:t>17</w:t>
      </w:r>
      <w:r>
        <w:rPr/>
        <w:t xml:space="preserve"> {{field-on:bible}}und so dass niemand kaufen oder verkaufen kann, wenn nicht derjenige, der das Zeichen des Namens des Tieres hat oder die Zahl seines Namens.{{field-off:bible}} </w:t>
        <w:br/>
        <w:t>[[@BibleTOBIBLE:Re 13:18]]</w:t>
      </w:r>
      <w:r>
        <w:rPr>
          <w:b/>
        </w:rPr>
        <w:t>18</w:t>
      </w:r>
      <w:r>
        <w:rPr/>
        <w:t xml:space="preserve"> {{field-on:bible}}Da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6796"/>
        <w:t>j</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OpenSymbol">
    <w:altName w:val="Arial Unicode MS"/>
    <w:charset w:val="02"/>
    <w:family w:val="auto"/>
    <w:pitch w:val="default"/>
  </w:font>
  <w:font w:name="Albany">
    <w:altName w:val="Arial"/>
    <w:charset w:val="00"/>
    <w:family w:val="swiss"/>
    <w:pitch w:val="variable"/>
  </w:font>
  <w:font w:name="Symbol">
    <w:charset w:val="02"/>
    <w:family w:val="auto"/>
    <w:pitch w:val="default"/>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footnoteRef/>
        <w:tab/>
        <w:t>[Status: Ungeprüft]</w:t>
      </w:r>
    </w:p>
  </w:footnote>
  <w:footnote w:id="3">
    <w:p>
      <w:pPr>
        <w:pStyle w:val="Funote"/>
        <w:rPr/>
      </w:pPr>
      <w:r>
        <w:rPr/>
        <w:footnoteRef/>
        <w:tab/>
        <w:t xml:space="preserve">Zu </w:t>
      </w:r>
      <w:r>
        <w:rPr>
          <w:i/>
        </w:rPr>
        <w:t>Teilung</w:t>
      </w:r>
      <w:r>
        <w:rPr/>
        <w:t xml:space="preserve"> s. </w:t>
      </w:r>
      <w:r>
        <w:fldChar w:fldCharType="begin"/>
      </w:r>
      <w:r>
        <w:instrText> HYPERLINK "http://www.offene-bibel.de/wiki/index.php5?title=Kommentar:Genesis_1" \l "note_b"</w:instrText>
      </w:r>
      <w:r>
        <w:fldChar w:fldCharType="separate"/>
      </w:r>
      <w:r>
        <w:rPr>
          <w:rStyle w:val="Internetverknpfung"/>
        </w:rPr>
        <w:t>Anmerkung b</w:t>
      </w:r>
      <w:r>
        <w:fldChar w:fldCharType="end"/>
      </w:r>
      <w:r>
        <w:rPr/>
        <w:t>.</w:t>
      </w:r>
    </w:p>
  </w:footnote>
  <w:footnote w:id="4">
    <w:p>
      <w:pPr>
        <w:pStyle w:val="Funote"/>
        <w:rPr/>
      </w:pPr>
      <w:r>
        <w:rPr/>
        <w:footnoteRef/>
        <w:tab/>
        <w:t>Der Merismus „Himmel und Erde“ ist im Hebräischen der Standard-Ausdruck für den Kosmos/das Universum; vgl. z.B. Sasson 1992, S. 184; Westermann 1983, S. 140f.</w:t>
      </w:r>
    </w:p>
  </w:footnote>
  <w:footnote w:id="5">
    <w:p>
      <w:pPr>
        <w:pStyle w:val="Funote"/>
        <w:rPr/>
      </w:pPr>
      <w:r>
        <w:rPr/>
        <w:footnoteRef/>
        <w:tab/>
        <w:t>V. 1 wird hier verstanden als temporaler Nebensatz von V. 2; so z.B. auch Di Lella 1985, S. 129; Good 2009, S. 8; Gross 1980, S. 145; Nic §18. Die Syntax von Gen 1,1-3 wird in der Exegese allerdings sehr heftig diskutiert und viele weitere Vorschläge zur Deutung sind gemacht worden; s. genauer den Exkurs zur Syntax von Gen 1,1-3.</w:t>
      </w:r>
    </w:p>
  </w:footnote>
  <w:footnote w:id="6">
    <w:p>
      <w:pPr>
        <w:pStyle w:val="Funote"/>
        <w:rPr/>
      </w:pPr>
      <w:r>
        <w:rPr>
          <w:i/>
        </w:rPr>
        <w:footnoteRef/>
        <w:tab/>
        <w:t>war die Erde (- die Erde war)</w:t>
      </w:r>
      <w:r>
        <w:rPr/>
        <w:t xml:space="preserve"> - Deutet man die Syntax von Gen 1,1 wie hier als temporalen Nebensatz,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w:t>
      </w:r>
      <w:r>
        <w:fldChar w:fldCharType="begin"/>
      </w:r>
      <w:r>
        <w:instrText> HYPERLINK "http://www.offene-bibel.de/wiki/index.php5?title=Kommentar:Genesis_1" \l "note_c"</w:instrText>
      </w:r>
      <w:r>
        <w:fldChar w:fldCharType="separate"/>
      </w:r>
      <w:r>
        <w:rPr>
          <w:rStyle w:val="Internetverknpfung"/>
        </w:rPr>
        <w:t>Anmerkung c</w:t>
      </w:r>
      <w:r>
        <w:fldChar w:fldCharType="end"/>
      </w:r>
      <w:r>
        <w:rPr/>
        <w:t>.</w:t>
      </w:r>
    </w:p>
  </w:footnote>
  <w:footnote w:id="7">
    <w:p>
      <w:pPr>
        <w:pStyle w:val="Funote"/>
        <w:rPr/>
      </w:pPr>
      <w:r>
        <w:rPr>
          <w:i/>
        </w:rPr>
        <w:footnoteRef/>
        <w:tab/>
        <w:t>nicht und nichts (leer, sinnlos, zerstört?, chaotisch?)</w:t>
      </w:r>
      <w:r>
        <w:rPr/>
        <w:t xml:space="preserve"> - Die Bedeutung des hebräischen </w:t>
      </w:r>
      <w:r>
        <w:rPr>
          <w:i/>
        </w:rPr>
        <w:t>tohu wabohu</w:t>
      </w:r>
      <w:r>
        <w:rPr/>
        <w:t xml:space="preserve"> (hier: „nicht und nichts“; meist: „wüst und leer“) ist umstritten; s. </w:t>
      </w:r>
      <w:r>
        <w:fldChar w:fldCharType="begin"/>
      </w:r>
      <w:r>
        <w:instrText> HYPERLINK "http://www.offene-bibel.de/wiki/index.php5?title=Kommentar:Genesis_1" \l "note_d"</w:instrText>
      </w:r>
      <w:r>
        <w:fldChar w:fldCharType="separate"/>
      </w:r>
      <w:r>
        <w:rPr>
          <w:rStyle w:val="Internetverknpfung"/>
        </w:rPr>
        <w:t>Anmerkung d</w:t>
      </w:r>
      <w:r>
        <w:fldChar w:fldCharType="end"/>
      </w:r>
      <w:r>
        <w:rPr/>
        <w:t>.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i/>
        </w:rPr>
        <w:footnoteRef/>
        <w:tab/>
        <w:t>Tiefe (Urtiefe, Wasser)</w:t>
      </w:r>
      <w:r>
        <w:rPr/>
        <w:t xml:space="preserve"> - Im hebräischen Wort </w:t>
      </w:r>
      <w:r>
        <w:rPr>
          <w:i/>
        </w:rPr>
        <w:t>tehom</w:t>
      </w:r>
      <w:r>
        <w:rPr/>
        <w:t xml:space="preserve">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w:t>
      </w:r>
      <w:r>
        <w:rPr>
          <w:i/>
        </w:rPr>
        <w:t>majim</w:t>
      </w:r>
      <w:r>
        <w:rPr/>
        <w:t xml:space="preserve"> („Wasser“). Da meist angenommen wird, der Verfasser von Gen 1 würde das ganze Kapitel hindurch Entmythisierungsstrategien anwenden (s. </w:t>
      </w:r>
      <w:r>
        <w:fldChar w:fldCharType="begin"/>
      </w:r>
      <w:r>
        <w:instrText> HYPERLINK "http://www.offene-bibel.de/wiki/index.php5?title=Genesis_1" \l "note_aa"</w:instrText>
      </w:r>
      <w:r>
        <w:fldChar w:fldCharType="separate"/>
      </w:r>
      <w:r>
        <w:rPr>
          <w:rStyle w:val="Internetverknpfung"/>
        </w:rPr>
        <w:t>FN aa</w:t>
      </w:r>
      <w:r>
        <w:fldChar w:fldCharType="end"/>
      </w:r>
      <w:r>
        <w:rPr/>
        <w:t>), ist wahrscheinlich auch hier eher Letzteres der Fall.</w:t>
      </w:r>
    </w:p>
  </w:footnote>
  <w:footnote w:id="9">
    <w:p>
      <w:pPr>
        <w:pStyle w:val="Funote"/>
        <w:rPr/>
      </w:pPr>
      <w:r>
        <w:rPr/>
        <w:footnoteRef/>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z.B. Cassuto 2005, S. 25; Galling 1950, S. 153; Speiser 1964, S. 5) - in Dtn 32,11 beschreibt es das „Flattern“ eines Adlers (vgl. dazu z.B. Rechenmacher 2002, S. 13); in Jer 23,9 vermutlich das „Zittern“ der Knochen im Leib. Die Bedeutung „stürmen“ lässt sich mit diesem Wort vereinbaren ;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footnoteRef/>
        <w:tab/>
        <w:t xml:space="preserve">Mit der hebräischen Verbform </w:t>
      </w:r>
      <w:r>
        <w:rPr>
          <w:i/>
        </w:rPr>
        <w:t>Wayyiqtol</w:t>
      </w:r>
      <w:r>
        <w:rPr/>
        <w:t xml:space="preserve"> setzt in Vers 3 zum ersten Mal die Handlung ein; Vv. 1-2 geben Hintergrundinformationen. In der LF sollte man das besser ausdrücklich machen, z.B. durch die Einfügung eines solchen „Da“.</w:t>
      </w:r>
    </w:p>
  </w:footnote>
  <w:footnote w:id="11">
    <w:p>
      <w:pPr>
        <w:pStyle w:val="Funote"/>
        <w:rPr/>
      </w:pPr>
      <w:r>
        <w:rPr/>
        <w:footnoteRef/>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footnoteRef/>
        <w:tab/>
        <w:t xml:space="preserve">W. „Gott sah die Helligkeit, dass gut“; zur Syntax s. </w:t>
      </w:r>
      <w:r>
        <w:fldChar w:fldCharType="begin"/>
      </w:r>
      <w:r>
        <w:instrText> HYPERLINK "http://www.offene-bibel.de/wiki/index.php5?title=Kommentar:Genesis_1" \l "note_e"</w:instrText>
      </w:r>
      <w:r>
        <w:fldChar w:fldCharType="separate"/>
      </w:r>
      <w:r>
        <w:rPr>
          <w:rStyle w:val="Internetverknpfung"/>
        </w:rPr>
        <w:t>Anmerkung e</w:t>
      </w:r>
      <w:r>
        <w:fldChar w:fldCharType="end"/>
      </w:r>
      <w:r>
        <w:rPr/>
        <w:t>.</w:t>
      </w:r>
    </w:p>
  </w:footnote>
  <w:footnote w:id="13">
    <w:p>
      <w:pPr>
        <w:pStyle w:val="Funote"/>
        <w:rPr/>
      </w:pPr>
      <w:r>
        <w:rPr>
          <w:i/>
        </w:rPr>
        <w:footnoteRef/>
        <w:tab/>
        <w:t>{</w:t>
      </w:r>
      <w:r>
        <w:rPr>
          <w:i/>
          <w:strike/>
        </w:rPr>
        <w:t>zwischen</w:t>
      </w:r>
      <w:r>
        <w:rPr>
          <w:i/>
        </w:rPr>
        <w:t>}</w:t>
      </w:r>
      <w:r>
        <w:rPr/>
        <w:t xml:space="preserve"> - Das Heb. </w:t>
      </w:r>
      <w:r>
        <w:rPr>
          <w:i/>
        </w:rPr>
        <w:t>ben</w:t>
      </w:r>
      <w:r>
        <w:rPr/>
        <w:t xml:space="preserve"> („zwischen“) wird im Hebräischen doppelt gesetzt („zwischen X und Y“); im Dt. kann dies ohne Bedeutungsverlust natürlicher ausgedrückt werden.</w:t>
      </w:r>
    </w:p>
  </w:footnote>
  <w:footnote w:id="14">
    <w:p>
      <w:pPr>
        <w:pStyle w:val="Funote"/>
        <w:rPr/>
      </w:pPr>
      <w:r>
        <w:rPr/>
        <w:footnoteRef/>
        <w:tab/>
        <w:t xml:space="preserve">Ein „Tag“ - „Tag“ wird hier näher bestimmt durch die Zahl </w:t>
      </w:r>
      <w:r>
        <w:rPr>
          <w:rtl w:val="true"/>
          <w:lang w:bidi="he-IL"/>
        </w:rPr>
        <w:t>אֶחָד</w:t>
      </w:r>
      <w:r>
        <w:rPr/>
        <w:t xml:space="preserve"> „</w:t>
      </w:r>
      <w:r>
        <w:rPr/>
        <w:t>eins“, da im Heb. eine Aufzählungsreihe auch lauten kann: „Eins, zweitens, drittens...“ (vgl. z.B. Speiser 1964, S. 6).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5">
    <w:p>
      <w:pPr>
        <w:pStyle w:val="Funote"/>
        <w:rPr/>
      </w:pPr>
      <w:r>
        <w:rPr/>
        <w:footnoteRef/>
        <w:tab/>
        <w:t>Schalenförmiges (Gewölbe, Firmament) - Im alten Israel stellte man sich den Himmel vor wie eine Art metallene Käseglocke, die die überirdischen Wasserfluten zurückhält (vgl. z.B. Soggin 1997, S. 33). Die Vulgata übersetzte es mit firmamentum („etwas fest Gefügtes“) - dem Etymon für unser „Firmament“, womit dieses Wort denn meist auch ins Dt. übersetzt wrd, was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6">
    <w:p>
      <w:pPr>
        <w:pStyle w:val="Funote"/>
        <w:rPr/>
      </w:pPr>
      <w:r>
        <w:rPr/>
        <w:footnoteRef/>
        <w:tab/>
        <w:t>Textkritik: Die meisten Exegeten folgen LXX und verschieben das „so geschah es“ vom Ende von V. 7 ans Ende von V. 6, da es auch sonst unmittelbar auf den Schöpfungsbefehl folgt; vgl. z.B. Westermann 1983, S. 109.</w:t>
      </w:r>
    </w:p>
  </w:footnote>
  <w:footnote w:id="17">
    <w:p>
      <w:pPr>
        <w:pStyle w:val="Funote"/>
        <w:rPr/>
      </w:pPr>
      <w:r>
        <w:rPr>
          <w:i/>
        </w:rPr>
        <w:footnoteRef/>
        <w:tab/>
        <w:t>V. 7</w:t>
      </w:r>
      <w:r>
        <w:rPr/>
        <w:t>: W.: „das Wasser, das unterhalb des Schalenförmigen [war/ist/sein würde] und das Wasser, das oberhalb des Schalenförmigen [war/ist/sein würde].“</w:t>
      </w:r>
    </w:p>
  </w:footnote>
  <w:footnote w:id="18">
    <w:p>
      <w:pPr>
        <w:pStyle w:val="Funote"/>
        <w:rPr/>
      </w:pPr>
      <w:r>
        <w:rPr/>
        <w:footnoteRef/>
        <w:tab/>
        <w:t xml:space="preserve">Grünes grünen lassen: - 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19">
    <w:p>
      <w:pPr>
        <w:pStyle w:val="Funote"/>
        <w:rPr/>
      </w:pPr>
      <w:r>
        <w:rPr>
          <w:i/>
        </w:rPr>
        <w:footnoteRef/>
        <w:tab/>
        <w:t>Getreide (Pflanzen)</w:t>
      </w:r>
      <w:r>
        <w:rPr/>
        <w:t xml:space="preserve"> - Meist allgemein übersetzt als „Pflanzen“ oder „Kraut“. Hier ist es aber näher bestimmt dadurch, dass es </w:t>
      </w:r>
      <w:r>
        <w:rPr>
          <w:i/>
        </w:rPr>
        <w:t>zera`</w:t>
      </w:r>
      <w:r>
        <w:rPr/>
        <w:t xml:space="preserve"> tragen soll. Dies steht in der Bibel sehr eindeutig für Samen und Saatgut. Entsprechend wird es sich wohl auch hier sehr sicher um eine Nutzpflanzen handeln: </w:t>
      </w:r>
      <w:r>
        <w:rPr>
          <w:i/>
        </w:rPr>
        <w:t>`eßeb mazrij`a zera`</w:t>
      </w:r>
      <w:r>
        <w:rPr/>
        <w:t xml:space="preserve"> ist das „Frucht bringende Getreide“; </w:t>
      </w:r>
      <w:r>
        <w:rPr>
          <w:i/>
        </w:rPr>
        <w:t>`ets p</w:t>
      </w:r>
      <w:r>
        <w:rPr>
          <w:i/>
          <w:position w:val="7"/>
          <w:sz w:val="16"/>
        </w:rPr>
        <w:t>e</w:t>
      </w:r>
      <w:r>
        <w:rPr>
          <w:i/>
        </w:rPr>
        <w:t>ri</w:t>
      </w:r>
      <w:r>
        <w:rPr/>
        <w:t xml:space="preserve"> sind (unbestritten) die Fruchtbäume - Gott lässt zu Schöpfungsbeginn ausschließlich „sinnvolle“ Pflanzen sprießen.</w:t>
      </w:r>
    </w:p>
  </w:footnote>
  <w:footnote w:id="20">
    <w:p>
      <w:pPr>
        <w:pStyle w:val="Funote"/>
        <w:rPr/>
      </w:pPr>
      <w:r>
        <w:rPr/>
        <w:footnoteRef/>
        <w:tab/>
        <w:t>Textkritik: Ergänze mit Soggin 1997, S. 36; Westermann 1983, S. 110 vor `ets („Bäume“) die Konjunktion we („und“) (so auch viele Manuskripte), da sonst „Bäume“ in Apposition zu „Getreide“ stünde.</w:t>
      </w:r>
    </w:p>
  </w:footnote>
  <w:footnote w:id="21">
    <w:p>
      <w:pPr>
        <w:pStyle w:val="Funote"/>
        <w:rPr/>
      </w:pPr>
      <w:r>
        <w:rPr/>
        <w:footnoteRef/>
        <w:tab/>
        <w:t>verschiedenste Arten von - 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2">
    <w:p>
      <w:pPr>
        <w:pStyle w:val="Funote"/>
        <w:rPr/>
      </w:pPr>
      <w:r>
        <w:rPr/>
        <w:footnoteRef/>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3">
    <w:p>
      <w:pPr>
        <w:pStyle w:val="Funote"/>
        <w:rPr/>
      </w:pPr>
      <w:r>
        <w:rPr/>
        <w:footnoteRef/>
        <w:tab/>
        <w:t>wohl zu lesen als epexegetische Constructus-Verbindung (also „am Schalenförmigen, d.h. am Himmel“); übersetze in der LF besser schlicht „Himmel“.</w:t>
      </w:r>
    </w:p>
  </w:footnote>
  <w:footnote w:id="24">
    <w:p>
      <w:pPr>
        <w:pStyle w:val="Funote"/>
        <w:rPr/>
      </w:pPr>
      <w:r>
        <w:rPr/>
        <w:footnoteRef/>
        <w:tab/>
        <w:t>wohl explikatives Waw; siehe nächste Fußnote. vgl. auch Cassuto 2005, S. 44; Cole 2007; König 1919, S. 149; Speiser 1964, S. 6.</w:t>
      </w:r>
    </w:p>
  </w:footnote>
  <w:footnote w:id="25">
    <w:p>
      <w:pPr>
        <w:pStyle w:val="Funote"/>
        <w:rPr/>
      </w:pPr>
      <w:r>
        <w:rPr>
          <w:rtl w:val="true"/>
          <w:lang w:bidi="he-IL"/>
        </w:rPr>
        <w:footnoteRef/>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26">
    <w:p>
      <w:pPr>
        <w:pStyle w:val="Funote"/>
        <w:rPr/>
      </w:pPr>
      <w:r>
        <w:rPr/>
        <w:footnoteRef/>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27">
    <w:p>
      <w:pPr>
        <w:pStyle w:val="Funote"/>
        <w:rPr/>
      </w:pPr>
      <w:r>
        <w:rPr/>
        <w:footnoteRef/>
        <w:tab/>
        <w:t>W. „das große Licht“, aber Adjektive mit Artikel dient im Hebräischen u.a. auch zur Wiedergabe des Komparativs; vgl. ad loc. z.B. HKL III §308a.</w:t>
      </w:r>
    </w:p>
  </w:footnote>
  <w:footnote w:id="28">
    <w:p>
      <w:pPr>
        <w:pStyle w:val="Funote"/>
        <w:rPr/>
      </w:pPr>
      <w:r>
        <w:rPr>
          <w:i/>
        </w:rPr>
        <w:footnoteRef/>
        <w:tab/>
        <w:t>über den Tag (am Tag)</w:t>
      </w:r>
      <w:r>
        <w:rPr/>
        <w:t xml:space="preserve"> + </w:t>
      </w:r>
      <w:r>
        <w:rPr>
          <w:i/>
        </w:rPr>
        <w:t>über die Nacht (zur Nacht)</w:t>
      </w:r>
      <w:r>
        <w:rPr/>
        <w:t xml:space="preserve"> - Bandstra bezweifelt, dass „Tag“ und „Nacht“ Entitäten seien, die „beherrscht“ werden könnten und liest daher die Präpositionalphrase </w:t>
      </w:r>
      <w:r>
        <w:rPr>
          <w:rtl w:val="true"/>
          <w:lang w:bidi="he-IL"/>
        </w:rPr>
        <w:t>בַּיּוֹם</w:t>
      </w:r>
      <w:r>
        <w:rPr/>
        <w:t xml:space="preserve"> </w:t>
      </w:r>
      <w:r>
        <w:rPr/>
        <w:t xml:space="preserve">nicht als „zur Herrschaft </w:t>
      </w:r>
      <w:r>
        <w:rPr>
          <w:i/>
        </w:rPr>
        <w:t>über</w:t>
      </w:r>
      <w:r>
        <w:rPr/>
        <w:t xml:space="preserve"> den Tag...“, sondern so, dass sie „the range or domain over which rule is exercised“ (S. 79) angeben würden (also „zur Herrschaft </w:t>
      </w:r>
      <w:r>
        <w:rPr>
          <w:i/>
        </w:rPr>
        <w:t>bei</w:t>
      </w:r>
      <w:r>
        <w:rPr/>
        <w:t xml:space="preserve"> Tag und </w:t>
      </w:r>
      <w:r>
        <w:rPr>
          <w:i/>
        </w:rPr>
        <w:t>bei</w:t>
      </w:r>
      <w:r>
        <w:rPr/>
        <w:t xml:space="preserve"> Nacht“). Grammatisch ist das möglich; dann wäre aber zu fragen, wen Sonne und Mond denn dann beherrschen sollen, wenn nicht Tag und Nacht? Zum Anliegen der Aussage vgl. </w:t>
      </w:r>
      <w:r>
        <w:fldChar w:fldCharType="begin"/>
      </w:r>
      <w:r>
        <w:instrText> HYPERLINK "http://www.offene-bibel.de/wiki/index.php5?title=Genesis_1" \l "note_aa"</w:instrText>
      </w:r>
      <w:r>
        <w:fldChar w:fldCharType="separate"/>
      </w:r>
      <w:r>
        <w:rPr>
          <w:rStyle w:val="Internetverknpfung"/>
        </w:rPr>
        <w:t>FN aa</w:t>
      </w:r>
      <w:r>
        <w:fldChar w:fldCharType="end"/>
      </w:r>
    </w:p>
  </w:footnote>
  <w:footnote w:id="29">
    <w:p>
      <w:pPr>
        <w:pStyle w:val="Funote"/>
        <w:rPr/>
      </w:pPr>
      <w:r>
        <w:rPr/>
        <w:footnoteRef/>
        <w:tab/>
        <w:t>Oder: „das kleinere Licht und die Sterne zur Herrschaft über die Nacht“ (nach Driver 1885, S. 33: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 ebenso z.B. Michel 1997b, S. 171) Diese Beobachtung Drivers ist recht sicher richtig (ein deutliches Beispiel ist Num 16,18: „Jedermann nahm seine Räucherpfanne ...; ebenso Moses und Aaron“ = „Jeder - unter anderem auch Moses und Aaron - nahm seine Räucherpfanne...“). Es ist uns aber keine Übersetzung bekannt, die so übersetzt; für Gen 1,16 wäre das also eine Minderheitenmeinung.</w:t>
      </w:r>
    </w:p>
  </w:footnote>
  <w:footnote w:id="30">
    <w:p>
      <w:pPr>
        <w:pStyle w:val="Funote"/>
        <w:rPr/>
      </w:pPr>
      <w:r>
        <w:rPr/>
        <w:footnoteRef/>
        <w:tab/>
        <w:t>Schließt auch Insekten mit ein (DBL Hebrew 6416); Satzstruktur: Nomen - Verb; wohl wieder eine Topikalisierungsstrategie - Versteil 1 handelt von den „Schwärmen lebendiger Wesen“; von den „Vögeln“ dagegen handelt Versteil 2.</w:t>
      </w:r>
    </w:p>
  </w:footnote>
  <w:footnote w:id="31">
    <w:p>
      <w:pPr>
        <w:pStyle w:val="Funote"/>
        <w:rPr/>
      </w:pPr>
      <w:r>
        <w:rPr/>
        <w:footnoteRef/>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2">
    <w:p>
      <w:pPr>
        <w:pStyle w:val="Funote"/>
        <w:rPr/>
      </w:pPr>
      <w:r>
        <w:rPr/>
        <w:footnoteRef/>
        <w:tab/>
        <w:t>Textkritik: LXX ergänzt: „So geschah es“; ihr folgt z.B. Scharbert 1990, S. 40. Vergleiche aber dazu Fußnote t.</w:t>
      </w:r>
    </w:p>
  </w:footnote>
  <w:footnote w:id="33">
    <w:p>
      <w:pPr>
        <w:pStyle w:val="Funote"/>
        <w:rPr/>
      </w:pPr>
      <w:r>
        <w:rPr/>
        <w:footnoteRef/>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34">
    <w:p>
      <w:pPr>
        <w:pStyle w:val="Funote"/>
        <w:rPr/>
      </w:pPr>
      <w:r>
        <w:rPr/>
        <w:footnoteRef/>
        <w:tab/>
        <w:t>so KBL3, S. 463 ad loc.; wörtlich „Vögel des Flügels“; wohl attributive Constructus-Verbindung.</w:t>
      </w:r>
    </w:p>
  </w:footnote>
  <w:footnote w:id="35">
    <w:p>
      <w:pPr>
        <w:pStyle w:val="Funote"/>
        <w:rPr/>
      </w:pPr>
      <w:r>
        <w:rPr/>
        <w:footnoteRef/>
        <w:tab/>
        <w:t>das Hebräische leitet des Öfteren Zitate mit mehreren Verba dicendi ein; in einer Übersetzung ins Deutsche kann das zweite Verb dann ohne Bedeutungsverlust gestrichen werden.</w:t>
      </w:r>
    </w:p>
  </w:footnote>
  <w:footnote w:id="36">
    <w:p>
      <w:pPr>
        <w:pStyle w:val="Funote"/>
        <w:rPr/>
      </w:pPr>
      <w:r>
        <w:rPr/>
        <w:footnoteRef/>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37">
    <w:p>
      <w:pPr>
        <w:pStyle w:val="Funote"/>
        <w:spacing w:before="0" w:after="283"/>
        <w:rPr/>
      </w:pPr>
      <w:r>
        <w:rPr/>
        <w:footnoteRef/>
        <w:tab/>
        <w:t>Zur Übersetzung mit „Reptilien“ vgl. die übernächste Fußnote.</w:t>
        <w:br/>
        <w:t>Im MT werden diese Reptilien in fünf verschiedenen Versen jeweils anders bezeichnet:</w:t>
        <w:br/>
        <w:t xml:space="preserve">Vers Hebräisch Deutsch V. 24 </w:t>
      </w:r>
      <w:r>
        <w:rPr>
          <w:rtl w:val="true"/>
          <w:lang w:bidi="he-IL"/>
        </w:rPr>
        <w:t>רֶמֶשׂ</w:t>
      </w:r>
      <w:r>
        <w:rPr/>
        <w:t xml:space="preserve"> </w:t>
      </w:r>
      <w:r>
        <w:rPr/>
        <w:t xml:space="preserve">Reptilien V. 25 </w:t>
      </w:r>
      <w:r>
        <w:rPr>
          <w:rtl w:val="true"/>
          <w:lang w:bidi="he-IL"/>
        </w:rPr>
        <w:t>כָּל</w:t>
      </w:r>
      <w:r>
        <w:rPr>
          <w:rtl w:val="true"/>
          <w:lang w:val="he-IL"/>
        </w:rPr>
        <w:t>-</w:t>
      </w:r>
      <w:r>
        <w:rPr>
          <w:rtl w:val="true"/>
          <w:lang w:bidi="he-IL"/>
        </w:rPr>
        <w:t>רֶמֶשׂ הָאֲדָמָה</w:t>
      </w:r>
      <w:r>
        <w:rPr/>
        <w:t xml:space="preserve"> </w:t>
      </w:r>
      <w:r>
        <w:rPr/>
        <w:t xml:space="preserve">Alle Boden-Reptilien V. 26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Alle Reptilien, die auf der Erde kriechen V. 28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Alle Lebewesen, die auf der Erde kriechen V. 30 </w:t>
      </w:r>
      <w:r>
        <w:rPr>
          <w:rtl w:val="true"/>
          <w:lang w:bidi="he-IL"/>
        </w:rPr>
        <w:t>כֹל רוֹמֵשׂ עַל</w:t>
      </w:r>
      <w:r>
        <w:rPr>
          <w:rtl w:val="true"/>
          <w:lang w:val="he-IL"/>
        </w:rPr>
        <w:t>-</w:t>
      </w:r>
      <w:r>
        <w:rPr>
          <w:rtl w:val="true"/>
          <w:lang w:bidi="he-IL"/>
        </w:rPr>
        <w:t>הָאָרֶץ</w:t>
      </w:r>
      <w:r>
        <w:rPr/>
        <w:t xml:space="preserve"> </w:t>
      </w:r>
      <w:r>
        <w:rPr/>
        <w:t xml:space="preserve">Alles auf der Erde kriechende </w:t>
      </w:r>
    </w:p>
    <w:p>
      <w:pPr>
        <w:pStyle w:val="Textkrper"/>
        <w:rPr/>
      </w:pPr>
      <w:r>
        <w:rPr/>
        <w:tab/>
        <w:t>Sinndifferenzierend scheint das nicht zu sein, und es ist uns auch noch keine Auslegung untergekommen, die auf diese Merkwürdigkeit überhaupt eingegangen wäre.</w:t>
        <w:br/>
        <w:t>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w:t>
      </w:r>
    </w:p>
    <w:p>
      <w:pPr>
        <w:pStyle w:val="Textkrper"/>
        <w:spacing w:before="0" w:after="283"/>
        <w:rPr/>
      </w:pPr>
      <w:r>
        <w:rPr/>
        <w:tab/>
        <w:t>Das einfachste wird wohl sein, es in der Lesefassung jedes Mal schlicht mit „Reptilien“ zu übersetzen.</w:t>
      </w:r>
    </w:p>
  </w:footnote>
  <w:footnote w:id="38">
    <w:p>
      <w:pPr>
        <w:pStyle w:val="Funote"/>
        <w:rPr/>
      </w:pPr>
      <w:r>
        <w:rPr/>
        <w:footnoteRef/>
        <w:tab/>
        <w:t>Im MT ist an „Tiere“ ein „überflüssiges“ Waw angehängt, das wohl als (bedeutungsloses) paragogisches Waw aufzufassen ist; so z.B. Wenham 1987.</w:t>
      </w:r>
    </w:p>
  </w:footnote>
  <w:footnote w:id="39">
    <w:p>
      <w:pPr>
        <w:pStyle w:val="Funote"/>
        <w:rPr/>
      </w:pPr>
      <w:r>
        <w:rPr/>
        <w:footnoteRef/>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0">
    <w:p>
      <w:pPr>
        <w:pStyle w:val="Funote"/>
        <w:rPr/>
      </w:pPr>
      <w:r>
        <w:rPr/>
        <w:footnoteRef/>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1">
    <w:p>
      <w:pPr>
        <w:pStyle w:val="Funote"/>
        <w:rPr/>
      </w:pPr>
      <w:r>
        <w:rPr/>
        <w:footnoteRef/>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2">
    <w:p>
      <w:pPr>
        <w:pStyle w:val="Funote"/>
        <w:rPr/>
      </w:pPr>
      <w:r>
        <w:rPr/>
        <w:footnoteRef/>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3">
    <w:p>
      <w:pPr>
        <w:pStyle w:val="Funote"/>
        <w:rPr/>
      </w:pPr>
      <w:r>
        <w:rPr>
          <w:rtl w:val="true"/>
          <w:lang w:bidi="he-IL"/>
        </w:rPr>
        <w:footnoteRef/>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44">
    <w:p>
      <w:pPr>
        <w:pStyle w:val="Funote"/>
        <w:rPr/>
      </w:pPr>
      <w:r>
        <w:rPr/>
        <w:footnoteRef/>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45">
    <w:p>
      <w:pPr>
        <w:pStyle w:val="Funote"/>
        <w:rPr/>
      </w:pPr>
      <w:r>
        <w:rPr/>
        <w:footnoteRef/>
        <w:tab/>
        <w:t>Die Kollokationen „Fische des Meeres“ und „Vögel des Himmels“ bezeichnen einfach nur „Fische“ und „Vögel“; „des Meeres/Himmels“ kann in der Übersetzung ausgespart werden</w:t>
      </w:r>
    </w:p>
  </w:footnote>
  <w:footnote w:id="46">
    <w:p>
      <w:pPr>
        <w:pStyle w:val="Funote"/>
        <w:rPr/>
      </w:pPr>
      <w:r>
        <w:rPr/>
        <w:footnoteRef/>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47">
    <w:p>
      <w:pPr>
        <w:pStyle w:val="Funote"/>
        <w:rPr/>
      </w:pPr>
      <w:r>
        <w:rPr/>
        <w:footnoteRef/>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48">
    <w:p>
      <w:pPr>
        <w:pStyle w:val="Funote"/>
        <w:rPr/>
      </w:pPr>
      <w:r>
        <w:rPr/>
        <w:footnoteRef/>
        <w:tab/>
        <w:t>wie V. 26 recht sicher Beth essentiae</w:t>
      </w:r>
    </w:p>
  </w:footnote>
  <w:footnote w:id="49">
    <w:p>
      <w:pPr>
        <w:pStyle w:val="Funote"/>
        <w:rPr/>
      </w:pPr>
      <w:r>
        <w:rPr/>
        <w:footnoteRef/>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0">
    <w:p>
      <w:pPr>
        <w:pStyle w:val="Funote"/>
        <w:rPr/>
      </w:pPr>
      <w:r>
        <w:rPr/>
        <w:footnoteRef/>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1">
    <w:p>
      <w:pPr>
        <w:pStyle w:val="Funote"/>
        <w:rPr/>
      </w:pPr>
      <w:r>
        <w:rPr/>
        <w:footnoteRef/>
        <w:tab/>
        <w:t>Wortspiel im Hebräischen: perû ûrevû. Möglicherweise als Hendiadyoin aufzufassen: „Seid höchst fruchtbar“ (so Wenham 1987)</w:t>
      </w:r>
    </w:p>
  </w:footnote>
  <w:footnote w:id="52">
    <w:p>
      <w:pPr>
        <w:pStyle w:val="Funote"/>
        <w:rPr/>
      </w:pPr>
      <w:r>
        <w:rPr/>
        <w:footnoteRef/>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3">
    <w:p>
      <w:pPr>
        <w:pStyle w:val="Funote"/>
        <w:rPr/>
      </w:pPr>
      <w:r>
        <w:rPr/>
        <w:footnoteRef/>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54">
    <w:p>
      <w:pPr>
        <w:pStyle w:val="Funote"/>
        <w:rPr/>
      </w:pPr>
      <w:r>
        <w:rPr/>
        <w:footnoteRef/>
        <w:tab/>
        <w:t xml:space="preserve">Zur Übersetzung „Getreide“ s. </w:t>
      </w:r>
      <w:r>
        <w:fldChar w:fldCharType="begin"/>
      </w:r>
      <w:r>
        <w:instrText> HYPERLINK "http://www.offene-bibel.de/wiki/index.php5?title=Genesis_1" \l "note_x"</w:instrText>
      </w:r>
      <w:r>
        <w:fldChar w:fldCharType="separate"/>
      </w:r>
      <w:r>
        <w:rPr>
          <w:rStyle w:val="Internetverknpfung"/>
        </w:rPr>
        <w:t>FN x</w:t>
      </w:r>
      <w:r>
        <w:fldChar w:fldCharType="end"/>
      </w:r>
    </w:p>
  </w:footnote>
  <w:footnote w:id="55">
    <w:p>
      <w:pPr>
        <w:pStyle w:val="Funote"/>
        <w:rPr/>
      </w:pPr>
      <w:r>
        <w:rPr/>
        <w:footnoteRef/>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56">
    <w:p>
      <w:pPr>
        <w:pStyle w:val="Funote"/>
        <w:rPr/>
      </w:pPr>
      <w:r>
        <w:rPr/>
        <w:footnoteRef/>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57">
    <w:p>
      <w:pPr>
        <w:pStyle w:val="Funote"/>
        <w:rPr/>
      </w:pPr>
      <w:r>
        <w:rPr/>
        <w:footnoteRef/>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58">
    <w:p>
      <w:pPr>
        <w:pStyle w:val="Funote"/>
        <w:rPr/>
      </w:pPr>
      <w:r>
        <w:rPr/>
        <w:footnoteRef/>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59">
    <w:p>
      <w:pPr>
        <w:pStyle w:val="Funote"/>
        <w:rPr/>
      </w:pPr>
      <w:r>
        <w:rPr/>
        <w:footnoteRef/>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0">
    <w:p>
      <w:pPr>
        <w:pStyle w:val="Funote"/>
        <w:rPr/>
      </w:pPr>
      <w:r>
        <w:rPr/>
        <w:footnoteRef/>
        <w:tab/>
        <w:t>Für die Tage 2-5 werden zwar Ordnungszahlwörter verwendet; allerdings ohne Artikel. Ab Tag 6 dagegen wird auch noch der Artikel verwendet; vermutlich soll dies die Tage 6-7 besonders hervorheben.</w:t>
      </w:r>
    </w:p>
  </w:footnote>
  <w:footnote w:id="61">
    <w:p>
      <w:pPr>
        <w:pStyle w:val="Funote"/>
        <w:rPr/>
      </w:pPr>
      <w:r>
        <w:rPr/>
        <w:footnoteRef/>
        <w:tab/>
        <w:t>[Status: Ungeprüft]</w:t>
      </w:r>
    </w:p>
  </w:footnote>
  <w:footnote w:id="62">
    <w:p>
      <w:pPr>
        <w:pStyle w:val="Funote"/>
        <w:rPr/>
      </w:pPr>
      <w:r>
        <w:rPr/>
        <w:footnoteRef/>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3">
    <w:p>
      <w:pPr>
        <w:pStyle w:val="Funote"/>
        <w:rPr/>
      </w:pPr>
      <w:r>
        <w:rPr/>
        <w:footnoteRef/>
        <w:tab/>
        <w:t>Der Merismus „Himmel und Erde“ ist der im Hebräischen übliche Ausdruck für den Kosmos/das Universum; vgl. Fußnote c zu Gen 1,1.</w:t>
      </w:r>
    </w:p>
  </w:footnote>
  <w:footnote w:id="64">
    <w:p>
      <w:pPr>
        <w:pStyle w:val="Funote"/>
        <w:rPr/>
      </w:pPr>
      <w:r>
        <w:rPr/>
        <w:footnoteRef/>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65">
    <w:p>
      <w:pPr>
        <w:pStyle w:val="Funote"/>
        <w:rPr/>
      </w:pPr>
      <w:r>
        <w:rPr>
          <w:i/>
        </w:rPr>
        <w:footnoteRef/>
        <w:tab/>
        <w:t>Waw</w:t>
      </w:r>
      <w:r>
        <w:rPr/>
        <w:t xml:space="preserve"> kann auch eine Folgerung einleiten; vgl. Lexikon / </w:t>
      </w:r>
      <w:hyperlink r:id="rId1">
        <w:r>
          <w:rPr>
            <w:rStyle w:val="Internetverknpfung"/>
          </w:rPr>
          <w:t xml:space="preserve">Lemma </w:t>
        </w:r>
        <w:r>
          <w:rPr>
            <w:rStyle w:val="Internetverknpfung"/>
            <w:rtl w:val="true"/>
            <w:lang w:bidi="he-IL"/>
          </w:rPr>
          <w:t>וְ</w:t>
        </w:r>
      </w:hyperlink>
    </w:p>
  </w:footnote>
  <w:footnote w:id="66">
    <w:p>
      <w:pPr>
        <w:pStyle w:val="Funote"/>
        <w:rPr/>
      </w:pPr>
      <w:r>
        <w:rPr/>
        <w:footnoteRef/>
        <w:tab/>
        <w:t>Der folgende Text zeigt deutlich, dass Gott am siebten Tag eben nicht mehr an der Welt arbeitet; das Piel ist daher wohl am besten mit König 1919, S. 164 und Heidel 1964, S. 127 als deklaratives - vielleicht auch ästimatives - Piel zu bestimmen.</w:t>
      </w:r>
    </w:p>
  </w:footnote>
  <w:footnote w:id="67">
    <w:p>
      <w:pPr>
        <w:pStyle w:val="Funote"/>
        <w:rPr/>
      </w:pPr>
      <w:r>
        <w:rPr/>
        <w:footnoteRef/>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68">
    <w:p>
      <w:pPr>
        <w:pStyle w:val="Funote"/>
        <w:rPr/>
      </w:pPr>
      <w:r>
        <w:rPr/>
        <w:footnoteRef/>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69">
    <w:p>
      <w:pPr>
        <w:pStyle w:val="Funote"/>
        <w:rPr/>
      </w:pPr>
      <w:r>
        <w:rPr/>
        <w:footnoteRef/>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0">
    <w:p>
      <w:pPr>
        <w:pStyle w:val="Funote"/>
        <w:rPr/>
      </w:pPr>
      <w:r>
        <w:rPr/>
        <w:footnoteRef/>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1">
    <w:p>
      <w:pPr>
        <w:pStyle w:val="Funote"/>
        <w:rPr/>
      </w:pPr>
      <w:r>
        <w:rPr/>
        <w:footnoteRef/>
        <w:tab/>
        <w:t>Der Qatal ist hier wegen des rückblickenden Charakters der Textsorte „Ätiologie“ sehr sicher plusquamperfektisch zu übersetzen.</w:t>
      </w:r>
    </w:p>
  </w:footnote>
  <w:footnote w:id="72">
    <w:p>
      <w:pPr>
        <w:pStyle w:val="Funote"/>
        <w:rPr/>
      </w:pPr>
      <w:r>
        <w:rPr/>
        <w:footnoteRef/>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3">
    <w:p>
      <w:pPr>
        <w:pStyle w:val="Funote"/>
        <w:rPr/>
      </w:pPr>
      <w:r>
        <w:rPr/>
        <w:footnoteRef/>
        <w:tab/>
        <w:t>Möglich ist auch: bei ihrer Schöpfung.</w:t>
      </w:r>
    </w:p>
  </w:footnote>
  <w:footnote w:id="74">
    <w:p>
      <w:pPr>
        <w:pStyle w:val="Funote"/>
        <w:rPr/>
      </w:pPr>
      <w:r>
        <w:rPr/>
        <w:footnoteRef/>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75">
    <w:p>
      <w:pPr>
        <w:pStyle w:val="Funote"/>
        <w:rPr/>
      </w:pPr>
      <w:r>
        <w:rPr/>
        <w:footnoteRef/>
        <w:tab/>
        <w:t>Hier wird mit der Verwandtschaft der Wörter Mensch (Adam) und Ackerboden (Adamah) gespielt.</w:t>
      </w:r>
    </w:p>
  </w:footnote>
  <w:footnote w:id="76">
    <w:p>
      <w:pPr>
        <w:pStyle w:val="Funote"/>
        <w:rPr/>
      </w:pPr>
      <w:r>
        <w:rPr/>
        <w:footnoteRef/>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77">
    <w:p>
      <w:pPr>
        <w:pStyle w:val="Funote"/>
        <w:rPr/>
      </w:pPr>
      <w:r>
        <w:rPr/>
        <w:footnoteRef/>
        <w:tab/>
        <w:t xml:space="preserve">Die Entscheidung zwischen „Adam“ und „Mensch“ wird hier nur durch das Vorhandensein oder Fehlen des Artikels bestimmt. Eigennamen weisen keine Artikel auf. Hier wird der Mensch zum ersten Mal „Adam“ genannt. </w:t>
      </w:r>
    </w:p>
  </w:footnote>
  <w:footnote w:id="78">
    <w:p>
      <w:pPr>
        <w:pStyle w:val="Funote"/>
        <w:rPr/>
      </w:pPr>
      <w:r>
        <w:rPr/>
        <w:footnoteRef/>
        <w:tab/>
        <w:t xml:space="preserve">Viele Übersetzungen: „die zu ihm passte“ oder „die ihm entsprach“. </w:t>
      </w:r>
    </w:p>
  </w:footnote>
  <w:footnote w:id="79">
    <w:p>
      <w:pPr>
        <w:pStyle w:val="Funote"/>
        <w:rPr/>
      </w:pPr>
      <w:r>
        <w:rPr/>
        <w:footnoteRef/>
        <w:tab/>
        <w:t>Alternative Deutung: „und während er schlief, nahm Gott“ (SLT, NET).</w:t>
      </w:r>
    </w:p>
  </w:footnote>
  <w:footnote w:id="80">
    <w:p>
      <w:pPr>
        <w:pStyle w:val="Funote"/>
        <w:rPr/>
      </w:pPr>
      <w:r>
        <w:rPr/>
        <w:footnoteRef/>
        <w:tab/>
        <w:t xml:space="preserve">Alternativ zu verstehen als „einen Teil seiner Seite“, was die Schöpfung der Frau „aus Fleisch und Blut“ (V. 23) besser erklärt (NET Gen 2:21 Fußnote 64). </w:t>
      </w:r>
    </w:p>
  </w:footnote>
  <w:footnote w:id="81">
    <w:p>
      <w:pPr>
        <w:pStyle w:val="Funote"/>
        <w:rPr/>
      </w:pPr>
      <w:r>
        <w:rPr/>
        <w:footnoteRef/>
        <w:tab/>
        <w:t xml:space="preserve">Vgl. DBL Hebrew 9393. </w:t>
      </w:r>
    </w:p>
  </w:footnote>
  <w:footnote w:id="82">
    <w:p>
      <w:pPr>
        <w:pStyle w:val="Funote"/>
        <w:rPr/>
      </w:pPr>
      <w:r>
        <w:rPr/>
        <w:footnoteRef/>
        <w:tab/>
        <w:t xml:space="preserve">Das Pronomen ist zwar feminin, kann sich aber entweder auf „Knochen“ (f) oder die Frau beziehen und muss entsprechend übersetzt werden. </w:t>
      </w:r>
    </w:p>
  </w:footnote>
  <w:footnote w:id="83">
    <w:p>
      <w:pPr>
        <w:pStyle w:val="Funote"/>
        <w:rPr/>
      </w:pPr>
      <w:r>
        <w:rPr/>
        <w:footnoteRef/>
        <w:tab/>
        <w:t>Im Hebräischen ein Wortspiel, da das Wort für „Frau“ (</w:t>
      </w:r>
      <w:r>
        <w:rPr>
          <w:rtl w:val="true"/>
          <w:lang w:bidi="he-IL"/>
        </w:rPr>
        <w:t>אִשָּׁה</w:t>
      </w:r>
      <w:r>
        <w:rPr/>
        <w:t>) die weibliche Version des Worts für Mann (</w:t>
      </w:r>
      <w:r>
        <w:rPr>
          <w:rtl w:val="true"/>
          <w:lang w:bidi="he-IL"/>
        </w:rPr>
        <w:t>אִישׁ</w:t>
      </w:r>
      <w:r>
        <w:rPr/>
        <w:t xml:space="preserve">) ist. Luther führte darum die etwas missverständliche Übersetzung „Männin“ ein. Es ist das erste Mal, dass die beiden Begriffe zur Kennzeichnung der beiden Geschlechter gebraucht werden. </w:t>
      </w:r>
    </w:p>
  </w:footnote>
  <w:footnote w:id="84">
    <w:p>
      <w:pPr>
        <w:pStyle w:val="Funote"/>
        <w:rPr/>
      </w:pPr>
      <w:r>
        <w:rPr/>
        <w:footnoteRef/>
        <w:tab/>
        <w:t xml:space="preserve">Gnomisches Ipf.: Die Verben in diesem Vers stehen im Imperfekt, aber die Aussage ist so allgemein, dass sie eher präsentisch als futurisch verstanden werden sollte. </w:t>
      </w:r>
    </w:p>
  </w:footnote>
  <w:footnote w:id="85">
    <w:p>
      <w:pPr>
        <w:pStyle w:val="Funote"/>
        <w:rPr/>
      </w:pPr>
      <w:r>
        <w:rPr/>
        <w:footnoteRef/>
        <w:tab/>
        <w:t xml:space="preserve">Das Wort steht im Ipf., ist aber durativ zu verstehen. </w:t>
      </w:r>
    </w:p>
  </w:footnote>
  <w:footnote w:id="86">
    <w:p>
      <w:pPr>
        <w:pStyle w:val="Funote"/>
        <w:rPr/>
      </w:pPr>
      <w:r>
        <w:rPr/>
        <w:footnoteRef/>
        <w:tab/>
        <w:t>„</w:t>
      </w:r>
      <w:r>
        <w:rPr/>
        <w:t xml:space="preserve">vor einander“ ist aufgrund der Bedeutung der Stammesmodifikation Hitpael ergänzt. </w:t>
      </w:r>
    </w:p>
  </w:footnote>
  <w:footnote w:id="87">
    <w:p>
      <w:pPr>
        <w:pStyle w:val="Funote"/>
        <w:rPr/>
      </w:pPr>
      <w:r>
        <w:rPr/>
        <w:footnoteRef/>
        <w:tab/>
        <w:t>[Status: Ungeprüft]</w:t>
      </w:r>
    </w:p>
  </w:footnote>
  <w:footnote w:id="88">
    <w:p>
      <w:pPr>
        <w:pStyle w:val="Funote"/>
        <w:rPr/>
      </w:pPr>
      <w:r>
        <w:rPr/>
        <w:footnoteRef/>
        <w:tab/>
        <w:t>[Status: Ungeprüft]</w:t>
      </w:r>
    </w:p>
  </w:footnote>
  <w:footnote w:id="89">
    <w:p>
      <w:pPr>
        <w:pStyle w:val="Funote"/>
        <w:rPr/>
      </w:pPr>
      <w:r>
        <w:rPr/>
        <w:footnoteRef/>
        <w:tab/>
        <w:t>Ist diese Übersetzung so korrekt?</w:t>
      </w:r>
    </w:p>
  </w:footnote>
  <w:footnote w:id="90">
    <w:p>
      <w:pPr>
        <w:pStyle w:val="Funote"/>
        <w:rPr/>
      </w:pPr>
      <w:r>
        <w:rPr/>
        <w:footnoteRef/>
        <w:tab/>
        <w:t>Der Name des Landes „Nod“ und der Begriff aus Vers 14 für Flüchtling/Wanderer gehen auf die selbe Wurzel zurück.</w:t>
      </w:r>
    </w:p>
  </w:footnote>
  <w:footnote w:id="91">
    <w:p>
      <w:pPr>
        <w:pStyle w:val="Funote"/>
        <w:rPr/>
      </w:pPr>
      <w:r>
        <w:rPr/>
        <w:footnoteRef/>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2">
    <w:p>
      <w:pPr>
        <w:pStyle w:val="Funote"/>
        <w:rPr/>
      </w:pPr>
      <w:r>
        <w:rPr/>
        <w:footnoteRef/>
        <w:tab/>
        <w:t>[Status: Ungeprüft]</w:t>
      </w:r>
    </w:p>
  </w:footnote>
  <w:footnote w:id="93">
    <w:p>
      <w:pPr>
        <w:pStyle w:val="Funote"/>
        <w:rPr/>
      </w:pPr>
      <w:r>
        <w:rPr/>
        <w:footnoteRef/>
        <w:tab/>
        <w:t>Wörtlich: „rief ihren Namen“</w:t>
      </w:r>
    </w:p>
  </w:footnote>
  <w:footnote w:id="94">
    <w:p>
      <w:pPr>
        <w:pStyle w:val="Funote"/>
        <w:rPr/>
      </w:pPr>
      <w:r>
        <w:rPr/>
        <w:footnoteRef/>
        <w:tab/>
        <w:t>Wörtlich: „rief seinen Namen“</w:t>
      </w:r>
    </w:p>
  </w:footnote>
  <w:footnote w:id="95">
    <w:p>
      <w:pPr>
        <w:pStyle w:val="Funote"/>
        <w:rPr/>
      </w:pPr>
      <w:r>
        <w:rPr/>
        <w:footnoteRef/>
        <w:tab/>
        <w:t>Wörtlich: „rief seinen Namen“</w:t>
      </w:r>
    </w:p>
  </w:footnote>
  <w:footnote w:id="96">
    <w:p>
      <w:pPr>
        <w:pStyle w:val="Funote"/>
        <w:rPr/>
      </w:pPr>
      <w:r>
        <w:rPr/>
        <w:footnoteRef/>
        <w:tab/>
        <w:t>[Status: Ungeprüft]</w:t>
      </w:r>
    </w:p>
  </w:footnote>
  <w:footnote w:id="97">
    <w:p>
      <w:pPr>
        <w:pStyle w:val="Funote"/>
        <w:rPr/>
      </w:pPr>
      <w:r>
        <w:rPr/>
        <w:footnoteRef/>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98">
    <w:p>
      <w:pPr>
        <w:pStyle w:val="Funote"/>
        <w:rPr/>
      </w:pPr>
      <w:r>
        <w:rPr/>
        <w:footnoteRef/>
        <w:tab/>
        <w:t>wörtlich: die Männer des Namens, was soviel wie berühmte Männer bedeutet.</w:t>
      </w:r>
    </w:p>
  </w:footnote>
  <w:footnote w:id="99">
    <w:p>
      <w:pPr>
        <w:pStyle w:val="Funote"/>
        <w:rPr/>
      </w:pPr>
      <w:r>
        <w:rPr/>
        <w:footnoteRef/>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0">
    <w:p>
      <w:pPr>
        <w:pStyle w:val="Funote"/>
        <w:rPr/>
      </w:pPr>
      <w:r>
        <w:rPr/>
        <w:footnoteRef/>
        <w:tab/>
        <w:t xml:space="preserve">unbekannte Baumart; die LXX deutete </w:t>
      </w:r>
      <w:r>
        <w:rPr>
          <w:rtl w:val="true"/>
          <w:lang w:bidi="he-IL"/>
        </w:rPr>
        <w:t>גפר</w:t>
      </w:r>
      <w:r>
        <w:rPr/>
        <w:t xml:space="preserve"> </w:t>
      </w:r>
      <w:r>
        <w:rPr/>
        <w:t>als „vierkantig“, die Vulgata als „geglättet“</w:t>
      </w:r>
    </w:p>
  </w:footnote>
  <w:footnote w:id="101">
    <w:p>
      <w:pPr>
        <w:pStyle w:val="Funote"/>
        <w:rPr/>
      </w:pPr>
      <w:r>
        <w:rPr/>
        <w:footnoteRef/>
        <w:tab/>
        <w:t xml:space="preserve">Das hebräische Wort </w:t>
      </w:r>
      <w:r>
        <w:rPr>
          <w:rtl w:val="true"/>
          <w:lang w:bidi="he-IL"/>
        </w:rPr>
        <w:t>צׂהָר</w:t>
      </w:r>
      <w:r>
        <w:rPr/>
        <w:t xml:space="preserve"> </w:t>
      </w:r>
      <w:r>
        <w:rPr/>
        <w:t>ist in seiner Bedeutung nicht gesichert; andere übersetzen „Fenster“.</w:t>
      </w:r>
    </w:p>
  </w:footnote>
  <w:footnote w:id="102">
    <w:p>
      <w:pPr>
        <w:pStyle w:val="Funote"/>
        <w:rPr/>
      </w:pPr>
      <w:r>
        <w:rPr/>
        <w:footnoteRef/>
        <w:tab/>
        <w:t>Vielleicht ist diese Parenthese an das Ende des Verses 15 zu versetzen (so O. Eißfeldt im Apparat der BHS).</w:t>
      </w:r>
    </w:p>
  </w:footnote>
  <w:footnote w:id="103">
    <w:p>
      <w:pPr>
        <w:pStyle w:val="Funote"/>
        <w:rPr/>
      </w:pPr>
      <w:r>
        <w:rPr/>
        <w:footnoteRef/>
        <w:tab/>
        <w:t>Vers 16b (untere ... machen) ist vielleicht hinter Vers 14b (... machen) zu versetzen (so O. Eißfeldt im Apparat der BHS).</w:t>
      </w:r>
    </w:p>
  </w:footnote>
  <w:footnote w:id="104">
    <w:p>
      <w:pPr>
        <w:pStyle w:val="Funote"/>
        <w:rPr/>
      </w:pPr>
      <w:r>
        <w:rPr>
          <w:rtl w:val="true"/>
          <w:lang w:bidi="he-IL"/>
        </w:rPr>
        <w:footnoteRef/>
        <w:tab/>
        <w:t>הִנֵּה</w:t>
      </w:r>
      <w:r>
        <w:rPr/>
        <w:t xml:space="preserve"> </w:t>
      </w:r>
      <w:r>
        <w:rPr/>
        <w:t>mit Part. in der Funktion des futurum instans, der unmittelbar bevorstehenden Zukunft.</w:t>
      </w:r>
    </w:p>
  </w:footnote>
  <w:footnote w:id="105">
    <w:p>
      <w:pPr>
        <w:pStyle w:val="Funote"/>
        <w:rPr/>
      </w:pPr>
      <w:r>
        <w:rPr/>
        <w:footnoteRef/>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06">
    <w:p>
      <w:pPr>
        <w:pStyle w:val="Funote"/>
        <w:rPr/>
      </w:pPr>
      <w:r>
        <w:rPr/>
        <w:footnoteRef/>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07">
    <w:p>
      <w:pPr>
        <w:pStyle w:val="Funote"/>
        <w:rPr/>
      </w:pPr>
      <w:r>
        <w:rPr/>
        <w:footnoteRef/>
        <w:tab/>
        <w:t>Perf. cons. mit konsekutivem Sinn; wörtl.: und du wirst hineingehen ...</w:t>
      </w:r>
    </w:p>
  </w:footnote>
  <w:footnote w:id="108">
    <w:p>
      <w:pPr>
        <w:pStyle w:val="Funote"/>
        <w:rPr/>
      </w:pPr>
      <w:r>
        <w:rPr/>
        <w:footnoteRef/>
        <w:tab/>
        <w:t>Im Hebräischen ein Kollektivbegriff, der alles umfasst, was fliegen kann.</w:t>
      </w:r>
    </w:p>
  </w:footnote>
  <w:footnote w:id="109">
    <w:p>
      <w:pPr>
        <w:pStyle w:val="Funote"/>
        <w:rPr/>
      </w:pPr>
      <w:r>
        <w:rPr/>
        <w:footnoteRef/>
        <w:tab/>
        <w:t>Im Hebräischen ein Kollektivbegriff, der alles umfasst, was auf vier Beinen geht.</w:t>
      </w:r>
    </w:p>
  </w:footnote>
  <w:footnote w:id="110">
    <w:p>
      <w:pPr>
        <w:pStyle w:val="Funote"/>
        <w:rPr/>
      </w:pPr>
      <w:r>
        <w:rPr/>
        <w:footnoteRef/>
        <w:tab/>
        <w:t>Im Hebräischen ein Kollektivbegriff, der alles umfasst, was sich nicht auf vier Beinen fortbewegt und nicht fliegt.</w:t>
      </w:r>
    </w:p>
  </w:footnote>
  <w:footnote w:id="111">
    <w:p>
      <w:pPr>
        <w:pStyle w:val="Funote"/>
        <w:rPr/>
      </w:pPr>
      <w:r>
        <w:rPr/>
        <w:footnoteRef/>
        <w:tab/>
        <w:t>[Status: Ungeprüft]</w:t>
      </w:r>
    </w:p>
  </w:footnote>
  <w:footnote w:id="112">
    <w:p>
      <w:pPr>
        <w:pStyle w:val="Funote"/>
        <w:rPr/>
      </w:pPr>
      <w:r>
        <w:rPr/>
        <w:footnoteRef/>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3">
    <w:p>
      <w:pPr>
        <w:pStyle w:val="Funote"/>
        <w:rPr/>
      </w:pPr>
      <w:r>
        <w:rPr/>
        <w:footnoteRef/>
        <w:tab/>
        <w:t>oder: war 40 Tage auf der Erde</w:t>
      </w:r>
    </w:p>
  </w:footnote>
  <w:footnote w:id="114">
    <w:p>
      <w:pPr>
        <w:pStyle w:val="Funote"/>
        <w:rPr/>
      </w:pPr>
      <w:r>
        <w:rPr/>
        <w:footnoteRef/>
        <w:tab/>
        <w:t>Narrativ mit konsekutivem Nebensinn: so dass er sich von der Erde erhob.</w:t>
      </w:r>
    </w:p>
  </w:footnote>
  <w:footnote w:id="115">
    <w:p>
      <w:pPr>
        <w:pStyle w:val="Funote"/>
        <w:rPr/>
      </w:pPr>
      <w:r>
        <w:rPr/>
        <w:footnoteRef/>
        <w:tab/>
        <w:t>Narrativ mit konsekutivem Nebensinn: so dass der Kasten auf der Wasseroberfläche schwamm.</w:t>
      </w:r>
    </w:p>
  </w:footnote>
  <w:footnote w:id="116">
    <w:p>
      <w:pPr>
        <w:pStyle w:val="Funote"/>
        <w:rPr/>
      </w:pPr>
      <w:r>
        <w:rPr/>
        <w:footnoteRef/>
        <w:tab/>
        <w:t>Narrativ mit konsekutivem Nebensinn: so dass alle hohen Berge unter dem ganzen Himmel bedeckt wurden.</w:t>
      </w:r>
    </w:p>
  </w:footnote>
  <w:footnote w:id="117">
    <w:p>
      <w:pPr>
        <w:pStyle w:val="Funote"/>
        <w:rPr/>
      </w:pPr>
      <w:r>
        <w:rPr/>
        <w:footnoteRef/>
        <w:tab/>
        <w:t>etwas freier übersetzt: in (durch) dessen Nase der Lebensatem strömte.</w:t>
      </w:r>
    </w:p>
  </w:footnote>
  <w:footnote w:id="118">
    <w:p>
      <w:pPr>
        <w:pStyle w:val="Funote"/>
        <w:rPr/>
      </w:pPr>
      <w:r>
        <w:rPr/>
        <w:footnoteRef/>
        <w:tab/>
        <w:t>[Status: Ungeprüft]</w:t>
      </w:r>
    </w:p>
  </w:footnote>
  <w:footnote w:id="119">
    <w:p>
      <w:pPr>
        <w:pStyle w:val="Funote"/>
        <w:rPr/>
      </w:pPr>
      <w:r>
        <w:rPr/>
        <w:footnoteRef/>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0">
    <w:p>
      <w:pPr>
        <w:pStyle w:val="Funote"/>
        <w:rPr/>
      </w:pPr>
      <w:r>
        <w:rPr/>
        <w:footnoteRef/>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1">
    <w:p>
      <w:pPr>
        <w:pStyle w:val="Funote"/>
        <w:rPr/>
      </w:pPr>
      <w:r>
        <w:rPr/>
        <w:footnoteRef/>
        <w:tab/>
        <w:t>damit: wörtl. und das Wasser sank. Das Hebräische bevorzugt beiordnende Hauptsätze, das Deutsche unterordnende Nebensätze, deren Sinnrichtung sich aus dem Zusammenhang ergibt.</w:t>
      </w:r>
    </w:p>
  </w:footnote>
  <w:footnote w:id="122">
    <w:p>
      <w:pPr>
        <w:pStyle w:val="Funote"/>
        <w:rPr/>
      </w:pPr>
      <w:r>
        <w:rPr/>
        <w:footnoteRef/>
        <w:tab/>
        <w:t>wörtl.: wurden verstopft. Man erinnere sich, dass das atl. Weltbild sich das Firmament wie eine Käseglocke vorstellte, in der die Löcher buchstäblich verstopft wurden</w:t>
      </w:r>
    </w:p>
  </w:footnote>
  <w:footnote w:id="123">
    <w:p>
      <w:pPr>
        <w:pStyle w:val="Funote"/>
        <w:rPr/>
      </w:pPr>
      <w:r>
        <w:rPr/>
        <w:footnoteRef/>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24">
    <w:p>
      <w:pPr>
        <w:pStyle w:val="Funote"/>
        <w:rPr/>
      </w:pPr>
      <w:r>
        <w:rPr/>
        <w:footnoteRef/>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25">
    <w:p>
      <w:pPr>
        <w:pStyle w:val="Funote"/>
        <w:rPr/>
      </w:pPr>
      <w:r>
        <w:rPr/>
        <w:footnoteRef/>
        <w:tab/>
        <w:t>wörtl.: kehrten um</w:t>
      </w:r>
    </w:p>
  </w:footnote>
  <w:footnote w:id="126">
    <w:p>
      <w:pPr>
        <w:pStyle w:val="Funote"/>
        <w:rPr/>
      </w:pPr>
      <w:r>
        <w:rPr/>
        <w:footnoteRef/>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27">
    <w:p>
      <w:pPr>
        <w:pStyle w:val="Funote"/>
        <w:rPr/>
      </w:pPr>
      <w:r>
        <w:rPr/>
        <w:footnoteRef/>
        <w:tab/>
        <w:t>hier Plural; im Sg. "Berg"</w:t>
      </w:r>
    </w:p>
  </w:footnote>
  <w:footnote w:id="128">
    <w:p>
      <w:pPr>
        <w:pStyle w:val="Funote"/>
        <w:rPr/>
      </w:pPr>
      <w:r>
        <w:rPr/>
        <w:footnoteRef/>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29">
    <w:p>
      <w:pPr>
        <w:pStyle w:val="Funote"/>
        <w:rPr/>
      </w:pPr>
      <w:r>
        <w:rPr/>
        <w:footnoteRef/>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0">
    <w:p>
      <w:pPr>
        <w:pStyle w:val="Funote"/>
        <w:rPr/>
      </w:pPr>
      <w:r>
        <w:rPr/>
        <w:footnoteRef/>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1">
    <w:p>
      <w:pPr>
        <w:pStyle w:val="Funote"/>
        <w:rPr/>
      </w:pPr>
      <w:r>
        <w:rPr/>
        <w:footnoteRef/>
        <w:tab/>
        <w:t>wörtl.: Fußsohle</w:t>
      </w:r>
    </w:p>
  </w:footnote>
  <w:footnote w:id="132">
    <w:p>
      <w:pPr>
        <w:pStyle w:val="Funote"/>
        <w:rPr/>
      </w:pPr>
      <w:r>
        <w:rPr/>
        <w:footnoteRef/>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3">
    <w:p>
      <w:pPr>
        <w:pStyle w:val="Funote"/>
        <w:rPr/>
      </w:pPr>
      <w:r>
        <w:rPr/>
        <w:footnoteRef/>
        <w:tab/>
        <w:t>wörtl.: er fuhr fort, fliegen zu lassen</w:t>
      </w:r>
    </w:p>
  </w:footnote>
  <w:footnote w:id="134">
    <w:p>
      <w:pPr>
        <w:pStyle w:val="Funote"/>
        <w:rPr/>
      </w:pPr>
      <w:r>
        <w:rPr/>
        <w:footnoteRef/>
        <w:tab/>
        <w:t>wörtl.: gering sein, vermindert werden</w:t>
      </w:r>
    </w:p>
  </w:footnote>
  <w:footnote w:id="135">
    <w:p>
      <w:pPr>
        <w:pStyle w:val="Funote"/>
        <w:rPr/>
      </w:pPr>
      <w:r>
        <w:rPr/>
        <w:footnoteRef/>
        <w:tab/>
        <w:t>wörtl.: fuhr nicht mehr fort, zu ihm zurückzukommen</w:t>
      </w:r>
    </w:p>
  </w:footnote>
  <w:footnote w:id="136">
    <w:p>
      <w:pPr>
        <w:pStyle w:val="Funote"/>
        <w:rPr/>
      </w:pPr>
      <w:r>
        <w:rPr/>
        <w:footnoteRef/>
        <w:tab/>
        <w:t>Die Zählung bezieht sich offenbar auf die Lebensjahre Noahs</w:t>
      </w:r>
    </w:p>
  </w:footnote>
  <w:footnote w:id="137">
    <w:p>
      <w:pPr>
        <w:pStyle w:val="Funote"/>
        <w:rPr/>
      </w:pPr>
      <w:r>
        <w:rPr/>
        <w:footnoteRef/>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38">
    <w:p>
      <w:pPr>
        <w:pStyle w:val="Funote"/>
        <w:rPr/>
      </w:pPr>
      <w:r>
        <w:rPr/>
        <w:footnoteRef/>
        <w:tab/>
        <w:t>im Hebr. haben Verb und Nomen den selben Stamm</w:t>
      </w:r>
    </w:p>
  </w:footnote>
  <w:footnote w:id="139">
    <w:p>
      <w:pPr>
        <w:pStyle w:val="Funote"/>
        <w:rPr/>
      </w:pPr>
      <w:r>
        <w:rPr/>
        <w:footnoteRef/>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0">
    <w:p>
      <w:pPr>
        <w:pStyle w:val="Funote"/>
        <w:rPr/>
      </w:pPr>
      <w:r>
        <w:rPr/>
        <w:footnoteRef/>
        <w:tab/>
        <w:t>kann auch als: „brachte als Brandopfer dar“ übersetzt werden.</w:t>
      </w:r>
    </w:p>
  </w:footnote>
  <w:footnote w:id="141">
    <w:p>
      <w:pPr>
        <w:pStyle w:val="Funote"/>
        <w:rPr/>
      </w:pPr>
      <w:r>
        <w:rPr/>
        <w:footnoteRef/>
        <w:tab/>
        <w:t>wörtlich: den Geruch des Wohlgefallens.</w:t>
      </w:r>
    </w:p>
  </w:footnote>
  <w:footnote w:id="142">
    <w:p>
      <w:pPr>
        <w:pStyle w:val="Funote"/>
        <w:rPr/>
      </w:pPr>
      <w:r>
        <w:rPr/>
        <w:footnoteRef/>
        <w:tab/>
        <w:t>Gesenius, S. 569; wörtl.: Bis zu allen Tagen der Erde</w:t>
      </w:r>
    </w:p>
  </w:footnote>
  <w:footnote w:id="143">
    <w:p>
      <w:pPr>
        <w:pStyle w:val="Funote"/>
        <w:rPr/>
      </w:pPr>
      <w:r>
        <w:rPr/>
        <w:footnoteRef/>
        <w:tab/>
        <w:t>[Status: Ungeprüft]</w:t>
      </w:r>
    </w:p>
  </w:footnote>
  <w:footnote w:id="144">
    <w:p>
      <w:pPr>
        <w:pStyle w:val="Funote"/>
        <w:rPr/>
      </w:pPr>
      <w:r>
        <w:rPr/>
        <w:footnoteRef/>
        <w:tab/>
        <w:t>Partizip</w:t>
      </w:r>
    </w:p>
  </w:footnote>
  <w:footnote w:id="145">
    <w:p>
      <w:pPr>
        <w:pStyle w:val="Funote"/>
        <w:rPr/>
      </w:pPr>
      <w:r>
        <w:rPr/>
        <w:footnoteRef/>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46">
    <w:p>
      <w:pPr>
        <w:pStyle w:val="Funote"/>
        <w:rPr/>
      </w:pPr>
      <w:r>
        <w:rPr/>
        <w:footnoteRef/>
        <w:tab/>
        <w:t>Partizip</w:t>
      </w:r>
    </w:p>
  </w:footnote>
  <w:footnote w:id="147">
    <w:p>
      <w:pPr>
        <w:pStyle w:val="Funote"/>
        <w:rPr/>
      </w:pPr>
      <w:r>
        <w:rPr/>
        <w:footnoteRef/>
        <w:tab/>
        <w:t>Partizip</w:t>
      </w:r>
    </w:p>
  </w:footnote>
  <w:footnote w:id="148">
    <w:p>
      <w:pPr>
        <w:pStyle w:val="Funote"/>
        <w:rPr/>
      </w:pPr>
      <w:r>
        <w:rPr/>
        <w:footnoteRef/>
        <w:tab/>
        <w:t>Partizip</w:t>
      </w:r>
    </w:p>
  </w:footnote>
  <w:footnote w:id="149">
    <w:p>
      <w:pPr>
        <w:pStyle w:val="Funote"/>
        <w:rPr/>
      </w:pPr>
      <w:r>
        <w:rPr/>
        <w:footnoteRef/>
        <w:tab/>
        <w:t>wörtl.: Infinitiv: zu gedenken</w:t>
      </w:r>
    </w:p>
  </w:footnote>
  <w:footnote w:id="150">
    <w:p>
      <w:pPr>
        <w:pStyle w:val="Funote"/>
        <w:rPr/>
      </w:pPr>
      <w:r>
        <w:rPr/>
        <w:footnoteRef/>
        <w:tab/>
        <w:t>Partizip</w:t>
      </w:r>
    </w:p>
  </w:footnote>
  <w:footnote w:id="151">
    <w:p>
      <w:pPr>
        <w:pStyle w:val="Funote"/>
        <w:rPr/>
      </w:pPr>
      <w:r>
        <w:rPr/>
        <w:footnoteRef/>
        <w:tab/>
        <w:t>vgl. Gesenius, S. 68</w:t>
      </w:r>
    </w:p>
  </w:footnote>
  <w:footnote w:id="152">
    <w:p>
      <w:pPr>
        <w:pStyle w:val="Funote"/>
        <w:rPr/>
      </w:pPr>
      <w:r>
        <w:rPr/>
        <w:footnoteRef/>
        <w:tab/>
        <w:t>Gemeint ist: Noach war der erste Landwirt</w:t>
      </w:r>
    </w:p>
  </w:footnote>
  <w:footnote w:id="153">
    <w:p>
      <w:pPr>
        <w:pStyle w:val="Funote"/>
        <w:rPr/>
      </w:pPr>
      <w:r>
        <w:rPr/>
        <w:footnoteRef/>
        <w:tab/>
        <w:t>wörtl.: rückwärts</w:t>
      </w:r>
    </w:p>
  </w:footnote>
  <w:footnote w:id="154">
    <w:p>
      <w:pPr>
        <w:pStyle w:val="Funote"/>
        <w:rPr/>
      </w:pPr>
      <w:r>
        <w:rPr/>
        <w:footnoteRef/>
        <w:tab/>
        <w:t>Ein Wortspiel: das Verb hat die selben Konsonanten wie der Name Japhet</w:t>
      </w:r>
    </w:p>
  </w:footnote>
  <w:footnote w:id="155">
    <w:p>
      <w:pPr>
        <w:pStyle w:val="Funote"/>
        <w:rPr/>
      </w:pPr>
      <w:r>
        <w:rPr/>
        <w:footnoteRef/>
        <w:tab/>
        <w:t>[Status: Ungeprüft]</w:t>
      </w:r>
    </w:p>
  </w:footnote>
  <w:footnote w:id="156">
    <w:p>
      <w:pPr>
        <w:pStyle w:val="Funote"/>
        <w:rPr/>
      </w:pPr>
      <w:r>
        <w:rPr/>
        <w:footnoteRef/>
        <w:tab/>
        <w:t>Demonstrativpronomen im Plural.</w:t>
      </w:r>
    </w:p>
  </w:footnote>
  <w:footnote w:id="157">
    <w:p>
      <w:pPr>
        <w:pStyle w:val="Funote"/>
        <w:rPr/>
      </w:pPr>
      <w:r>
        <w:rPr/>
        <w:footnoteRef/>
        <w:tab/>
        <w:t>Der Plural von „Werdegang“, im Hebräischen hier ohne Artikel da solche im voraufgegangenen Text noch nie erwähnt.</w:t>
      </w:r>
    </w:p>
  </w:footnote>
  <w:footnote w:id="158">
    <w:p>
      <w:pPr>
        <w:pStyle w:val="Funote"/>
        <w:rPr/>
      </w:pPr>
      <w:r>
        <w:rPr/>
        <w:footnoteRef/>
        <w:tab/>
        <w:t>Im Hebräischen eine Constructus-Verbindung (Sprech- und Bedeutungseinheit) mit dem nachfolgenden Personennamen: Die korrekte Übersetzung davon ins Deutsche ist der Personenname mit Genitiv-s (nicht: „Söhne von ...“).</w:t>
      </w:r>
    </w:p>
  </w:footnote>
  <w:footnote w:id="159">
    <w:p>
      <w:pPr>
        <w:pStyle w:val="Funote"/>
        <w:rPr/>
      </w:pPr>
      <w:r>
        <w:rPr/>
        <w:footnoteRef/>
        <w:tab/>
        <w:t>So die traditionelle Schreibweise an dieser Stelle nach der Masora, dem Samaritanus, der Septuaginta und Hieronymus / mehrere Fragmente aus der Geniza von Kairo und viele hebräische Handschriften schreiben hier aber „und Ham“.</w:t>
      </w:r>
    </w:p>
  </w:footnote>
  <w:footnote w:id="160">
    <w:p>
      <w:pPr>
        <w:pStyle w:val="Funote"/>
        <w:rPr/>
      </w:pPr>
      <w:r>
        <w:rPr/>
        <w:footnoteRef/>
        <w:tab/>
        <w:t xml:space="preserve">So der Masoretische Text und der Samaritanus / Septuaginta und Hieronymus ohne Konjunktion; s. </w:t>
      </w:r>
      <w:r>
        <w:fldChar w:fldCharType="begin"/>
      </w:r>
      <w:r>
        <w:instrText> HYPERLINK "file:///wiki/1_Chronik_1" \l "S4"</w:instrText>
      </w:r>
      <w:r>
        <w:fldChar w:fldCharType="separate"/>
      </w:r>
      <w:r>
        <w:rPr>
          <w:rStyle w:val="Internetverknpfung"/>
        </w:rPr>
        <w:t>1 Chronik 1,4</w:t>
      </w:r>
      <w:r>
        <w:fldChar w:fldCharType="end"/>
      </w:r>
      <w:r>
        <w:rPr/>
        <w:t>.</w:t>
      </w:r>
    </w:p>
  </w:footnote>
  <w:footnote w:id="161">
    <w:p>
      <w:pPr>
        <w:pStyle w:val="Funote"/>
        <w:rPr/>
      </w:pPr>
      <w:r>
        <w:rPr/>
        <w:footnoteRef/>
        <w:tab/>
        <w:t>3. Person Plural (m) Imperfekt als hebräische Aktionsart „Nifal“ (Passiv).</w:t>
      </w:r>
    </w:p>
  </w:footnote>
  <w:footnote w:id="162">
    <w:p>
      <w:pPr>
        <w:pStyle w:val="Funote"/>
        <w:rPr/>
      </w:pPr>
      <w:r>
        <w:rPr/>
        <w:footnoteRef/>
        <w:tab/>
        <w:t xml:space="preserve">So der Masoretische Text, zusammen mit dem Samaritanus, der Septuaginta und Hieronymus; s. zu </w:t>
      </w:r>
      <w:r>
        <w:fldChar w:fldCharType="begin"/>
      </w:r>
      <w:r>
        <w:instrText> HYPERLINK "file:///wiki/1_Chronik_1" \l "S6"</w:instrText>
      </w:r>
      <w:r>
        <w:fldChar w:fldCharType="separate"/>
      </w:r>
      <w:r>
        <w:rPr>
          <w:rStyle w:val="Internetverknpfung"/>
        </w:rPr>
        <w:t>1 Chronik 1,6</w:t>
      </w:r>
      <w:r>
        <w:fldChar w:fldCharType="end"/>
      </w:r>
      <w:r>
        <w:rPr/>
        <w:t xml:space="preserve"> „Difat“.</w:t>
      </w:r>
    </w:p>
  </w:footnote>
  <w:footnote w:id="163">
    <w:p>
      <w:pPr>
        <w:pStyle w:val="Funote"/>
        <w:rPr/>
      </w:pPr>
      <w:r>
        <w:rPr/>
        <w:footnoteRef/>
        <w:tab/>
        <w:t xml:space="preserve">Im Hebräischen mit Mehrzahlendung </w:t>
      </w:r>
      <w:r>
        <w:rPr>
          <w:rtl w:val="true"/>
          <w:lang w:bidi="he-IL"/>
        </w:rPr>
        <w:t>ים</w:t>
      </w:r>
      <w:r>
        <w:rPr/>
        <w:t xml:space="preserve"> </w:t>
      </w:r>
      <w:r>
        <w:rPr/>
        <w:t xml:space="preserve">als Plural und daher eher als Name eines Volksstammes zu verstehen; </w:t>
      </w:r>
      <w:r>
        <w:fldChar w:fldCharType="begin"/>
      </w:r>
      <w:r>
        <w:instrText> HYPERLINK "file:///wiki/Jeremia_2" \l "S10"</w:instrText>
      </w:r>
      <w:r>
        <w:fldChar w:fldCharType="separate"/>
      </w:r>
      <w:r>
        <w:rPr>
          <w:rStyle w:val="Internetverknpfung"/>
        </w:rPr>
        <w:t>Jeremia 2,10</w:t>
      </w:r>
      <w:r>
        <w:fldChar w:fldCharType="end"/>
      </w:r>
      <w:r>
        <w:rPr/>
        <w:t>.</w:t>
      </w:r>
    </w:p>
  </w:footnote>
  <w:footnote w:id="164">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w:t>
      </w:r>
    </w:p>
  </w:footnote>
  <w:footnote w:id="165">
    <w:p>
      <w:pPr>
        <w:pStyle w:val="Funote"/>
        <w:rPr/>
      </w:pPr>
      <w:r>
        <w:rPr/>
        <w:footnoteRef/>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Samaritanischer Pentateuch, Septuaginta und nur wenige hebräische Handschriften bieten hier „Rodaniter“, wie auch der Masoretische Text „Rodaniter“ an der Parallelstelle </w:t>
      </w:r>
      <w:r>
        <w:fldChar w:fldCharType="begin"/>
      </w:r>
      <w:r>
        <w:instrText> HYPERLINK "file:///wiki/1_Chronik_1" \l "S7"</w:instrText>
      </w:r>
      <w:r>
        <w:fldChar w:fldCharType="separate"/>
      </w:r>
      <w:r>
        <w:rPr>
          <w:rStyle w:val="Internetverknpfung"/>
        </w:rPr>
        <w:t>1 Chronik 1,7</w:t>
      </w:r>
      <w:r>
        <w:fldChar w:fldCharType="end"/>
      </w:r>
      <w:r>
        <w:rPr/>
        <w:t>. Hieronymus hatte an beiden Stellen „Dodaniter“ gelesen.</w:t>
      </w:r>
    </w:p>
  </w:footnote>
  <w:footnote w:id="166">
    <w:p>
      <w:pPr>
        <w:pStyle w:val="Funote"/>
        <w:rPr/>
      </w:pPr>
      <w:r>
        <w:rPr/>
        <w:footnoteRef/>
        <w:tab/>
        <w:t xml:space="preserve">3. Person (m) Plural Perfekt von „verstreuen“ in der hebräischen Aktionsart „Nifal“ (Passiv). Muss sich, zurückblickend aus der Sicht des Schreibers, nicht unbedingt auf die Babylonische Zerstreuung im folgenden Kapitel </w:t>
      </w:r>
      <w:r>
        <w:fldChar w:fldCharType="begin"/>
      </w:r>
      <w:r>
        <w:instrText> HYPERLINK "file:///wiki/Genesis_11" \l "S8"</w:instrText>
      </w:r>
      <w:r>
        <w:fldChar w:fldCharType="separate"/>
      </w:r>
      <w:r>
        <w:rPr>
          <w:rStyle w:val="Internetverknpfung"/>
        </w:rPr>
        <w:t>Genesis 11,8</w:t>
      </w:r>
      <w:r>
        <w:fldChar w:fldCharType="end"/>
      </w:r>
      <w:r>
        <w:rPr/>
        <w:t xml:space="preserve"> bezogen haben.</w:t>
      </w:r>
    </w:p>
  </w:footnote>
  <w:footnote w:id="167">
    <w:p>
      <w:pPr>
        <w:pStyle w:val="Funote"/>
        <w:rPr/>
      </w:pPr>
      <w:r>
        <w:rPr/>
        <w:footnoteRef/>
        <w:tab/>
        <w:t>Plural (m), bildet im Hebräischen einen „Status constructus“, eine Sprech- und Bedeutungseinheit mit den Inseln.</w:t>
      </w:r>
    </w:p>
  </w:footnote>
  <w:footnote w:id="168">
    <w:p>
      <w:pPr>
        <w:pStyle w:val="Funote"/>
        <w:rPr/>
      </w:pPr>
      <w:r>
        <w:rPr/>
        <w:footnoteRef/>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69">
    <w:p>
      <w:pPr>
        <w:pStyle w:val="Funote"/>
        <w:rPr/>
      </w:pPr>
      <w:r>
        <w:rPr/>
        <w:footnoteRef/>
        <w:tab/>
        <w:t>Plural (f)</w:t>
      </w:r>
    </w:p>
  </w:footnote>
  <w:footnote w:id="170">
    <w:p>
      <w:pPr>
        <w:pStyle w:val="Funote"/>
        <w:rPr/>
      </w:pPr>
      <w:r>
        <w:rPr/>
        <w:footnoteRef/>
        <w:tab/>
        <w:t>Singular (m)</w:t>
      </w:r>
    </w:p>
  </w:footnote>
  <w:footnote w:id="171">
    <w:p>
      <w:pPr>
        <w:pStyle w:val="Funote"/>
        <w:rPr/>
      </w:pPr>
      <w:r>
        <w:rPr/>
        <w:footnoteRef/>
        <w:tab/>
        <w:t xml:space="preserve">Hier im Kontext als Personenname erkennbar; auch Name eines Landes </w:t>
      </w:r>
      <w:r>
        <w:fldChar w:fldCharType="begin"/>
      </w:r>
      <w:r>
        <w:instrText> HYPERLINK "file:///wiki/Genesis_2" \l "S13"</w:instrText>
      </w:r>
      <w:r>
        <w:fldChar w:fldCharType="separate"/>
      </w:r>
      <w:r>
        <w:rPr>
          <w:rStyle w:val="Internetverknpfung"/>
        </w:rPr>
        <w:t>Genesis 2,13</w:t>
      </w:r>
      <w:r>
        <w:fldChar w:fldCharType="end"/>
      </w:r>
      <w:r>
        <w:rPr/>
        <w:t xml:space="preserve"> und </w:t>
      </w:r>
      <w:hyperlink r:id="rId2">
        <w:r>
          <w:rPr>
            <w:rStyle w:val="Internetverknpfung"/>
          </w:rPr>
          <w:t>2 Könige 19,9</w:t>
        </w:r>
      </w:hyperlink>
      <w:r>
        <w:rPr/>
        <w:t xml:space="preserve"> etc.</w:t>
      </w:r>
    </w:p>
  </w:footnote>
  <w:footnote w:id="172">
    <w:p>
      <w:pPr>
        <w:pStyle w:val="Funote"/>
        <w:rPr/>
      </w:pPr>
      <w:r>
        <w:rPr/>
        <w:footnoteRef/>
        <w:tab/>
        <w:t xml:space="preserve">Hier im Kontext als Personenname erkennbar; auch der Name eines Landes </w:t>
      </w:r>
      <w:r>
        <w:fldChar w:fldCharType="begin"/>
      </w:r>
      <w:r>
        <w:instrText> HYPERLINK "file:///wiki/Genesis_12" \l "S10"</w:instrText>
      </w:r>
      <w:r>
        <w:fldChar w:fldCharType="separate"/>
      </w:r>
      <w:r>
        <w:rPr>
          <w:rStyle w:val="Internetverknpfung"/>
        </w:rPr>
        <w:t>Genesis 12,10</w:t>
      </w:r>
      <w:r>
        <w:fldChar w:fldCharType="end"/>
      </w:r>
      <w:r>
        <w:rPr/>
        <w:t xml:space="preserve">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3">
    <w:p>
      <w:pPr>
        <w:pStyle w:val="Funote"/>
        <w:rPr/>
      </w:pPr>
      <w:r>
        <w:rPr/>
        <w:footnoteRef/>
        <w:tab/>
        <w:t xml:space="preserve">So der Masoretische Text und Hieronymus (mit Konjunktion) / Samaritanus und Septuaginta ohne Konjunktion; s. </w:t>
      </w:r>
      <w:r>
        <w:fldChar w:fldCharType="begin"/>
      </w:r>
      <w:r>
        <w:instrText> HYPERLINK "file:///wiki/1_Chronik_1" \l "S8"</w:instrText>
      </w:r>
      <w:r>
        <w:fldChar w:fldCharType="separate"/>
      </w:r>
      <w:r>
        <w:rPr>
          <w:rStyle w:val="Internetverknpfung"/>
        </w:rPr>
        <w:t>1 Chronik 1,8</w:t>
      </w:r>
      <w:r>
        <w:fldChar w:fldCharType="end"/>
      </w:r>
      <w:r>
        <w:rPr/>
        <w:t>.</w:t>
      </w:r>
    </w:p>
  </w:footnote>
  <w:footnote w:id="174">
    <w:p>
      <w:pPr>
        <w:pStyle w:val="Funote"/>
        <w:rPr/>
      </w:pPr>
      <w:r>
        <w:rPr/>
        <w:footnoteRef/>
        <w:tab/>
        <w:t xml:space="preserve">Hier im Kontext als Personenname erkennbar; auch der Name eines Landes </w:t>
      </w:r>
      <w:hyperlink r:id="rId3">
        <w:r>
          <w:rPr>
            <w:rStyle w:val="Internetverknpfung"/>
          </w:rPr>
          <w:t>Jeremia 46,9</w:t>
        </w:r>
      </w:hyperlink>
      <w:r>
        <w:rPr/>
        <w:t xml:space="preserve"> etc.</w:t>
      </w:r>
    </w:p>
  </w:footnote>
  <w:footnote w:id="175">
    <w:p>
      <w:pPr>
        <w:pStyle w:val="Funote"/>
        <w:rPr/>
      </w:pPr>
      <w:r>
        <w:rPr/>
        <w:footnoteRef/>
        <w:tab/>
        <w:t xml:space="preserve">Hier im Kontext als Personenname erkennbar; auch der Name eines Landes </w:t>
      </w:r>
      <w:r>
        <w:fldChar w:fldCharType="begin"/>
      </w:r>
      <w:r>
        <w:instrText> HYPERLINK "file:///wiki/Genesis_11" \l "S31"</w:instrText>
      </w:r>
      <w:r>
        <w:fldChar w:fldCharType="separate"/>
      </w:r>
      <w:r>
        <w:rPr>
          <w:rStyle w:val="Internetverknpfung"/>
        </w:rPr>
        <w:t>Genesis 11,31</w:t>
      </w:r>
      <w:r>
        <w:fldChar w:fldCharType="end"/>
      </w:r>
      <w:r>
        <w:rPr/>
        <w:t xml:space="preserve"> etc.</w:t>
      </w:r>
    </w:p>
  </w:footnote>
  <w:footnote w:id="176">
    <w:p>
      <w:pPr>
        <w:pStyle w:val="Funote"/>
        <w:rPr/>
      </w:pPr>
      <w:r>
        <w:rPr/>
        <w:footnoteRef/>
        <w:tab/>
        <w:t>3. Person Singular (m) Perfekt, hier mit Plusquamperfekt wiedergegeben wegen der nachfolgenden Geschichte Nimrods im selben Vers.</w:t>
      </w:r>
    </w:p>
  </w:footnote>
  <w:footnote w:id="177">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78">
    <w:p>
      <w:pPr>
        <w:pStyle w:val="Funote"/>
        <w:rPr/>
      </w:pPr>
      <w:r>
        <w:rPr/>
        <w:footnoteRef/>
        <w:tab/>
        <w:t>Personalpronomen: 3. Singular (m).</w:t>
      </w:r>
    </w:p>
  </w:footnote>
  <w:footnote w:id="179">
    <w:p>
      <w:pPr>
        <w:pStyle w:val="Funote"/>
        <w:rPr/>
      </w:pPr>
      <w:r>
        <w:rPr/>
        <w:footnoteRef/>
        <w:tab/>
        <w:t xml:space="preserve">Die Machtbestrebungen Nimrods beschränkten sich nicht nur auf die heimische Region (Schinar), sondern umfassten auch einen Neuerwerb von Gebieten; im Masoretischen Text wäre der Artikel (im Hebräischen für ein bereits bekanntes bzw. </w:t>
      </w:r>
      <w:r>
        <w:fldChar w:fldCharType="begin"/>
      </w:r>
      <w:r>
        <w:instrText> HYPERLINK "file:///wiki/Genesis_2" \l "S14"</w:instrText>
      </w:r>
      <w:r>
        <w:fldChar w:fldCharType="separate"/>
      </w:r>
      <w:r>
        <w:rPr>
          <w:rStyle w:val="Internetverknpfung"/>
        </w:rPr>
        <w:t>im Text zuvor schon mal erwähntes</w:t>
      </w:r>
      <w:r>
        <w:fldChar w:fldCharType="end"/>
      </w:r>
      <w:r>
        <w:rPr/>
        <w:t xml:space="preserve"> Land) nur nachträglich hineinpunktiert.</w:t>
      </w:r>
    </w:p>
  </w:footnote>
  <w:footnote w:id="180">
    <w:p>
      <w:pPr>
        <w:pStyle w:val="Funote"/>
        <w:rPr/>
      </w:pPr>
      <w:r>
        <w:rPr/>
        <w:footnoteRef/>
        <w:tab/>
        <w:t xml:space="preserve">Einige christliche Bibelkommentare weisen darauf hin, dass die Präposition </w:t>
      </w:r>
      <w:r>
        <w:rPr>
          <w:rtl w:val="true"/>
          <w:lang w:bidi="he-IL"/>
        </w:rPr>
        <w:t>ל</w:t>
      </w:r>
      <w:r>
        <w:rPr/>
        <w:t xml:space="preserve"> </w:t>
      </w:r>
      <w:r>
        <w:rPr/>
        <w:t xml:space="preserve">nicht nur „vor“ bedeuten kann, sondern manchmal mit „gegen“ übersetzt wird (entsprechend dem Zusammenhang auch als „für“ oder „von“) und Nimrod ein Frevler gewesen sei. Der </w:t>
      </w:r>
      <w:r>
        <w:fldChar w:fldCharType="begin"/>
      </w:r>
      <w:r>
        <w:instrText> HYPERLINK "file:///wiki/Genesis_1" \l "S28"</w:instrText>
      </w:r>
      <w:r>
        <w:fldChar w:fldCharType="separate"/>
      </w:r>
      <w:r>
        <w:rPr>
          <w:rStyle w:val="Internetverknpfung"/>
        </w:rPr>
        <w:t>Auftrag Gottes an die Menschen</w:t>
      </w:r>
      <w:r>
        <w:fldChar w:fldCharType="end"/>
      </w:r>
      <w:r>
        <w:rPr/>
        <w:t xml:space="preserve"> bestand aber unverändert und es gibt keine Anhaltspunkte dafür, dass sich die Gewalt Nimrods gegen Menschen gerichtet hat.</w:t>
      </w:r>
    </w:p>
  </w:footnote>
  <w:footnote w:id="181">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2">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3">
    <w:p>
      <w:pPr>
        <w:pStyle w:val="Funote"/>
        <w:rPr/>
      </w:pPr>
      <w:r>
        <w:rPr/>
        <w:footnoteRef/>
        <w:tab/>
        <w:t>3. Person Singular (f) Imperfekt, bezieht sich auf die „Herrschaft“</w:t>
      </w:r>
    </w:p>
  </w:footnote>
  <w:footnote w:id="184">
    <w:p>
      <w:pPr>
        <w:pStyle w:val="Funote"/>
        <w:rPr/>
      </w:pPr>
      <w:r>
        <w:rPr/>
        <w:footnoteRef/>
        <w:tab/>
        <w:t>Personalpronomen 3. Singular (verschrieben als masc. / punktiert als fem.) mit Artikel als Demonstrativpronomen, bezieht sich auf das Land (f) „Schinar“.</w:t>
      </w:r>
    </w:p>
  </w:footnote>
  <w:footnote w:id="185">
    <w:p>
      <w:pPr>
        <w:pStyle w:val="Funote"/>
        <w:rPr/>
      </w:pPr>
      <w:r>
        <w:rPr/>
        <w:footnoteRef/>
        <w:tab/>
        <w:t>3. Person Singular (m) Perfekt; bezieht sich nach dem geschriebenen Text auf „Assur“ (als Person) / der Kontext verlangt aber einen Bezug zu „Nimrod“.</w:t>
      </w:r>
    </w:p>
  </w:footnote>
  <w:footnote w:id="186">
    <w:p>
      <w:pPr>
        <w:pStyle w:val="Funote"/>
        <w:rPr/>
      </w:pPr>
      <w:r>
        <w:rPr/>
        <w:footnoteRef/>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 xml:space="preserve">nach Assur“; s. </w:t>
      </w:r>
      <w:r>
        <w:fldChar w:fldCharType="begin"/>
      </w:r>
      <w:r>
        <w:instrText> HYPERLINK "file:///wiki/Micha_5" \l "S6"</w:instrText>
      </w:r>
      <w:r>
        <w:fldChar w:fldCharType="separate"/>
      </w:r>
      <w:r>
        <w:rPr>
          <w:rStyle w:val="Internetverknpfung"/>
        </w:rPr>
        <w:t>Micha 5,6</w:t>
      </w:r>
      <w:r>
        <w:fldChar w:fldCharType="end"/>
      </w:r>
      <w:r>
        <w:rPr/>
        <w:t>.</w:t>
      </w:r>
    </w:p>
  </w:footnote>
  <w:footnote w:id="187">
    <w:p>
      <w:pPr>
        <w:pStyle w:val="Funote"/>
        <w:rPr/>
      </w:pPr>
      <w:r>
        <w:rPr/>
        <w:footnoteRef/>
        <w:tab/>
        <w:t>3. Person Singular (m) Imperfekt; der Kontext verlangt einen Bezug zu „Nimrod“, nicht zu einem „Assur“.</w:t>
      </w:r>
    </w:p>
  </w:footnote>
  <w:footnote w:id="188">
    <w:p>
      <w:pPr>
        <w:pStyle w:val="Funote"/>
        <w:rPr/>
      </w:pPr>
      <w:r>
        <w:rPr/>
        <w:footnoteRef/>
        <w:tab/>
        <w:t>So wörtlich; im Hebräischen eine Formel zur genauen Bestimmung, bedeutet nur „zwischen Ninive und Kelach“.</w:t>
      </w:r>
    </w:p>
  </w:footnote>
  <w:footnote w:id="189">
    <w:p>
      <w:pPr>
        <w:pStyle w:val="Funote"/>
        <w:rPr/>
      </w:pPr>
      <w:r>
        <w:rPr/>
        <w:footnoteRef/>
        <w:tab/>
        <w:t>Mit Artikel.</w:t>
      </w:r>
    </w:p>
  </w:footnote>
  <w:footnote w:id="190">
    <w:p>
      <w:pPr>
        <w:pStyle w:val="Funote"/>
        <w:rPr/>
      </w:pPr>
      <w:r>
        <w:rPr/>
        <w:footnoteRef/>
        <w:tab/>
        <w:t>Mit Artikel, kein „Status constructus“ mit der Stadt.</w:t>
      </w:r>
    </w:p>
  </w:footnote>
  <w:footnote w:id="191">
    <w:p>
      <w:pPr>
        <w:pStyle w:val="Funote"/>
        <w:rPr/>
      </w:pPr>
      <w:r>
        <w:rPr/>
        <w:footnoteRef/>
        <w:tab/>
        <w:t>3. Person Singular (m) Perfekt</w:t>
      </w:r>
    </w:p>
  </w:footnote>
  <w:footnote w:id="192">
    <w:p>
      <w:pPr>
        <w:pStyle w:val="Funote"/>
        <w:rPr/>
      </w:pPr>
      <w:r>
        <w:rPr/>
        <w:footnoteRef/>
        <w:tab/>
        <w:t xml:space="preserve">Im Hebräischen mit Pluralendung </w:t>
      </w:r>
      <w:r>
        <w:rPr>
          <w:rtl w:val="true"/>
          <w:lang w:bidi="he-IL"/>
        </w:rPr>
        <w:t>ים</w:t>
      </w:r>
      <w:r>
        <w:rPr/>
        <w:t xml:space="preserve"> </w:t>
      </w:r>
      <w:r>
        <w:rPr/>
        <w:t>und daher als Volksstamm zu verstehen</w:t>
      </w:r>
    </w:p>
  </w:footnote>
  <w:footnote w:id="193">
    <w:p>
      <w:pPr>
        <w:pStyle w:val="Funote"/>
        <w:rPr/>
      </w:pPr>
      <w:r>
        <w:rPr/>
        <w:footnoteRef/>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94">
    <w:p>
      <w:pPr>
        <w:pStyle w:val="Funote"/>
        <w:rPr/>
      </w:pPr>
      <w:r>
        <w:rPr/>
        <w:footnoteRef/>
        <w:tab/>
        <w:t>3. Person Plural (m) Perfekt</w:t>
      </w:r>
    </w:p>
  </w:footnote>
  <w:footnote w:id="195">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96">
    <w:p>
      <w:pPr>
        <w:pStyle w:val="Funote"/>
        <w:rPr/>
      </w:pPr>
      <w:r>
        <w:rPr/>
        <w:footnoteRef/>
        <w:tab/>
        <w:t xml:space="preserve">Im Hebräischen mit Pluralendung </w:t>
      </w:r>
      <w:r>
        <w:rPr>
          <w:rtl w:val="true"/>
          <w:lang w:bidi="he-IL"/>
        </w:rPr>
        <w:t>ים</w:t>
      </w:r>
      <w:r>
        <w:rPr/>
        <w:t xml:space="preserve"> </w:t>
      </w:r>
      <w:r>
        <w:rPr/>
        <w:t xml:space="preserve">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w:t>
      </w:r>
      <w:hyperlink r:id="rId4">
        <w:r>
          <w:rPr>
            <w:rStyle w:val="Internetverknpfung"/>
          </w:rPr>
          <w:t>Deuteronomium 2,23</w:t>
        </w:r>
      </w:hyperlink>
      <w:r>
        <w:rPr/>
        <w:t>); richtig wäre nach den Kaftoritern (</w:t>
      </w:r>
      <w:hyperlink r:id="rId5">
        <w:r>
          <w:rPr>
            <w:rStyle w:val="Internetverknpfung"/>
          </w:rPr>
          <w:t>Jeremia 47,4</w:t>
        </w:r>
      </w:hyperlink>
      <w:r>
        <w:rPr/>
        <w:t xml:space="preserve">, </w:t>
      </w:r>
      <w:r>
        <w:fldChar w:fldCharType="begin"/>
      </w:r>
      <w:r>
        <w:instrText> HYPERLINK "file:///wiki/Amos_9" \l "S7"</w:instrText>
      </w:r>
      <w:r>
        <w:fldChar w:fldCharType="separate"/>
      </w:r>
      <w:r>
        <w:rPr>
          <w:rStyle w:val="Internetverknpfung"/>
        </w:rPr>
        <w:t>Amos 9,7</w:t>
      </w:r>
      <w:r>
        <w:fldChar w:fldCharType="end"/>
      </w:r>
      <w:r>
        <w:rPr/>
        <w:t>).</w:t>
      </w:r>
    </w:p>
  </w:footnote>
  <w:footnote w:id="19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98">
    <w:p>
      <w:pPr>
        <w:pStyle w:val="Funote"/>
        <w:rPr/>
      </w:pPr>
      <w:r>
        <w:rPr/>
        <w:footnoteRef/>
        <w:tab/>
        <w:t>Im Masoretischen Text als Constructus (Genitiv) geschrieben, daher als Angehöriger des Volksstammes zu verstehen</w:t>
      </w:r>
    </w:p>
  </w:footnote>
  <w:footnote w:id="19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0">
    <w:p>
      <w:pPr>
        <w:pStyle w:val="Funote"/>
        <w:rPr/>
      </w:pPr>
      <w:r>
        <w:rPr/>
        <w:footnoteRef/>
        <w:tab/>
        <w:t>Im Masoretischen Text als Constructus (Genitiv) geschrieben, daher als Angehöriger des Volksstammes zu verstehen</w:t>
      </w:r>
    </w:p>
  </w:footnote>
  <w:footnote w:id="20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2">
    <w:p>
      <w:pPr>
        <w:pStyle w:val="Funote"/>
        <w:rPr/>
      </w:pPr>
      <w:r>
        <w:rPr/>
        <w:footnoteRef/>
        <w:tab/>
        <w:t>Im Masoretischen Text als Constructus (Genitiv) geschrieben, daher als Angehöriger des Volksstammes zu verstehen</w:t>
      </w:r>
    </w:p>
  </w:footnote>
  <w:footnote w:id="2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footnoteRef/>
        <w:tab/>
        <w:t>Im Masoretischen Text als Constructus (Genitiv) geschrieben, daher als Angehöriger des betreffenden Volksstammes zu verstehen</w:t>
      </w:r>
    </w:p>
  </w:footnote>
  <w:footnote w:id="20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footnoteRef/>
        <w:tab/>
        <w:t>Im Masoretischen Text als Constructus (Genitiv) geschrieben, daher als Angehöriger des Volksstammes zu verstehen</w:t>
      </w:r>
    </w:p>
  </w:footnote>
  <w:footnote w:id="20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footnoteRef/>
        <w:tab/>
        <w:t>Im Masoretischen Text als Constructus (Genitiv) geschrieben, daher als Angehöriger des Volksstammes zu verstehen</w:t>
      </w:r>
    </w:p>
  </w:footnote>
  <w:footnote w:id="20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footnoteRef/>
        <w:tab/>
        <w:t>Im Masoretischen Text als Constructus (Genitiv) geschrieben, daher als Angehöriger des Volksstammes zu verstehen</w:t>
      </w:r>
    </w:p>
  </w:footnote>
  <w:footnote w:id="21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footnoteRef/>
        <w:tab/>
        <w:t>Im Masoretischen Text als Constructus (Genitiv) geschrieben, daher als Angehöriger des Volksstammes zu verstehen</w:t>
      </w:r>
    </w:p>
  </w:footnote>
  <w:footnote w:id="21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footnoteRef/>
        <w:tab/>
        <w:t>Im Masoretischen Text als Constructus (Genitiv) geschrieben, daher als Angehöriger des Volksstammes zu verstehen</w:t>
      </w:r>
    </w:p>
  </w:footnote>
  <w:footnote w:id="215">
    <w:p>
      <w:pPr>
        <w:pStyle w:val="Funote"/>
        <w:rPr/>
      </w:pPr>
      <w:r>
        <w:rPr/>
        <w:footnoteRef/>
        <w:tab/>
        <w:t>[Status: Ungeprüft]</w:t>
      </w:r>
    </w:p>
  </w:footnote>
  <w:footnote w:id="216">
    <w:p>
      <w:pPr>
        <w:pStyle w:val="Funote"/>
        <w:rPr/>
      </w:pPr>
      <w:r>
        <w:rPr/>
        <w:footnoteRef/>
        <w:tab/>
        <w:t>Plural</w:t>
      </w:r>
    </w:p>
  </w:footnote>
  <w:footnote w:id="217">
    <w:p>
      <w:pPr>
        <w:pStyle w:val="Funote"/>
        <w:rPr/>
      </w:pPr>
      <w:r>
        <w:rPr/>
        <w:footnoteRef/>
        <w:tab/>
        <w:t>Singular</w:t>
      </w:r>
    </w:p>
  </w:footnote>
  <w:footnote w:id="218">
    <w:p>
      <w:pPr>
        <w:pStyle w:val="Funote"/>
        <w:rPr/>
      </w:pPr>
      <w:r>
        <w:rPr/>
        <w:footnoteRef/>
        <w:tab/>
        <w:t>[Status: Ungeprüft]</w:t>
      </w:r>
    </w:p>
  </w:footnote>
  <w:footnote w:id="219">
    <w:p>
      <w:pPr>
        <w:pStyle w:val="Funote"/>
        <w:rPr/>
      </w:pPr>
      <w:r>
        <w:rPr/>
        <w:footnoteRef/>
        <w:tab/>
        <w:t>3. Person Singular (m) Perfekt, hier mit Plusquamperfekt wiedergegeben wegen der nachfolgenden Familiengeschichte Schelachs im selben Vers.</w:t>
      </w:r>
    </w:p>
  </w:footnote>
  <w:footnote w:id="220">
    <w:p>
      <w:pPr>
        <w:pStyle w:val="Funote"/>
        <w:rPr/>
      </w:pPr>
      <w:r>
        <w:rPr/>
        <w:footnoteRef/>
        <w:tab/>
        <w:t>[Status: Ungeprüft]</w:t>
      </w:r>
    </w:p>
  </w:footnote>
  <w:footnote w:id="221">
    <w:p>
      <w:pPr>
        <w:pStyle w:val="Funote"/>
        <w:rPr/>
      </w:pPr>
      <w:r>
        <w:rPr/>
        <w:footnoteRef/>
        <w:tab/>
        <w:t>[Status: Ungeprüft]</w:t>
      </w:r>
    </w:p>
  </w:footnote>
  <w:footnote w:id="222">
    <w:p>
      <w:pPr>
        <w:pStyle w:val="Funote"/>
        <w:rPr/>
      </w:pPr>
      <w:r>
        <w:rPr/>
        <w:footnoteRef/>
        <w:tab/>
        <w:t>Plural mit Artikel.</w:t>
      </w:r>
    </w:p>
  </w:footnote>
  <w:footnote w:id="223">
    <w:p>
      <w:pPr>
        <w:pStyle w:val="Funote"/>
        <w:rPr/>
      </w:pPr>
      <w:r>
        <w:rPr/>
        <w:footnoteRef/>
        <w:tab/>
        <w:t>[Status: Ungeprüft]</w:t>
      </w:r>
    </w:p>
  </w:footnote>
  <w:footnote w:id="224">
    <w:p>
      <w:pPr>
        <w:pStyle w:val="Funote"/>
        <w:rPr/>
      </w:pPr>
      <w:r>
        <w:rPr/>
        <w:footnoteRef/>
        <w:tab/>
        <w:t>mit Erdpech ist Bitumen oder Asphalt gemeint, der in dieser Gegend natürlich vorkommt.</w:t>
      </w:r>
    </w:p>
  </w:footnote>
  <w:footnote w:id="225">
    <w:p>
      <w:pPr>
        <w:pStyle w:val="Funote"/>
        <w:rPr/>
      </w:pPr>
      <w:r>
        <w:rPr/>
        <w:footnoteRef/>
        <w:tab/>
        <w:t>Wörtlich: „sein Haupt“.</w:t>
      </w:r>
    </w:p>
  </w:footnote>
  <w:footnote w:id="226">
    <w:p>
      <w:pPr>
        <w:pStyle w:val="Funote"/>
        <w:rPr/>
      </w:pPr>
      <w:r>
        <w:rPr/>
        <w:footnoteRef/>
        <w:tab/>
        <w:t>Im Hebräischen steht hier ein Wortspiel aus dem Namen der Stadt „Babel“ und dem Verb balal, das im Deutschen schwer nachgeahmt werden kann.</w:t>
      </w:r>
    </w:p>
  </w:footnote>
  <w:footnote w:id="227">
    <w:p>
      <w:pPr>
        <w:pStyle w:val="Funote"/>
        <w:rPr/>
      </w:pPr>
      <w:r>
        <w:rPr/>
        <w:footnoteRef/>
        <w:tab/>
        <w:t>eigentlich: Zeugungen (Gesenius, 17. Auflage).</w:t>
      </w:r>
    </w:p>
  </w:footnote>
  <w:footnote w:id="228">
    <w:p>
      <w:pPr>
        <w:pStyle w:val="Funote"/>
        <w:rPr/>
      </w:pPr>
      <w:r>
        <w:rPr/>
        <w:footnoteRef/>
        <w:tab/>
        <w:t>[Status: Ungeprüft]</w:t>
      </w:r>
    </w:p>
  </w:footnote>
  <w:footnote w:id="229">
    <w:p>
      <w:pPr>
        <w:pStyle w:val="Funote"/>
        <w:rPr/>
      </w:pPr>
      <w:r>
        <w:rPr/>
        <w:footnoteRef/>
        <w:tab/>
        <w:t xml:space="preserve">Die folgenden Sätze (bis V. 3) sind so formuliert, dass der Befehl aus V. 1 als Bedingung für ihr Eintreffen verstanden wird. </w:t>
      </w:r>
    </w:p>
  </w:footnote>
  <w:footnote w:id="230">
    <w:p>
      <w:pPr>
        <w:pStyle w:val="Funote"/>
        <w:rPr/>
      </w:pPr>
      <w:r>
        <w:rPr/>
        <w:footnoteRef/>
        <w:tab/>
        <w:t>Der Imperativ könnte auch schlicht mit: Sei ein Segen! übersetzt werden</w:t>
      </w:r>
    </w:p>
  </w:footnote>
  <w:footnote w:id="231">
    <w:p>
      <w:pPr>
        <w:pStyle w:val="Funote"/>
        <w:rPr/>
      </w:pPr>
      <w:r>
        <w:rPr/>
        <w:footnoteRef/>
        <w:tab/>
        <w:t>Immer noch ein Teil der bedingten Verheißung (s. V. 2).</w:t>
      </w:r>
    </w:p>
  </w:footnote>
  <w:footnote w:id="232">
    <w:p>
      <w:pPr>
        <w:pStyle w:val="Funote"/>
        <w:rPr/>
      </w:pPr>
      <w:r>
        <w:rPr/>
        <w:footnoteRef/>
        <w:tab/>
        <w:t>Die Segnenden stehen im Plural, der Schmähende aber nur im Singular.</w:t>
      </w:r>
    </w:p>
  </w:footnote>
  <w:footnote w:id="233">
    <w:p>
      <w:pPr>
        <w:pStyle w:val="Funote"/>
        <w:rPr/>
      </w:pPr>
      <w:r>
        <w:rPr/>
        <w:footnoteRef/>
        <w:tab/>
        <w:t>wörtlicher: „Segen [haben] ... alle Sippen... .“ oder „Segen ist ... allen Sippen ... .“</w:t>
      </w:r>
    </w:p>
  </w:footnote>
  <w:footnote w:id="234">
    <w:p>
      <w:pPr>
        <w:pStyle w:val="Funote"/>
        <w:rPr/>
      </w:pPr>
      <w:r>
        <w:rPr/>
        <w:footnoteRef/>
        <w:tab/>
        <w:t>d.h. Sklaven</w:t>
      </w:r>
    </w:p>
  </w:footnote>
  <w:footnote w:id="235">
    <w:p>
      <w:pPr>
        <w:pStyle w:val="Funote"/>
        <w:rPr/>
      </w:pPr>
      <w:r>
        <w:rPr/>
        <w:footnoteRef/>
        <w:tab/>
        <w:t xml:space="preserve">Nach BDB, </w:t>
      </w:r>
      <w:r>
        <w:rPr>
          <w:rtl w:val="true"/>
          <w:lang w:bidi="he-IL"/>
        </w:rPr>
        <w:t>עָבַר</w:t>
      </w:r>
      <w:r>
        <w:rPr/>
        <w:t>, Punkt 3.</w:t>
      </w:r>
    </w:p>
  </w:footnote>
  <w:footnote w:id="236">
    <w:p>
      <w:pPr>
        <w:pStyle w:val="Funote"/>
        <w:rPr/>
      </w:pPr>
      <w:r>
        <w:rPr/>
        <w:footnoteRef/>
        <w:tab/>
        <w:t>Die Satzfolgeunterbrechung zeigt an, dass dieser Satz ein informativer Einschub ist.</w:t>
      </w:r>
    </w:p>
  </w:footnote>
  <w:footnote w:id="237">
    <w:p>
      <w:pPr>
        <w:pStyle w:val="Funote"/>
        <w:rPr/>
      </w:pPr>
      <w:r>
        <w:rPr/>
        <w:footnoteRef/>
        <w:tab/>
        <w:t>Wörtlich: „er brach auf gehen und aufbrechen Richtung Negev.“ Die beiden Inf. abs. drücken hier eine fortschreitende Handlung aus - Abrams Sippe zog also Stück für Stück in die genannte Richtung.</w:t>
      </w:r>
    </w:p>
  </w:footnote>
  <w:footnote w:id="238">
    <w:p>
      <w:pPr>
        <w:pStyle w:val="Funote"/>
        <w:rPr/>
      </w:pPr>
      <w:r>
        <w:rPr/>
        <w:footnoteRef/>
        <w:tab/>
        <w:t xml:space="preserve">Mit </w:t>
      </w:r>
      <w:r>
        <w:rPr>
          <w:rtl w:val="true"/>
          <w:lang w:bidi="he-IL"/>
        </w:rPr>
        <w:t>הִנֵה</w:t>
      </w:r>
      <w:r>
        <w:rPr/>
        <w:t xml:space="preserve"> </w:t>
      </w:r>
      <w:r>
        <w:rPr/>
        <w:t>soll die Dringlichkeit der Bitte unterstrichen werden.</w:t>
      </w:r>
    </w:p>
  </w:footnote>
  <w:footnote w:id="239">
    <w:p>
      <w:pPr>
        <w:pStyle w:val="Funote"/>
        <w:rPr/>
      </w:pPr>
      <w:r>
        <w:rPr>
          <w:rtl w:val="true"/>
          <w:lang w:bidi="he-IL"/>
        </w:rPr>
        <w:footnoteRef/>
        <w:tab/>
        <w:t>נֶפֶשׁ</w:t>
      </w:r>
      <w:r>
        <w:rPr/>
        <w:t xml:space="preserve"> </w:t>
      </w:r>
      <w:r>
        <w:rPr/>
        <w:t>- traditionell Seele - bezeichnet hier abgeschwächt die eigene Person,</w:t>
      </w:r>
    </w:p>
  </w:footnote>
  <w:footnote w:id="240">
    <w:p>
      <w:pPr>
        <w:pStyle w:val="Funote"/>
        <w:rPr/>
      </w:pPr>
      <w:r>
        <w:rPr/>
        <w:footnoteRef/>
        <w:tab/>
        <w:t xml:space="preserve">Mit </w:t>
      </w:r>
      <w:r>
        <w:rPr>
          <w:rtl w:val="true"/>
          <w:lang w:bidi="he-IL"/>
        </w:rPr>
        <w:t>שָֹׁרִים</w:t>
      </w:r>
      <w:r>
        <w:rPr/>
        <w:t xml:space="preserve"> </w:t>
      </w:r>
      <w:r>
        <w:rPr/>
        <w:t>werden hohe Amts- und Würdenträger bezeichet; hier sicherlich solche am Hof des Pharao.</w:t>
      </w:r>
    </w:p>
  </w:footnote>
  <w:footnote w:id="241">
    <w:p>
      <w:pPr>
        <w:pStyle w:val="Funote"/>
        <w:rPr/>
      </w:pPr>
      <w:r>
        <w:rPr/>
        <w:footnoteRef/>
        <w:tab/>
        <w:t>Wörtlich: und ihm wurden</w:t>
      </w:r>
    </w:p>
  </w:footnote>
  <w:footnote w:id="242">
    <w:p>
      <w:pPr>
        <w:pStyle w:val="Funote"/>
        <w:rPr/>
      </w:pPr>
      <w:r>
        <w:rPr/>
        <w:footnoteRef/>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43">
    <w:p>
      <w:pPr>
        <w:pStyle w:val="Funote"/>
        <w:rPr/>
      </w:pPr>
      <w:r>
        <w:rPr/>
        <w:footnoteRef/>
        <w:tab/>
        <w:t>Impf. cons. zum Ausdruck einer Folge. Vgl. W.Gesenius, E.Kautzsch: Hebräische Grammatik, § 111 l.</w:t>
      </w:r>
    </w:p>
  </w:footnote>
  <w:footnote w:id="244">
    <w:p>
      <w:pPr>
        <w:pStyle w:val="Funote"/>
        <w:rPr/>
      </w:pPr>
      <w:r>
        <w:rPr/>
        <w:footnoteRef/>
        <w:tab/>
        <w:t>[Status: Ungeprüft]</w:t>
      </w:r>
    </w:p>
  </w:footnote>
  <w:footnote w:id="245">
    <w:p>
      <w:pPr>
        <w:pStyle w:val="Funote"/>
        <w:rPr/>
      </w:pPr>
      <w:r>
        <w:rPr/>
        <w:footnoteRef/>
        <w:tab/>
        <w:t>d.i. der wasserarme Süden Kanaans</w:t>
      </w:r>
    </w:p>
  </w:footnote>
  <w:footnote w:id="246">
    <w:p>
      <w:pPr>
        <w:pStyle w:val="Funote"/>
        <w:rPr/>
      </w:pPr>
      <w:r>
        <w:rPr/>
        <w:footnoteRef/>
        <w:tab/>
        <w:t>Im Hebräischen ist Vers 2 ein Nominalsatz (Satz ohne verbales Prädikat), der den Texthintergrund markiert. Er ist wichtig, um den nun folgenden Konflikt zu verstehen.</w:t>
      </w:r>
    </w:p>
  </w:footnote>
  <w:footnote w:id="247">
    <w:p>
      <w:pPr>
        <w:pStyle w:val="Funote"/>
        <w:rPr/>
      </w:pPr>
      <w:r>
        <w:rPr/>
        <w:footnoteRef/>
        <w:tab/>
        <w:t>So übersetzt nach der masoretischen Punktation. Durch die Artikel soll wohl an den erworbenen Wohlstand aus Gen 12,16 erinnert werden. Der Konsonantentext kann auch ohne Artikel gelesen werden: ... war reich an Vieh, an Silber und an Gold.</w:t>
      </w:r>
    </w:p>
  </w:footnote>
  <w:footnote w:id="248">
    <w:p>
      <w:pPr>
        <w:pStyle w:val="Funote"/>
        <w:rPr/>
      </w:pPr>
      <w:r>
        <w:rPr/>
        <w:footnoteRef/>
        <w:tab/>
        <w:t>Gemeint sind die Reisestationen auf seinen bisherigen Wanderungen durch Kanaan.</w:t>
      </w:r>
    </w:p>
  </w:footnote>
  <w:footnote w:id="249">
    <w:p>
      <w:pPr>
        <w:pStyle w:val="Funote"/>
        <w:rPr/>
      </w:pPr>
      <w:r>
        <w:rPr/>
        <w:footnoteRef/>
        <w:tab/>
        <w:t>Abrams Zelt steht hier stellvertretend für alle Zelte seiner Sippe.</w:t>
      </w:r>
    </w:p>
  </w:footnote>
  <w:footnote w:id="250">
    <w:p>
      <w:pPr>
        <w:pStyle w:val="Funote"/>
        <w:rPr/>
      </w:pPr>
      <w:r>
        <w:rPr/>
        <w:footnoteRef/>
        <w:tab/>
        <w:t>vgl. Gen 12,8{{par|Gen|12|8}}</w:t>
      </w:r>
    </w:p>
  </w:footnote>
  <w:footnote w:id="251">
    <w:p>
      <w:pPr>
        <w:pStyle w:val="Funote"/>
        <w:rPr/>
      </w:pPr>
      <w:r>
        <w:rPr/>
        <w:footnoteRef/>
        <w:tab/>
        <w:t>Wörtl.: an den Ort des Altars, wo ... (Vorwegnahme des Nebensatzobjekts im Hauptsatz).</w:t>
      </w:r>
    </w:p>
  </w:footnote>
  <w:footnote w:id="252">
    <w:p>
      <w:pPr>
        <w:pStyle w:val="Funote"/>
        <w:rPr/>
      </w:pPr>
      <w:r>
        <w:rPr/>
        <w:footnoteRef/>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53">
    <w:p>
      <w:pPr>
        <w:pStyle w:val="Funote"/>
        <w:rPr/>
      </w:pPr>
      <w:r>
        <w:rPr/>
        <w:footnoteRef/>
        <w:tab/>
        <w:t>attributives Partizip (der mit Abram gehende), übersetzt durch einen Attributsatz.</w:t>
      </w:r>
    </w:p>
  </w:footnote>
  <w:footnote w:id="254">
    <w:p>
      <w:pPr>
        <w:pStyle w:val="Funote"/>
        <w:rPr/>
      </w:pPr>
      <w:r>
        <w:rPr/>
        <w:footnoteRef/>
        <w:tab/>
        <w:t>Zelte steht hier natürlich für deren Bewohner, nämlich Lots Sippe, die auch seine Sklaven einschloss.</w:t>
      </w:r>
    </w:p>
  </w:footnote>
  <w:footnote w:id="255">
    <w:p>
      <w:pPr>
        <w:pStyle w:val="Funote"/>
        <w:rPr/>
      </w:pPr>
      <w:r>
        <w:rPr/>
        <w:footnoteRef/>
        <w:tab/>
        <w:t>Vers 5 eröffnet eine Reihe von Sätzen, welche die eigentliche Erzählung unterbrechen und über die Hintergründe eines Streites berichten, der in der Wiederaufnahme der Erzählung in Vers 7 dem Leser mitgeteilt wird.</w:t>
      </w:r>
    </w:p>
  </w:footnote>
  <w:footnote w:id="256">
    <w:p>
      <w:pPr>
        <w:pStyle w:val="Funote"/>
        <w:rPr/>
      </w:pPr>
      <w:r>
        <w:rPr/>
        <w:footnoteRef/>
        <w:tab/>
        <w:t>Wörtl.: ertrug sie nicht, dass sie ... Erneute Vorwegnahme eines Satzgliedes. Vgl. Vers 4.</w:t>
      </w:r>
    </w:p>
  </w:footnote>
  <w:footnote w:id="257">
    <w:p>
      <w:pPr>
        <w:pStyle w:val="Funote"/>
        <w:rPr/>
      </w:pPr>
      <w:r>
        <w:rPr>
          <w:rtl w:val="true"/>
          <w:lang w:bidi="he-IL"/>
        </w:rPr>
        <w:footnoteRef/>
        <w:tab/>
        <w:t>ישׁב</w:t>
      </w:r>
      <w:r>
        <w:rPr/>
        <w:t xml:space="preserve"> </w:t>
      </w:r>
      <w:r>
        <w:rPr/>
        <w:t>(bleiben/wohnen) ist Leitwort in Kapitel 13 (sechsmal in den Versen 6, 7, 12 und 18); in ihm spiegelt sich das Thema dieser Erzählung wider: Wer darf bleiben? Wem gehört das Land?</w:t>
      </w:r>
    </w:p>
  </w:footnote>
  <w:footnote w:id="258">
    <w:p>
      <w:pPr>
        <w:pStyle w:val="Funote"/>
        <w:rPr/>
      </w:pPr>
      <w:r>
        <w:rPr>
          <w:rtl w:val="true"/>
          <w:lang w:bidi="he-IL"/>
        </w:rPr>
        <w:footnoteRef/>
        <w:tab/>
        <w:t>מְרִיבָה</w:t>
      </w:r>
      <w:r>
        <w:rPr/>
        <w:t xml:space="preserve"> </w:t>
      </w:r>
      <w:r>
        <w:rPr/>
        <w:t>(Hader/Streit) ist ein sehr seltenes Wort (Gen 13,8 und Num 27,14)</w:t>
      </w:r>
    </w:p>
  </w:footnote>
  <w:footnote w:id="259">
    <w:p>
      <w:pPr>
        <w:pStyle w:val="Funote"/>
        <w:rPr/>
      </w:pPr>
      <w:r>
        <w:rPr>
          <w:rtl w:val="true"/>
          <w:lang w:bidi="he-IL"/>
        </w:rPr>
        <w:footnoteRef/>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60">
    <w:p>
      <w:pPr>
        <w:pStyle w:val="Funote"/>
        <w:rPr/>
      </w:pPr>
      <w:r>
        <w:rPr/>
        <w:footnoteRef/>
        <w:tab/>
        <w:t>d.h. Dir steht doch das ganze Land offen; du kannst gehen, wohin du willst.</w:t>
      </w:r>
    </w:p>
  </w:footnote>
  <w:footnote w:id="261">
    <w:p>
      <w:pPr>
        <w:pStyle w:val="Funote"/>
        <w:rPr/>
      </w:pPr>
      <w:r>
        <w:rPr/>
        <w:footnoteRef/>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62">
    <w:p>
      <w:pPr>
        <w:pStyle w:val="Funote"/>
        <w:rPr/>
      </w:pPr>
      <w:r>
        <w:rPr>
          <w:rtl w:val="true"/>
          <w:lang w:bidi="he-IL"/>
        </w:rPr>
        <w:footnoteRef/>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63">
    <w:p>
      <w:pPr>
        <w:pStyle w:val="Funote"/>
        <w:rPr/>
      </w:pPr>
      <w:r>
        <w:rPr/>
        <w:footnoteRef/>
        <w:tab/>
        <w:t>„</w:t>
      </w:r>
      <w:r>
        <w:rPr/>
        <w:t>Augen“ steht im Hebräischen in der Zweizahl (Dual).</w:t>
      </w:r>
    </w:p>
  </w:footnote>
  <w:footnote w:id="264">
    <w:p>
      <w:pPr>
        <w:pStyle w:val="Funote"/>
        <w:rPr/>
      </w:pPr>
      <w:r>
        <w:rPr/>
        <w:footnoteRef/>
        <w:tab/>
        <w:t>wörtlich: seine Gesamtheit</w:t>
      </w:r>
    </w:p>
  </w:footnote>
  <w:footnote w:id="265">
    <w:p>
      <w:pPr>
        <w:pStyle w:val="Funote"/>
        <w:rPr/>
      </w:pPr>
      <w:r>
        <w:rPr/>
        <w:footnoteRef/>
        <w:tab/>
        <w:t>wörtlich: vor dem Zerstören (Inf. constr.)</w:t>
      </w:r>
    </w:p>
  </w:footnote>
  <w:footnote w:id="266">
    <w:p>
      <w:pPr>
        <w:pStyle w:val="Funote"/>
        <w:rPr/>
      </w:pPr>
      <w:r>
        <w:rPr/>
        <w:footnoteRef/>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67">
    <w:p>
      <w:pPr>
        <w:pStyle w:val="Funote"/>
        <w:rPr/>
      </w:pPr>
      <w:r>
        <w:rPr/>
        <w:footnoteRef/>
        <w:tab/>
        <w:t>Zoar war eine moabitische Stadt an der süd-östlichen Spitze des Toten Meeres. Der Verfasser nahm an, dass das Tote Meer erst nach der Zerstörung von Sodom und Gomorra enstanden ist, dass dort vorher eine fruchtbare Ebene war.</w:t>
      </w:r>
    </w:p>
  </w:footnote>
  <w:footnote w:id="268">
    <w:p>
      <w:pPr>
        <w:pStyle w:val="Funote"/>
        <w:rPr/>
      </w:pPr>
      <w:r>
        <w:rPr>
          <w:rtl w:val="true"/>
          <w:lang w:bidi="he-IL"/>
        </w:rPr>
        <w:footnoteRef/>
        <w:tab/>
        <w:t>מִקֶּדֶם</w:t>
      </w:r>
      <w:r>
        <w:rPr/>
        <w:t xml:space="preserve"> </w:t>
      </w:r>
      <w:r>
        <w:rPr/>
        <w:t>heißt eig. von Osten; die sicherlich richtige Bedeutung nach Osten lässt sich vielleicht so erklären: Lot brach (dorthin, woher man) von Osten (kommt,) auf.</w:t>
      </w:r>
    </w:p>
  </w:footnote>
  <w:footnote w:id="269">
    <w:p>
      <w:pPr>
        <w:pStyle w:val="Funote"/>
        <w:rPr/>
      </w:pPr>
      <w:r>
        <w:rPr/>
        <w:footnoteRef/>
        <w:tab/>
        <w:t xml:space="preserve">Das hebräische Idiom </w:t>
      </w:r>
      <w:r>
        <w:rPr>
          <w:rtl w:val="true"/>
          <w:lang w:bidi="he-IL"/>
        </w:rPr>
        <w:t>אִישׁ מֵעַל אָחִיו</w:t>
      </w:r>
      <w:r>
        <w:rPr/>
        <w:t xml:space="preserve"> </w:t>
      </w:r>
      <w:r>
        <w:rPr/>
        <w:t>heißt wörtlich übersetzt: Mann von {bei} seinem Bruder.</w:t>
      </w:r>
    </w:p>
  </w:footnote>
  <w:footnote w:id="270">
    <w:p>
      <w:pPr>
        <w:pStyle w:val="Funote"/>
        <w:rPr/>
      </w:pPr>
      <w:r>
        <w:rPr/>
        <w:footnoteRef/>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71">
    <w:p>
      <w:pPr>
        <w:pStyle w:val="Funote"/>
        <w:rPr/>
      </w:pPr>
      <w:r>
        <w:rPr/>
        <w:footnoteRef/>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72">
    <w:p>
      <w:pPr>
        <w:pStyle w:val="Funote"/>
        <w:rPr/>
      </w:pPr>
      <w:r>
        <w:rPr/>
        <w:footnoteRef/>
        <w:tab/>
        <w:t>Der Jordan trennt das Ostjordanland (Transjordanien) vom Westjordanland, dem biblischen Kanaan. Die schmale Jordansenke selbst bildet einen eigenen Bereich, den man „kikkār“ (d.h. Kreis) nannte.</w:t>
      </w:r>
    </w:p>
  </w:footnote>
  <w:footnote w:id="273">
    <w:p>
      <w:pPr>
        <w:pStyle w:val="Funote"/>
        <w:rPr/>
      </w:pPr>
      <w:r>
        <w:rPr/>
        <w:footnoteRef/>
        <w:tab/>
        <w:t>wörtlich: von Osten; vgl. dazu die Fußnote von Vers 11.</w:t>
      </w:r>
    </w:p>
  </w:footnote>
  <w:footnote w:id="274">
    <w:p>
      <w:pPr>
        <w:pStyle w:val="Funote"/>
        <w:rPr/>
      </w:pPr>
      <w:r>
        <w:rPr/>
        <w:footnoteRef/>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75">
    <w:p>
      <w:pPr>
        <w:pStyle w:val="Funote"/>
        <w:rPr/>
      </w:pPr>
      <w:r>
        <w:rPr/>
        <w:footnoteRef/>
        <w:tab/>
        <w:t>Inf. constr.</w:t>
      </w:r>
    </w:p>
  </w:footnote>
  <w:footnote w:id="276">
    <w:p>
      <w:pPr>
        <w:pStyle w:val="Funote"/>
        <w:rPr/>
      </w:pPr>
      <w:r>
        <w:rPr/>
        <w:footnoteRef/>
        <w:tab/>
        <w:t>zusammengesetzte Präposition: von + mit/bei</w:t>
      </w:r>
    </w:p>
  </w:footnote>
  <w:footnote w:id="277">
    <w:p>
      <w:pPr>
        <w:pStyle w:val="Funote"/>
        <w:rPr/>
      </w:pPr>
      <w:r>
        <w:rPr/>
        <w:footnoteRef/>
        <w:tab/>
        <w:t>Der Vers ist in ganz deutlicher Anspielung auf Vers 10 formuliert.</w:t>
      </w:r>
    </w:p>
  </w:footnote>
  <w:footnote w:id="278">
    <w:p>
      <w:pPr>
        <w:pStyle w:val="Funote"/>
        <w:rPr/>
      </w:pPr>
      <w:r>
        <w:rPr/>
        <w:footnoteRef/>
        <w:tab/>
        <w:t>hervorhebende Vorwegnahme des Hauptsatzobjekts</w:t>
      </w:r>
    </w:p>
  </w:footnote>
  <w:footnote w:id="279">
    <w:p>
      <w:pPr>
        <w:pStyle w:val="Funote"/>
        <w:rPr/>
      </w:pPr>
      <w:r>
        <w:rPr/>
        <w:footnoteRef/>
        <w:tab/>
        <w:t>im Hebräischen ein Part. zum Ausdruck von Dauer und Beharren</w:t>
      </w:r>
    </w:p>
  </w:footnote>
  <w:footnote w:id="280">
    <w:p>
      <w:pPr>
        <w:pStyle w:val="Funote"/>
        <w:rPr/>
      </w:pPr>
      <w:r>
        <w:rPr/>
        <w:footnoteRef/>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81">
    <w:p>
      <w:pPr>
        <w:pStyle w:val="Funote"/>
        <w:rPr/>
      </w:pPr>
      <w:r>
        <w:rPr>
          <w:rtl w:val="true"/>
          <w:lang w:bidi="he-IL"/>
        </w:rPr>
        <w:footnoteRef/>
        <w:tab/>
        <w:t>אהל</w:t>
      </w:r>
      <w:r>
        <w:rPr/>
        <w:t xml:space="preserve"> </w:t>
      </w:r>
      <w:r>
        <w:rPr/>
        <w:t>bezeichnet die nomadische Lebensweise Abrams, die mit „zelten“ nur unzureichend wiedergegeben wird.</w:t>
      </w:r>
    </w:p>
  </w:footnote>
  <w:footnote w:id="282">
    <w:p>
      <w:pPr>
        <w:pStyle w:val="Funote"/>
        <w:rPr/>
      </w:pPr>
      <w:r>
        <w:rPr/>
        <w:footnoteRef/>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83">
    <w:p>
      <w:pPr>
        <w:pStyle w:val="Funote"/>
        <w:rPr/>
      </w:pPr>
      <w:r>
        <w:rPr/>
        <w:footnoteRef/>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84">
    <w:p>
      <w:pPr>
        <w:pStyle w:val="Funote"/>
        <w:rPr/>
      </w:pPr>
      <w:r>
        <w:rPr/>
        <w:footnoteRef/>
        <w:tab/>
        <w:t>Wird in Gen 14,13 mit einem Amoriter namens Mamre identifiziert.</w:t>
      </w:r>
    </w:p>
  </w:footnote>
  <w:footnote w:id="285">
    <w:p>
      <w:pPr>
        <w:pStyle w:val="Funote"/>
        <w:rPr/>
      </w:pPr>
      <w:r>
        <w:rPr/>
        <w:footnoteRef/>
        <w:tab/>
        <w:t>[Status: Ungeprüft]</w:t>
      </w:r>
    </w:p>
  </w:footnote>
  <w:footnote w:id="286">
    <w:p>
      <w:pPr>
        <w:pStyle w:val="Funote"/>
        <w:rPr/>
      </w:pPr>
      <w:r>
        <w:rPr/>
        <w:footnoteRef/>
        <w:tab/>
        <w:t xml:space="preserve">Im Text steht </w:t>
      </w:r>
      <w:r>
        <w:rPr>
          <w:rtl w:val="true"/>
          <w:lang w:bidi="he-IL"/>
        </w:rPr>
        <w:t>גוים</w:t>
      </w:r>
      <w:r>
        <w:rPr/>
        <w:t xml:space="preserve"> </w:t>
      </w:r>
      <w:r>
        <w:rPr/>
        <w:t>ohne Artikel; es ist offenbar nicht an bestimmte Völker gedacht.</w:t>
      </w:r>
    </w:p>
  </w:footnote>
  <w:footnote w:id="287">
    <w:p>
      <w:pPr>
        <w:pStyle w:val="Funote"/>
        <w:rPr/>
      </w:pPr>
      <w:r>
        <w:rPr/>
        <w:footnoteRef/>
        <w:tab/>
        <w:t>Eine moabitische Stadt an der Spitze des Toten Meeres.</w:t>
      </w:r>
    </w:p>
  </w:footnote>
  <w:footnote w:id="288">
    <w:p>
      <w:pPr>
        <w:pStyle w:val="Funote"/>
        <w:rPr/>
      </w:pPr>
      <w:r>
        <w:rPr/>
        <w:footnoteRef/>
        <w:tab/>
        <w:t>Im Hebr. steht der Sg., im Dt. muss der Pl. stehen.</w:t>
      </w:r>
    </w:p>
  </w:footnote>
  <w:footnote w:id="289">
    <w:p>
      <w:pPr>
        <w:pStyle w:val="Funote"/>
        <w:rPr/>
      </w:pPr>
      <w:r>
        <w:rPr/>
        <w:footnoteRef/>
        <w:tab/>
        <w:t>Ein Hauptstamm der Urbevölkerung Palästinas</w:t>
      </w:r>
    </w:p>
  </w:footnote>
  <w:footnote w:id="290">
    <w:p>
      <w:pPr>
        <w:pStyle w:val="Funote"/>
        <w:rPr/>
      </w:pPr>
      <w:r>
        <w:rPr/>
        <w:footnoteRef/>
        <w:tab/>
        <w:t>Eine Stadt in Basan; das Wort bezeichnet auch die kanaanäische Fruchtbarkeits- und Kriegsgöttin Astarte</w:t>
      </w:r>
    </w:p>
  </w:footnote>
  <w:footnote w:id="291">
    <w:p>
      <w:pPr>
        <w:pStyle w:val="Funote"/>
        <w:rPr/>
      </w:pPr>
      <w:r>
        <w:rPr/>
        <w:footnoteRef/>
        <w:tab/>
        <w:t xml:space="preserve">Das Wort ist der Dual von </w:t>
      </w:r>
      <w:r>
        <w:rPr>
          <w:rtl w:val="true"/>
          <w:lang w:bidi="he-IL"/>
        </w:rPr>
        <w:t>קֶרֶן</w:t>
      </w:r>
      <w:r>
        <w:rPr/>
        <w:t>, Horn.</w:t>
      </w:r>
    </w:p>
  </w:footnote>
  <w:footnote w:id="292">
    <w:p>
      <w:pPr>
        <w:pStyle w:val="Funote"/>
        <w:rPr/>
      </w:pPr>
      <w:r>
        <w:rPr/>
        <w:footnoteRef/>
        <w:tab/>
        <w:t>Die Ureinwohner des moabitischen Gebietes.</w:t>
      </w:r>
    </w:p>
  </w:footnote>
  <w:footnote w:id="293">
    <w:p>
      <w:pPr>
        <w:pStyle w:val="Funote"/>
        <w:rPr/>
      </w:pPr>
      <w:r>
        <w:rPr/>
        <w:footnoteRef/>
        <w:tab/>
        <w:t xml:space="preserve">Die "Höhlenbewohner", von </w:t>
      </w:r>
      <w:r>
        <w:rPr>
          <w:rtl w:val="true"/>
          <w:lang w:bidi="he-IL"/>
        </w:rPr>
        <w:t>חור</w:t>
      </w:r>
      <w:r>
        <w:rPr/>
        <w:t>, Höhle.</w:t>
      </w:r>
    </w:p>
  </w:footnote>
  <w:footnote w:id="294">
    <w:p>
      <w:pPr>
        <w:pStyle w:val="Funote"/>
        <w:rPr/>
      </w:pPr>
      <w:r>
        <w:rPr/>
        <w:footnoteRef/>
        <w:tab/>
        <w:t xml:space="preserve">bezeichnet einen großen Baum (Eiche, Terebinthe oder Palme), daher der Name der Stadt Eilat, </w:t>
      </w:r>
      <w:r>
        <w:rPr>
          <w:rtl w:val="true"/>
          <w:lang w:bidi="he-IL"/>
        </w:rPr>
        <w:t>אילת</w:t>
      </w:r>
      <w:r>
        <w:rPr/>
        <w:t xml:space="preserve">, weil in der Nähe ein großer Palmenhain war. Früher hieß Eilat El Paran, </w:t>
      </w:r>
      <w:r>
        <w:rPr>
          <w:rtl w:val="true"/>
          <w:lang w:bidi="he-IL"/>
        </w:rPr>
        <w:t>איל פארן</w:t>
      </w:r>
      <w:r>
        <w:rPr/>
        <w:t>.</w:t>
      </w:r>
    </w:p>
  </w:footnote>
  <w:footnote w:id="295">
    <w:p>
      <w:pPr>
        <w:pStyle w:val="Funote"/>
        <w:rPr/>
      </w:pPr>
      <w:r>
        <w:rPr/>
        <w:footnoteRef/>
        <w:tab/>
        <w:t>Eine zwischen Ägypten und Edom gelegene Wüste.</w:t>
      </w:r>
    </w:p>
  </w:footnote>
  <w:footnote w:id="296">
    <w:p>
      <w:pPr>
        <w:pStyle w:val="Funote"/>
        <w:rPr/>
      </w:pPr>
      <w:r>
        <w:rPr/>
        <w:footnoteRef/>
        <w:tab/>
        <w:t>Weil sie am südlichsten Zipfel Palästinas angekommen waren; jetzt ziehen sie wieder nach Norden</w:t>
      </w:r>
    </w:p>
  </w:footnote>
  <w:footnote w:id="297">
    <w:p>
      <w:pPr>
        <w:pStyle w:val="Funote"/>
        <w:rPr/>
      </w:pPr>
      <w:r>
        <w:rPr>
          <w:rtl w:val="true"/>
          <w:lang w:bidi="he-IL"/>
        </w:rPr>
        <w:footnoteRef/>
        <w:tab/>
        <w:t>עין</w:t>
      </w:r>
      <w:r>
        <w:rPr/>
        <w:t xml:space="preserve"> </w:t>
      </w:r>
      <w:r>
        <w:rPr/>
        <w:t xml:space="preserve">bedeutet Quelle, Brunnen; </w:t>
      </w:r>
      <w:r>
        <w:rPr>
          <w:rtl w:val="true"/>
          <w:lang w:bidi="he-IL"/>
        </w:rPr>
        <w:t>משפט</w:t>
      </w:r>
      <w:r>
        <w:rPr/>
        <w:t xml:space="preserve"> </w:t>
      </w:r>
      <w:r>
        <w:rPr/>
        <w:t>bedeutet Gericht.</w:t>
      </w:r>
    </w:p>
  </w:footnote>
  <w:footnote w:id="298">
    <w:p>
      <w:pPr>
        <w:pStyle w:val="Funote"/>
        <w:rPr/>
      </w:pPr>
      <w:r>
        <w:rPr/>
        <w:footnoteRef/>
        <w:tab/>
        <w:t>Partizip, relativisch aufgelöst</w:t>
      </w:r>
    </w:p>
  </w:footnote>
  <w:footnote w:id="299">
    <w:p>
      <w:pPr>
        <w:pStyle w:val="Funote"/>
        <w:rPr/>
      </w:pPr>
      <w:r>
        <w:rPr/>
        <w:footnoteRef/>
        <w:tab/>
        <w:t>Im Hebr. steht der Sg., im Dt. muss der Pl. stehen.</w:t>
      </w:r>
    </w:p>
  </w:footnote>
  <w:footnote w:id="300">
    <w:p>
      <w:pPr>
        <w:pStyle w:val="Funote"/>
        <w:rPr/>
      </w:pPr>
      <w:r>
        <w:rPr/>
        <w:footnoteRef/>
        <w:tab/>
        <w:t>wörtl.: die Schlacht rüsten, ordnen.</w:t>
      </w:r>
    </w:p>
  </w:footnote>
  <w:footnote w:id="301">
    <w:p>
      <w:pPr>
        <w:pStyle w:val="Funote"/>
        <w:rPr/>
      </w:pPr>
      <w:r>
        <w:rPr/>
        <w:footnoteRef/>
        <w:tab/>
        <w:t>Der Artikel tritt vor das unbenannte Zahlwort, Brockelmann Syntax § 85b.</w:t>
      </w:r>
    </w:p>
  </w:footnote>
  <w:footnote w:id="302">
    <w:p>
      <w:pPr>
        <w:pStyle w:val="Funote"/>
        <w:rPr/>
      </w:pPr>
      <w:r>
        <w:rPr/>
        <w:footnoteRef/>
        <w:tab/>
        <w:t xml:space="preserve">Im Hebr. steht zweimal das Wort </w:t>
      </w:r>
      <w:r>
        <w:rPr>
          <w:rtl w:val="true"/>
          <w:lang w:bidi="he-IL"/>
        </w:rPr>
        <w:t>באר</w:t>
      </w:r>
      <w:r>
        <w:rPr/>
        <w:t>, Brunnen - hier: Grube, im Plural. Die doppelte Anführung wird im Dt. durch das Wort "viel" widergegeben.</w:t>
      </w:r>
    </w:p>
  </w:footnote>
  <w:footnote w:id="303">
    <w:p>
      <w:pPr>
        <w:pStyle w:val="Funote"/>
        <w:rPr/>
      </w:pPr>
      <w:r>
        <w:rPr/>
        <w:footnoteRef/>
        <w:tab/>
        <w:t>Waw consecutivum</w:t>
      </w:r>
    </w:p>
  </w:footnote>
  <w:footnote w:id="304">
    <w:p>
      <w:pPr>
        <w:pStyle w:val="Funote"/>
        <w:rPr/>
      </w:pPr>
      <w:r>
        <w:rPr/>
        <w:footnoteRef/>
        <w:tab/>
        <w:t>Partizip</w:t>
      </w:r>
    </w:p>
  </w:footnote>
  <w:footnote w:id="305">
    <w:p>
      <w:pPr>
        <w:pStyle w:val="Funote"/>
        <w:rPr/>
      </w:pPr>
      <w:r>
        <w:rPr/>
        <w:footnoteRef/>
        <w:tab/>
        <w:t>Wörtl.: Essen. Bei den Vorräten handelt es sich besonders um Getreide.</w:t>
      </w:r>
    </w:p>
  </w:footnote>
  <w:footnote w:id="306">
    <w:p>
      <w:pPr>
        <w:pStyle w:val="Funote"/>
        <w:rPr/>
      </w:pPr>
      <w:r>
        <w:rPr/>
        <w:footnoteRef/>
        <w:tab/>
        <w:t>Wörtl.: Herren des Bundes</w:t>
      </w:r>
    </w:p>
  </w:footnote>
  <w:footnote w:id="307">
    <w:p>
      <w:pPr>
        <w:pStyle w:val="Funote"/>
        <w:rPr/>
      </w:pPr>
      <w:r>
        <w:rPr/>
        <w:footnoteRef/>
        <w:tab/>
        <w:t>Waw consecutivum</w:t>
      </w:r>
    </w:p>
  </w:footnote>
  <w:footnote w:id="308">
    <w:p>
      <w:pPr>
        <w:pStyle w:val="Funote"/>
        <w:rPr/>
      </w:pPr>
      <w:r>
        <w:rPr/>
        <w:footnoteRef/>
        <w:tab/>
        <w:t xml:space="preserve">Der Samaritanus und die Septuaginta lesen statt dessen: er musterte, </w:t>
      </w:r>
      <w:r>
        <w:rPr>
          <w:rtl w:val="true"/>
          <w:lang w:bidi="he-IL"/>
        </w:rPr>
        <w:t>וַיָדֶק</w:t>
      </w:r>
      <w:r>
        <w:rPr/>
        <w:t xml:space="preserve"> </w:t>
      </w:r>
    </w:p>
  </w:footnote>
  <w:footnote w:id="309">
    <w:p>
      <w:pPr>
        <w:pStyle w:val="Funote"/>
        <w:rPr/>
      </w:pPr>
      <w:r>
        <w:rPr/>
        <w:footnoteRef/>
        <w:tab/>
        <w:t>Partizip, relativisch aufgelöst</w:t>
      </w:r>
    </w:p>
  </w:footnote>
  <w:footnote w:id="310">
    <w:p>
      <w:pPr>
        <w:pStyle w:val="Funote"/>
        <w:rPr/>
      </w:pPr>
      <w:r>
        <w:rPr/>
        <w:footnoteRef/>
        <w:tab/>
        <w:t>Das Stammesgebiet eines der zwölf Söhne Jakobs, der wiederum Abrahams Enkel war.</w:t>
      </w:r>
    </w:p>
  </w:footnote>
  <w:footnote w:id="311">
    <w:p>
      <w:pPr>
        <w:pStyle w:val="Funote"/>
        <w:rPr/>
      </w:pPr>
      <w:r>
        <w:rPr/>
        <w:footnoteRef/>
        <w:tab/>
        <w:t>Hier wird der Name getrennt geschrieben, während er in den vorigen Versen zusammengeschrieben ist.</w:t>
      </w:r>
    </w:p>
  </w:footnote>
  <w:footnote w:id="312">
    <w:p>
      <w:pPr>
        <w:pStyle w:val="Funote"/>
        <w:rPr/>
      </w:pPr>
      <w:r>
        <w:rPr/>
        <w:footnoteRef/>
        <w:tab/>
        <w:t>Der Name heißt übersetzt: Gerechter König</w:t>
      </w:r>
    </w:p>
  </w:footnote>
  <w:footnote w:id="313">
    <w:p>
      <w:pPr>
        <w:pStyle w:val="Funote"/>
        <w:rPr/>
      </w:pPr>
      <w:r>
        <w:rPr/>
        <w:footnoteRef/>
        <w:tab/>
        <w:t>Vgl. Ps 78,35</w:t>
      </w:r>
    </w:p>
  </w:footnote>
  <w:footnote w:id="314">
    <w:p>
      <w:pPr>
        <w:pStyle w:val="Funote"/>
        <w:rPr/>
      </w:pPr>
      <w:r>
        <w:rPr/>
        <w:footnoteRef/>
        <w:tab/>
        <w:t>Das Perfekt steht hier für den Zusammenfall (Koinzidenz) von Aussage und Handlung. Abram hebt die Hand zum Schwur.</w:t>
      </w:r>
    </w:p>
  </w:footnote>
  <w:footnote w:id="315">
    <w:p>
      <w:pPr>
        <w:pStyle w:val="Funote"/>
        <w:rPr/>
      </w:pPr>
      <w:r>
        <w:rPr/>
        <w:footnoteRef/>
        <w:tab/>
        <w:t xml:space="preserve">Ellipse, beim Schwur sehr verbreitet. Weggefallen ist eine Verwünschung, etwa: "Gott tue mir dies und das, wenn …", geblieben ist nur die Wunschpartikel </w:t>
      </w:r>
      <w:r>
        <w:rPr>
          <w:rtl w:val="true"/>
          <w:lang w:bidi="he-IL"/>
        </w:rPr>
        <w:t>אם</w:t>
      </w:r>
      <w:r>
        <w:rPr/>
        <w:t>. Verneint erhält der Bedingungssatz einen positiven, sonst einen negativen Sinn, vgl. Brockelmann, Syntax § 170c.</w:t>
      </w:r>
    </w:p>
  </w:footnote>
  <w:footnote w:id="316">
    <w:p>
      <w:pPr>
        <w:pStyle w:val="Funote"/>
        <w:rPr/>
      </w:pPr>
      <w:r>
        <w:rPr/>
        <w:footnoteRef/>
        <w:tab/>
        <w:t>Gesenius übersetzt diese Präposition mit "Ich komme nicht in Betracht"</w:t>
      </w:r>
    </w:p>
  </w:footnote>
  <w:footnote w:id="317">
    <w:p>
      <w:pPr>
        <w:pStyle w:val="Funote"/>
        <w:rPr/>
      </w:pPr>
      <w:r>
        <w:rPr/>
        <w:footnoteRef/>
        <w:tab/>
        <w:t>[Status: Ungeprüft]</w:t>
      </w:r>
    </w:p>
  </w:footnote>
  <w:footnote w:id="318">
    <w:p>
      <w:pPr>
        <w:pStyle w:val="Funote"/>
        <w:rPr/>
      </w:pPr>
      <w:r>
        <w:rPr/>
        <w:footnoteRef/>
        <w:tab/>
        <w:t>Nominalsatz. Man kann auch übersetzen: Wird sehr reich sein.</w:t>
      </w:r>
    </w:p>
  </w:footnote>
  <w:footnote w:id="319">
    <w:p>
      <w:pPr>
        <w:pStyle w:val="Funote"/>
        <w:rPr/>
      </w:pPr>
      <w:r>
        <w:rPr/>
        <w:footnoteRef/>
        <w:tab/>
        <w:t>Ptz.</w:t>
      </w:r>
    </w:p>
  </w:footnote>
  <w:footnote w:id="320">
    <w:p>
      <w:pPr>
        <w:pStyle w:val="Funote"/>
        <w:rPr/>
      </w:pPr>
      <w:r>
        <w:rPr/>
        <w:footnoteRef/>
        <w:tab/>
        <w:t xml:space="preserve">Das Wort "Sohn", </w:t>
      </w:r>
      <w:r>
        <w:rPr>
          <w:rtl w:val="true"/>
          <w:lang w:bidi="he-IL"/>
        </w:rPr>
        <w:t>בֶן</w:t>
      </w:r>
      <w:r>
        <w:rPr/>
        <w:t xml:space="preserve">, bezeichnet auch die Zugehörigkeit, wörtlich: „Sohn des Besitzes“. Das hebräische Wort </w:t>
      </w:r>
      <w:r>
        <w:rPr>
          <w:rtl w:val="true"/>
          <w:lang w:bidi="he-IL"/>
        </w:rPr>
        <w:t>מֶשֶׁק</w:t>
      </w:r>
      <w:r>
        <w:rPr/>
        <w:t xml:space="preserve"> </w:t>
      </w:r>
      <w:r>
        <w:rPr/>
        <w:t>ist ein hapax legomenon, d.h. es kommt nur einmal im AT vor. Seine Übersetzung mit "Besitz" ist nicht sicher.</w:t>
      </w:r>
    </w:p>
  </w:footnote>
  <w:footnote w:id="321">
    <w:p>
      <w:pPr>
        <w:pStyle w:val="Funote"/>
        <w:rPr/>
      </w:pPr>
      <w:r>
        <w:rPr/>
        <w:footnoteRef/>
        <w:tab/>
        <w:t>Ein im Haus geborener Sklave</w:t>
      </w:r>
    </w:p>
  </w:footnote>
  <w:footnote w:id="322">
    <w:p>
      <w:pPr>
        <w:pStyle w:val="Funote"/>
        <w:rPr/>
      </w:pPr>
      <w:r>
        <w:rPr/>
        <w:footnoteRef/>
        <w:tab/>
        <w:t>Wörtl.: der aus deinem Leibensinneren herausgeht</w:t>
      </w:r>
    </w:p>
  </w:footnote>
  <w:footnote w:id="323">
    <w:p>
      <w:pPr>
        <w:pStyle w:val="Funote"/>
        <w:rPr/>
      </w:pPr>
      <w:r>
        <w:rPr/>
        <w:footnoteRef/>
        <w:tab/>
        <w:t>Eine Färse ist eine Kuh, die noch nicht gekalbt hat und daher noch keine Milch gibt.</w:t>
      </w:r>
    </w:p>
  </w:footnote>
  <w:footnote w:id="324">
    <w:p>
      <w:pPr>
        <w:pStyle w:val="Funote"/>
        <w:rPr/>
      </w:pPr>
      <w:r>
        <w:rPr/>
        <w:footnoteRef/>
        <w:tab/>
        <w:t>Wörtl.: Genossen</w:t>
      </w:r>
    </w:p>
  </w:footnote>
  <w:footnote w:id="325">
    <w:p>
      <w:pPr>
        <w:pStyle w:val="Funote"/>
        <w:rPr/>
      </w:pPr>
      <w:r>
        <w:rPr/>
        <w:footnoteRef/>
        <w:tab/>
        <w:t>Das Wort steht ihm Hebr. im Singular, weshalb auch das Verb im HS im Sg. steht, meint aber einen Plural, weshalb das Akkusativzeichen im NS im Pl. steht.</w:t>
      </w:r>
    </w:p>
  </w:footnote>
  <w:footnote w:id="326">
    <w:p>
      <w:pPr>
        <w:pStyle w:val="Funote"/>
        <w:rPr/>
      </w:pPr>
      <w:r>
        <w:rPr/>
        <w:footnoteRef/>
        <w:tab/>
        <w:t>Im Hebr. steht hier eine sog. "figura etymologica": Zu einer finiten Verbform tritt der absolute Infinitiv desselben Verbs. Durch diese Fügung erhält der Verbalausdruck besonderen Nachdruck. (Schneider, Grammatik, Nr. 50.4.2). Man könnte dies durch "genau wissen" hervorheben, aber m.E. stellt "wissen" schon die höchste Steigerungsform einer Erkenntnis dar.</w:t>
      </w:r>
    </w:p>
  </w:footnote>
  <w:footnote w:id="327">
    <w:p>
      <w:pPr>
        <w:pStyle w:val="Funote"/>
        <w:rPr/>
      </w:pPr>
      <w:r>
        <w:rPr/>
        <w:footnoteRef/>
        <w:tab/>
        <w:t>[Status: Ungeprüft]</w:t>
      </w:r>
    </w:p>
  </w:footnote>
  <w:footnote w:id="328">
    <w:p>
      <w:pPr>
        <w:pStyle w:val="Funote"/>
        <w:rPr/>
      </w:pPr>
      <w:r>
        <w:rPr/>
        <w:footnoteRef/>
        <w:tab/>
        <w:t>Wörtl.: gehe hinein zu, aber i.S. des Beischlafs</w:t>
      </w:r>
    </w:p>
  </w:footnote>
  <w:footnote w:id="329">
    <w:p>
      <w:pPr>
        <w:pStyle w:val="Funote"/>
        <w:rPr/>
      </w:pPr>
      <w:r>
        <w:rPr/>
        <w:footnoteRef/>
        <w:tab/>
        <w:t>Im Hebr. steht das Verb im Infintiv, also wörtl. vielleicht "des Wohnens"</w:t>
      </w:r>
    </w:p>
  </w:footnote>
  <w:footnote w:id="330">
    <w:p>
      <w:pPr>
        <w:pStyle w:val="Funote"/>
        <w:rPr/>
      </w:pPr>
      <w:r>
        <w:rPr/>
        <w:footnoteRef/>
        <w:tab/>
        <w:t>S.o. Anm. zu Vers 2</w:t>
      </w:r>
    </w:p>
  </w:footnote>
  <w:footnote w:id="331">
    <w:p>
      <w:pPr>
        <w:pStyle w:val="Funote"/>
        <w:rPr/>
      </w:pPr>
      <w:r>
        <w:rPr/>
        <w:footnoteRef/>
        <w:tab/>
        <w:t>Wörtl.: mein Unrecht</w:t>
      </w:r>
    </w:p>
  </w:footnote>
  <w:footnote w:id="332">
    <w:p>
      <w:pPr>
        <w:pStyle w:val="Funote"/>
        <w:rPr/>
      </w:pPr>
      <w:r>
        <w:rPr/>
        <w:footnoteRef/>
        <w:tab/>
        <w:t>Waw-Perfekt</w:t>
      </w:r>
    </w:p>
  </w:footnote>
  <w:footnote w:id="333">
    <w:p>
      <w:pPr>
        <w:pStyle w:val="Funote"/>
        <w:rPr/>
      </w:pPr>
      <w:r>
        <w:rPr/>
        <w:footnoteRef/>
        <w:tab/>
        <w:t>Verbaler Wunschsatz, Brockelmann, Syntax § 8a.</w:t>
      </w:r>
    </w:p>
  </w:footnote>
  <w:footnote w:id="334">
    <w:p>
      <w:pPr>
        <w:pStyle w:val="Funote"/>
        <w:rPr/>
      </w:pPr>
      <w:r>
        <w:rPr/>
        <w:footnoteRef/>
        <w:tab/>
        <w:t>Das Verb meint "fliehen" i.S. von durchbrennen, also einer übereilten, kopflosen Flucht, vgl. Gesenius z.St.</w:t>
      </w:r>
    </w:p>
  </w:footnote>
  <w:footnote w:id="335">
    <w:p>
      <w:pPr>
        <w:pStyle w:val="Funote"/>
        <w:rPr/>
      </w:pPr>
      <w:r>
        <w:rPr/>
        <w:footnoteRef/>
        <w:tab/>
        <w:t>Waw-Perfekt</w:t>
      </w:r>
    </w:p>
  </w:footnote>
  <w:footnote w:id="336">
    <w:p>
      <w:pPr>
        <w:pStyle w:val="Funote"/>
        <w:rPr/>
      </w:pPr>
      <w:r>
        <w:rPr/>
        <w:footnoteRef/>
        <w:tab/>
        <w:t>Figura Etymologica: Indem Infinitiv und finite Form des selben Verbs zusammengestellt werden, wird das Verb verstärkt.</w:t>
      </w:r>
    </w:p>
  </w:footnote>
  <w:footnote w:id="337">
    <w:p>
      <w:pPr>
        <w:pStyle w:val="Funote"/>
        <w:rPr/>
      </w:pPr>
      <w:r>
        <w:rPr/>
        <w:footnoteRef/>
        <w:tab/>
        <w:t>Wörtl.: Du wirst seinen Namen Jischmael rufen. Jischma El = Gott wird hören.</w:t>
      </w:r>
    </w:p>
  </w:footnote>
  <w:footnote w:id="338">
    <w:p>
      <w:pPr>
        <w:pStyle w:val="Funote"/>
        <w:rPr/>
      </w:pPr>
      <w:r>
        <w:rPr/>
        <w:footnoteRef/>
        <w:tab/>
        <w:t>Wörtl.: Wildesel-Mensch</w:t>
      </w:r>
    </w:p>
  </w:footnote>
  <w:footnote w:id="339">
    <w:p>
      <w:pPr>
        <w:pStyle w:val="Funote"/>
        <w:rPr/>
      </w:pPr>
      <w:r>
        <w:rPr/>
        <w:footnoteRef/>
        <w:tab/>
        <w:t>Auch im Hebr. ein Wortspiel</w:t>
      </w:r>
    </w:p>
  </w:footnote>
  <w:footnote w:id="340">
    <w:p>
      <w:pPr>
        <w:pStyle w:val="Funote"/>
        <w:rPr/>
      </w:pPr>
      <w:r>
        <w:rPr/>
        <w:footnoteRef/>
        <w:tab/>
        <w:t xml:space="preserve">"Vor" ist hier i.S. eines Vorrangs gemeint. Luther übersetzt: Seinen Brüdern zum Trotz, aber diese Bedeutung für </w:t>
      </w:r>
      <w:r>
        <w:rPr>
          <w:rtl w:val="true"/>
          <w:lang w:bidi="he-IL"/>
        </w:rPr>
        <w:t>עַל־פְנֵי</w:t>
      </w:r>
      <w:r>
        <w:rPr/>
        <w:t xml:space="preserve"> </w:t>
      </w:r>
      <w:r>
        <w:rPr/>
        <w:t>kann ich nicht verifizieren.</w:t>
      </w:r>
    </w:p>
  </w:footnote>
  <w:footnote w:id="341">
    <w:p>
      <w:pPr>
        <w:pStyle w:val="Funote"/>
        <w:rPr/>
      </w:pPr>
      <w:r>
        <w:rPr/>
        <w:footnoteRef/>
        <w:tab/>
        <w:t>Ptz., relativisch aufgelöst</w:t>
      </w:r>
    </w:p>
  </w:footnote>
  <w:footnote w:id="342">
    <w:p>
      <w:pPr>
        <w:pStyle w:val="Funote"/>
        <w:rPr/>
      </w:pPr>
      <w:r>
        <w:rPr/>
        <w:footnoteRef/>
        <w:tab/>
        <w:t xml:space="preserve">Das „Siehe!“ wirkt hier deplaziert; man könnte mit dem Targum </w:t>
      </w:r>
      <w:r>
        <w:rPr>
          <w:rtl w:val="true"/>
          <w:lang w:bidi="he-IL"/>
        </w:rPr>
        <w:t>הִיא</w:t>
      </w:r>
      <w:r>
        <w:rPr/>
        <w:t xml:space="preserve"> </w:t>
      </w:r>
      <w:r>
        <w:rPr/>
        <w:t>lesen: er.</w:t>
      </w:r>
    </w:p>
  </w:footnote>
  <w:footnote w:id="343">
    <w:p>
      <w:pPr>
        <w:pStyle w:val="Funote"/>
        <w:rPr/>
      </w:pPr>
      <w:r>
        <w:rPr/>
        <w:footnoteRef/>
        <w:tab/>
        <w:t>[Status: Ungeprüft]</w:t>
      </w:r>
    </w:p>
  </w:footnote>
  <w:footnote w:id="344">
    <w:p>
      <w:pPr>
        <w:pStyle w:val="Funote"/>
        <w:rPr/>
      </w:pPr>
      <w:r>
        <w:rPr/>
        <w:footnoteRef/>
        <w:tab/>
        <w:t xml:space="preserve">Die Bedeutung von </w:t>
      </w:r>
      <w:r>
        <w:rPr>
          <w:rtl w:val="true"/>
          <w:lang w:bidi="he-IL"/>
        </w:rPr>
        <w:t>שַׁדַּי</w:t>
      </w:r>
      <w:r>
        <w:rPr/>
        <w:t xml:space="preserve"> </w:t>
      </w:r>
      <w:r>
        <w:rPr/>
        <w:t xml:space="preserve">ist strittig. Wenn man es vom Verb </w:t>
      </w:r>
      <w:r>
        <w:rPr>
          <w:rtl w:val="true"/>
          <w:lang w:bidi="he-IL"/>
        </w:rPr>
        <w:t>שׁדד</w:t>
      </w:r>
      <w:r>
        <w:rPr/>
        <w:t xml:space="preserve"> </w:t>
      </w:r>
      <w:r>
        <w:rPr/>
        <w:t xml:space="preserve">ableitet, würde es "Verwüster", "Verheerer", "Vernichter" bedeuten. Die LXX übersetzt </w:t>
      </w:r>
      <w:r>
        <w:rPr>
          <w:lang w:val="el-GR"/>
        </w:rPr>
        <w:t>παντωκράτωρ</w:t>
      </w:r>
      <w:r>
        <w:rPr/>
        <w:t>, Allmächtiger. Auf diese Bedeutung weisen Stellen wie Jes 13,6; Jos 1,15 hin. Vgl. Gesenius z.St.</w:t>
      </w:r>
    </w:p>
  </w:footnote>
  <w:footnote w:id="345">
    <w:p>
      <w:pPr>
        <w:pStyle w:val="Funote"/>
        <w:rPr/>
      </w:pPr>
      <w:r>
        <w:rPr/>
        <w:footnoteRef/>
        <w:tab/>
        <w:t>Wörtl.: Wandle vor mir. "Wandeln" ist hier i.S. von "Umgang haben mit", "verkehren mit" gemeint, u.zw. die Gemeinschaft des Frommen mit Gott, vgl. Gesenius z.St.</w:t>
      </w:r>
    </w:p>
  </w:footnote>
  <w:footnote w:id="346">
    <w:p>
      <w:pPr>
        <w:pStyle w:val="Funote"/>
        <w:rPr/>
      </w:pPr>
      <w:r>
        <w:rPr/>
        <w:footnoteRef/>
        <w:tab/>
        <w:t>Nominalsatz; ein (Hilfs)Verb muss ergänzt werden; der Satz kann auch im Futur stehen: Ich werde meinen Bund mit dir haben.</w:t>
      </w:r>
    </w:p>
  </w:footnote>
  <w:footnote w:id="347">
    <w:p>
      <w:pPr>
        <w:pStyle w:val="Funote"/>
        <w:rPr/>
      </w:pPr>
      <w:r>
        <w:rPr/>
        <w:footnoteRef/>
        <w:tab/>
        <w:t xml:space="preserve">Beim alten und neuen Namen handelt es sich um ein Wortspiel: Abram bedeutet m.W. "Vater des Stiers", Abraham "Vater des großen Volkes" (wenn er aus </w:t>
      </w:r>
      <w:r>
        <w:rPr>
          <w:rtl w:val="true"/>
          <w:lang w:bidi="he-IL"/>
        </w:rPr>
        <w:t>אב רב עם</w:t>
      </w:r>
      <w:r>
        <w:rPr/>
        <w:t xml:space="preserve"> </w:t>
      </w:r>
      <w:r>
        <w:rPr/>
        <w:t>zusammengezogen sein sollte, wie die folgende Deutung des Namens nahelegt).</w:t>
      </w:r>
    </w:p>
  </w:footnote>
  <w:footnote w:id="348">
    <w:p>
      <w:pPr>
        <w:pStyle w:val="Funote"/>
        <w:rPr/>
      </w:pPr>
      <w:r>
        <w:rPr/>
        <w:footnoteRef/>
        <w:tab/>
        <w:t xml:space="preserve">Der Plural von </w:t>
      </w:r>
      <w:r>
        <w:rPr>
          <w:rtl w:val="true"/>
          <w:lang w:bidi="he-IL"/>
        </w:rPr>
        <w:t>דוֹר</w:t>
      </w:r>
      <w:r>
        <w:rPr/>
        <w:t xml:space="preserve">, Generation, bedeutet "Nachkommenschaft". Mit </w:t>
      </w:r>
      <w:r>
        <w:rPr>
          <w:rtl w:val="true"/>
          <w:lang w:bidi="he-IL"/>
        </w:rPr>
        <w:t>לְ</w:t>
      </w:r>
      <w:r>
        <w:rPr/>
        <w:t xml:space="preserve"> </w:t>
      </w:r>
      <w:r>
        <w:rPr/>
        <w:t>steht er zum Ausdruck einer bleibenden Bestimmung (vgl. Gesenius z.St.). Man könnte also etwas freier übersetzen: Für alle kommenden Generationen.</w:t>
      </w:r>
    </w:p>
  </w:footnote>
  <w:footnote w:id="349">
    <w:p>
      <w:pPr>
        <w:pStyle w:val="Funote"/>
        <w:rPr/>
      </w:pPr>
      <w:r>
        <w:rPr/>
        <w:footnoteRef/>
        <w:tab/>
        <w:t>S.o. zu Vers 7.</w:t>
      </w:r>
    </w:p>
  </w:footnote>
  <w:footnote w:id="350">
    <w:p>
      <w:pPr>
        <w:pStyle w:val="Funote"/>
        <w:rPr/>
      </w:pPr>
      <w:r>
        <w:rPr/>
        <w:footnoteRef/>
        <w:tab/>
        <w:t xml:space="preserve">Das Hebräische </w:t>
      </w:r>
      <w:r>
        <w:rPr>
          <w:rtl w:val="true"/>
          <w:lang w:bidi="he-IL"/>
        </w:rPr>
        <w:t>בֶן</w:t>
      </w:r>
      <w:r>
        <w:rPr/>
        <w:t xml:space="preserve"> </w:t>
      </w:r>
      <w:r>
        <w:rPr/>
        <w:t>bedeutet "Sohn", drückt aber auch die Zugehörigkeit aus: ein "Sohn von 500 Jahren" ist 500 Jahre alt (Gen 5,32). Hier kann man also sowohl vom "Achttägigen" sprechen als auch vom Sohn, der acht Tage alt ist.</w:t>
      </w:r>
    </w:p>
  </w:footnote>
  <w:footnote w:id="351">
    <w:p>
      <w:pPr>
        <w:pStyle w:val="Funote"/>
        <w:rPr/>
      </w:pPr>
      <w:hyperlink r:id="rId6">
        <w:r>
          <w:rPr>
            <w:rStyle w:val="Internetverknpfung"/>
          </w:rPr>
          <w:footnoteRef/>
          <w:tab/>
          <w:t>Figura Etymologica</w:t>
        </w:r>
      </w:hyperlink>
    </w:p>
  </w:footnote>
  <w:footnote w:id="352">
    <w:p>
      <w:pPr>
        <w:pStyle w:val="Funote"/>
        <w:rPr/>
      </w:pPr>
      <w:r>
        <w:rPr/>
        <w:footnoteRef/>
        <w:tab/>
        <w:t>Das Wort "Leib" oder "Fleisch" wird euphemistisch für das Genital verwendet.</w:t>
      </w:r>
    </w:p>
  </w:footnote>
  <w:footnote w:id="353">
    <w:p>
      <w:pPr>
        <w:pStyle w:val="Funote"/>
        <w:rPr/>
      </w:pPr>
      <w:r>
        <w:rPr/>
        <w:footnoteRef/>
        <w:tab/>
        <w:t xml:space="preserve">Der Name bedeutet „vornehme Frau“, „Fürstin“. </w:t>
      </w:r>
      <w:r>
        <w:rPr>
          <w:rtl w:val="true"/>
          <w:lang w:bidi="he-IL"/>
        </w:rPr>
        <w:t>שָׂרַה</w:t>
      </w:r>
      <w:r>
        <w:rPr/>
        <w:t xml:space="preserve"> </w:t>
      </w:r>
      <w:r>
        <w:rPr/>
        <w:t xml:space="preserve">ist das Femininum von </w:t>
      </w:r>
      <w:r>
        <w:rPr>
          <w:rtl w:val="true"/>
          <w:lang w:bidi="he-IL"/>
        </w:rPr>
        <w:t>שַׂר</w:t>
      </w:r>
      <w:r>
        <w:rPr/>
        <w:t>, Fürst.</w:t>
      </w:r>
    </w:p>
  </w:footnote>
  <w:footnote w:id="354">
    <w:p>
      <w:pPr>
        <w:pStyle w:val="Funote"/>
        <w:rPr/>
      </w:pPr>
      <w:r>
        <w:rPr/>
        <w:footnoteRef/>
        <w:tab/>
        <w:t>[Status: Ungeprüft]</w:t>
      </w:r>
    </w:p>
  </w:footnote>
  <w:footnote w:id="355">
    <w:p>
      <w:pPr>
        <w:pStyle w:val="Funote"/>
        <w:rPr/>
      </w:pPr>
      <w:r>
        <w:rPr/>
        <w:footnoteRef/>
        <w:tab/>
        <w:t>ihm: d.h. Abraham</w:t>
      </w:r>
    </w:p>
  </w:footnote>
  <w:footnote w:id="356">
    <w:p>
      <w:pPr>
        <w:pStyle w:val="Funote"/>
        <w:rPr/>
      </w:pPr>
      <w:r>
        <w:rPr/>
        <w:footnoteRef/>
        <w:tab/>
        <w:t>den Terebinten: LXX, Peschitta, Vulgata überliefern den Sing., der in der BHS als ursprüngl. angesehen wird (vgl. Apparat zu Gen. 13,18), während die meisten Übersetzungen dem Pl. des masoretischen Textes folgen.</w:t>
      </w:r>
    </w:p>
  </w:footnote>
  <w:footnote w:id="357">
    <w:p>
      <w:pPr>
        <w:pStyle w:val="Funote"/>
        <w:rPr/>
      </w:pPr>
      <w:r>
        <w:rPr/>
        <w:footnoteRef/>
        <w:tab/>
        <w:t>gerade ... saß: Part. Qal Akt. (war) sitzend, aufgelöst mit Hilfe eines temporalen Nebensatzes.</w:t>
      </w:r>
    </w:p>
  </w:footnote>
  <w:footnote w:id="358">
    <w:p>
      <w:pPr>
        <w:pStyle w:val="Funote"/>
        <w:rPr/>
      </w:pPr>
      <w:r>
        <w:rPr/>
        <w:footnoteRef/>
        <w:tab/>
        <w:t>als ... heiß war: Inf. cs. aufgelöst mit Hilfe eines kondit. Gliedsatzes.</w:t>
      </w:r>
    </w:p>
  </w:footnote>
  <w:footnote w:id="359">
    <w:p>
      <w:pPr>
        <w:pStyle w:val="Funote"/>
        <w:rPr/>
      </w:pPr>
      <w:r>
        <w:rPr/>
        <w:footnoteRef/>
        <w:tab/>
        <w:t>dass da: wörtl. und siehe</w:t>
      </w:r>
    </w:p>
  </w:footnote>
  <w:footnote w:id="360">
    <w:p>
      <w:pPr>
        <w:pStyle w:val="Funote"/>
        <w:rPr/>
      </w:pPr>
      <w:r>
        <w:rPr/>
        <w:footnoteRef/>
        <w:tab/>
        <w:t>und als er [sie] sah, lief er: wörtl. und er sah und lief (mit der im Hebr. üblichen Beiordnung, wo das Deutsche Nebensätze verwendet).</w:t>
      </w:r>
    </w:p>
  </w:footnote>
  <w:footnote w:id="361">
    <w:p>
      <w:pPr>
        <w:pStyle w:val="Funote"/>
        <w:rPr/>
      </w:pPr>
      <w:r>
        <w:rPr/>
        <w:footnoteRef/>
        <w:tab/>
        <w:t>warf sich nieder: im Orient Zeichen höchster Ehrerbietung</w:t>
      </w:r>
    </w:p>
  </w:footnote>
  <w:footnote w:id="362">
    <w:p>
      <w:pPr>
        <w:pStyle w:val="Funote"/>
        <w:rPr/>
      </w:pPr>
      <w:r>
        <w:rPr/>
        <w:footnoteRef/>
        <w:tab/>
        <w:t>Herr: Nach masoretischer Vokalisierung (</w:t>
      </w:r>
      <w:r>
        <w:rPr>
          <w:rtl w:val="true"/>
          <w:lang w:bidi="he-IL"/>
        </w:rPr>
        <w:t>אֲדֹנָי</w:t>
      </w:r>
      <w:r>
        <w:rPr/>
        <w:t xml:space="preserve"> </w:t>
      </w:r>
      <w:r>
        <w:rPr/>
        <w:t xml:space="preserve">= Herr) erkennt Abraham in dem Besucher sofort Gott. Der Konsonantentext lässt aber auch die Deutung </w:t>
      </w:r>
      <w:r>
        <w:rPr>
          <w:rtl w:val="true"/>
          <w:lang w:bidi="he-IL"/>
        </w:rPr>
        <w:t>אֲדֹנִי</w:t>
      </w:r>
      <w:r>
        <w:rPr/>
        <w:t xml:space="preserve"> </w:t>
      </w:r>
      <w:r>
        <w:rPr/>
        <w:t>d.h. mein Herr als ehrerbietige Anrede an einen Menschen zu.</w:t>
      </w:r>
    </w:p>
  </w:footnote>
  <w:footnote w:id="363">
    <w:p>
      <w:pPr>
        <w:pStyle w:val="Funote"/>
        <w:rPr/>
      </w:pPr>
      <w:r>
        <w:rPr/>
        <w:footnoteRef/>
        <w:tab/>
        <w:t xml:space="preserve">wenn ich ... gefunden habe: formelhafte Wendung, die sich auch noch in Gen 30,27; 47,29; 50,4 findet. Nach Gesenius-Donner (s.v. </w:t>
      </w:r>
      <w:r>
        <w:rPr>
          <w:rtl w:val="true"/>
          <w:lang w:bidi="he-IL"/>
        </w:rPr>
        <w:t>חֵן</w:t>
      </w:r>
      <w:r>
        <w:rPr/>
        <w:t>) abgeblasst i.S.v. bitte.</w:t>
      </w:r>
    </w:p>
  </w:footnote>
  <w:footnote w:id="364">
    <w:p>
      <w:pPr>
        <w:pStyle w:val="Funote"/>
        <w:rPr/>
      </w:pPr>
      <w:r>
        <w:rPr/>
        <w:footnoteRef/>
        <w:tab/>
        <w:t>lasst euch ... bringen: eig. Pass. Qal: es werde euch gebracht</w:t>
      </w:r>
    </w:p>
  </w:footnote>
  <w:footnote w:id="365">
    <w:p>
      <w:pPr>
        <w:pStyle w:val="Funote"/>
        <w:rPr/>
      </w:pPr>
      <w:r>
        <w:rPr/>
        <w:footnoteRef/>
        <w:tab/>
        <w:t>damit ihr ... könnt: im Hebr. Beiordnung: und ihr könnt (sollt) waschen ... und euch legen.</w:t>
      </w:r>
    </w:p>
  </w:footnote>
  <w:footnote w:id="366">
    <w:p>
      <w:pPr>
        <w:pStyle w:val="Funote"/>
        <w:rPr/>
      </w:pPr>
      <w:r>
        <w:rPr/>
        <w:footnoteRef/>
        <w:tab/>
        <w:t>euch stärken: wörtl. euer Herz (i.S.v. Lebenskraft; vgl. THAT 862) stärken</w:t>
      </w:r>
    </w:p>
  </w:footnote>
  <w:footnote w:id="367">
    <w:p>
      <w:pPr>
        <w:pStyle w:val="Funote"/>
        <w:rPr/>
      </w:pPr>
      <w:r>
        <w:rPr/>
        <w:footnoteRef/>
        <w:tab/>
        <w:t xml:space="preserve">denn dazu: Gesenius-Donner (s.v. </w:t>
      </w:r>
      <w:r>
        <w:rPr>
          <w:rtl w:val="true"/>
          <w:lang w:bidi="he-IL"/>
        </w:rPr>
        <w:t>עבר</w:t>
      </w:r>
      <w:r>
        <w:rPr/>
        <w:t xml:space="preserve"> </w:t>
      </w:r>
      <w:r>
        <w:rPr/>
        <w:t>Qal 2.) schlagen vor: warum denn sonst</w:t>
      </w:r>
    </w:p>
  </w:footnote>
  <w:footnote w:id="368">
    <w:p>
      <w:pPr>
        <w:pStyle w:val="Funote"/>
        <w:rPr/>
      </w:pPr>
      <w:r>
        <w:rPr/>
        <w:footnoteRef/>
        <w:tab/>
        <w:t>mach es: im Hebr. kein Imperativ, sondern Imperfekt: du wirst/kannst/sollst/magst tun</w:t>
      </w:r>
    </w:p>
  </w:footnote>
  <w:footnote w:id="369">
    <w:p>
      <w:pPr>
        <w:pStyle w:val="Funote"/>
        <w:rPr/>
      </w:pPr>
      <w:r>
        <w:rPr/>
        <w:footnoteRef/>
        <w:tab/>
        <w:t xml:space="preserve">Sea: ein Trockenmaß für Getreide und Mehl; entspricht nach rabbinischer Tradition 1/3 Epha, also ~ 11,63l (vgl. Gesenius-Donner s.v. </w:t>
      </w:r>
      <w:r>
        <w:rPr>
          <w:rtl w:val="true"/>
          <w:lang w:bidi="he-IL"/>
        </w:rPr>
        <w:t>חֹמֶר</w:t>
      </w:r>
      <w:r>
        <w:rPr/>
        <w:t>)</w:t>
      </w:r>
    </w:p>
  </w:footnote>
  <w:footnote w:id="370">
    <w:p>
      <w:pPr>
        <w:pStyle w:val="Funote"/>
        <w:rPr/>
      </w:pPr>
      <w:r>
        <w:rPr/>
        <w:footnoteRef/>
        <w:tab/>
        <w:t xml:space="preserve">Mehl, [und zwar] feinen Weizengrieß: die LXX überliefert </w:t>
      </w:r>
      <w:r>
        <w:rPr>
          <w:lang w:val="el-GR"/>
        </w:rPr>
        <w:t>σπεῦσον καὶ φύρασον τρία μέτρα σεμιδάλεως</w:t>
      </w:r>
      <w:r>
        <w:rPr/>
        <w:t xml:space="preserve"> beeile dich und knete drei Maß Feinmehl, lässt also Mehl (</w:t>
      </w:r>
      <w:r>
        <w:rPr>
          <w:rtl w:val="true"/>
          <w:lang w:bidi="he-IL"/>
        </w:rPr>
        <w:t>קֶמַח</w:t>
      </w:r>
      <w:r>
        <w:rPr/>
        <w:t xml:space="preserve">) aus. Die Notiz im Apparat der BHS behauptet irrtümlich, dass in der LXX das Äquivalent für </w:t>
      </w:r>
      <w:r>
        <w:rPr>
          <w:rtl w:val="true"/>
          <w:lang w:bidi="he-IL"/>
        </w:rPr>
        <w:t>סֹלֶת</w:t>
      </w:r>
      <w:r>
        <w:rPr/>
        <w:t xml:space="preserve"> </w:t>
      </w:r>
      <w:r>
        <w:rPr/>
        <w:t xml:space="preserve">(feiner Weizengrieß) fehle, in der irrigen Annahme, dass </w:t>
      </w:r>
      <w:r>
        <w:rPr>
          <w:lang w:val="el-GR"/>
        </w:rPr>
        <w:t>σεμιδάλεως</w:t>
      </w:r>
      <w:r>
        <w:rPr/>
        <w:t xml:space="preserve"> die Übersetzung für </w:t>
      </w:r>
      <w:r>
        <w:rPr>
          <w:rtl w:val="true"/>
          <w:lang w:bidi="he-IL"/>
        </w:rPr>
        <w:t>קֶמַח</w:t>
      </w:r>
      <w:r>
        <w:rPr/>
        <w:t xml:space="preserve"> </w:t>
      </w:r>
      <w:r>
        <w:rPr/>
        <w:t xml:space="preserve">sei, das mit einer Ausnahme (1Sam 1,24) in der LXX jedoch mit </w:t>
      </w:r>
      <w:r>
        <w:rPr>
          <w:lang w:val="el-GR"/>
        </w:rPr>
        <w:t>ἄλευρον</w:t>
      </w:r>
      <w:r>
        <w:rPr/>
        <w:t xml:space="preserve"> übersetzt ist; </w:t>
      </w:r>
      <w:r>
        <w:rPr>
          <w:lang w:val="el-GR"/>
        </w:rPr>
        <w:t>σεμίδαλις</w:t>
      </w:r>
      <w:r>
        <w:rPr/>
        <w:t xml:space="preserve"> jedoch ist die Standartübersetzung für </w:t>
      </w:r>
      <w:r>
        <w:rPr>
          <w:rtl w:val="true"/>
          <w:lang w:bidi="he-IL"/>
        </w:rPr>
        <w:t>סֹלֶת</w:t>
      </w:r>
      <w:r>
        <w:rPr/>
        <w:t xml:space="preserve"> </w:t>
      </w:r>
      <w:r>
        <w:rPr/>
        <w:t>(feiner Weizengrieß/Feinmehl). Die leichter verständliche Lesart der LXX dürfte kaum ursprünglich sein; vermutlich ist feiner Weizengrieß (</w:t>
      </w:r>
      <w:r>
        <w:rPr>
          <w:rtl w:val="true"/>
          <w:lang w:bidi="he-IL"/>
        </w:rPr>
        <w:t>סֹלֶת</w:t>
      </w:r>
      <w:r>
        <w:rPr/>
        <w:t>) eine Erläuterung des allgemeineren Wortes Mehl (</w:t>
      </w:r>
      <w:r>
        <w:rPr>
          <w:rtl w:val="true"/>
          <w:lang w:bidi="he-IL"/>
        </w:rPr>
        <w:t>קֶמַח</w:t>
      </w:r>
      <w:r>
        <w:rPr/>
        <w:t>).</w:t>
      </w:r>
    </w:p>
  </w:footnote>
  <w:footnote w:id="371">
    <w:p>
      <w:pPr>
        <w:pStyle w:val="Funote"/>
        <w:rPr/>
      </w:pPr>
      <w:r>
        <w:rPr/>
        <w:footnoteRef/>
        <w:tab/>
        <w:t>jedoch ... Abraham: im Hebr. ein invertierter Verbalsatz anstelle des zu erwartenden Narrativs (</w:t>
      </w:r>
      <w:r>
        <w:rPr>
          <w:rtl w:val="true"/>
          <w:lang w:bidi="he-IL"/>
        </w:rPr>
        <w:t>וַיָּרָץ אַבְרָהָם אֶל־הַבָּקָר</w:t>
      </w:r>
      <w:r>
        <w:rPr/>
        <w:t>); dieser Satz soll dem Leser inmitten der Narrative von Vers 6-10 auffallen.</w:t>
      </w:r>
    </w:p>
  </w:footnote>
  <w:footnote w:id="372">
    <w:p>
      <w:pPr>
        <w:pStyle w:val="Funote"/>
        <w:rPr/>
      </w:pPr>
      <w:r>
        <w:rPr/>
        <w:footnoteRef/>
        <w:tab/>
        <w:t xml:space="preserve">ein Rind: wörtl. einen Sohn von den Rindern; </w:t>
      </w:r>
      <w:r>
        <w:rPr>
          <w:rtl w:val="true"/>
          <w:lang w:bidi="he-IL"/>
        </w:rPr>
        <w:t>בֶּן־</w:t>
      </w:r>
      <w:r>
        <w:rPr/>
        <w:t xml:space="preserve"> </w:t>
      </w:r>
      <w:r>
        <w:rPr/>
        <w:t>vor Kollektivbegriffen bezeichnet einen einzelnen Vertreter der Gesamtheit</w:t>
      </w:r>
    </w:p>
  </w:footnote>
  <w:footnote w:id="373">
    <w:p>
      <w:pPr>
        <w:pStyle w:val="Funote"/>
        <w:rPr/>
      </w:pPr>
      <w:r>
        <w:rPr/>
        <w:footnoteRef/>
        <w:tab/>
        <w:t>der es: im Hebr. beigeordnet: und er ...</w:t>
      </w:r>
    </w:p>
  </w:footnote>
  <w:footnote w:id="374">
    <w:p>
      <w:pPr>
        <w:pStyle w:val="Funote"/>
        <w:rPr/>
      </w:pPr>
      <w:r>
        <w:rPr/>
        <w:footnoteRef/>
        <w:tab/>
        <w:t>eilig zubereitete: wörtl. sich beeilte es zuzubereiten</w:t>
      </w:r>
    </w:p>
  </w:footnote>
  <w:footnote w:id="375">
    <w:p>
      <w:pPr>
        <w:pStyle w:val="Funote"/>
        <w:rPr/>
      </w:pPr>
      <w:r>
        <w:rPr/>
        <w:footnoteRef/>
        <w:tab/>
        <w:t>hatte zubereiten lassen: wörtl. zubereitet hatte</w:t>
      </w:r>
    </w:p>
  </w:footnote>
  <w:footnote w:id="376">
    <w:p>
      <w:pPr>
        <w:pStyle w:val="Funote"/>
        <w:rPr/>
      </w:pPr>
      <w:r>
        <w:rPr/>
        <w:footnoteRef/>
        <w:tab/>
        <w:t>setzte [es] ihnen vor: wörtl. gab [es] vor sie</w:t>
      </w:r>
    </w:p>
  </w:footnote>
  <w:footnote w:id="377">
    <w:p>
      <w:pPr>
        <w:pStyle w:val="Funote"/>
        <w:rPr/>
      </w:pPr>
      <w:r>
        <w:rPr/>
        <w:footnoteRef/>
        <w:tab/>
        <w:t>während sie aßen: im Hebr. beigeordnet: und sie aßen</w:t>
      </w:r>
    </w:p>
  </w:footnote>
  <w:footnote w:id="378">
    <w:p>
      <w:pPr>
        <w:pStyle w:val="Funote"/>
        <w:rPr/>
      </w:pPr>
      <w:r>
        <w:rPr/>
        <w:footnoteRef/>
        <w:tab/>
        <w:t>auf jeden Fall: wörtl. Zurückkehren werde ich zurückkehren; Inf. abs. mit wurzelgleichem Verb zur Verstärkung der Aussage.</w:t>
      </w:r>
    </w:p>
  </w:footnote>
  <w:footnote w:id="379">
    <w:p>
      <w:pPr>
        <w:pStyle w:val="Funote"/>
        <w:rPr/>
      </w:pPr>
      <w:r>
        <w:rPr/>
        <w:footnoteRef/>
        <w:tab/>
        <w:t>im nächsten Jahr: ein hebr. Idiom, das man nicht wörtlich übersetzen kann (etwa: um die Zeit eines Jahres).</w:t>
      </w:r>
    </w:p>
  </w:footnote>
  <w:footnote w:id="380">
    <w:p>
      <w:pPr>
        <w:pStyle w:val="Funote"/>
        <w:rPr/>
      </w:pPr>
      <w:r>
        <w:rPr/>
        <w:footnoteRef/>
        <w:tab/>
        <w:t>[wird] deine Frau einen Sohn [haben]: eig. [wird] deiner Frau Sara ein Sohn [sein]</w:t>
      </w:r>
    </w:p>
  </w:footnote>
  <w:footnote w:id="381">
    <w:p>
      <w:pPr>
        <w:pStyle w:val="Funote"/>
        <w:rPr/>
      </w:pPr>
      <w:r>
        <w:rPr/>
        <w:footnoteRef/>
        <w:tab/>
        <w:t xml:space="preserve">das ... war: im Hebr. beigeordnet: und es war ...; möglicherweise muss man übersetzen: denn (und) sie war hinter ihm, wenn </w:t>
      </w:r>
      <w:r>
        <w:rPr>
          <w:rtl w:val="true"/>
          <w:lang w:bidi="he-IL"/>
        </w:rPr>
        <w:t>הוא</w:t>
      </w:r>
      <w:r>
        <w:rPr/>
        <w:t>, wie oft im Pentateuch, Femininum ist. Die freie Übersetzung der LXX (</w:t>
      </w:r>
      <w:r>
        <w:rPr>
          <w:lang w:val="el-GR"/>
        </w:rPr>
        <w:t>οὖσα ὄπισθεν αυτοῦ</w:t>
      </w:r>
      <w:r>
        <w:rPr/>
        <w:t xml:space="preserve"> = seiend - fem.! - hinter ihm) könnte in diese Richtung weisen.</w:t>
      </w:r>
    </w:p>
  </w:footnote>
  <w:footnote w:id="382">
    <w:p>
      <w:pPr>
        <w:pStyle w:val="Funote"/>
        <w:rPr/>
      </w:pPr>
      <w:r>
        <w:rPr/>
        <w:footnoteRef/>
        <w:tab/>
        <w:t>Leben: wörtl. Weg; hier in Bezug auf Fruchtbarkeit, Kinder mit all den sozialen Implikationen.</w:t>
      </w:r>
    </w:p>
  </w:footnote>
  <w:footnote w:id="383">
    <w:p>
      <w:pPr>
        <w:pStyle w:val="Funote"/>
        <w:rPr/>
      </w:pPr>
      <w:r>
        <w:rPr/>
        <w:footnoteRef/>
        <w:tab/>
        <w:t xml:space="preserve">hatte es nicht gegeben: wörtl. war ausgeblieben zu sein, oder: hatte aufgehört zu sein. Letztere Übersetzung bezöge sich auf die Altersunfruchtbarkeit. Da Sara aber zeitlebens unfruchtbar war, scheint mir die erste Übersetzung passender (zu </w:t>
      </w:r>
      <w:r>
        <w:rPr>
          <w:rtl w:val="true"/>
          <w:lang w:bidi="he-IL"/>
        </w:rPr>
        <w:t>חדל</w:t>
      </w:r>
      <w:r>
        <w:rPr/>
        <w:t xml:space="preserve"> </w:t>
      </w:r>
      <w:r>
        <w:rPr/>
        <w:t>in d. Bed. ausbeiben vgl. Hi 14,7; 19,14; Prov 10,19)</w:t>
      </w:r>
    </w:p>
  </w:footnote>
  <w:footnote w:id="384">
    <w:p>
      <w:pPr>
        <w:pStyle w:val="Funote"/>
        <w:rPr/>
      </w:pPr>
      <w:r>
        <w:rPr/>
        <w:footnoteRef/>
        <w:tab/>
        <w:t>in ihrem Inneren: d.h. in sich hinein und damit für andere nicht hörbar</w:t>
      </w:r>
    </w:p>
  </w:footnote>
  <w:footnote w:id="385">
    <w:p>
      <w:pPr>
        <w:pStyle w:val="Funote"/>
        <w:rPr/>
      </w:pPr>
      <w:r>
        <w:rPr/>
        <w:footnoteRef/>
        <w:tab/>
        <w:t>dachte: im Hebr. dasselbe Wort wie sagen (</w:t>
      </w:r>
      <w:r>
        <w:rPr>
          <w:rtl w:val="true"/>
          <w:lang w:bidi="he-IL"/>
        </w:rPr>
        <w:t>אמר</w:t>
      </w:r>
      <w:r>
        <w:rPr/>
        <w:t>); die Form des Verbs (</w:t>
      </w:r>
      <w:r>
        <w:rPr>
          <w:rtl w:val="true"/>
          <w:lang w:bidi="he-IL"/>
        </w:rPr>
        <w:t>לֵאמֹר</w:t>
      </w:r>
      <w:r>
        <w:rPr/>
        <w:t xml:space="preserve"> </w:t>
      </w:r>
      <w:r>
        <w:rPr/>
        <w:t xml:space="preserve">Inf. cs. + </w:t>
      </w:r>
      <w:r>
        <w:rPr>
          <w:rtl w:val="true"/>
          <w:lang w:bidi="he-IL"/>
        </w:rPr>
        <w:t>לְ</w:t>
      </w:r>
      <w:r>
        <w:rPr/>
        <w:t>) leitet i.d.R. wörtliche Rede ein.</w:t>
      </w:r>
    </w:p>
  </w:footnote>
  <w:footnote w:id="386">
    <w:p>
      <w:pPr>
        <w:pStyle w:val="Funote"/>
        <w:rPr/>
      </w:pPr>
      <w:r>
        <w:rPr/>
        <w:footnoteRef/>
        <w:tab/>
        <w:t>nachdem ... bin: wörtl. nach meinem Altern (Inf. cs.); das hebr. Verb (</w:t>
      </w:r>
      <w:r>
        <w:rPr>
          <w:rtl w:val="true"/>
          <w:lang w:bidi="he-IL"/>
        </w:rPr>
        <w:t>בלה</w:t>
      </w:r>
      <w:r>
        <w:rPr/>
        <w:t>) dient zur Bezeichnung abgetragener Kleidung.</w:t>
      </w:r>
    </w:p>
  </w:footnote>
  <w:footnote w:id="387">
    <w:p>
      <w:pPr>
        <w:pStyle w:val="Funote"/>
        <w:rPr/>
      </w:pPr>
      <w:r>
        <w:rPr/>
        <w:footnoteRef/>
        <w:tab/>
        <w:t>soll mir werden: wörtl. ist mir geworden; Sara versetzt sich gedanklich in die verheißene Zukunft und blickt von dort zurück (in die Vergangenheit).</w:t>
      </w:r>
    </w:p>
  </w:footnote>
  <w:footnote w:id="388">
    <w:p>
      <w:pPr>
        <w:pStyle w:val="Funote"/>
        <w:rPr/>
      </w:pPr>
      <w:r>
        <w:rPr/>
        <w:footnoteRef/>
        <w:tab/>
        <w:t>obwohl: im Hebr. Beiordnung: und ich bin alt</w:t>
      </w:r>
    </w:p>
  </w:footnote>
  <w:footnote w:id="389">
    <w:p>
      <w:pPr>
        <w:pStyle w:val="Funote"/>
        <w:rPr/>
      </w:pPr>
      <w:r>
        <w:rPr/>
        <w:footnoteRef/>
        <w:tab/>
        <w:t xml:space="preserve">für JHWH: Die Präposition </w:t>
      </w:r>
      <w:r>
        <w:rPr>
          <w:rtl w:val="true"/>
          <w:lang w:bidi="he-IL"/>
        </w:rPr>
        <w:t>מִן</w:t>
      </w:r>
      <w:r>
        <w:rPr/>
        <w:t xml:space="preserve"> </w:t>
      </w:r>
      <w:r>
        <w:rPr/>
        <w:t>hat separativen Sinn, also etwa: kann sich JHWH etwas als Unmöglich entziehen.</w:t>
      </w:r>
    </w:p>
  </w:footnote>
  <w:footnote w:id="390">
    <w:p>
      <w:pPr>
        <w:pStyle w:val="Funote"/>
        <w:rPr/>
      </w:pPr>
      <w:r>
        <w:rPr/>
        <w:footnoteRef/>
        <w:tab/>
        <w:t>dann wird Sara: wörtl. und Sara wird ...</w:t>
      </w:r>
    </w:p>
  </w:footnote>
  <w:footnote w:id="391">
    <w:p>
      <w:pPr>
        <w:pStyle w:val="Funote"/>
        <w:rPr/>
      </w:pPr>
      <w:r>
        <w:rPr/>
        <w:footnoteRef/>
        <w:tab/>
        <w:t>Sara wird haben: wörtl. Sara (Dat.) wird sein</w:t>
      </w:r>
    </w:p>
  </w:footnote>
  <w:footnote w:id="392">
    <w:p>
      <w:pPr>
        <w:pStyle w:val="Funote"/>
        <w:rPr/>
      </w:pPr>
      <w:r>
        <w:rPr/>
        <w:footnoteRef/>
        <w:tab/>
        <w:t>doch: wörtl. nein, vielmehr hast du gelacht.</w:t>
      </w:r>
    </w:p>
  </w:footnote>
  <w:footnote w:id="393">
    <w:p>
      <w:pPr>
        <w:pStyle w:val="Funote"/>
        <w:rPr/>
      </w:pPr>
      <w:r>
        <w:rPr/>
        <w:footnoteRef/>
        <w:tab/>
        <w:t xml:space="preserve">schauten hinaus gen Sodom: so mit Gesenius 17. Aufl. S. 649. Vielleicht kann man aber auch übersetzen: hatten freien Blick auf Sodom; </w:t>
      </w:r>
      <w:r>
        <w:rPr>
          <w:rtl w:val="true"/>
          <w:lang w:bidi="he-IL"/>
        </w:rPr>
        <w:t>שׁקף</w:t>
      </w:r>
      <w:r>
        <w:rPr/>
        <w:t xml:space="preserve"> </w:t>
      </w:r>
      <w:r>
        <w:rPr/>
        <w:t>(nif. und hif.) bezeichnet nämlich den Blick von einer erhöhten Position aus, so z.B. oft von Gott, der aus dem Himmel herabschaut. an allen Stellen ist dabei an einen ungehinderten Überblick gedacht.</w:t>
      </w:r>
    </w:p>
  </w:footnote>
  <w:footnote w:id="394">
    <w:p>
      <w:pPr>
        <w:pStyle w:val="Funote"/>
        <w:rPr/>
      </w:pPr>
      <w:r>
        <w:rPr/>
        <w:footnoteRef/>
        <w:tab/>
        <w:t>Abraham ging aber: wörtl. und Abraham gehend; der Partizipialsatz unterbricht die Erählung und beschreibt die Voraussetzung für das folgende Gespräch.</w:t>
      </w:r>
    </w:p>
  </w:footnote>
  <w:footnote w:id="395">
    <w:p>
      <w:pPr>
        <w:pStyle w:val="Funote"/>
        <w:rPr/>
      </w:pPr>
      <w:r>
        <w:rPr/>
        <w:footnoteRef/>
        <w:tab/>
        <w:t>und JHWH [war es, der] sagte: ein invertierter Verbalsatz, der den Partizipialsatz aus Vers 16 aufgreift: Und Abraham ... und JHWH - die beiden Protagonisten der folgenden Erzählung werden an ihrem Beginn nebeneinander gestellt.</w:t>
      </w:r>
    </w:p>
  </w:footnote>
  <w:footnote w:id="396">
    <w:p>
      <w:pPr>
        <w:pStyle w:val="Funote"/>
        <w:rPr/>
      </w:pPr>
      <w:r>
        <w:rPr/>
        <w:footnoteRef/>
        <w:tab/>
        <w:t>bin ich einer, der verheimlicht: wörtl. [ein] verheimlichend[er] ich?</w:t>
      </w:r>
    </w:p>
  </w:footnote>
  <w:footnote w:id="397">
    <w:p>
      <w:pPr>
        <w:pStyle w:val="Funote"/>
        <w:rPr/>
      </w:pPr>
      <w:r>
        <w:rPr/>
        <w:footnoteRef/>
        <w:tab/>
        <w:t>ich zu tun gedenke: wörtl. ich tuend [bin]</w:t>
      </w:r>
    </w:p>
  </w:footnote>
  <w:footnote w:id="398">
    <w:p>
      <w:pPr>
        <w:pStyle w:val="Funote"/>
        <w:rPr/>
      </w:pPr>
      <w:r>
        <w:rPr/>
        <w:footnoteRef/>
        <w:tab/>
        <w:t>Abraham wird doch: invertierter Verbalsatz, der das Subjekt (Abraham) hervorhebt.</w:t>
      </w:r>
    </w:p>
  </w:footnote>
  <w:footnote w:id="399">
    <w:p>
      <w:pPr>
        <w:pStyle w:val="Funote"/>
        <w:rPr/>
      </w:pPr>
      <w:r>
        <w:rPr/>
        <w:footnoteRef/>
        <w:tab/>
        <w:t>auf jeden Fall: Inf. abs. zur Verstärkung der finiten Verbform (</w:t>
      </w:r>
      <w:r>
        <w:rPr>
          <w:rtl w:val="true"/>
          <w:lang w:bidi="he-IL"/>
        </w:rPr>
        <w:t>הָיוׂ יִהְיֶה</w:t>
      </w:r>
      <w:r>
        <w:rPr/>
        <w:t>)</w:t>
      </w:r>
    </w:p>
  </w:footnote>
  <w:footnote w:id="400">
    <w:p>
      <w:pPr>
        <w:pStyle w:val="Funote"/>
        <w:rPr/>
      </w:pPr>
      <w:r>
        <w:rPr/>
        <w:footnoteRef/>
        <w:tab/>
        <w:t>Segen werden sich zuschreiben seinetwegen: od. segnen werden sich in ihm; od. gesegnet werden in ihm.</w:t>
      </w:r>
    </w:p>
  </w:footnote>
  <w:footnote w:id="401">
    <w:p>
      <w:pPr>
        <w:pStyle w:val="Funote"/>
        <w:rPr/>
      </w:pPr>
      <w:r>
        <w:rPr/>
        <w:footnoteRef/>
        <w:tab/>
        <w:t>den Weg JHWHs: d.h. entweder den Weg, den JHWH geht oder den Weg, den JHWH vorschreibt</w:t>
      </w:r>
    </w:p>
  </w:footnote>
  <w:footnote w:id="402">
    <w:p>
      <w:pPr>
        <w:pStyle w:val="Funote"/>
        <w:rPr/>
      </w:pPr>
      <w:r>
        <w:rPr/>
        <w:footnoteRef/>
        <w:tab/>
        <w:t>indem sie ... handeln: wörtl. zu tun (Inf. cs. in modaler Funktion)</w:t>
      </w:r>
    </w:p>
  </w:footnote>
  <w:footnote w:id="403">
    <w:p>
      <w:pPr>
        <w:pStyle w:val="Funote"/>
        <w:rPr/>
      </w:pPr>
      <w:r>
        <w:rPr/>
        <w:footnoteRef/>
        <w:tab/>
        <w:t>gerecht und rechtmäßig handeln: wörtl. Gerechtigkeit und Recht tun (das Hebräische bevorzugt Nomina gegenüber Adjektiven bzw. Adverbien),</w:t>
      </w:r>
    </w:p>
  </w:footnote>
  <w:footnote w:id="404">
    <w:p>
      <w:pPr>
        <w:pStyle w:val="Funote"/>
        <w:rPr/>
      </w:pPr>
      <w:r>
        <w:rPr/>
        <w:footnoteRef/>
        <w:tab/>
        <w:t>die Klagegeschrei über: Das hebr. Wort (</w:t>
      </w:r>
      <w:r>
        <w:rPr>
          <w:rtl w:val="true"/>
          <w:lang w:bidi="he-IL"/>
        </w:rPr>
        <w:t>זְעָקָה</w:t>
      </w:r>
      <w:r>
        <w:rPr/>
        <w:t>) bezeichnet an allen atl. Stellen das laute Klagen über drohendes bzw. hereinbrechendes Unheil und den daraus resultieren Hilferuf. Einzige Ausnahme ist evtl. Koh 9,17. Darum wird in Gen 18,20 sicherlich das Klageschrei derer gemeint sein, die unter Sodom und Gomorra leiden.</w:t>
      </w:r>
    </w:p>
  </w:footnote>
  <w:footnote w:id="405">
    <w:p>
      <w:pPr>
        <w:pStyle w:val="Funote"/>
        <w:rPr/>
      </w:pPr>
      <w:r>
        <w:rPr/>
        <w:footnoteRef/>
        <w:tab/>
        <w:t xml:space="preserve">ich will herabsteigen: eine kaum zu übersetzende Partikel </w:t>
      </w:r>
      <w:r>
        <w:rPr>
          <w:rtl w:val="true"/>
          <w:lang w:bidi="he-IL"/>
        </w:rPr>
        <w:t>־נָא</w:t>
      </w:r>
      <w:r>
        <w:rPr/>
        <w:t xml:space="preserve"> </w:t>
      </w:r>
      <w:r>
        <w:rPr/>
        <w:t>unterstreicht die Selbstaufforderung. Vgl. auch Gen 11,5.7</w:t>
      </w:r>
    </w:p>
  </w:footnote>
  <w:footnote w:id="406">
    <w:p>
      <w:pPr>
        <w:pStyle w:val="Funote"/>
        <w:rPr/>
      </w:pPr>
      <w:r>
        <w:rPr/>
        <w:footnoteRef/>
        <w:tab/>
        <w:t>das zu mir kommt: nach masoretischer Punktation müsste übersetzt werden: das zu mir gekommen ist. Der bloße Konsonantentext legt allerdings die oben gewählte Übersetzung nahe.</w:t>
      </w:r>
    </w:p>
  </w:footnote>
  <w:footnote w:id="407">
    <w:p>
      <w:pPr>
        <w:pStyle w:val="Funote"/>
        <w:rPr/>
      </w:pPr>
      <w:r>
        <w:rPr/>
        <w:footnoteRef/>
        <w:tab/>
        <w:t>sie alle: das hebr. Wort ist nach masoretischer Punktation (</w:t>
      </w:r>
      <w:r>
        <w:rPr>
          <w:rtl w:val="true"/>
          <w:lang w:bidi="he-IL"/>
        </w:rPr>
        <w:t>כָּלָה</w:t>
      </w:r>
      <w:r>
        <w:rPr/>
        <w:t xml:space="preserve"> </w:t>
      </w:r>
      <w:r>
        <w:rPr/>
        <w:t>= Vernichtung) unverständlich. Die Übersetzung folgt einer Konjektur (</w:t>
      </w:r>
      <w:r>
        <w:rPr>
          <w:rtl w:val="true"/>
          <w:lang w:bidi="he-IL"/>
        </w:rPr>
        <w:t>כֻּלָּהּ</w:t>
      </w:r>
      <w:r>
        <w:rPr/>
        <w:t>)</w:t>
      </w:r>
    </w:p>
  </w:footnote>
  <w:footnote w:id="408">
    <w:p>
      <w:pPr>
        <w:pStyle w:val="Funote"/>
        <w:rPr/>
      </w:pPr>
      <w:r>
        <w:rPr/>
        <w:footnoteRef/>
        <w:tab/>
        <w:t>und wenn nicht, will ich es wissen: das zweite Glied der Doppelfrage ist durch das redundante "will ich es wissen" stark betont.</w:t>
      </w:r>
    </w:p>
  </w:footnote>
  <w:footnote w:id="409">
    <w:p>
      <w:pPr>
        <w:pStyle w:val="Funote"/>
        <w:rPr/>
      </w:pPr>
      <w:r>
        <w:rPr/>
        <w:footnoteRef/>
        <w:tab/>
        <w:t>in Richtung Sodom: eig. Sodom-wärts</w:t>
      </w:r>
    </w:p>
  </w:footnote>
  <w:footnote w:id="410">
    <w:p>
      <w:pPr>
        <w:pStyle w:val="Funote"/>
        <w:rPr/>
      </w:pPr>
      <w:r>
        <w:rPr/>
        <w:footnoteRef/>
        <w:tab/>
        <w:t>Abraham aber stand noch: wörtl. und Abraham, er [war] stehend (Satzfolge unterbrechender Nominalsatz).</w:t>
      </w:r>
    </w:p>
  </w:footnote>
  <w:footnote w:id="411">
    <w:p>
      <w:pPr>
        <w:pStyle w:val="Funote"/>
        <w:rPr/>
      </w:pPr>
      <w:r>
        <w:rPr/>
        <w:footnoteRef/>
        <w:tab/>
        <w:t>in ihm: wörtl. im Innern von ihr (mit Bezug auf das Wort Stadt)</w:t>
      </w:r>
    </w:p>
  </w:footnote>
  <w:footnote w:id="412">
    <w:p>
      <w:pPr>
        <w:pStyle w:val="Funote"/>
        <w:rPr/>
      </w:pPr>
      <w:r>
        <w:rPr/>
        <w:footnoteRef/>
        <w:tab/>
        <w:t>solchem Tun: wörtl. entsprechend diesem Wort (dieser Sache) zu tun</w:t>
      </w:r>
    </w:p>
  </w:footnote>
  <w:footnote w:id="413">
    <w:p>
      <w:pPr>
        <w:pStyle w:val="Funote"/>
        <w:rPr/>
      </w:pPr>
      <w:r>
        <w:rPr/>
        <w:footnoteRef/>
        <w:tab/>
        <w:t>Recht tun: möglich sind auch die Übersetzungen: tun, was [dem Gerechten] gebührt oder: zum Recht verhelfen</w:t>
      </w:r>
    </w:p>
  </w:footnote>
  <w:footnote w:id="414">
    <w:p>
      <w:pPr>
        <w:pStyle w:val="Funote"/>
        <w:rPr/>
      </w:pPr>
      <w:r>
        <w:rPr/>
        <w:footnoteRef/>
        <w:tab/>
        <w:t>dann werde ich vergeben: im Hebr. Beiordnung: und ich werde vergeben</w:t>
      </w:r>
    </w:p>
  </w:footnote>
  <w:footnote w:id="415">
    <w:p>
      <w:pPr>
        <w:pStyle w:val="Funote"/>
        <w:rPr/>
      </w:pPr>
      <w:r>
        <w:rPr/>
        <w:footnoteRef/>
        <w:tab/>
        <w:t>obwohl: im Hebr. Beiordnung: und</w:t>
      </w:r>
    </w:p>
  </w:footnote>
  <w:footnote w:id="416">
    <w:p>
      <w:pPr>
        <w:pStyle w:val="Funote"/>
        <w:rPr/>
      </w:pPr>
      <w:r>
        <w:rPr/>
        <w:footnoteRef/>
        <w:tab/>
        <w:t xml:space="preserve">Erdenstaub: im Hebr. ein Hendiadyoin aus </w:t>
      </w:r>
      <w:r>
        <w:rPr>
          <w:rtl w:val="true"/>
          <w:lang w:bidi="he-IL"/>
        </w:rPr>
        <w:t>עָפָר</w:t>
      </w:r>
      <w:r>
        <w:rPr/>
        <w:t xml:space="preserve"> </w:t>
      </w:r>
      <w:r>
        <w:rPr/>
        <w:t xml:space="preserve">und </w:t>
      </w:r>
      <w:r>
        <w:rPr>
          <w:rtl w:val="true"/>
          <w:lang w:bidi="he-IL"/>
        </w:rPr>
        <w:t>אֵפֶר</w:t>
      </w:r>
      <w:r>
        <w:rPr/>
        <w:t xml:space="preserve">, die beide Staub bedeuten, wobei </w:t>
      </w:r>
      <w:r>
        <w:rPr>
          <w:rtl w:val="true"/>
          <w:lang w:bidi="he-IL"/>
        </w:rPr>
        <w:t>אֵפֶר</w:t>
      </w:r>
      <w:r>
        <w:rPr/>
        <w:t xml:space="preserve"> </w:t>
      </w:r>
      <w:r>
        <w:rPr/>
        <w:t>stärker das Verächtliche anzuhaften scheint.</w:t>
      </w:r>
    </w:p>
  </w:footnote>
  <w:footnote w:id="417">
    <w:p>
      <w:pPr>
        <w:pStyle w:val="Funote"/>
        <w:rPr/>
      </w:pPr>
      <w:r>
        <w:rPr/>
        <w:footnoteRef/>
        <w:tab/>
        <w:t>[es] nicht tun: nämlich Sodom vernichten</w:t>
      </w:r>
    </w:p>
  </w:footnote>
  <w:footnote w:id="418">
    <w:p>
      <w:pPr>
        <w:pStyle w:val="Funote"/>
        <w:rPr/>
      </w:pPr>
      <w:r>
        <w:rPr/>
        <w:footnoteRef/>
        <w:tab/>
        <w:t>der Herr zürne nicht: wörtl. es entbrenne dem Herrn nicht [der Zorn]</w:t>
      </w:r>
    </w:p>
  </w:footnote>
  <w:footnote w:id="419">
    <w:p>
      <w:pPr>
        <w:pStyle w:val="Funote"/>
        <w:rPr/>
      </w:pPr>
      <w:r>
        <w:rPr/>
        <w:footnoteRef/>
        <w:tab/>
        <w:t>wenn ich rede: im Hebr. Beiordnung: und ich rede</w:t>
      </w:r>
    </w:p>
  </w:footnote>
  <w:footnote w:id="420">
    <w:p>
      <w:pPr>
        <w:pStyle w:val="Funote"/>
        <w:rPr/>
      </w:pPr>
      <w:r>
        <w:rPr/>
        <w:footnoteRef/>
        <w:tab/>
        <w:t>als er vollendet hatte zu reden zu Abraham</w:t>
      </w:r>
    </w:p>
  </w:footnote>
  <w:footnote w:id="421">
    <w:p>
      <w:pPr>
        <w:pStyle w:val="Funote"/>
        <w:rPr/>
      </w:pPr>
      <w:r>
        <w:rPr/>
        <w:footnoteRef/>
        <w:tab/>
        <w:t>[Status: Ungeprüft]</w:t>
      </w:r>
    </w:p>
  </w:footnote>
  <w:footnote w:id="422">
    <w:p>
      <w:pPr>
        <w:pStyle w:val="Funote"/>
        <w:rPr/>
      </w:pPr>
      <w:r>
        <w:rPr/>
        <w:footnoteRef/>
        <w:tab/>
        <w:t>Das Stadttor war der Ort, wo man sich traf, zu Gericht saß, Verträge abschloss, Handel trieb u.dgl.m. Die Begegnung der beiden Männer mit Lot geschah demnach in aller Öffentlichkeit.</w:t>
      </w:r>
    </w:p>
  </w:footnote>
  <w:footnote w:id="423">
    <w:p>
      <w:pPr>
        <w:pStyle w:val="Funote"/>
        <w:rPr/>
      </w:pPr>
      <w:r>
        <w:rPr/>
        <w:footnoteRef/>
        <w:tab/>
        <w:t>als Lot gerade saß: wörtl. und Lot sitzend</w:t>
      </w:r>
    </w:p>
  </w:footnote>
  <w:footnote w:id="424">
    <w:p>
      <w:pPr>
        <w:pStyle w:val="Funote"/>
        <w:rPr/>
      </w:pPr>
      <w:r>
        <w:rPr/>
        <w:footnoteRef/>
        <w:tab/>
        <w:t>wörtl.: sieh/seht doch</w:t>
      </w:r>
    </w:p>
  </w:footnote>
  <w:footnote w:id="425">
    <w:p>
      <w:pPr>
        <w:pStyle w:val="Funote"/>
        <w:rPr/>
      </w:pPr>
      <w:r>
        <w:rPr/>
        <w:footnoteRef/>
        <w:tab/>
        <w:t>wörtl. weicht, d.h. sie sollen ihren eingeschlagenen Weg verlassen</w:t>
      </w:r>
    </w:p>
  </w:footnote>
  <w:footnote w:id="426">
    <w:p>
      <w:pPr>
        <w:pStyle w:val="Funote"/>
        <w:rPr/>
      </w:pPr>
      <w:r>
        <w:rPr/>
        <w:footnoteRef/>
        <w:tab/>
        <w:t>Die hebr. Verbform (perf. cons.) drückt als Fortsetzung der Imperative deren Folge aus.</w:t>
      </w:r>
    </w:p>
  </w:footnote>
  <w:footnote w:id="427">
    <w:p>
      <w:pPr>
        <w:pStyle w:val="Funote"/>
        <w:rPr/>
      </w:pPr>
      <w:r>
        <w:rPr/>
        <w:footnoteRef/>
        <w:tab/>
        <w:t xml:space="preserve">Der </w:t>
      </w:r>
      <w:r>
        <w:rPr>
          <w:rtl w:val="true"/>
          <w:lang w:bidi="he-IL"/>
        </w:rPr>
        <w:t>רְחֹב</w:t>
      </w:r>
      <w:r>
        <w:rPr/>
        <w:t xml:space="preserve"> </w:t>
      </w:r>
      <w:r>
        <w:rPr/>
        <w:t>ist ein freier Platz beim Stadttor innerhalb oder außerhalb der Stadt.</w:t>
      </w:r>
    </w:p>
  </w:footnote>
  <w:footnote w:id="428">
    <w:p>
      <w:pPr>
        <w:pStyle w:val="Funote"/>
        <w:rPr/>
      </w:pPr>
      <w:r>
        <w:rPr/>
        <w:footnoteRef/>
        <w:tab/>
        <w:t>so dass sie kamen: wörtl. und sie kamen. Das Hebräische bevorzugt die Beiordnung durch Hauptsätze, wo das Deutsche die Unterordnung durch Nebensätze hat.</w:t>
      </w:r>
    </w:p>
  </w:footnote>
  <w:footnote w:id="429">
    <w:p>
      <w:pPr>
        <w:pStyle w:val="Funote"/>
        <w:rPr/>
      </w:pPr>
      <w:r>
        <w:rPr/>
        <w:footnoteRef/>
        <w:tab/>
        <w:t>außerdem buk er Mazzen: wörtl. und Mazzen buk er; im Hebr. ein invertierter Verbalsatz, der die Erzählung unterbricht.</w:t>
      </w:r>
    </w:p>
  </w:footnote>
  <w:footnote w:id="430">
    <w:p>
      <w:pPr>
        <w:pStyle w:val="Funote"/>
        <w:rPr/>
      </w:pPr>
      <w:r>
        <w:rPr/>
        <w:footnoteRef/>
        <w:tab/>
        <w:t xml:space="preserve">Festmahl … Mazzen: </w:t>
      </w:r>
      <w:r>
        <w:rPr>
          <w:rtl w:val="true"/>
          <w:lang w:bidi="he-IL"/>
        </w:rPr>
        <w:t>מִשְׁתֶּה</w:t>
      </w:r>
      <w:r>
        <w:rPr/>
        <w:t xml:space="preserve"> </w:t>
      </w:r>
      <w:r>
        <w:rPr/>
        <w:t>bezeichnet vorwiegend ein profanes Fest (Gen 21,8; 29,22; 40;20; Ri 14,10; Est 1,3) bei dem neben dem Essen auch Getränke gereicht wurden (</w:t>
      </w:r>
      <w:r>
        <w:rPr>
          <w:rtl w:val="true"/>
          <w:lang w:bidi="he-IL"/>
        </w:rPr>
        <w:t>שׁתה</w:t>
      </w:r>
      <w:r>
        <w:rPr/>
        <w:t xml:space="preserve"> </w:t>
      </w:r>
      <w:r>
        <w:rPr/>
        <w:t>bedeutet trinken). Hiermit wird Lots Gastfreunschaft unterstrichen. Die auffällige Erwähnung der Mazzen mag Eile in die Erzählung hineintragen, da ungesäuertes Brot schnell hergestellt werden konnte (vgl. Dtn 16,3).</w:t>
      </w:r>
    </w:p>
  </w:footnote>
  <w:footnote w:id="431">
    <w:p>
      <w:pPr>
        <w:pStyle w:val="Funote"/>
        <w:rPr/>
      </w:pPr>
      <w:r>
        <w:rPr/>
        <w:footnoteRef/>
        <w:tab/>
        <w:t>wörtl.: Sie legten sich noch nicht schlafen und die Männer hatten … (Beiordnung statt Unterordnung)</w:t>
      </w:r>
    </w:p>
  </w:footnote>
  <w:footnote w:id="432">
    <w:p>
      <w:pPr>
        <w:pStyle w:val="Funote"/>
        <w:rPr/>
      </w:pPr>
      <w:r>
        <w:rPr/>
        <w:footnoteRef/>
        <w:tab/>
        <w:t>Ausnahme: wörtl. Ende/Grenze</w:t>
      </w:r>
    </w:p>
  </w:footnote>
  <w:footnote w:id="433">
    <w:p>
      <w:pPr>
        <w:pStyle w:val="Funote"/>
        <w:rPr/>
      </w:pPr>
      <w:r>
        <w:rPr/>
        <w:footnoteRef/>
        <w:tab/>
        <w:t>heute Nacht: wörtl. die[se] Nacht; der Artikel hat hier noch seine ursprüngliche demonstrative Funktion.</w:t>
      </w:r>
    </w:p>
  </w:footnote>
  <w:footnote w:id="434">
    <w:p>
      <w:pPr>
        <w:pStyle w:val="Funote"/>
        <w:rPr/>
      </w:pPr>
      <w:r>
        <w:rPr/>
        <w:footnoteRef/>
        <w:tab/>
        <w:t>es ihnen besorgen: wörtl. sie erkennen; hier ein euphemistischer Ausdruck für den Geschlechtsverkehr, der hier ein Akt der Demütigung sein soll.</w:t>
      </w:r>
    </w:p>
  </w:footnote>
  <w:footnote w:id="435">
    <w:p>
      <w:pPr>
        <w:pStyle w:val="Funote"/>
        <w:rPr/>
      </w:pPr>
      <w:r>
        <w:rPr/>
        <w:footnoteRef/>
        <w:tab/>
        <w:t>Das heißt vermutlich, dass er die im Haus Verbliebenen angewiesen hat die Tür hinter ihm zu verriegeln.</w:t>
      </w:r>
    </w:p>
  </w:footnote>
  <w:footnote w:id="436">
    <w:p>
      <w:pPr>
        <w:pStyle w:val="Funote"/>
        <w:rPr/>
      </w:pPr>
      <w:r>
        <w:rPr/>
        <w:footnoteRef/>
        <w:tab/>
        <w:t>wörtl. ihr mögt/dürft doch nicht böse handeln. Lot befiehlt nicht, sondern fordert sie höflich - vgl. die Anrede! - auf.</w:t>
      </w:r>
    </w:p>
  </w:footnote>
  <w:footnote w:id="437">
    <w:p>
      <w:pPr>
        <w:pStyle w:val="Funote"/>
        <w:rPr/>
      </w:pPr>
      <w:r>
        <w:rPr/>
        <w:footnoteRef/>
        <w:tab/>
        <w:t xml:space="preserve">Brüder: hier wohl im Sinne von Freunde (vgl. Ges. s.v. </w:t>
      </w:r>
      <w:r>
        <w:rPr>
          <w:rtl w:val="true"/>
          <w:lang w:bidi="he-IL"/>
        </w:rPr>
        <w:t>אָח</w:t>
      </w:r>
    </w:p>
  </w:footnote>
  <w:footnote w:id="438">
    <w:p>
      <w:pPr>
        <w:pStyle w:val="Funote"/>
        <w:rPr/>
      </w:pPr>
      <w:r>
        <w:rPr/>
        <w:footnoteRef/>
        <w:tab/>
        <w:t>keinem Mann beigewohnt: wörtl. keinen Mann erkannt; im Hebräischen eine Umschreibung für den Geschlechtsverkehr</w:t>
      </w:r>
    </w:p>
  </w:footnote>
  <w:footnote w:id="439">
    <w:p>
      <w:pPr>
        <w:pStyle w:val="Funote"/>
        <w:rPr/>
      </w:pPr>
      <w:r>
        <w:rPr/>
        <w:footnoteRef/>
        <w:tab/>
        <w:t>d.h. macht mit ihnen, was ihr wollt.</w:t>
      </w:r>
    </w:p>
  </w:footnote>
  <w:footnote w:id="440">
    <w:p>
      <w:pPr>
        <w:pStyle w:val="Funote"/>
        <w:rPr/>
      </w:pPr>
      <w:r>
        <w:rPr/>
        <w:footnoteRef/>
        <w:tab/>
        <w:t>Schutz meines Hauses: wörtl. Schatten meines Gebälks</w:t>
      </w:r>
    </w:p>
  </w:footnote>
  <w:footnote w:id="441">
    <w:p>
      <w:pPr>
        <w:pStyle w:val="Funote"/>
        <w:rPr/>
      </w:pPr>
      <w:r>
        <w:rPr/>
        <w:footnoteRef/>
        <w:tab/>
        <w:t>Mach, dass du wegkommst: wörtl. tritt näher (komm) dorthin (i.S.v. weg)</w:t>
      </w:r>
    </w:p>
  </w:footnote>
  <w:footnote w:id="442">
    <w:p>
      <w:pPr>
        <w:pStyle w:val="Funote"/>
        <w:rPr/>
      </w:pPr>
      <w:r>
        <w:rPr/>
        <w:footnoteRef/>
        <w:tab/>
        <w:t>[um] unseren Schutz zu genießen: wörtl. Schutzbürger zu sein</w:t>
      </w:r>
    </w:p>
  </w:footnote>
  <w:footnote w:id="443">
    <w:p>
      <w:pPr>
        <w:pStyle w:val="Funote"/>
        <w:rPr/>
      </w:pPr>
      <w:r>
        <w:rPr/>
        <w:footnoteRef/>
        <w:tab/>
        <w:t xml:space="preserve">in der Tat das Sagen haben: wörtl. ein Richten richten (Inf. abs. mit Prädikat gleicher Wurzel); </w:t>
      </w:r>
      <w:r>
        <w:rPr>
          <w:rtl w:val="true"/>
          <w:lang w:bidi="he-IL"/>
        </w:rPr>
        <w:t>שפט</w:t>
      </w:r>
      <w:r>
        <w:rPr/>
        <w:t xml:space="preserve"> </w:t>
      </w:r>
      <w:r>
        <w:rPr/>
        <w:t>umfasst die Bedeutungen von richten, entscheiden, herrschen</w:t>
      </w:r>
    </w:p>
  </w:footnote>
  <w:footnote w:id="444">
    <w:p>
      <w:pPr>
        <w:pStyle w:val="Funote"/>
        <w:rPr/>
      </w:pPr>
      <w:r>
        <w:rPr/>
        <w:footnoteRef/>
        <w:tab/>
        <w:t>ihretwegen: oder mehr als ihnen</w:t>
      </w:r>
    </w:p>
  </w:footnote>
  <w:footnote w:id="445">
    <w:p>
      <w:pPr>
        <w:pStyle w:val="Funote"/>
        <w:rPr/>
      </w:pPr>
      <w:r>
        <w:rPr/>
        <w:footnoteRef/>
        <w:tab/>
        <w:t>übel mitspielen: wörtl. Böses tun</w:t>
      </w:r>
    </w:p>
  </w:footnote>
  <w:footnote w:id="446">
    <w:p>
      <w:pPr>
        <w:pStyle w:val="Funote"/>
        <w:rPr/>
      </w:pPr>
      <w:r>
        <w:rPr/>
        <w:footnoteRef/>
        <w:tab/>
        <w:t xml:space="preserve">ergriffen die Männer: wörtl. streckten die Männer ihre Hand aus </w:t>
      </w:r>
    </w:p>
  </w:footnote>
  <w:footnote w:id="447">
    <w:p>
      <w:pPr>
        <w:pStyle w:val="Funote"/>
        <w:rPr/>
      </w:pPr>
      <w:r>
        <w:rPr/>
        <w:footnoteRef/>
        <w:tab/>
        <w:t>völliger Blindheit: eig. steht das Wort im Plural, der sich vielleicht auf die Mehrzahl der Männer bezieht. Das Wort erscheint nur noch in 2Kö 6,18</w:t>
      </w:r>
    </w:p>
  </w:footnote>
  <w:footnote w:id="448">
    <w:p>
      <w:pPr>
        <w:pStyle w:val="Funote"/>
        <w:rPr/>
      </w:pPr>
      <w:r>
        <w:rPr/>
        <w:footnoteRef/>
        <w:tab/>
        <w:t>d.h. ausnahmslos jeden</w:t>
      </w:r>
    </w:p>
  </w:footnote>
  <w:footnote w:id="449">
    <w:p>
      <w:pPr>
        <w:pStyle w:val="Funote"/>
        <w:rPr/>
      </w:pPr>
      <w:r>
        <w:rPr/>
        <w:footnoteRef/>
        <w:tab/>
        <w:t xml:space="preserve">so dass sie's müde wurden: wörtl. und sie wurden‘s müde; Beiordnung statt Unterordnung; </w:t>
      </w:r>
      <w:r>
        <w:rPr>
          <w:rtl w:val="true"/>
          <w:lang w:bidi="he-IL"/>
        </w:rPr>
        <w:t>לאה</w:t>
      </w:r>
      <w:r>
        <w:rPr/>
        <w:t xml:space="preserve"> </w:t>
      </w:r>
      <w:r>
        <w:rPr/>
        <w:t>(müde werden) kann man auch als "sich vergeblich abmühen", "nicht können" übersetzen</w:t>
      </w:r>
    </w:p>
  </w:footnote>
  <w:footnote w:id="450">
    <w:p>
      <w:pPr>
        <w:pStyle w:val="Funote"/>
        <w:rPr/>
      </w:pPr>
      <w:r>
        <w:rPr/>
        <w:footnoteRef/>
        <w:tab/>
        <w:t>oder: alle, die dir … gehören</w:t>
      </w:r>
    </w:p>
  </w:footnote>
  <w:footnote w:id="451">
    <w:p>
      <w:pPr>
        <w:pStyle w:val="Funote"/>
        <w:rPr/>
      </w:pPr>
      <w:r>
        <w:rPr/>
        <w:footnoteRef/>
        <w:tab/>
        <w:t xml:space="preserve">wir sind dabei zu vernichten: wörtl. wir [sind] vernichtend; das aktive Partizip markiert den (beginnenden) Vollzug einer Handlung. </w:t>
      </w:r>
    </w:p>
  </w:footnote>
  <w:footnote w:id="452">
    <w:p>
      <w:pPr>
        <w:pStyle w:val="Funote"/>
        <w:rPr/>
      </w:pPr>
      <w:r>
        <w:rPr/>
        <w:footnoteRef/>
        <w:tab/>
        <w:t>wörtl. beim Angesicht JHWHs</w:t>
      </w:r>
    </w:p>
  </w:footnote>
  <w:footnote w:id="453">
    <w:p>
      <w:pPr>
        <w:pStyle w:val="Funote"/>
        <w:rPr/>
      </w:pPr>
      <w:r>
        <w:rPr/>
        <w:footnoteRef/>
        <w:tab/>
        <w:t>die seine Töchter nehmen würden: wörtl. den seine Töchter Nehmenden</w:t>
      </w:r>
    </w:p>
  </w:footnote>
  <w:footnote w:id="454">
    <w:p>
      <w:pPr>
        <w:pStyle w:val="Funote"/>
        <w:rPr/>
      </w:pPr>
      <w:r>
        <w:rPr/>
        <w:footnoteRef/>
        <w:tab/>
        <w:t>JHWH ist im Begriff zu vernichten: wörtl. vernichtend JHWH</w:t>
      </w:r>
    </w:p>
  </w:footnote>
  <w:footnote w:id="455">
    <w:p>
      <w:pPr>
        <w:pStyle w:val="Funote"/>
        <w:rPr/>
      </w:pPr>
      <w:r>
        <w:rPr/>
        <w:footnoteRef/>
        <w:tab/>
        <w:t>da drängten die Boten: wörtl. und die Boten drängten (Beiordnung statt Unterordnung)</w:t>
      </w:r>
    </w:p>
  </w:footnote>
  <w:footnote w:id="456">
    <w:p>
      <w:pPr>
        <w:pStyle w:val="Funote"/>
        <w:rPr/>
      </w:pPr>
      <w:r>
        <w:rPr/>
        <w:footnoteRef/>
        <w:tab/>
        <w:t xml:space="preserve">Im Hebräischen, das ursprünglich keine Satzzeichen kannte, wurde wörtl. Rede durch idiomatisches </w:t>
      </w:r>
      <w:r>
        <w:rPr>
          <w:rtl w:val="true"/>
          <w:lang w:bidi="he-IL"/>
        </w:rPr>
        <w:t>לֵאמֹר</w:t>
      </w:r>
      <w:r>
        <w:rPr/>
        <w:t xml:space="preserve"> </w:t>
      </w:r>
      <w:r>
        <w:rPr/>
        <w:t>(wörtl.: zu sagen) eingeleitet. Diese Funktion übernimmt bei uns der Doppelpunkt.</w:t>
      </w:r>
    </w:p>
  </w:footnote>
  <w:footnote w:id="457">
    <w:p>
      <w:pPr>
        <w:pStyle w:val="Funote"/>
        <w:rPr/>
      </w:pPr>
      <w:r>
        <w:rPr/>
        <w:footnoteRef/>
        <w:tab/>
        <w:t>in der Sünde: d.h. vielleicht „samt der Sünde“ (doch würde man dann eher „samt den Bewohnern“ erwarten) oder „wegen der Sünde“. Die Neue Zürcher Bibel übersetzt „im Strafgericht“</w:t>
      </w:r>
    </w:p>
  </w:footnote>
  <w:footnote w:id="458">
    <w:p>
      <w:pPr>
        <w:pStyle w:val="Funote"/>
        <w:rPr/>
      </w:pPr>
      <w:r>
        <w:rPr/>
        <w:footnoteRef/>
        <w:tab/>
        <w:t>als er zögerte: wörtl. und er zögerte und es ergriffen ihn …</w:t>
      </w:r>
    </w:p>
  </w:footnote>
  <w:footnote w:id="459">
    <w:p>
      <w:pPr>
        <w:pStyle w:val="Funote"/>
        <w:rPr/>
      </w:pPr>
      <w:r>
        <w:rPr/>
        <w:footnoteRef/>
        <w:tab/>
        <w:t>weil JHWH Mitleid mit ihm hatte: wörtl. im Mitleid JHWHs auf ihm</w:t>
      </w:r>
    </w:p>
  </w:footnote>
  <w:footnote w:id="460">
    <w:p>
      <w:pPr>
        <w:pStyle w:val="Funote"/>
        <w:rPr/>
      </w:pPr>
      <w:r>
        <w:rPr/>
        <w:footnoteRef/>
        <w:tab/>
        <w:t>da sagte [einer der Männer]: wörtl. und er sagte</w:t>
      </w:r>
    </w:p>
  </w:footnote>
  <w:footnote w:id="461">
    <w:p>
      <w:pPr>
        <w:pStyle w:val="Funote"/>
        <w:rPr/>
      </w:pPr>
      <w:r>
        <w:rPr/>
        <w:footnoteRef/>
        <w:tab/>
        <w:t>um deines Lebens willen: wörtl. auf dein Leben</w:t>
      </w:r>
    </w:p>
  </w:footnote>
  <w:footnote w:id="462">
    <w:p>
      <w:pPr>
        <w:pStyle w:val="Funote"/>
        <w:rPr/>
      </w:pPr>
      <w:r>
        <w:rPr/>
        <w:footnoteRef/>
        <w:tab/>
        <w:t>irgendwo im Umkreis: wörtl. in all dem Umkreis</w:t>
      </w:r>
    </w:p>
  </w:footnote>
  <w:footnote w:id="463">
    <w:p>
      <w:pPr>
        <w:pStyle w:val="Funote"/>
        <w:rPr/>
      </w:pPr>
      <w:r>
        <w:rPr/>
        <w:footnoteRef/>
        <w:tab/>
        <w:t>sonst wirst du: od. damit du nicht</w:t>
      </w:r>
    </w:p>
  </w:footnote>
  <w:footnote w:id="464">
    <w:p>
      <w:pPr>
        <w:pStyle w:val="Funote"/>
        <w:rPr/>
      </w:pPr>
      <w:r>
        <w:rPr/>
        <w:footnoteRef/>
        <w:tab/>
        <w:t>bei allem Respekt: wörtl. meine Herren</w:t>
      </w:r>
    </w:p>
  </w:footnote>
  <w:footnote w:id="465">
    <w:p>
      <w:pPr>
        <w:pStyle w:val="Funote"/>
        <w:rPr/>
      </w:pPr>
      <w:r>
        <w:rPr/>
        <w:footnoteRef/>
        <w:tab/>
        <w:t>du hast mir große Güte erwiesen: wörtl. du hast deine Güte groß gemacht, die du erwiesen (gemacht) hast an (mit, bei) mir</w:t>
      </w:r>
    </w:p>
  </w:footnote>
  <w:footnote w:id="466">
    <w:p>
      <w:pPr>
        <w:pStyle w:val="Funote"/>
        <w:rPr/>
      </w:pPr>
      <w:r>
        <w:rPr/>
        <w:footnoteRef/>
        <w:tab/>
        <w:t>indem du mich am leben lässt: wörtl. am leben zu lassen meine Seele</w:t>
      </w:r>
    </w:p>
  </w:footnote>
  <w:footnote w:id="467">
    <w:p>
      <w:pPr>
        <w:pStyle w:val="Funote"/>
        <w:rPr/>
      </w:pPr>
      <w:r>
        <w:rPr/>
        <w:footnoteRef/>
        <w:tab/>
        <w:t>werde ich das Unheil nicht mehr los: od. holt mich das Unheil ein. Wörtl. klebt das Unheil an mir. Entweder befürchtet Lot, dass ihm im Gebirge Unheil droht, oder dass er auf der Flucht ins entfernte Gebirge doch noch vom Untergang Sodoms ereilt wird.</w:t>
      </w:r>
    </w:p>
  </w:footnote>
  <w:footnote w:id="468">
    <w:p>
      <w:pPr>
        <w:pStyle w:val="Funote"/>
        <w:rPr/>
      </w:pPr>
      <w:r>
        <w:rPr/>
        <w:footnoteRef/>
        <w:tab/>
        <w:t>od. Ich will mich dorthin retten</w:t>
      </w:r>
    </w:p>
  </w:footnote>
  <w:footnote w:id="469">
    <w:p>
      <w:pPr>
        <w:pStyle w:val="Funote"/>
        <w:rPr/>
      </w:pPr>
      <w:r>
        <w:rPr/>
        <w:footnoteRef/>
        <w:tab/>
        <w:t>klein wie sie ist: [ist] sie nicht klein?</w:t>
      </w:r>
    </w:p>
  </w:footnote>
  <w:footnote w:id="470">
    <w:p>
      <w:pPr>
        <w:pStyle w:val="Funote"/>
        <w:rPr/>
      </w:pPr>
      <w:r>
        <w:rPr/>
        <w:footnoteRef/>
        <w:tab/>
        <w:t>dann bleibe ich am leben: wörtl. und am leben bleibt meine Seele</w:t>
      </w:r>
    </w:p>
  </w:footnote>
  <w:footnote w:id="471">
    <w:p>
      <w:pPr>
        <w:pStyle w:val="Funote"/>
        <w:rPr/>
      </w:pPr>
      <w:r>
        <w:rPr/>
        <w:footnoteRef/>
        <w:tab/>
        <w:t>in dieser Sache: od. in diesem Wort</w:t>
      </w:r>
    </w:p>
  </w:footnote>
  <w:footnote w:id="472">
    <w:p>
      <w:pPr>
        <w:pStyle w:val="Funote"/>
        <w:rPr/>
      </w:pPr>
      <w:r>
        <w:rPr/>
        <w:footnoteRef/>
        <w:tab/>
        <w:t>„</w:t>
      </w:r>
      <w:r>
        <w:rPr/>
        <w:t>jmds Angesicht erheben“ ist im Hebräischen ein Idiom für vielfältige Formen freundlicher Zuwendung, hier etwa „auf jmd. Rücksicht nehmen“</w:t>
      </w:r>
    </w:p>
  </w:footnote>
  <w:footnote w:id="473">
    <w:p>
      <w:pPr>
        <w:pStyle w:val="Funote"/>
        <w:rPr/>
      </w:pPr>
      <w:r>
        <w:rPr/>
        <w:footnoteRef/>
        <w:tab/>
        <w:t>so dass ich die Stadt nicht verwüsten werde: wörtl. nicht umzuwenden meiner die Stadt</w:t>
      </w:r>
    </w:p>
  </w:footnote>
  <w:footnote w:id="474">
    <w:p>
      <w:pPr>
        <w:pStyle w:val="Funote"/>
        <w:rPr/>
      </w:pPr>
      <w:r>
        <w:rPr/>
        <w:footnoteRef/>
        <w:tab/>
        <w:t xml:space="preserve">wörtl. nicht etwas; „etwas“ ist im Hebräischen dieselbe Vokabel wie „Wort“, </w:t>
      </w:r>
      <w:r>
        <w:rPr>
          <w:rtl w:val="true"/>
          <w:lang w:bidi="he-IL"/>
        </w:rPr>
        <w:t>דָּבָר</w:t>
      </w:r>
    </w:p>
  </w:footnote>
  <w:footnote w:id="475">
    <w:p>
      <w:pPr>
        <w:pStyle w:val="Funote"/>
        <w:rPr/>
      </w:pPr>
      <w:r>
        <w:rPr/>
        <w:footnoteRef/>
        <w:tab/>
        <w:t>bis du dorthin gekommen bist: wörtl. [bis] zu deinem Kommen dorthin</w:t>
      </w:r>
    </w:p>
  </w:footnote>
  <w:footnote w:id="476">
    <w:p>
      <w:pPr>
        <w:pStyle w:val="Funote"/>
        <w:rPr/>
      </w:pPr>
      <w:r>
        <w:rPr/>
        <w:footnoteRef/>
        <w:tab/>
        <w:t>od. er</w:t>
      </w:r>
    </w:p>
  </w:footnote>
  <w:footnote w:id="477">
    <w:p>
      <w:pPr>
        <w:pStyle w:val="Funote"/>
        <w:rPr/>
      </w:pPr>
      <w:r>
        <w:rPr/>
        <w:footnoteRef/>
        <w:tab/>
        <w:t xml:space="preserve">die Stadt Zoar genannt: wörtl. den Namen der Stadt Zoar gerufen </w:t>
      </w:r>
    </w:p>
  </w:footnote>
  <w:footnote w:id="478">
    <w:p>
      <w:pPr>
        <w:pStyle w:val="Funote"/>
        <w:rPr/>
      </w:pPr>
      <w:r>
        <w:rPr/>
        <w:footnoteRef/>
        <w:tab/>
        <w:t>wörtl. hinausgegangen</w:t>
      </w:r>
    </w:p>
  </w:footnote>
  <w:footnote w:id="479">
    <w:p>
      <w:pPr>
        <w:pStyle w:val="Funote"/>
        <w:rPr/>
      </w:pPr>
      <w:r>
        <w:rPr/>
        <w:footnoteRef/>
        <w:tab/>
        <w:t>als Lot kam: wörtl. und Lot kam</w:t>
      </w:r>
    </w:p>
  </w:footnote>
  <w:footnote w:id="480">
    <w:p>
      <w:pPr>
        <w:pStyle w:val="Funote"/>
        <w:rPr/>
      </w:pPr>
      <w:r>
        <w:rPr/>
        <w:footnoteRef/>
        <w:tab/>
        <w:t xml:space="preserve">von: wörtl. von-bei </w:t>
      </w:r>
      <w:r>
        <w:rPr>
          <w:rtl w:val="true"/>
          <w:lang w:bidi="he-IL"/>
        </w:rPr>
        <w:t>מֵאֵת</w:t>
      </w:r>
      <w:r>
        <w:rPr/>
        <w:t xml:space="preserve">; das Hebräische kann zwei Präpositionen zusammensetzen (hier </w:t>
      </w:r>
      <w:r>
        <w:rPr>
          <w:rtl w:val="true"/>
          <w:lang w:bidi="he-IL"/>
        </w:rPr>
        <w:t>מִן</w:t>
      </w:r>
      <w:r>
        <w:rPr/>
        <w:t xml:space="preserve"> </w:t>
      </w:r>
      <w:r>
        <w:rPr/>
        <w:t xml:space="preserve">und </w:t>
      </w:r>
      <w:r>
        <w:rPr>
          <w:rtl w:val="true"/>
          <w:lang w:bidi="he-IL"/>
        </w:rPr>
        <w:t>אֵת</w:t>
      </w:r>
      <w:r>
        <w:rPr/>
        <w:t>), von denen die zweite den Ort angibt, wo sich jmd. bzw. etwas vorher befand.</w:t>
      </w:r>
    </w:p>
  </w:footnote>
  <w:footnote w:id="481">
    <w:p>
      <w:pPr>
        <w:pStyle w:val="Funote"/>
        <w:rPr/>
      </w:pPr>
      <w:r>
        <w:rPr/>
        <w:footnoteRef/>
        <w:tab/>
        <w:t>Textkritik: LXX und Vulgata überliefern „alles Gewächs“, allerdings ist der lectio brevior (d.h. kürzeren Lesart) des MTs der Vorzug zu geben.</w:t>
      </w:r>
    </w:p>
  </w:footnote>
  <w:footnote w:id="482">
    <w:p>
      <w:pPr>
        <w:pStyle w:val="Funote"/>
        <w:rPr/>
      </w:pPr>
      <w:r>
        <w:rPr/>
        <w:footnoteRef/>
        <w:tab/>
        <w:t>hinter: wörtl. von-hinter</w:t>
      </w:r>
    </w:p>
  </w:footnote>
  <w:footnote w:id="483">
    <w:p>
      <w:pPr>
        <w:pStyle w:val="Funote"/>
        <w:rPr/>
      </w:pPr>
      <w:r>
        <w:rPr/>
        <w:footnoteRef/>
        <w:tab/>
        <w:t>hinter sich: wörtl. hinter ihm; allerdings handelt es sich hier sehr wahrscheinlich um eine Nachlässigkeit oder Unsicherheit im Genus der Pronominalsuffixe, wie dies öfter zu beobachten ist (vgl. Gesenius/Kautzsch §135 o, wo weitere Vorkommen belegt sind.). Die NZB übersetzt „Lots Frau aber, hinter ihm …“</w:t>
      </w:r>
    </w:p>
  </w:footnote>
  <w:footnote w:id="484">
    <w:p>
      <w:pPr>
        <w:pStyle w:val="Funote"/>
        <w:rPr/>
      </w:pPr>
      <w:r>
        <w:rPr/>
        <w:footnoteRef/>
        <w:tab/>
        <w:t xml:space="preserve">Die Vulgata überliefert „ubi steterat </w:t>
      </w:r>
      <w:r>
        <w:rPr>
          <w:i/>
        </w:rPr>
        <w:t>prius</w:t>
      </w:r>
      <w:r>
        <w:rPr/>
        <w:t xml:space="preserve"> cum Domino“ d.h. wo er </w:t>
      </w:r>
      <w:r>
        <w:rPr>
          <w:i/>
        </w:rPr>
        <w:t>zuvor</w:t>
      </w:r>
      <w:r>
        <w:rPr/>
        <w:t xml:space="preserve"> mit (bei) dem Herrn gestanden hatte. Dabei handelt es sich sehr wahrscheinlich um einen erklärenden Zusatz (vgl. MT und Vulgata in Lev 16,23; Num 5,25; 31,12; Ri 18,14).</w:t>
      </w:r>
    </w:p>
  </w:footnote>
  <w:footnote w:id="485">
    <w:p>
      <w:pPr>
        <w:pStyle w:val="Funote"/>
        <w:rPr/>
      </w:pPr>
      <w:r>
        <w:rPr/>
        <w:footnoteRef/>
        <w:tab/>
        <w:t>auf Sodom und Gomorra: wörtl. auf die Fläche (das Angesicht) Sodoms und Gomorras</w:t>
      </w:r>
    </w:p>
  </w:footnote>
  <w:footnote w:id="486">
    <w:p>
      <w:pPr>
        <w:pStyle w:val="Funote"/>
        <w:rPr/>
      </w:pPr>
      <w:r>
        <w:rPr/>
        <w:footnoteRef/>
        <w:tab/>
        <w:t xml:space="preserve">Textkritik: „ganze“ fehlt in der LXX, was als Haplographie von </w:t>
      </w:r>
      <w:r>
        <w:rPr>
          <w:rtl w:val="true"/>
          <w:lang w:bidi="he-IL"/>
        </w:rPr>
        <w:t>על־כל</w:t>
      </w:r>
      <w:r>
        <w:rPr/>
        <w:t xml:space="preserve"> </w:t>
      </w:r>
      <w:r>
        <w:rPr/>
        <w:t>erklärt werden kann.</w:t>
      </w:r>
    </w:p>
  </w:footnote>
  <w:footnote w:id="487">
    <w:p>
      <w:pPr>
        <w:pStyle w:val="Funote"/>
        <w:rPr/>
      </w:pPr>
      <w:r>
        <w:rPr/>
        <w:footnoteRef/>
        <w:tab/>
        <w:t>das ganze Umland: wörtl. die ganze Fläche des Landes des Umkreises</w:t>
      </w:r>
    </w:p>
  </w:footnote>
  <w:footnote w:id="488">
    <w:p>
      <w:pPr>
        <w:pStyle w:val="Funote"/>
        <w:rPr/>
      </w:pPr>
      <w:r>
        <w:rPr/>
        <w:footnoteRef/>
        <w:tab/>
        <w:t>Rauch vom Land: wörtl. der Rauch des Landes</w:t>
      </w:r>
    </w:p>
  </w:footnote>
  <w:footnote w:id="489">
    <w:p>
      <w:pPr>
        <w:pStyle w:val="Funote"/>
        <w:rPr/>
      </w:pPr>
      <w:r>
        <w:rPr/>
        <w:footnoteRef/>
        <w:tab/>
        <w:t>wörtl. des Schmelzofens</w:t>
      </w:r>
    </w:p>
  </w:footnote>
  <w:footnote w:id="490">
    <w:p>
      <w:pPr>
        <w:pStyle w:val="Funote"/>
        <w:rPr/>
      </w:pPr>
      <w:r>
        <w:rPr/>
        <w:footnoteRef/>
        <w:tab/>
        <w:t>als Gott die umliegenden Städte vernichtete: wörtl. im Vernichten Gottes die Städte des Umkreises</w:t>
      </w:r>
    </w:p>
  </w:footnote>
  <w:footnote w:id="491">
    <w:p>
      <w:pPr>
        <w:pStyle w:val="Funote"/>
        <w:rPr/>
      </w:pPr>
      <w:r>
        <w:rPr/>
        <w:footnoteRef/>
        <w:tab/>
        <w:t>gedachte: im Sinn von "wandte sich gnädig zu"</w:t>
      </w:r>
    </w:p>
  </w:footnote>
  <w:footnote w:id="492">
    <w:p>
      <w:pPr>
        <w:pStyle w:val="Funote"/>
        <w:rPr/>
      </w:pPr>
      <w:r>
        <w:rPr/>
        <w:footnoteRef/>
        <w:tab/>
        <w:t>ließ Lot ... ziehen: od. schickte Lot</w:t>
      </w:r>
    </w:p>
  </w:footnote>
  <w:footnote w:id="493">
    <w:p>
      <w:pPr>
        <w:pStyle w:val="Funote"/>
        <w:rPr/>
      </w:pPr>
      <w:r>
        <w:rPr/>
        <w:footnoteRef/>
        <w:tab/>
        <w:t>als er die Städte zerstörte: wörtl. im Zerstören der Städte</w:t>
      </w:r>
    </w:p>
  </w:footnote>
  <w:footnote w:id="494">
    <w:p>
      <w:pPr>
        <w:pStyle w:val="Funote"/>
        <w:rPr/>
      </w:pPr>
      <w:r>
        <w:rPr/>
        <w:footnoteRef/>
        <w:tab/>
        <w:t>so wohnte er: wörtl. und er wohnte</w:t>
      </w:r>
    </w:p>
  </w:footnote>
  <w:footnote w:id="495">
    <w:p>
      <w:pPr>
        <w:pStyle w:val="Funote"/>
        <w:rPr/>
      </w:pPr>
      <w:r>
        <w:rPr/>
        <w:footnoteRef/>
        <w:tab/>
        <w:t>in einer Höhle: wörtl. in der Höhle; Artikel vor allgemein bekannten Gattungsbegriffen (vgl. er ging in die Berge/ins Gebirge; er fuhr auf das Meer hinaus; viele Menschen leben auf dem Land)</w:t>
      </w:r>
    </w:p>
  </w:footnote>
  <w:footnote w:id="496">
    <w:p>
      <w:pPr>
        <w:pStyle w:val="Funote"/>
        <w:rPr/>
      </w:pPr>
      <w:r>
        <w:rPr/>
        <w:footnoteRef/>
        <w:tab/>
        <w:t>die ältere [Tochter] zu der jüngeren: wörtl. die Erstgeborene zu der Jungen; das Hebräische kennt keine Steigerungsformen des Adjektivs.</w:t>
      </w:r>
    </w:p>
  </w:footnote>
  <w:footnote w:id="497">
    <w:p>
      <w:pPr>
        <w:pStyle w:val="Funote"/>
        <w:rPr/>
      </w:pPr>
      <w:r>
        <w:rPr/>
        <w:footnoteRef/>
        <w:tab/>
        <w:t>sich mit uns zu verbinden: wörtl. hineinzugehen zu (od. auf) uns</w:t>
      </w:r>
    </w:p>
  </w:footnote>
  <w:footnote w:id="498">
    <w:p>
      <w:pPr>
        <w:pStyle w:val="Funote"/>
        <w:rPr/>
      </w:pPr>
      <w:r>
        <w:rPr/>
        <w:footnoteRef/>
        <w:tab/>
        <w:t>wie das in aller Welt geschieht: wörtl. wie es der Weg der ganzen Erde [ist]</w:t>
      </w:r>
    </w:p>
  </w:footnote>
  <w:footnote w:id="499">
    <w:p>
      <w:pPr>
        <w:pStyle w:val="Funote"/>
        <w:rPr/>
      </w:pPr>
      <w:r>
        <w:rPr>
          <w:i/>
        </w:rPr>
        <w:footnoteRef/>
        <w:tab/>
        <w:t>betrunken machen</w:t>
      </w:r>
      <w:r>
        <w:rPr/>
        <w:t xml:space="preserve"> - wörtl.: Wein trinken lassen</w:t>
      </w:r>
    </w:p>
  </w:footnote>
  <w:footnote w:id="500">
    <w:p>
      <w:pPr>
        <w:pStyle w:val="Funote"/>
        <w:rPr/>
      </w:pPr>
      <w:r>
        <w:rPr>
          <w:i/>
        </w:rPr>
        <w:footnoteRef/>
        <w:tab/>
        <w:t>um …zu und um ... zu</w:t>
      </w:r>
      <w:r>
        <w:rPr/>
        <w:t xml:space="preserve"> - oder und wir werden ... und wir werden ...</w:t>
      </w:r>
    </w:p>
  </w:footnote>
  <w:footnote w:id="501">
    <w:p>
      <w:pPr>
        <w:pStyle w:val="Funote"/>
        <w:rPr/>
      </w:pPr>
      <w:r>
        <w:rPr>
          <w:i/>
        </w:rPr>
        <w:footnoteRef/>
        <w:tab/>
        <w:t>heute Nacht</w:t>
      </w:r>
      <w:r>
        <w:rPr/>
        <w:t xml:space="preserve"> - wörtl. die Nacht = diese Nacht; der Artikel hat hier noch seine ursprüngliche demonstraktive Funktion.</w:t>
      </w:r>
    </w:p>
  </w:footnote>
  <w:footnote w:id="502">
    <w:p>
      <w:pPr>
        <w:pStyle w:val="Funote"/>
        <w:rPr/>
      </w:pPr>
      <w:r>
        <w:rPr/>
        <w:footnoteRef/>
        <w:tab/>
        <w:t xml:space="preserve">Textkritik: stand ... auf - LXX und Vulgata hatten in ihrer hebräischen Vorlage offensichtlich </w:t>
      </w:r>
      <w:r>
        <w:rPr>
          <w:rtl w:val="true"/>
          <w:lang w:bidi="he-IL"/>
        </w:rPr>
        <w:t>וַתָּבֹא</w:t>
      </w:r>
      <w:r>
        <w:rPr/>
        <w:t xml:space="preserve"> </w:t>
      </w:r>
      <w:r>
        <w:rPr/>
        <w:t xml:space="preserve">(wattăbō und sie ging hinein); es handelt sich um eine Angleichung an Vers 33 und das masoretische </w:t>
      </w:r>
      <w:r>
        <w:rPr>
          <w:rtl w:val="true"/>
          <w:lang w:bidi="he-IL"/>
        </w:rPr>
        <w:t>וַתָּקָם</w:t>
      </w:r>
      <w:r>
        <w:rPr/>
        <w:t xml:space="preserve"> </w:t>
      </w:r>
      <w:r>
        <w:rPr/>
        <w:t>(wattāqŏm und sie stand auf) hat den ursprünglichen Text bewahrt.</w:t>
      </w:r>
    </w:p>
  </w:footnote>
  <w:footnote w:id="503">
    <w:p>
      <w:pPr>
        <w:pStyle w:val="Funote"/>
        <w:rPr/>
      </w:pPr>
      <w:r>
        <w:rPr>
          <w:rtl w:val="true"/>
          <w:lang w:bidi="he-IL"/>
        </w:rPr>
        <w:footnoteRef/>
        <w:tab/>
        <w:t>מוֹאָב</w:t>
      </w:r>
      <w:r>
        <w:rPr/>
        <w:t xml:space="preserve"> </w:t>
      </w:r>
      <w:r>
        <w:rPr/>
        <w:t xml:space="preserve">(môʾāb) klingt so ähnlich wie </w:t>
      </w:r>
      <w:r>
        <w:rPr>
          <w:rtl w:val="true"/>
          <w:lang w:bidi="he-IL"/>
        </w:rPr>
        <w:t>מֵאָב</w:t>
      </w:r>
      <w:r>
        <w:rPr/>
        <w:t xml:space="preserve"> </w:t>
      </w:r>
      <w:r>
        <w:rPr/>
        <w:t xml:space="preserve">(mēʾāb) d.h. </w:t>
      </w:r>
      <w:r>
        <w:rPr>
          <w:i/>
        </w:rPr>
        <w:t>vom Vater</w:t>
      </w:r>
    </w:p>
  </w:footnote>
  <w:footnote w:id="504">
    <w:p>
      <w:pPr>
        <w:pStyle w:val="Funote"/>
        <w:rPr/>
      </w:pPr>
      <w:r>
        <w:rPr/>
        <w:footnoteRef/>
        <w:tab/>
        <w:t>d.h. der heutigen Moabiter</w:t>
      </w:r>
    </w:p>
  </w:footnote>
  <w:footnote w:id="505">
    <w:p>
      <w:pPr>
        <w:pStyle w:val="Funote"/>
        <w:rPr/>
      </w:pPr>
      <w:r>
        <w:rPr/>
        <w:footnoteRef/>
        <w:tab/>
        <w:t xml:space="preserve">d.h. </w:t>
      </w:r>
      <w:r>
        <w:rPr>
          <w:i/>
        </w:rPr>
        <w:t>Sohn meines (nächsten) Verwandten</w:t>
      </w:r>
    </w:p>
  </w:footnote>
  <w:footnote w:id="506">
    <w:p>
      <w:pPr>
        <w:pStyle w:val="Funote"/>
        <w:rPr/>
      </w:pPr>
      <w:r>
        <w:rPr/>
        <w:footnoteRef/>
        <w:tab/>
        <w:t xml:space="preserve">Hebräisch </w:t>
      </w:r>
      <w:r>
        <w:rPr>
          <w:rtl w:val="true"/>
          <w:lang w:bidi="he-IL"/>
        </w:rPr>
        <w:t>בְנֵי־עַמּוֹן</w:t>
      </w:r>
      <w:r>
        <w:rPr/>
        <w:t xml:space="preserve"> </w:t>
      </w:r>
      <w:r>
        <w:rPr/>
        <w:t xml:space="preserve">(bənê-ʿammôn) d.h. </w:t>
      </w:r>
      <w:r>
        <w:rPr>
          <w:i/>
        </w:rPr>
        <w:t>der Söhne Ammon</w:t>
      </w:r>
    </w:p>
  </w:footnote>
  <w:footnote w:id="507">
    <w:p>
      <w:pPr>
        <w:pStyle w:val="Funote"/>
        <w:rPr/>
      </w:pPr>
      <w:r>
        <w:rPr/>
        <w:footnoteRef/>
        <w:tab/>
        <w:t>d.h. der heutigen Ammoniter</w:t>
      </w:r>
    </w:p>
  </w:footnote>
  <w:footnote w:id="508">
    <w:p>
      <w:pPr>
        <w:pStyle w:val="Funote"/>
        <w:rPr/>
      </w:pPr>
      <w:r>
        <w:rPr/>
        <w:footnoteRef/>
        <w:tab/>
        <w:t>[Status: Ungeprüft]</w:t>
      </w:r>
    </w:p>
  </w:footnote>
  <w:footnote w:id="509">
    <w:p>
      <w:pPr>
        <w:pStyle w:val="Funote"/>
        <w:rPr/>
      </w:pPr>
      <w:r>
        <w:rPr/>
        <w:footnoteRef/>
        <w:tab/>
        <w:t xml:space="preserve">Wörtl.: König. Die kanaanäischen Stadtfürsten wurden als </w:t>
      </w:r>
      <w:r>
        <w:rPr>
          <w:rtl w:val="true"/>
          <w:lang w:bidi="he-IL"/>
        </w:rPr>
        <w:t>מֶלֶך</w:t>
      </w:r>
      <w:r>
        <w:rPr/>
        <w:t>, König, bezeichnet.</w:t>
      </w:r>
    </w:p>
  </w:footnote>
  <w:footnote w:id="510">
    <w:p>
      <w:pPr>
        <w:pStyle w:val="Funote"/>
        <w:rPr/>
      </w:pPr>
      <w:r>
        <w:rPr/>
        <w:footnoteRef/>
        <w:tab/>
        <w:t>Wörtl.: zur Frau genommen von einem Eheherrn</w:t>
      </w:r>
    </w:p>
  </w:footnote>
  <w:footnote w:id="511">
    <w:p>
      <w:pPr>
        <w:pStyle w:val="Funote"/>
        <w:rPr/>
      </w:pPr>
      <w:r>
        <w:rPr/>
        <w:footnoteRef/>
        <w:tab/>
        <w:t xml:space="preserve">Viele Handschriften haben hier das Tetragramm; dann wäre zu übersetzen: Und er sprach zu JHWH. Abimelech redet mit Gott im Traum, das geht aus dem Kontext hervor. Die Anrede </w:t>
      </w:r>
      <w:r>
        <w:rPr>
          <w:rtl w:val="true"/>
          <w:lang w:bidi="he-IL"/>
        </w:rPr>
        <w:t>אֲדֹנָי</w:t>
      </w:r>
      <w:r>
        <w:rPr/>
        <w:t>, mein Herr, ist das Qere perpetuum zum Tetragramm. Insofern handelt es sich bei den Handschriften, die das Tetragramm haben, um sekundäre Lesarten; die ursprüngliche Lesart wird "mein Herr" sein.</w:t>
      </w:r>
    </w:p>
  </w:footnote>
  <w:footnote w:id="512">
    <w:p>
      <w:pPr>
        <w:pStyle w:val="Funote"/>
        <w:rPr/>
      </w:pPr>
      <w:r>
        <w:rPr/>
        <w:footnoteRef/>
        <w:tab/>
        <w:t xml:space="preserve">Es steht da: </w:t>
      </w:r>
      <w:r>
        <w:rPr>
          <w:rtl w:val="true"/>
          <w:lang w:bidi="he-IL"/>
        </w:rPr>
        <w:t>הוא</w:t>
      </w:r>
      <w:r>
        <w:rPr/>
        <w:t>, er, aber vokalisiert ist das Femininum.</w:t>
      </w:r>
    </w:p>
  </w:footnote>
  <w:footnote w:id="513">
    <w:p>
      <w:pPr>
        <w:pStyle w:val="Funote"/>
        <w:rPr/>
      </w:pPr>
      <w:r>
        <w:rPr/>
        <w:footnoteRef/>
        <w:tab/>
        <w:t>Imperativ</w:t>
      </w:r>
    </w:p>
  </w:footnote>
  <w:footnote w:id="514">
    <w:p>
      <w:pPr>
        <w:pStyle w:val="Funote"/>
        <w:rPr/>
      </w:pPr>
      <w:hyperlink r:id="rId7">
        <w:r>
          <w:rPr>
            <w:rStyle w:val="Internetverknpfung"/>
          </w:rPr>
          <w:footnoteRef/>
          <w:tab/>
          <w:t>figura etymologica</w:t>
        </w:r>
      </w:hyperlink>
    </w:p>
  </w:footnote>
  <w:footnote w:id="515">
    <w:p>
      <w:pPr>
        <w:pStyle w:val="Funote"/>
        <w:rPr/>
      </w:pPr>
      <w:r>
        <w:rPr/>
        <w:footnoteRef/>
        <w:tab/>
        <w:t>Wörtl.: Erzählte all diese Worte vor ihren Ohren</w:t>
      </w:r>
    </w:p>
  </w:footnote>
  <w:footnote w:id="516">
    <w:p>
      <w:pPr>
        <w:pStyle w:val="Funote"/>
        <w:rPr/>
      </w:pPr>
      <w:r>
        <w:rPr/>
        <w:footnoteRef/>
        <w:tab/>
        <w:t xml:space="preserve">Der Bearbeiter des Buches Genesis schlägt vor, hier "was fürchtest du" zu lesen. Er vermutet eine Verwechslung von </w:t>
      </w:r>
      <w:r>
        <w:rPr>
          <w:rtl w:val="true"/>
          <w:lang w:bidi="he-IL"/>
        </w:rPr>
        <w:t>ראה</w:t>
      </w:r>
      <w:r>
        <w:rPr/>
        <w:t xml:space="preserve">,sehen mit </w:t>
      </w:r>
      <w:r>
        <w:rPr>
          <w:rtl w:val="true"/>
          <w:lang w:bidi="he-IL"/>
        </w:rPr>
        <w:t>ירא</w:t>
      </w:r>
      <w:r>
        <w:rPr/>
        <w:t>,fürchten.</w:t>
      </w:r>
    </w:p>
  </w:footnote>
  <w:footnote w:id="517">
    <w:p>
      <w:pPr>
        <w:pStyle w:val="Funote"/>
        <w:rPr/>
      </w:pPr>
      <w:r>
        <w:rPr/>
        <w:footnoteRef/>
        <w:tab/>
        <w:t>Gemeint ist: Mein Land steht dir offen</w:t>
      </w:r>
    </w:p>
  </w:footnote>
  <w:footnote w:id="518">
    <w:p>
      <w:pPr>
        <w:pStyle w:val="Funote"/>
        <w:rPr/>
      </w:pPr>
      <w:r>
        <w:rPr/>
        <w:footnoteRef/>
        <w:tab/>
        <w:t>Wörtl.: Wo es in deinen Augen gut ist</w:t>
      </w:r>
    </w:p>
  </w:footnote>
  <w:footnote w:id="519">
    <w:p>
      <w:pPr>
        <w:pStyle w:val="Funote"/>
        <w:rPr/>
      </w:pPr>
      <w:r>
        <w:rPr/>
        <w:footnoteRef/>
        <w:tab/>
        <w:t>Wörtl.: eine Decke der Augen</w:t>
      </w:r>
    </w:p>
  </w:footnote>
  <w:footnote w:id="520">
    <w:p>
      <w:pPr>
        <w:pStyle w:val="Funote"/>
        <w:rPr/>
      </w:pPr>
      <w:hyperlink r:id="rId8">
        <w:r>
          <w:rPr>
            <w:rStyle w:val="Internetverknpfung"/>
          </w:rPr>
          <w:footnoteRef/>
          <w:tab/>
          <w:t>figura etymologica</w:t>
        </w:r>
      </w:hyperlink>
    </w:p>
  </w:footnote>
  <w:footnote w:id="521">
    <w:p>
      <w:pPr>
        <w:pStyle w:val="Funote"/>
        <w:rPr/>
      </w:pPr>
      <w:r>
        <w:rPr/>
        <w:footnoteRef/>
        <w:tab/>
        <w:t>[Status: Ungeprüft]</w:t>
      </w:r>
    </w:p>
  </w:footnote>
  <w:footnote w:id="522">
    <w:p>
      <w:pPr>
        <w:pStyle w:val="Funote"/>
        <w:rPr/>
      </w:pPr>
      <w:r>
        <w:rPr/>
        <w:footnoteRef/>
        <w:tab/>
        <w:t>Im Hebräischen steht überall, wo ich Sätze mit „da“ oder „und“ einleite, das Imperfekt mit waw = der Narrativ. In der Übersetzung hat man die Freiheit, den Narrativ temporal (als, während, nachdem), konditional (denn, weil), relativisch etc. wiederzugeben. Das muss in der Lesefassung entschieden werden. Hier markiere ich nur, wo solche Entscheidungen nötig sind.</w:t>
      </w:r>
    </w:p>
  </w:footnote>
  <w:footnote w:id="523">
    <w:p>
      <w:pPr>
        <w:pStyle w:val="Funote"/>
        <w:rPr/>
      </w:pPr>
      <w:r>
        <w:rPr/>
        <w:footnoteRef/>
        <w:tab/>
        <w:t xml:space="preserve">Die Partikel </w:t>
      </w:r>
      <w:r>
        <w:rPr>
          <w:rtl w:val="true"/>
          <w:lang w:bidi="he-IL"/>
        </w:rPr>
        <w:t>כִי</w:t>
      </w:r>
      <w:r>
        <w:rPr/>
        <w:t xml:space="preserve"> </w:t>
      </w:r>
      <w:r>
        <w:rPr/>
        <w:t>führt nach einem negativen Satz das Positive ein: vielmehr, sondern, vgl. Gesenius S. 341</w:t>
      </w:r>
    </w:p>
  </w:footnote>
  <w:footnote w:id="524">
    <w:p>
      <w:pPr>
        <w:pStyle w:val="Funote"/>
        <w:rPr/>
      </w:pPr>
      <w:r>
        <w:rPr/>
        <w:footnoteRef/>
        <w:tab/>
        <w:t>Wörtl.: tändeln, scherzen - hier im negativen Sinn. Das Verb (hier: Partizip) ist dasselbe, das Vers 6 für das Lachen gebraucht ist, nur steht es dort im Qal (der Grundform) und hier im Piel (der Intensivform). Macht sich Ismael über Sara lustig? Ärgert er Isaak? Das wird hier nicht gesagt. Der unmittelbare Kontext legt nahe, dass er Isaak ärgerte; der Rückbezug auf das Verb Vers 6 könnte auch auf eine Verspottung Saras deuten.</w:t>
      </w:r>
    </w:p>
  </w:footnote>
  <w:footnote w:id="525">
    <w:p>
      <w:pPr>
        <w:pStyle w:val="Funote"/>
        <w:rPr/>
      </w:pPr>
      <w:r>
        <w:rPr/>
        <w:footnoteRef/>
        <w:tab/>
        <w:t>Im Syrischen wird mit diesem Wort der Beifuß, Artemisia, bezeichnet. Beifuß ist kein Strauch, sondern eine Staude, die nicht viel Schatten hergibt.</w:t>
      </w:r>
    </w:p>
  </w:footnote>
  <w:footnote w:id="526">
    <w:p>
      <w:pPr>
        <w:pStyle w:val="Funote"/>
        <w:rPr/>
      </w:pPr>
      <w:r>
        <w:rPr/>
        <w:footnoteRef/>
        <w:tab/>
        <w:t xml:space="preserve">Das Verb </w:t>
      </w:r>
      <w:r>
        <w:rPr>
          <w:rtl w:val="true"/>
          <w:lang w:bidi="he-IL"/>
        </w:rPr>
        <w:t>טחה</w:t>
      </w:r>
      <w:r>
        <w:rPr/>
        <w:t xml:space="preserve"> </w:t>
      </w:r>
      <w:r>
        <w:rPr/>
        <w:t>kommt nur an dieser Stelle in der Bibel vor. Es steht im Partizip Pilel. Als wörtliche Übersetzung wird vorgeschlagen: „den Werfenden des Bogens“. Wahrscheinlich ist damit eine Distanz gemeint: Eine Bogenschussweite.</w:t>
      </w:r>
    </w:p>
  </w:footnote>
  <w:footnote w:id="527">
    <w:p>
      <w:pPr>
        <w:pStyle w:val="Funote"/>
        <w:rPr/>
      </w:pPr>
      <w:r>
        <w:rPr/>
        <w:footnoteRef/>
        <w:tab/>
        <w:t>Wörtl.: hier, eine Ortsangabe. Ich denke, es ist auf Gott zu beziehen.</w:t>
      </w:r>
    </w:p>
  </w:footnote>
  <w:footnote w:id="528">
    <w:p>
      <w:pPr>
        <w:pStyle w:val="Funote"/>
        <w:rPr/>
      </w:pPr>
      <w:r>
        <w:rPr/>
        <w:footnoteRef/>
        <w:tab/>
        <w:t>Das sind Ziegen und Schafe</w:t>
      </w:r>
    </w:p>
  </w:footnote>
  <w:footnote w:id="529">
    <w:p>
      <w:pPr>
        <w:pStyle w:val="Funote"/>
        <w:rPr/>
      </w:pPr>
      <w:r>
        <w:rPr/>
        <w:footnoteRef/>
        <w:tab/>
        <w:t>Also: Warum hast du diese sieben Lämmer für sich hingestellt?</w:t>
      </w:r>
    </w:p>
  </w:footnote>
  <w:footnote w:id="530">
    <w:p>
      <w:pPr>
        <w:pStyle w:val="Funote"/>
        <w:rPr/>
      </w:pPr>
      <w:r>
        <w:rPr>
          <w:rtl w:val="true"/>
          <w:lang w:bidi="he-IL"/>
        </w:rPr>
        <w:footnoteRef/>
        <w:tab/>
        <w:t>כִי</w:t>
      </w:r>
      <w:r>
        <w:rPr/>
        <w:t xml:space="preserve"> </w:t>
      </w:r>
      <w:r>
        <w:rPr/>
        <w:t>steht hier zur Einführung der direkten Rede, vgl. Gesenius S. 342</w:t>
      </w:r>
    </w:p>
  </w:footnote>
  <w:footnote w:id="531">
    <w:p>
      <w:pPr>
        <w:pStyle w:val="Funote"/>
        <w:rPr/>
      </w:pPr>
      <w:r>
        <w:rPr/>
        <w:footnoteRef/>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532">
    <w:p>
      <w:pPr>
        <w:pStyle w:val="Funote"/>
        <w:rPr/>
      </w:pPr>
      <w:r>
        <w:rPr/>
        <w:footnoteRef/>
        <w:tab/>
        <w:t>„</w:t>
      </w:r>
      <w:r>
        <w:rPr/>
        <w:t>naar“ - im Unterschied zu „äbäd“ - heißt auch Knabe; Isaak wird in V. 5 so bezeichnet.</w:t>
      </w:r>
    </w:p>
  </w:footnote>
  <w:footnote w:id="533">
    <w:p>
      <w:pPr>
        <w:pStyle w:val="Funote"/>
        <w:rPr/>
      </w:pPr>
      <w:r>
        <w:rPr/>
        <w:footnoteRef/>
        <w:tab/>
        <w:t xml:space="preserve">Kann man „aze ola“ als Constructusverbindung ansprechen? Dann wäre es am besten als Compositum „Brandopferholz“ wiederzugeben. </w:t>
      </w:r>
    </w:p>
  </w:footnote>
  <w:footnote w:id="534">
    <w:p>
      <w:pPr>
        <w:pStyle w:val="Funote"/>
        <w:rPr/>
      </w:pPr>
      <w:r>
        <w:rPr/>
        <w:footnoteRef/>
        <w:tab/>
        <w:t>„</w:t>
      </w:r>
      <w:r>
        <w:rPr/>
        <w:t xml:space="preserve">Sä“ ist Schaf oder Ziege; die Übersetzung „Lamm“ (so die Einheitsübersetzung) geht zu weit. </w:t>
      </w:r>
    </w:p>
  </w:footnote>
  <w:footnote w:id="535">
    <w:p>
      <w:pPr>
        <w:pStyle w:val="Funote"/>
        <w:rPr/>
      </w:pPr>
      <w:r>
        <w:rPr/>
        <w:footnoteRef/>
        <w:tab/>
        <w:t xml:space="preserve">Eine der vielen Bedeutungen von „raah“, sehen, das in diesem Text ein Schlüsselwort ist, vgl. Vers 14. </w:t>
      </w:r>
    </w:p>
  </w:footnote>
  <w:footnote w:id="536">
    <w:p>
      <w:pPr>
        <w:pStyle w:val="Funote"/>
        <w:rPr/>
      </w:pPr>
      <w:r>
        <w:rPr/>
        <w:footnoteRef/>
        <w:tab/>
        <w:t xml:space="preserve">Man beachte den Wechsel ins Hif'il und die Parallelstelle 2.Chronik 3,1, das einzige andere Vorkommen des Namens Morija im Ersten Testament: Der Berg Morija wird dort mit dem Jerusalemer Tempelberg identifiziert. </w:t>
      </w:r>
    </w:p>
  </w:footnote>
  <w:footnote w:id="537">
    <w:p>
      <w:pPr>
        <w:pStyle w:val="Funote"/>
        <w:rPr/>
      </w:pPr>
      <w:r>
        <w:rPr/>
        <w:footnoteRef/>
        <w:tab/>
        <w:t>Im Schwursatz steht das Verb im konstatierenden Perfekt, weil Aussage und Vollzug der Handlung zusammenfallen (Brockelmann, Syntax, § 41 d.).</w:t>
      </w:r>
    </w:p>
  </w:footnote>
  <w:footnote w:id="538">
    <w:p>
      <w:pPr>
        <w:pStyle w:val="Funote"/>
        <w:rPr/>
      </w:pPr>
      <w:r>
        <w:rPr>
          <w:rtl w:val="true"/>
          <w:lang w:bidi="he-IL"/>
        </w:rPr>
        <w:footnoteRef/>
        <w:tab/>
        <w:t>כי</w:t>
      </w:r>
      <w:r>
        <w:rPr/>
        <w:t xml:space="preserve"> </w:t>
      </w:r>
      <w:r>
        <w:rPr/>
        <w:t>hat im Schwursatz die Funktion einer Bekräftigung.</w:t>
      </w:r>
    </w:p>
  </w:footnote>
  <w:footnote w:id="539">
    <w:p>
      <w:pPr>
        <w:pStyle w:val="Funote"/>
        <w:rPr/>
      </w:pPr>
      <w:hyperlink r:id="rId9">
        <w:r>
          <w:rPr>
            <w:rStyle w:val="Internetverknpfung"/>
          </w:rPr>
          <w:footnoteRef/>
          <w:tab/>
          <w:t>figura etymologica</w:t>
        </w:r>
      </w:hyperlink>
      <w:r>
        <w:rPr/>
        <w:t>: Das finite Verb wird durch den Inf. abs. verstärkt.</w:t>
      </w:r>
    </w:p>
  </w:footnote>
  <w:footnote w:id="540">
    <w:p>
      <w:pPr>
        <w:pStyle w:val="Funote"/>
        <w:rPr/>
      </w:pPr>
      <w:r>
        <w:rPr/>
        <w:footnoteRef/>
        <w:tab/>
        <w:t>Das Hitpa'el bedeutet, dass man in der Segensformel als Vorbild genannt wird, also: "Du sollst gesegnet sein wie die Nachkommen Abrahams", vgl. Gen 26,4, Psalm 72,17. D.h. die Nachkommen segnen nicht selbst, sondern sie sind gesegnet, und man wünscht, so gesegnet zu sein wie sie.</w:t>
      </w:r>
    </w:p>
  </w:footnote>
  <w:footnote w:id="541">
    <w:p>
      <w:pPr>
        <w:pStyle w:val="Funote"/>
        <w:rPr/>
      </w:pPr>
      <w:r>
        <w:rPr>
          <w:rtl w:val="true"/>
          <w:lang w:bidi="he-IL"/>
        </w:rPr>
        <w:footnoteRef/>
        <w:tab/>
        <w:t>קִרְיָה</w:t>
      </w:r>
      <w:r>
        <w:rPr/>
        <w:t xml:space="preserve"> </w:t>
      </w:r>
      <w:r>
        <w:rPr/>
        <w:t xml:space="preserve">bedeutet „Stadt, Ortschaft“, </w:t>
      </w:r>
      <w:r>
        <w:rPr>
          <w:rtl w:val="true"/>
          <w:lang w:bidi="he-IL"/>
        </w:rPr>
        <w:t>אַרְבַּע</w:t>
      </w:r>
      <w:r>
        <w:rPr/>
        <w:t xml:space="preserve"> </w:t>
      </w:r>
      <w:r>
        <w:rPr/>
        <w:t>ist „vier“, also wörtlich: Vierstadt.</w:t>
      </w:r>
    </w:p>
  </w:footnote>
  <w:footnote w:id="542">
    <w:p>
      <w:pPr>
        <w:pStyle w:val="Funote"/>
        <w:rPr/>
      </w:pPr>
      <w:hyperlink r:id="rId10">
        <w:r>
          <w:rPr>
            <w:rStyle w:val="Internetverknpfung"/>
          </w:rPr>
          <w:footnoteRef/>
          <w:tab/>
          <w:t>Waw-Perfekt</w:t>
        </w:r>
      </w:hyperlink>
      <w:r>
        <w:rPr/>
        <w:t xml:space="preserve"> (Narrativ), wörtlich: Und Abraham erhob sich.</w:t>
      </w:r>
    </w:p>
  </w:footnote>
  <w:footnote w:id="543">
    <w:p>
      <w:pPr>
        <w:pStyle w:val="Funote"/>
        <w:rPr/>
      </w:pPr>
      <w:r>
        <w:rPr/>
        <w:footnoteRef/>
        <w:tab/>
        <w:t>= ohne Bürgerrechte</w:t>
      </w:r>
    </w:p>
  </w:footnote>
  <w:footnote w:id="544">
    <w:p>
      <w:pPr>
        <w:pStyle w:val="Funote"/>
        <w:rPr/>
      </w:pPr>
      <w:r>
        <w:rPr/>
        <w:footnoteRef/>
        <w:tab/>
        <w:t>Wörtl.: ein Grundbesitz-Grab</w:t>
      </w:r>
    </w:p>
  </w:footnote>
  <w:footnote w:id="545">
    <w:p>
      <w:pPr>
        <w:pStyle w:val="Funote"/>
        <w:rPr/>
      </w:pPr>
      <w:hyperlink r:id="rId11">
        <w:r>
          <w:rPr>
            <w:rStyle w:val="Internetverknpfung"/>
          </w:rPr>
          <w:footnoteRef/>
          <w:tab/>
          <w:t>Waw-Perfekt</w:t>
        </w:r>
      </w:hyperlink>
      <w:r>
        <w:rPr/>
        <w:t>, wörtlich: und ich werde begraben.</w:t>
      </w:r>
    </w:p>
  </w:footnote>
  <w:footnote w:id="546">
    <w:p>
      <w:pPr>
        <w:pStyle w:val="Funote"/>
        <w:rPr/>
      </w:pPr>
      <w:r>
        <w:rPr/>
        <w:footnoteRef/>
        <w:tab/>
        <w:t>Partizip</w:t>
      </w:r>
    </w:p>
  </w:footnote>
  <w:footnote w:id="547">
    <w:p>
      <w:pPr>
        <w:pStyle w:val="Funote"/>
        <w:rPr/>
      </w:pPr>
      <w:hyperlink r:id="rId12">
        <w:r>
          <w:rPr>
            <w:rStyle w:val="Internetverknpfung"/>
          </w:rPr>
          <w:footnoteRef/>
          <w:tab/>
          <w:t>Waw-Perfekt</w:t>
        </w:r>
      </w:hyperlink>
      <w:r>
        <w:rPr/>
        <w:t>, wörtlich: da</w:t>
      </w:r>
    </w:p>
  </w:footnote>
  <w:footnote w:id="548">
    <w:p>
      <w:pPr>
        <w:pStyle w:val="Funote"/>
        <w:rPr/>
      </w:pPr>
      <w:r>
        <w:rPr>
          <w:rtl w:val="true"/>
          <w:lang w:bidi="he-IL"/>
        </w:rPr>
        <w:footnoteRef/>
        <w:tab/>
        <w:t>עַם־הָאָרֶץ</w:t>
      </w:r>
      <w:r>
        <w:rPr/>
        <w:t xml:space="preserve"> </w:t>
      </w:r>
      <w:r>
        <w:rPr/>
        <w:t>(wörtl.: Volk/ Bevölkerung des Landes) ist ein feststehender Ausdruck, der das Volk des Landes bzw. die Landbevölkerung im Gegensatz zu den Fremden bezeichnet, Gesenius S. 977.</w:t>
      </w:r>
    </w:p>
  </w:footnote>
  <w:footnote w:id="549">
    <w:p>
      <w:pPr>
        <w:pStyle w:val="Funote"/>
        <w:rPr/>
      </w:pPr>
      <w:r>
        <w:rPr/>
        <w:footnoteRef/>
        <w:tab/>
        <w:t>„</w:t>
      </w:r>
      <w:r>
        <w:rPr/>
        <w:t>Das Doppelte“ oder „Das Geteilte“</w:t>
      </w:r>
    </w:p>
  </w:footnote>
  <w:footnote w:id="550">
    <w:p>
      <w:pPr>
        <w:pStyle w:val="Funote"/>
        <w:rPr/>
      </w:pPr>
      <w:r>
        <w:rPr/>
        <w:footnoteRef/>
        <w:tab/>
        <w:t>Wörtl.: ein Grundbesitz-Grab</w:t>
      </w:r>
    </w:p>
  </w:footnote>
  <w:footnote w:id="551">
    <w:p>
      <w:pPr>
        <w:pStyle w:val="Funote"/>
        <w:rPr/>
      </w:pPr>
      <w:r>
        <w:rPr/>
        <w:footnoteRef/>
        <w:tab/>
        <w:t>Partizip</w:t>
      </w:r>
    </w:p>
  </w:footnote>
  <w:footnote w:id="552">
    <w:p>
      <w:pPr>
        <w:pStyle w:val="Funote"/>
        <w:rPr/>
      </w:pPr>
      <w:r>
        <w:rPr/>
        <w:footnoteRef/>
        <w:tab/>
        <w:t>Das Tor ist der Ort, wo Recht gesprochen wird und Verträge abgeschlossen werden.</w:t>
      </w:r>
    </w:p>
  </w:footnote>
  <w:footnote w:id="553">
    <w:p>
      <w:pPr>
        <w:pStyle w:val="Funote"/>
        <w:rPr/>
      </w:pPr>
      <w:hyperlink r:id="rId13">
        <w:r>
          <w:rPr>
            <w:rStyle w:val="Internetverknpfung"/>
          </w:rPr>
          <w:footnoteRef/>
          <w:tab/>
          <w:t>Waw-Perfekt</w:t>
        </w:r>
      </w:hyperlink>
      <w:r>
        <w:rPr/>
        <w:t>, wörtlich: da</w:t>
      </w:r>
    </w:p>
  </w:footnote>
  <w:footnote w:id="554">
    <w:p>
      <w:pPr>
        <w:pStyle w:val="Funote"/>
        <w:rPr/>
      </w:pPr>
      <w:r>
        <w:rPr/>
        <w:footnoteRef/>
        <w:tab/>
        <w:t>Euphemismus für die Genitalien, auf die man beim Schwur die Hand legt, Gesenius S. 498.</w:t>
      </w:r>
    </w:p>
  </w:footnote>
  <w:footnote w:id="555">
    <w:p>
      <w:pPr>
        <w:pStyle w:val="Funote"/>
        <w:rPr/>
      </w:pPr>
      <w:hyperlink r:id="rId14">
        <w:r>
          <w:rPr>
            <w:rStyle w:val="Internetverknpfung"/>
          </w:rPr>
          <w:footnoteRef/>
          <w:tab/>
          <w:t>waw-perfekt</w:t>
        </w:r>
      </w:hyperlink>
    </w:p>
  </w:footnote>
  <w:footnote w:id="556">
    <w:p>
      <w:pPr>
        <w:pStyle w:val="Funote"/>
        <w:rPr/>
      </w:pPr>
      <w:r>
        <w:rPr/>
        <w:footnoteRef/>
        <w:tab/>
        <w:t>Wörtl.: Zu gehen hinter mir in dieses Land</w:t>
      </w:r>
    </w:p>
  </w:footnote>
  <w:footnote w:id="557">
    <w:p>
      <w:pPr>
        <w:pStyle w:val="Funote"/>
        <w:rPr/>
      </w:pPr>
      <w:hyperlink r:id="rId15">
        <w:r>
          <w:rPr>
            <w:rStyle w:val="Internetverknpfung"/>
          </w:rPr>
          <w:footnoteRef/>
          <w:tab/>
          <w:t>fig. etym.</w:t>
        </w:r>
      </w:hyperlink>
      <w:r>
        <w:rPr/>
        <w:t>: Zu einer finiten Verform tritt der absolute Infinitiv desselben Verbs. Durch diese Fügung erhält der Verbalausdruck besonderen Nachdruck, Schneider, Grammatik § 50.4.2.</w:t>
      </w:r>
    </w:p>
  </w:footnote>
  <w:footnote w:id="558">
    <w:p>
      <w:pPr>
        <w:pStyle w:val="Funote"/>
        <w:rPr/>
      </w:pPr>
      <w:hyperlink r:id="rId16">
        <w:r>
          <w:rPr>
            <w:rStyle w:val="Internetverknpfung"/>
          </w:rPr>
          <w:footnoteRef/>
          <w:tab/>
          <w:t>Waw-Perfekt</w:t>
        </w:r>
      </w:hyperlink>
    </w:p>
  </w:footnote>
  <w:footnote w:id="559">
    <w:p>
      <w:pPr>
        <w:pStyle w:val="Funote"/>
        <w:rPr/>
      </w:pPr>
      <w:r>
        <w:rPr/>
        <w:footnoteRef/>
        <w:tab/>
        <w:t>Wörtl. rein, unschuldig sein von den Folgen eines Eides</w:t>
      </w:r>
    </w:p>
  </w:footnote>
  <w:footnote w:id="560">
    <w:p>
      <w:pPr>
        <w:pStyle w:val="Funote"/>
        <w:rPr/>
      </w:pPr>
      <w:r>
        <w:rPr/>
        <w:footnoteRef/>
        <w:tab/>
        <w:t>Wörtl.: meines Eides = des Eides, den du mir geschworen hast.</w:t>
      </w:r>
    </w:p>
  </w:footnote>
  <w:footnote w:id="561">
    <w:p>
      <w:pPr>
        <w:pStyle w:val="Funote"/>
        <w:rPr/>
      </w:pPr>
      <w:r>
        <w:rPr/>
        <w:footnoteRef/>
        <w:tab/>
        <w:t>wörtl.: hatte in seiner Hand</w:t>
      </w:r>
    </w:p>
  </w:footnote>
  <w:footnote w:id="562">
    <w:p>
      <w:pPr>
        <w:pStyle w:val="Funote"/>
        <w:rPr/>
      </w:pPr>
      <w:hyperlink r:id="rId17">
        <w:r>
          <w:rPr>
            <w:rStyle w:val="Internetverknpfung"/>
          </w:rPr>
          <w:footnoteRef/>
          <w:tab/>
          <w:t>Waw-Perfekt</w:t>
        </w:r>
      </w:hyperlink>
    </w:p>
  </w:footnote>
  <w:footnote w:id="563">
    <w:p>
      <w:pPr>
        <w:pStyle w:val="Funote"/>
        <w:rPr/>
      </w:pPr>
      <w:r>
        <w:rPr/>
        <w:footnoteRef/>
        <w:tab/>
        <w:t>Das Gebiet der Aramäerstaaten im Euphratknie zwischen Euphrat und Balihu, später auf Nordsyrien ausgedehnt, Gesenius S. 790.</w:t>
      </w:r>
    </w:p>
  </w:footnote>
  <w:footnote w:id="564">
    <w:p>
      <w:pPr>
        <w:pStyle w:val="Funote"/>
        <w:rPr/>
      </w:pPr>
      <w:hyperlink r:id="rId18">
        <w:r>
          <w:rPr>
            <w:rStyle w:val="Internetverknpfung"/>
          </w:rPr>
          <w:footnoteRef/>
          <w:tab/>
          <w:t>Waw-Perfekt</w:t>
        </w:r>
      </w:hyperlink>
      <w:r>
        <w:rPr/>
        <w:t>; wörtl.: und die Töchter … werden herauskommen.</w:t>
      </w:r>
    </w:p>
  </w:footnote>
  <w:footnote w:id="565">
    <w:p>
      <w:pPr>
        <w:pStyle w:val="Funote"/>
        <w:rPr/>
      </w:pPr>
      <w:hyperlink r:id="rId19">
        <w:r>
          <w:rPr>
            <w:rStyle w:val="Internetverknpfung"/>
          </w:rPr>
          <w:footnoteRef/>
          <w:tab/>
          <w:t>Waw-Perfekt</w:t>
        </w:r>
      </w:hyperlink>
      <w:r>
        <w:rPr/>
        <w:t>, wörtl.: Und es wird geschehen: …</w:t>
      </w:r>
    </w:p>
  </w:footnote>
  <w:footnote w:id="566">
    <w:p>
      <w:pPr>
        <w:pStyle w:val="Funote"/>
        <w:rPr/>
      </w:pPr>
      <w:hyperlink r:id="rId20">
        <w:r>
          <w:rPr>
            <w:rStyle w:val="Internetverknpfung"/>
          </w:rPr>
          <w:footnoteRef/>
          <w:tab/>
          <w:t>Waw-Perfekt</w:t>
        </w:r>
      </w:hyperlink>
      <w:r>
        <w:rPr/>
        <w:t>, wörtl.: und ich werde trinken</w:t>
      </w:r>
    </w:p>
  </w:footnote>
  <w:footnote w:id="567">
    <w:p>
      <w:pPr>
        <w:pStyle w:val="Funote"/>
        <w:rPr/>
      </w:pPr>
      <w:r>
        <w:rPr/>
        <w:footnoteRef/>
        <w:tab/>
        <w:t>Wörtl.: und sie antwortet</w:t>
      </w:r>
    </w:p>
  </w:footnote>
  <w:footnote w:id="568">
    <w:p>
      <w:pPr>
        <w:pStyle w:val="Funote"/>
        <w:rPr/>
      </w:pPr>
      <w:r>
        <w:rPr/>
        <w:footnoteRef/>
        <w:tab/>
        <w:t>Wörtl.: Beendet zu reden</w:t>
      </w:r>
    </w:p>
  </w:footnote>
  <w:footnote w:id="569">
    <w:p>
      <w:pPr>
        <w:pStyle w:val="Funote"/>
        <w:rPr/>
      </w:pPr>
      <w:r>
        <w:rPr/>
        <w:footnoteRef/>
        <w:tab/>
        <w:t>Partizip</w:t>
      </w:r>
    </w:p>
  </w:footnote>
  <w:footnote w:id="570">
    <w:p>
      <w:pPr>
        <w:pStyle w:val="Funote"/>
        <w:rPr/>
      </w:pPr>
      <w:r>
        <w:rPr/>
        <w:footnoteRef/>
        <w:tab/>
        <w:t>Euphemismus für Geschlechtsverkehr</w:t>
      </w:r>
    </w:p>
  </w:footnote>
  <w:footnote w:id="571">
    <w:p>
      <w:pPr>
        <w:pStyle w:val="Funote"/>
        <w:rPr/>
      </w:pPr>
      <w:r>
        <w:rPr/>
        <w:footnoteRef/>
        <w:tab/>
        <w:t>Im Orient sind viele Brunnen tiefe Schächte; über eine in ihren Rand gehauene Treppe gelangt man zum Wasser.</w:t>
      </w:r>
    </w:p>
  </w:footnote>
  <w:footnote w:id="572">
    <w:p>
      <w:pPr>
        <w:pStyle w:val="Funote"/>
        <w:rPr/>
      </w:pPr>
      <w:hyperlink r:id="rId21">
        <w:r>
          <w:rPr>
            <w:rStyle w:val="Internetverknpfung"/>
          </w:rPr>
          <w:footnoteRef/>
          <w:tab/>
          <w:t>Waw-Perfekt</w:t>
        </w:r>
      </w:hyperlink>
    </w:p>
  </w:footnote>
  <w:footnote w:id="573">
    <w:p>
      <w:pPr>
        <w:pStyle w:val="Funote"/>
        <w:rPr/>
      </w:pPr>
      <w:r>
        <w:rPr/>
        <w:footnoteRef/>
        <w:tab/>
        <w:t>Wörtl.: voll sind zu trinken</w:t>
      </w:r>
    </w:p>
  </w:footnote>
  <w:footnote w:id="574">
    <w:p>
      <w:pPr>
        <w:pStyle w:val="Funote"/>
        <w:rPr/>
      </w:pPr>
      <w:r>
        <w:rPr/>
        <w:footnoteRef/>
        <w:tab/>
        <w:t>Wörtl.: als die Kamele voll waren zu trinken</w:t>
      </w:r>
    </w:p>
  </w:footnote>
  <w:footnote w:id="575">
    <w:p>
      <w:pPr>
        <w:pStyle w:val="Funote"/>
        <w:rPr/>
      </w:pPr>
      <w:r>
        <w:rPr/>
        <w:footnoteRef/>
        <w:tab/>
        <w:t>Wörtl.: „neigte sich“, aber dieses „Neigen“ geschieht so, dass man sich auf die Knie wirft, so dass die Stirn den Boden berührt, vgl. das Gebet im Islam.</w:t>
      </w:r>
    </w:p>
  </w:footnote>
  <w:footnote w:id="576">
    <w:p>
      <w:pPr>
        <w:pStyle w:val="Funote"/>
        <w:rPr/>
      </w:pPr>
      <w:r>
        <w:rPr/>
        <w:footnoteRef/>
        <w:tab/>
        <w:t>Dieser Satz muss vielleicht an der mit ** bezeichneten Stelle in Vers 30 eingefügt werden, so der Apparat der BHS.</w:t>
      </w:r>
    </w:p>
  </w:footnote>
  <w:footnote w:id="577">
    <w:p>
      <w:pPr>
        <w:pStyle w:val="Funote"/>
        <w:rPr/>
      </w:pPr>
      <w:r>
        <w:rPr/>
        <w:footnoteRef/>
        <w:tab/>
        <w:t>So der Apparat der BHS; im Text steht der Inf.constr., wörtl.: beim Sehen.</w:t>
      </w:r>
    </w:p>
  </w:footnote>
  <w:footnote w:id="578">
    <w:p>
      <w:pPr>
        <w:pStyle w:val="Funote"/>
        <w:rPr/>
      </w:pPr>
      <w:r>
        <w:rPr/>
        <w:footnoteRef/>
        <w:tab/>
        <w:t>Partizip</w:t>
      </w:r>
    </w:p>
  </w:footnote>
  <w:footnote w:id="579">
    <w:p>
      <w:pPr>
        <w:pStyle w:val="Funote"/>
        <w:rPr/>
      </w:pPr>
      <w:r>
        <w:rPr/>
        <w:footnoteRef/>
        <w:tab/>
        <w:t>Die Septuaginta hat hier den Plural, s. Apparat BHS</w:t>
      </w:r>
    </w:p>
  </w:footnote>
  <w:footnote w:id="580">
    <w:p>
      <w:pPr>
        <w:pStyle w:val="Funote"/>
        <w:rPr/>
      </w:pPr>
      <w:r>
        <w:rPr/>
        <w:footnoteRef/>
        <w:tab/>
        <w:t xml:space="preserve">In einer Schwurformel hat </w:t>
      </w:r>
      <w:r>
        <w:rPr>
          <w:rtl w:val="true"/>
          <w:lang w:bidi="he-IL"/>
        </w:rPr>
        <w:t>אִם־לאֹ</w:t>
      </w:r>
      <w:r>
        <w:rPr/>
        <w:t xml:space="preserve"> </w:t>
      </w:r>
      <w:r>
        <w:rPr/>
        <w:t>positiven Sinn, vgl. Brockelmann, Syntax § 170c.</w:t>
      </w:r>
    </w:p>
  </w:footnote>
  <w:footnote w:id="581">
    <w:p>
      <w:pPr>
        <w:pStyle w:val="Funote"/>
        <w:rPr/>
      </w:pPr>
      <w:r>
        <w:rPr/>
        <w:footnoteRef/>
        <w:tab/>
        <w:t>wörtl.: Hinter mir gehen.</w:t>
      </w:r>
    </w:p>
  </w:footnote>
  <w:footnote w:id="582">
    <w:p>
      <w:pPr>
        <w:pStyle w:val="Funote"/>
        <w:rPr/>
      </w:pPr>
      <w:r>
        <w:rPr/>
        <w:footnoteRef/>
        <w:tab/>
        <w:t>D.h. dem mir geschworenen</w:t>
      </w:r>
    </w:p>
  </w:footnote>
  <w:footnote w:id="583">
    <w:p>
      <w:pPr>
        <w:pStyle w:val="Funote"/>
        <w:rPr/>
      </w:pPr>
      <w:r>
        <w:rPr/>
        <w:footnoteRef/>
        <w:tab/>
        <w:t>Alle folgenden Verbformen in der wörtlichen Rede des Knechtes stehen im Imperfekt. Ich gebe sie im Deutschen mit dem Präsens wieder.</w:t>
      </w:r>
    </w:p>
  </w:footnote>
  <w:footnote w:id="584">
    <w:p>
      <w:pPr>
        <w:pStyle w:val="Funote"/>
        <w:rPr/>
      </w:pPr>
      <w:r>
        <w:rPr/>
        <w:footnoteRef/>
        <w:tab/>
        <w:t>Wörtl.: „Wenn es bitte Gelingen gibt für meinen Weg“; der Nachsatz einer real gedachten Bedingung fehlt öfter, wenn eine Bitte ausgesprochen werden soll, vgl. Brockelmann, Syntax § 170a.</w:t>
      </w:r>
    </w:p>
  </w:footnote>
  <w:footnote w:id="585">
    <w:p>
      <w:pPr>
        <w:pStyle w:val="Funote"/>
        <w:rPr/>
      </w:pPr>
      <w:r>
        <w:rPr/>
        <w:footnoteRef/>
        <w:tab/>
        <w:t>Partizip, wörtl.: gehe</w:t>
      </w:r>
    </w:p>
  </w:footnote>
  <w:footnote w:id="586">
    <w:p>
      <w:pPr>
        <w:pStyle w:val="Funote"/>
        <w:rPr/>
      </w:pPr>
      <w:r>
        <w:rPr/>
        <w:footnoteRef/>
        <w:tab/>
        <w:t>Imperativ</w:t>
      </w:r>
    </w:p>
  </w:footnote>
  <w:footnote w:id="587">
    <w:p>
      <w:pPr>
        <w:pStyle w:val="Funote"/>
        <w:rPr/>
      </w:pPr>
      <w:r>
        <w:rPr/>
        <w:footnoteRef/>
        <w:tab/>
        <w:t>Partizip</w:t>
      </w:r>
    </w:p>
  </w:footnote>
  <w:footnote w:id="588">
    <w:p>
      <w:pPr>
        <w:pStyle w:val="Funote"/>
        <w:rPr/>
      </w:pPr>
      <w:r>
        <w:rPr/>
        <w:footnoteRef/>
        <w:tab/>
        <w:t xml:space="preserve">Im Hebr. steht hier </w:t>
      </w:r>
      <w:r>
        <w:rPr>
          <w:rtl w:val="true"/>
          <w:lang w:bidi="he-IL"/>
        </w:rPr>
        <w:t>בָא מִבּוֹא</w:t>
      </w:r>
      <w:r>
        <w:rPr/>
        <w:t xml:space="preserve">, das finite Verb in der 3. Pers. Sg. und der Infinitiv (cstr./abs.) mit der Präposition </w:t>
      </w:r>
      <w:r>
        <w:rPr>
          <w:rtl w:val="true"/>
          <w:lang w:bidi="he-IL"/>
        </w:rPr>
        <w:t>מיִן</w:t>
      </w:r>
      <w:r>
        <w:rPr/>
        <w:t xml:space="preserve">, von - er kam vom Kommen? Ist evtl. gemeint, dass Isaak zurückkam? Der Apparat der BHS vermutet eine Verschreibung und schlägt vor, mit der Septuaginta </w:t>
      </w:r>
      <w:r>
        <w:rPr>
          <w:rtl w:val="true"/>
          <w:lang w:bidi="he-IL"/>
        </w:rPr>
        <w:t>מִדְבַּר</w:t>
      </w:r>
      <w:r>
        <w:rPr/>
        <w:t xml:space="preserve"> </w:t>
      </w:r>
      <w:r>
        <w:rPr/>
        <w:t>zu lesen: Er kam aus der Wüste (wo der Brunnen Lachai-roi liegt, vgl. Gen 16,13f).</w:t>
      </w:r>
    </w:p>
  </w:footnote>
  <w:footnote w:id="589">
    <w:p>
      <w:pPr>
        <w:pStyle w:val="Funote"/>
        <w:rPr/>
      </w:pPr>
      <w:r>
        <w:rPr/>
        <w:footnoteRef/>
        <w:tab/>
        <w:t>„</w:t>
      </w:r>
      <w:r>
        <w:rPr/>
        <w:t>Des Lebendigen, der mich sieht“.</w:t>
      </w:r>
    </w:p>
  </w:footnote>
  <w:footnote w:id="590">
    <w:p>
      <w:pPr>
        <w:pStyle w:val="Funote"/>
        <w:rPr/>
      </w:pPr>
      <w:r>
        <w:rPr/>
        <w:footnoteRef/>
        <w:tab/>
        <w:t xml:space="preserve">Das Verb </w:t>
      </w:r>
      <w:r>
        <w:rPr>
          <w:rtl w:val="true"/>
          <w:lang w:bidi="he-IL"/>
        </w:rPr>
        <w:t>שׂוּחַ</w:t>
      </w:r>
      <w:r>
        <w:rPr/>
        <w:t xml:space="preserve"> </w:t>
      </w:r>
      <w:r>
        <w:rPr/>
        <w:t>kommt nur einmal im AT vor; seine Bedeutung ist unklar. Man vermutet „sich ergehen, umherstreifen“, aber auch urinieren, vgl. Gesenius S. 1279.</w:t>
      </w:r>
    </w:p>
  </w:footnote>
  <w:footnote w:id="591">
    <w:p>
      <w:pPr>
        <w:pStyle w:val="Funote"/>
        <w:rPr/>
      </w:pPr>
      <w:r>
        <w:rPr/>
        <w:footnoteRef/>
        <w:tab/>
        <w:t>wörtlich: Isaak [war] ein Sohn von vierzig Jahren</w:t>
      </w:r>
    </w:p>
  </w:footnote>
  <w:footnote w:id="592">
    <w:p>
      <w:pPr>
        <w:pStyle w:val="Funote"/>
        <w:rPr/>
      </w:pPr>
      <w:r>
        <w:rPr/>
        <w:footnoteRef/>
        <w:tab/>
        <w:t>wörtlich: bei seinem Nehmen</w:t>
      </w:r>
    </w:p>
  </w:footnote>
  <w:footnote w:id="593">
    <w:p>
      <w:pPr>
        <w:pStyle w:val="Funote"/>
        <w:rPr/>
      </w:pPr>
      <w:r>
        <w:rPr/>
        <w:footnoteRef/>
        <w:tab/>
        <w:t xml:space="preserve">vgl. Gesenius unter </w:t>
      </w:r>
      <w:r>
        <w:rPr>
          <w:rtl w:val="true"/>
          <w:lang w:bidi="he-IL"/>
        </w:rPr>
        <w:t>רצץ</w:t>
      </w:r>
      <w:r>
        <w:rPr/>
        <w:t xml:space="preserve"> </w:t>
      </w:r>
    </w:p>
  </w:footnote>
  <w:footnote w:id="594">
    <w:p>
      <w:pPr>
        <w:pStyle w:val="Funote"/>
        <w:rPr/>
      </w:pPr>
      <w:r>
        <w:rPr/>
        <w:footnoteRef/>
        <w:tab/>
        <w:t xml:space="preserve">vgl. Gesenius unter </w:t>
      </w:r>
      <w:r>
        <w:rPr>
          <w:rtl w:val="true"/>
          <w:lang w:bidi="he-IL"/>
        </w:rPr>
        <w:t>רצץ</w:t>
      </w:r>
      <w:r>
        <w:rPr/>
        <w:t xml:space="preserve"> </w:t>
      </w:r>
    </w:p>
  </w:footnote>
  <w:footnote w:id="595">
    <w:p>
      <w:pPr>
        <w:pStyle w:val="Funote"/>
        <w:rPr/>
      </w:pPr>
      <w:r>
        <w:rPr/>
        <w:footnoteRef/>
        <w:tab/>
        <w:t xml:space="preserve">vgl. LXX und dazu Benseler unter </w:t>
      </w:r>
      <w:r>
        <w:rPr>
          <w:lang w:val="el-GR"/>
        </w:rPr>
        <w:t>σκαίρω</w:t>
      </w:r>
    </w:p>
  </w:footnote>
  <w:footnote w:id="596">
    <w:p>
      <w:pPr>
        <w:pStyle w:val="Funote"/>
        <w:rPr/>
      </w:pPr>
      <w:r>
        <w:rPr/>
        <w:footnoteRef/>
        <w:tab/>
        <w:t xml:space="preserve">möglicherweise </w:t>
      </w:r>
      <w:r>
        <w:rPr>
          <w:rtl w:val="true"/>
          <w:lang w:bidi="he-IL"/>
        </w:rPr>
        <w:t>חַיׇּה</w:t>
      </w:r>
      <w:r>
        <w:rPr/>
        <w:t xml:space="preserve"> </w:t>
      </w:r>
      <w:r>
        <w:rPr/>
        <w:t>einzufügen vgl. Apparat der BHS</w:t>
      </w:r>
    </w:p>
  </w:footnote>
  <w:footnote w:id="597">
    <w:p>
      <w:pPr>
        <w:pStyle w:val="Funote"/>
        <w:rPr/>
      </w:pPr>
      <w:r>
        <w:rPr/>
        <w:footnoteRef/>
        <w:tab/>
        <w:t>die LXX, die syrische Übersetzung und die Vulgata setzen diese Verbform in den Singular, wie in Vers 26.</w:t>
      </w:r>
    </w:p>
  </w:footnote>
  <w:footnote w:id="598">
    <w:p>
      <w:pPr>
        <w:pStyle w:val="Funote"/>
        <w:rPr/>
      </w:pPr>
      <w:r>
        <w:rPr/>
        <w:footnoteRef/>
        <w:tab/>
        <w:t>einige hebräische Handschriften ergänzen hier einen Plural, vgl Anm. zu Vers 25.</w:t>
      </w:r>
    </w:p>
  </w:footnote>
  <w:footnote w:id="599">
    <w:p>
      <w:pPr>
        <w:pStyle w:val="Funote"/>
        <w:rPr/>
      </w:pPr>
      <w:r>
        <w:rPr/>
        <w:footnoteRef/>
        <w:tab/>
        <w:t>vgl. Anm. zu Vers 20.</w:t>
      </w:r>
    </w:p>
  </w:footnote>
  <w:footnote w:id="600">
    <w:p>
      <w:pPr>
        <w:pStyle w:val="Funote"/>
        <w:rPr/>
      </w:pPr>
      <w:r>
        <w:rPr/>
        <w:footnoteRef/>
        <w:tab/>
        <w:t>Wörtlich: bei ihrem Gebären.</w:t>
      </w:r>
    </w:p>
  </w:footnote>
  <w:footnote w:id="601">
    <w:p>
      <w:pPr>
        <w:pStyle w:val="Funote"/>
        <w:rPr/>
      </w:pPr>
      <w:r>
        <w:rPr/>
        <w:footnoteRef/>
        <w:tab/>
        <w:t>Partizip</w:t>
      </w:r>
    </w:p>
  </w:footnote>
  <w:footnote w:id="602">
    <w:p>
      <w:pPr>
        <w:pStyle w:val="Funote"/>
        <w:rPr/>
      </w:pPr>
      <w:r>
        <w:rPr/>
        <w:footnoteRef/>
        <w:tab/>
        <w:t>Wörtl.: „weg vom Sehen“</w:t>
      </w:r>
    </w:p>
  </w:footnote>
  <w:footnote w:id="603">
    <w:p>
      <w:pPr>
        <w:pStyle w:val="Funote"/>
        <w:rPr/>
      </w:pPr>
      <w:r>
        <w:rPr/>
        <w:footnoteRef/>
        <w:tab/>
        <w:t>Wörtl.: Hier [bin] ich.</w:t>
      </w:r>
    </w:p>
  </w:footnote>
  <w:footnote w:id="604">
    <w:p>
      <w:pPr>
        <w:pStyle w:val="Funote"/>
        <w:rPr/>
      </w:pPr>
      <w:r>
        <w:rPr/>
        <w:footnoteRef/>
        <w:tab/>
        <w:t>Wörtlich: Sieh doch!</w:t>
      </w:r>
    </w:p>
  </w:footnote>
  <w:footnote w:id="605">
    <w:p>
      <w:pPr>
        <w:pStyle w:val="Funote"/>
        <w:rPr/>
      </w:pPr>
      <w:r>
        <w:rPr/>
        <w:footnoteRef/>
        <w:tab/>
        <w:t>Der Köcher mit den Pfeilen</w:t>
      </w:r>
    </w:p>
  </w:footnote>
  <w:footnote w:id="606">
    <w:p>
      <w:pPr>
        <w:pStyle w:val="Funote"/>
        <w:rPr/>
      </w:pPr>
      <w:r>
        <w:rPr/>
        <w:footnoteRef/>
        <w:tab/>
        <w:t xml:space="preserve">Der hebräische Text markiert hier eine Verschreibung: Geschrieben (Ketib) steht </w:t>
      </w:r>
      <w:r>
        <w:rPr>
          <w:rtl w:val="true"/>
          <w:lang w:bidi="he-IL"/>
        </w:rPr>
        <w:t>צידה</w:t>
      </w:r>
      <w:r>
        <w:rPr/>
        <w:t xml:space="preserve">, Nahrung, Reiseproviant, zu Lesen (Qere) ist </w:t>
      </w:r>
      <w:r>
        <w:rPr>
          <w:rtl w:val="true"/>
          <w:lang w:bidi="he-IL"/>
        </w:rPr>
        <w:t>ציד</w:t>
      </w:r>
      <w:r>
        <w:rPr/>
        <w:t>, Wild, Jagdbeute, vgl. Vers 5.</w:t>
      </w:r>
    </w:p>
  </w:footnote>
  <w:footnote w:id="607">
    <w:p>
      <w:pPr>
        <w:pStyle w:val="Funote"/>
        <w:rPr/>
      </w:pPr>
      <w:r>
        <w:rPr/>
        <w:footnoteRef/>
        <w:tab/>
        <w:t>Es steht kein Suffix, daher ist unklar, worauf sich das „ich liebe“ bezieht.</w:t>
      </w:r>
    </w:p>
  </w:footnote>
  <w:footnote w:id="608">
    <w:p>
      <w:pPr>
        <w:pStyle w:val="Funote"/>
        <w:rPr/>
      </w:pPr>
      <w:r>
        <w:rPr/>
        <w:footnoteRef/>
        <w:tab/>
        <w:t>Partizip</w:t>
      </w:r>
    </w:p>
  </w:footnote>
  <w:footnote w:id="609">
    <w:p>
      <w:pPr>
        <w:pStyle w:val="Funote"/>
        <w:rPr/>
      </w:pPr>
      <w:r>
        <w:rPr/>
        <w:footnoteRef/>
        <w:tab/>
        <w:t>Partizip</w:t>
      </w:r>
    </w:p>
  </w:footnote>
  <w:footnote w:id="610">
    <w:p>
      <w:pPr>
        <w:pStyle w:val="Funote"/>
        <w:rPr/>
      </w:pPr>
      <w:r>
        <w:rPr/>
        <w:footnoteRef/>
        <w:tab/>
        <w:t xml:space="preserve">Die Septuaginta ergänzt: </w:t>
      </w:r>
      <w:r>
        <w:rPr>
          <w:lang w:val="el-GR"/>
        </w:rPr>
        <w:t>τω πατρι αυτου</w:t>
      </w:r>
      <w:r>
        <w:rPr/>
        <w:t>, seinem Vater.</w:t>
      </w:r>
    </w:p>
  </w:footnote>
  <w:footnote w:id="611">
    <w:p>
      <w:pPr>
        <w:pStyle w:val="Funote"/>
        <w:rPr/>
      </w:pPr>
      <w:r>
        <w:rPr/>
        <w:footnoteRef/>
        <w:tab/>
        <w:t>Partizip</w:t>
      </w:r>
    </w:p>
  </w:footnote>
  <w:footnote w:id="612">
    <w:p>
      <w:pPr>
        <w:pStyle w:val="Funote"/>
        <w:rPr/>
      </w:pPr>
      <w:r>
        <w:rPr/>
        <w:footnoteRef/>
        <w:tab/>
        <w:t>Das Adjektiv bedeutet auch einschmeichelnd, trügerisch.</w:t>
      </w:r>
    </w:p>
  </w:footnote>
  <w:footnote w:id="613">
    <w:p>
      <w:pPr>
        <w:pStyle w:val="Funote"/>
        <w:rPr/>
      </w:pPr>
      <w:r>
        <w:rPr/>
        <w:footnoteRef/>
        <w:tab/>
        <w:t>Waw-Perfekt</w:t>
      </w:r>
    </w:p>
  </w:footnote>
  <w:footnote w:id="614">
    <w:p>
      <w:pPr>
        <w:pStyle w:val="Funote"/>
        <w:rPr/>
      </w:pPr>
      <w:r>
        <w:rPr/>
        <w:footnoteRef/>
        <w:tab/>
        <w:t>Wörtlich: Sehe</w:t>
      </w:r>
    </w:p>
  </w:footnote>
  <w:footnote w:id="615">
    <w:p>
      <w:pPr>
        <w:pStyle w:val="Funote"/>
        <w:rPr/>
      </w:pPr>
      <w:r>
        <w:rPr/>
        <w:footnoteRef/>
        <w:tab/>
        <w:t xml:space="preserve">Hier liegt eine Verschreibung vor. Geschrieben (Ketib) steht das Imperfekt </w:t>
      </w:r>
      <w:r>
        <w:rPr>
          <w:rtl w:val="true"/>
          <w:lang w:bidi="he-IL"/>
        </w:rPr>
        <w:t>וישתחו</w:t>
      </w:r>
      <w:r>
        <w:rPr/>
        <w:t xml:space="preserve">, sie werden sich beugen, zu lesen (Qere) ist der Imperativ </w:t>
      </w:r>
      <w:r>
        <w:rPr>
          <w:rtl w:val="true"/>
          <w:lang w:bidi="he-IL"/>
        </w:rPr>
        <w:t>וישתחוו</w:t>
      </w:r>
      <w:r>
        <w:rPr/>
        <w:t>, sie sollen sich beugen.</w:t>
      </w:r>
    </w:p>
  </w:footnote>
  <w:footnote w:id="616">
    <w:p>
      <w:pPr>
        <w:pStyle w:val="Funote"/>
        <w:rPr/>
      </w:pPr>
      <w:r>
        <w:rPr/>
        <w:footnoteRef/>
        <w:tab/>
        <w:t>Wörtlich: Im Weggehen ging er weg. Es handelt sich um eine Figura Etymologica: Zu der finiten Verbform tritt der Infinitv desselben Verbs. Durch diese Fügung erhält der Verbalausdruck besonderen Nachdruck (Schneider, Grammatik 50.4.2).</w:t>
      </w:r>
    </w:p>
  </w:footnote>
  <w:footnote w:id="617">
    <w:p>
      <w:pPr>
        <w:pStyle w:val="Funote"/>
        <w:rPr/>
      </w:pPr>
      <w:r>
        <w:rPr/>
        <w:footnoteRef/>
        <w:tab/>
        <w:t>Figura Etymologica, vgl. Gesenius 394. Wörtlich: Isaak erschreckte einen überaus großen Schrecken (Entsetzen)</w:t>
      </w:r>
    </w:p>
  </w:footnote>
  <w:footnote w:id="618">
    <w:p>
      <w:pPr>
        <w:pStyle w:val="Funote"/>
        <w:rPr/>
      </w:pPr>
      <w:r>
        <w:rPr/>
        <w:footnoteRef/>
        <w:tab/>
        <w:t xml:space="preserve">Ein im Deutschen nicht wiederzugebendes Wortspiel: Der Name </w:t>
      </w:r>
      <w:r>
        <w:rPr>
          <w:rtl w:val="true"/>
          <w:lang w:bidi="he-IL"/>
        </w:rPr>
        <w:t>יעקב</w:t>
      </w:r>
      <w:r>
        <w:rPr/>
        <w:t xml:space="preserve"> </w:t>
      </w:r>
      <w:r>
        <w:rPr/>
        <w:t xml:space="preserve">ist auch die 3.Sg. Impf. Qal des Verbs </w:t>
      </w:r>
      <w:r>
        <w:rPr>
          <w:rtl w:val="true"/>
          <w:lang w:bidi="he-IL"/>
        </w:rPr>
        <w:t>עקב</w:t>
      </w:r>
      <w:r>
        <w:rPr/>
        <w:t xml:space="preserve"> </w:t>
      </w:r>
      <w:r>
        <w:rPr/>
        <w:t xml:space="preserve">= er betrügt. Gen 25,26 leitet den Namen vom Nomen </w:t>
      </w:r>
      <w:r>
        <w:rPr>
          <w:rtl w:val="true"/>
          <w:lang w:bidi="he-IL"/>
        </w:rPr>
        <w:t>עקב</w:t>
      </w:r>
      <w:r>
        <w:rPr/>
        <w:t>, Ferse, ab, das mit dem Verb eine gemeinsame Wurzel bildet: auf dem Fuße folgen, an die Ferse fassen.</w:t>
      </w:r>
    </w:p>
  </w:footnote>
  <w:footnote w:id="619">
    <w:p>
      <w:pPr>
        <w:pStyle w:val="Funote"/>
        <w:rPr/>
      </w:pPr>
      <w:r>
        <w:rPr/>
        <w:footnoteRef/>
        <w:tab/>
        <w:t xml:space="preserve">Das Verb ist </w:t>
      </w:r>
      <w:r>
        <w:rPr>
          <w:rtl w:val="true"/>
          <w:lang w:bidi="he-IL"/>
        </w:rPr>
        <w:t>עקב</w:t>
      </w:r>
      <w:r>
        <w:rPr/>
        <w:t>, s. vorige Anmerkung.</w:t>
      </w:r>
    </w:p>
  </w:footnote>
  <w:footnote w:id="620">
    <w:p>
      <w:pPr>
        <w:pStyle w:val="Funote"/>
        <w:rPr/>
      </w:pPr>
      <w:r>
        <w:rPr/>
        <w:footnoteRef/>
        <w:tab/>
        <w:t xml:space="preserve">Im hebräischen Text steht „fettes Land“, aber das hat Isaak ja schon Jakob versprochen. Der dritte Versteil macht klar, dass Esau das Gegenteil erhält. Im Hebräischen steht dafür </w:t>
      </w:r>
      <w:r>
        <w:rPr>
          <w:rtl w:val="true"/>
          <w:lang w:bidi="he-IL"/>
        </w:rPr>
        <w:t>מן</w:t>
      </w:r>
      <w:r>
        <w:rPr/>
        <w:t xml:space="preserve">, ohne. Das Wort </w:t>
      </w:r>
      <w:r>
        <w:rPr>
          <w:rtl w:val="true"/>
          <w:lang w:bidi="he-IL"/>
        </w:rPr>
        <w:t>משמני</w:t>
      </w:r>
      <w:r>
        <w:rPr/>
        <w:t xml:space="preserve"> </w:t>
      </w:r>
      <w:r>
        <w:rPr/>
        <w:t xml:space="preserve">könnte man auch </w:t>
      </w:r>
      <w:r>
        <w:rPr>
          <w:rtl w:val="true"/>
          <w:lang w:bidi="he-IL"/>
        </w:rPr>
        <w:t>מן שצמי</w:t>
      </w:r>
      <w:r>
        <w:rPr/>
        <w:t xml:space="preserve"> </w:t>
      </w:r>
      <w:r>
        <w:rPr/>
        <w:t>lesen; bei der Zusammenziehung beider Worte würde das Nun wegfallen, und im Schin müsste ein Punkt (Dagesch) stehen, dann würde es „ohne Fett der Erde“ heißen. Es steht aber so nicht im Text.</w:t>
      </w:r>
    </w:p>
  </w:footnote>
  <w:footnote w:id="621">
    <w:p>
      <w:pPr>
        <w:pStyle w:val="Funote"/>
        <w:rPr/>
      </w:pPr>
      <w:r>
        <w:rPr/>
        <w:footnoteRef/>
        <w:tab/>
        <w:t xml:space="preserve">So Gesenius, S. 1224. Die Wurzel </w:t>
      </w:r>
      <w:r>
        <w:rPr>
          <w:rtl w:val="true"/>
          <w:lang w:bidi="he-IL"/>
        </w:rPr>
        <w:t>רוד</w:t>
      </w:r>
      <w:r>
        <w:rPr/>
        <w:t xml:space="preserve"> </w:t>
      </w:r>
      <w:r>
        <w:rPr/>
        <w:t xml:space="preserve">im Hif'il kommt nur an dieser Stelle und in Psalm 55,3 vor, das Qal nur Hosea 12,1 und Jeremia 2,31; an allen Stellen ist der Text unsicher. An den drei genannten Stellen hat das Verb die Bedeutung „umherschweifen“, aber diese Bedeutung ergibt hier keinen Sinn. Deshalb werden im Apparat der BHS verschiedene andere Möglichkeiten vorgeschlagen: Der samaritanische Pentateuch hat hier das Imperfekt Nif'al von </w:t>
      </w:r>
      <w:r>
        <w:rPr>
          <w:rtl w:val="true"/>
          <w:lang w:bidi="he-IL"/>
        </w:rPr>
        <w:t>אדר</w:t>
      </w:r>
      <w:r>
        <w:rPr/>
        <w:t xml:space="preserve">, „du wirst dich verherrlichen“. Die Septuaginta (und ihr folgend die Vulgata) übersetzen </w:t>
      </w:r>
      <w:r>
        <w:rPr>
          <w:lang w:val="el-GR"/>
        </w:rPr>
        <w:t>καθελης</w:t>
      </w:r>
      <w:r>
        <w:rPr/>
        <w:t xml:space="preserve"> (von </w:t>
      </w:r>
      <w:r>
        <w:rPr>
          <w:lang w:val="el-GR"/>
        </w:rPr>
        <w:t>καθαιρεω</w:t>
      </w:r>
      <w:r>
        <w:rPr/>
        <w:t xml:space="preserve">, herunternehmen, niederreißen) = „du wirst herunterreißen“. Der Bearbeiter schlägt vor, </w:t>
      </w:r>
      <w:r>
        <w:rPr>
          <w:rtl w:val="true"/>
          <w:lang w:bidi="he-IL"/>
        </w:rPr>
        <w:t>ארך</w:t>
      </w:r>
      <w:r>
        <w:rPr/>
        <w:t xml:space="preserve"> </w:t>
      </w:r>
      <w:r>
        <w:rPr/>
        <w:t xml:space="preserve">hif'il zu lesen, „du wirst lange leben“, oder </w:t>
      </w:r>
      <w:r>
        <w:rPr>
          <w:rtl w:val="true"/>
          <w:lang w:bidi="he-IL"/>
        </w:rPr>
        <w:t>מרד</w:t>
      </w:r>
      <w:r>
        <w:rPr/>
        <w:t xml:space="preserve"> </w:t>
      </w:r>
      <w:r>
        <w:rPr/>
        <w:t>Qal, „du wirst dich auflehnen“.</w:t>
      </w:r>
    </w:p>
  </w:footnote>
  <w:footnote w:id="622">
    <w:p>
      <w:pPr>
        <w:pStyle w:val="Funote"/>
        <w:rPr/>
      </w:pPr>
      <w:r>
        <w:rPr/>
        <w:footnoteRef/>
        <w:tab/>
        <w:t>Partizip</w:t>
      </w:r>
    </w:p>
  </w:footnote>
  <w:footnote w:id="623">
    <w:p>
      <w:pPr>
        <w:pStyle w:val="Funote"/>
        <w:rPr/>
      </w:pPr>
      <w:r>
        <w:rPr/>
        <w:footnoteRef/>
        <w:tab/>
        <w:t>Esau müsste als Mörder seine Familie verlassen.</w:t>
      </w:r>
    </w:p>
  </w:footnote>
  <w:footnote w:id="624">
    <w:p>
      <w:pPr>
        <w:pStyle w:val="Funote"/>
        <w:rPr/>
      </w:pPr>
      <w:r>
        <w:rPr/>
        <w:footnoteRef/>
        <w:tab/>
        <w:t>Gemeint ist Esau</w:t>
      </w:r>
    </w:p>
  </w:footnote>
  <w:footnote w:id="625">
    <w:p>
      <w:pPr>
        <w:pStyle w:val="Funote"/>
        <w:rPr/>
      </w:pPr>
      <w:r>
        <w:rPr/>
        <w:footnoteRef/>
        <w:tab/>
        <w:t>Gesenius: Sklavin der Frau, die sie ihm als Kebsweib geben konnte</w:t>
      </w:r>
    </w:p>
  </w:footnote>
  <w:footnote w:id="626">
    <w:p>
      <w:pPr>
        <w:pStyle w:val="Funote"/>
        <w:rPr/>
      </w:pPr>
      <w:r>
        <w:rPr/>
        <w:footnoteRef/>
        <w:tab/>
        <w:t>Gesenius: nervus ischiadicus</w:t>
      </w:r>
    </w:p>
  </w:footnote>
  <w:footnote w:id="627">
    <w:p>
      <w:pPr>
        <w:pStyle w:val="Funote"/>
        <w:rPr/>
      </w:pPr>
      <w:r>
        <w:rPr/>
        <w:footnoteRef/>
        <w:tab/>
        <w:t>[Status: Ungeprüft]</w:t>
      </w:r>
    </w:p>
  </w:footnote>
  <w:footnote w:id="628">
    <w:p>
      <w:pPr>
        <w:pStyle w:val="Funote"/>
        <w:rPr/>
      </w:pPr>
      <w:r>
        <w:rPr/>
        <w:footnoteRef/>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629">
    <w:p>
      <w:pPr>
        <w:pStyle w:val="Funote"/>
        <w:rPr/>
      </w:pPr>
      <w:r>
        <w:rPr/>
        <w:footnoteRef/>
        <w:tab/>
        <w:t xml:space="preserve">Wörtlich „war hütend“. </w:t>
      </w:r>
    </w:p>
  </w:footnote>
  <w:footnote w:id="630">
    <w:p>
      <w:pPr>
        <w:pStyle w:val="Funote"/>
        <w:rPr/>
      </w:pPr>
      <w:r>
        <w:rPr/>
        <w:footnoteRef/>
        <w:tab/>
        <w:t xml:space="preserve">Das sind Schafe und Ziegen. </w:t>
      </w:r>
    </w:p>
  </w:footnote>
  <w:footnote w:id="631">
    <w:p>
      <w:pPr>
        <w:pStyle w:val="Funote"/>
        <w:rPr/>
      </w:pPr>
      <w:r>
        <w:rPr/>
        <w:footnoteRef/>
        <w:tab/>
        <w:t xml:space="preserve">Es wirkt hier so, als ob Josef seine Brüder anschwärzt, aber die Wortbedeutung ist nicht so klar. In </w:t>
      </w:r>
      <w:r>
        <w:fldChar w:fldCharType="begin"/>
      </w:r>
      <w:r>
        <w:instrText> HYPERLINK "file:///wiki/Jeremia_20" \l "s10"</w:instrText>
      </w:r>
      <w:r>
        <w:fldChar w:fldCharType="separate"/>
      </w:r>
      <w:r>
        <w:rPr>
          <w:rStyle w:val="Internetverknpfung"/>
        </w:rPr>
        <w:t>Jer 20,10</w:t>
      </w:r>
      <w:r>
        <w:fldChar w:fldCharType="end"/>
      </w:r>
      <w:r>
        <w:rPr/>
        <w:t xml:space="preserve"> und </w:t>
      </w:r>
      <w:hyperlink r:id="rId22">
        <w:r>
          <w:rPr>
            <w:rStyle w:val="Internetverknpfung"/>
          </w:rPr>
          <w:t>Hes 36,4</w:t>
        </w:r>
      </w:hyperlink>
      <w:r>
        <w:rPr/>
        <w:t xml:space="preserve"> bedeutet es neutral „Tratsch“, in den Psalmen (</w:t>
      </w:r>
      <w:hyperlink r:id="rId23">
        <w:r>
          <w:rPr>
            <w:rStyle w:val="Internetverknpfung"/>
          </w:rPr>
          <w:t>25,10</w:t>
        </w:r>
      </w:hyperlink>
      <w:r>
        <w:rPr/>
        <w:t xml:space="preserve">; </w:t>
      </w:r>
      <w:r>
        <w:fldChar w:fldCharType="begin"/>
      </w:r>
      <w:r>
        <w:instrText> HYPERLINK "file:///wiki/Psalm_31" \l "s14"</w:instrText>
      </w:r>
      <w:r>
        <w:fldChar w:fldCharType="separate"/>
      </w:r>
      <w:r>
        <w:rPr>
          <w:rStyle w:val="Internetverknpfung"/>
        </w:rPr>
        <w:t>31,14</w:t>
      </w:r>
      <w:r>
        <w:fldChar w:fldCharType="end"/>
      </w:r>
      <w:r>
        <w:rPr/>
        <w:t xml:space="preserve">) „Gerücht“ (bes. negativ in </w:t>
      </w:r>
      <w:r>
        <w:fldChar w:fldCharType="begin"/>
      </w:r>
      <w:r>
        <w:instrText> HYPERLINK "file:///wiki/Psalm_10" \l "s18"</w:instrText>
      </w:r>
      <w:r>
        <w:fldChar w:fldCharType="separate"/>
      </w:r>
      <w:r>
        <w:rPr>
          <w:rStyle w:val="Internetverknpfung"/>
        </w:rPr>
        <w:t>10,18</w:t>
      </w:r>
      <w:r>
        <w:fldChar w:fldCharType="end"/>
      </w:r>
      <w:r>
        <w:rPr/>
        <w:t xml:space="preserve">). Aber im Pentateuch kommt es nur noch in </w:t>
      </w:r>
      <w:r>
        <w:fldChar w:fldCharType="begin"/>
      </w:r>
      <w:r>
        <w:instrText> HYPERLINK "file:///wiki/Numeri_13" \l "s32"</w:instrText>
      </w:r>
      <w:r>
        <w:fldChar w:fldCharType="separate"/>
      </w:r>
      <w:r>
        <w:rPr>
          <w:rStyle w:val="Internetverknpfung"/>
        </w:rPr>
        <w:t>Num 13,32</w:t>
      </w:r>
      <w:r>
        <w:fldChar w:fldCharType="end"/>
      </w:r>
      <w:r>
        <w:rPr/>
        <w:t xml:space="preserve">; </w:t>
      </w:r>
      <w:r>
        <w:fldChar w:fldCharType="begin"/>
      </w:r>
      <w:r>
        <w:instrText> HYPERLINK "file:///wiki/Numeri_14" \l "s36"</w:instrText>
      </w:r>
      <w:r>
        <w:fldChar w:fldCharType="separate"/>
      </w:r>
      <w:r>
        <w:rPr>
          <w:rStyle w:val="Internetverknpfung"/>
        </w:rPr>
        <w:t>14,36f.</w:t>
      </w:r>
      <w:r>
        <w:fldChar w:fldCharType="end"/>
      </w:r>
      <w:r>
        <w:rPr/>
        <w:t xml:space="preserve"> vor, wo die israelitischen Kundschafter einen Bericht über das eigentlich gute Land Kanaan negativ wiedergeben. Er stellt also womöglich nur Tatsachen negativ dar oder liefert einen neutralen Bericht böser Taten. </w:t>
      </w:r>
    </w:p>
  </w:footnote>
  <w:footnote w:id="632">
    <w:p>
      <w:pPr>
        <w:pStyle w:val="Funote"/>
        <w:rPr/>
      </w:pPr>
      <w:r>
        <w:rPr/>
        <w:footnoteRef/>
        <w:tab/>
        <w:t>Wörtlich: „fügten sie noch hinzu, ihn zu hassen“</w:t>
      </w:r>
    </w:p>
  </w:footnote>
  <w:footnote w:id="633">
    <w:p>
      <w:pPr>
        <w:pStyle w:val="Funote"/>
        <w:rPr/>
      </w:pPr>
      <w:r>
        <w:rPr/>
        <w:footnoteRef/>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634">
    <w:p>
      <w:pPr>
        <w:pStyle w:val="Funote"/>
        <w:rPr/>
      </w:pPr>
      <w:r>
        <w:rPr/>
        <w:footnoteRef/>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635">
    <w:p>
      <w:pPr>
        <w:pStyle w:val="Funote"/>
        <w:rPr/>
      </w:pPr>
      <w:r>
        <w:rPr/>
        <w:footnoteRef/>
        <w:tab/>
        <w:t>Wörtlich: „fügten sie noch hinzu, ihn zu hassen“</w:t>
      </w:r>
    </w:p>
  </w:footnote>
  <w:footnote w:id="636">
    <w:p>
      <w:pPr>
        <w:pStyle w:val="Funote"/>
        <w:rPr/>
      </w:pPr>
      <w:r>
        <w:rPr/>
        <w:footnoteRef/>
        <w:tab/>
        <w:t>Wörtlich: „[waren] sich vor mir Niederwerfende“</w:t>
      </w:r>
    </w:p>
  </w:footnote>
  <w:footnote w:id="637">
    <w:p>
      <w:pPr>
        <w:pStyle w:val="Funote"/>
        <w:rPr/>
      </w:pPr>
      <w:r>
        <w:rPr/>
        <w:footnoteRef/>
        <w:tab/>
        <w:t>Wörtlich: „bring mir Nachricht zurück“</w:t>
      </w:r>
    </w:p>
  </w:footnote>
  <w:footnote w:id="638">
    <w:p>
      <w:pPr>
        <w:pStyle w:val="Funote"/>
        <w:rPr/>
      </w:pPr>
      <w:r>
        <w:rPr/>
        <w:footnoteRef/>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639">
    <w:p>
      <w:pPr>
        <w:pStyle w:val="Funote"/>
        <w:rPr/>
      </w:pPr>
      <w:r>
        <w:rPr/>
        <w:footnoteRef/>
        <w:tab/>
        <w:t xml:space="preserve">Auflösung eines Ptz. </w:t>
      </w:r>
    </w:p>
  </w:footnote>
  <w:footnote w:id="640">
    <w:p>
      <w:pPr>
        <w:pStyle w:val="Funote"/>
        <w:rPr/>
      </w:pPr>
      <w:r>
        <w:rPr/>
        <w:footnoteRef/>
        <w:tab/>
        <w:t xml:space="preserve">Wörtlich: „Herr der Träume“. Laut Gesenius bezeichnet hebr. </w:t>
      </w:r>
      <w:r>
        <w:rPr>
          <w:rtl w:val="true"/>
          <w:lang w:bidi="he-IL"/>
        </w:rPr>
        <w:t>בַּעַל</w:t>
      </w:r>
      <w:r>
        <w:rPr/>
        <w:t xml:space="preserve"> „</w:t>
      </w:r>
      <w:r>
        <w:rPr/>
        <w:t xml:space="preserve">Herr“ in Verbindung mit bestimmten Substantiven eine Person, „mit dem die Sache irgendwie verbunden ist“. So ist ein „Herr der Pfeile“ zum Beispiel ein Bogenschütze (Gen 49:23) und ein „Herr der Träume“ ein Träumer. </w:t>
      </w:r>
    </w:p>
  </w:footnote>
  <w:footnote w:id="641">
    <w:p>
      <w:pPr>
        <w:pStyle w:val="Funote"/>
        <w:rPr/>
      </w:pPr>
      <w:r>
        <w:rPr/>
        <w:footnoteRef/>
        <w:tab/>
        <w:t xml:space="preserve">Die beiden Verben in diesem Satz scheinen ihre auffordernde (kohortative) Bedeutung vom vorausgehenden Imperativ </w:t>
      </w:r>
      <w:r>
        <w:rPr>
          <w:rtl w:val="true"/>
          <w:lang w:bidi="he-IL"/>
        </w:rPr>
        <w:t>לְכוּ</w:t>
      </w:r>
      <w:r>
        <w:rPr/>
        <w:t xml:space="preserve"> </w:t>
      </w:r>
      <w:r>
        <w:rPr/>
        <w:t xml:space="preserve">(hier übersetzt als „los“) zu „erben“. Der Form nach sind die Verben nicht kohortativ. Beide Verben weisen die allgemeine Form </w:t>
      </w:r>
      <w:r>
        <w:rPr>
          <w:rStyle w:val="Betont"/>
        </w:rPr>
        <w:t>weyiqtol</w:t>
      </w:r>
      <w:r>
        <w:rPr/>
        <w:t xml:space="preserve"> auf (</w:t>
      </w:r>
      <w:r>
        <w:rPr>
          <w:rtl w:val="true"/>
          <w:lang w:bidi="he-IL"/>
        </w:rPr>
        <w:t>ו</w:t>
      </w:r>
      <w:r>
        <w:rPr/>
        <w:t xml:space="preserve"> </w:t>
      </w:r>
      <w:r>
        <w:rPr/>
        <w:t>+ Imperfekt). Die Bedeutung dieser Form wird in der Forschung kontrovers diskutiert (</w:t>
      </w:r>
      <w:r>
        <w:rPr>
          <w:rStyle w:val="Betont"/>
        </w:rPr>
        <w:t>William's Hebrew Syntax</w:t>
      </w:r>
      <w:r>
        <w:rPr/>
        <w:t>, §180).</w:t>
      </w:r>
    </w:p>
  </w:footnote>
  <w:footnote w:id="642">
    <w:p>
      <w:pPr>
        <w:pStyle w:val="Funote"/>
        <w:rPr/>
      </w:pPr>
      <w:r>
        <w:rPr/>
        <w:footnoteRef/>
        <w:tab/>
        <w:t>Wörtlich: „was seine Träume werden“.</w:t>
      </w:r>
    </w:p>
  </w:footnote>
  <w:footnote w:id="643">
    <w:p>
      <w:pPr>
        <w:pStyle w:val="Funote"/>
        <w:rPr/>
      </w:pPr>
      <w:r>
        <w:rPr/>
        <w:footnoteRef/>
        <w:tab/>
        <w:t>Wörtlich: „Wir werden ihn nicht schlagen [in Bezug auf sein] Leben.“</w:t>
      </w:r>
    </w:p>
  </w:footnote>
  <w:footnote w:id="644">
    <w:p>
      <w:pPr>
        <w:pStyle w:val="Funote"/>
        <w:rPr/>
      </w:pPr>
      <w:r>
        <w:rPr/>
        <w:footnoteRef/>
        <w:tab/>
        <w:t>Wörtlich: „Und es geschah, als Josef zu seinen Brüdern gekommen war“.</w:t>
      </w:r>
    </w:p>
  </w:footnote>
  <w:footnote w:id="645">
    <w:p>
      <w:pPr>
        <w:pStyle w:val="Funote"/>
        <w:rPr/>
      </w:pPr>
      <w:r>
        <w:rPr/>
        <w:footnoteRef/>
        <w:tab/>
        <w:t>Tragakant ist eine pflanzlich gewonnene, gummiartige Substanz, die im Altertum u.a. bei der Herstellung von Räucherwerk, Arzneien und Kosmetikprodukten Verwendung fand.</w:t>
      </w:r>
    </w:p>
  </w:footnote>
  <w:footnote w:id="646">
    <w:p>
      <w:pPr>
        <w:pStyle w:val="Funote"/>
        <w:rPr/>
      </w:pPr>
      <w:r>
        <w:rPr/>
        <w:footnoteRef/>
        <w:tab/>
        <w:t>Ladanum ist ein Pflanzenharz, das u.a. als Heilmittel für Atem- und Verdauungsprobleme verwendet wurde.</w:t>
      </w:r>
    </w:p>
  </w:footnote>
  <w:footnote w:id="647">
    <w:p>
      <w:pPr>
        <w:pStyle w:val="Funote"/>
        <w:rPr/>
      </w:pPr>
      <w:r>
        <w:rPr/>
        <w:footnoteRef/>
        <w:tab/>
        <w:t>Wörtlich: „Sie gingen, um [ihre Waren] nach Ägypten hinabzubringen“.</w:t>
      </w:r>
    </w:p>
  </w:footnote>
  <w:footnote w:id="648">
    <w:p>
      <w:pPr>
        <w:pStyle w:val="Funote"/>
        <w:rPr/>
      </w:pPr>
      <w:r>
        <w:rPr/>
        <w:footnoteRef/>
        <w:tab/>
        <w:t>Vgl. Gen 4:10, wo nach Abels Tod die „Stimme seines Blutes“ vom Ackerboden her den Klageruf erhebt und von Gott erhört wird.</w:t>
      </w:r>
    </w:p>
  </w:footnote>
  <w:footnote w:id="649">
    <w:p>
      <w:pPr>
        <w:pStyle w:val="Funote"/>
        <w:rPr/>
      </w:pPr>
      <w:r>
        <w:rPr/>
        <w:footnoteRef/>
        <w:tab/>
        <w:t xml:space="preserve">Im hebräischen Original stehen zwei koordinierte Verben, „zogen [heraus]“ und „brachten nach oben“, die denselben Vorgang bezeichnen und daher mittels eines einzigen Verbs wiedergegeben werden können (vgl. </w:t>
      </w:r>
      <w:r>
        <w:rPr>
          <w:rStyle w:val="Betont"/>
        </w:rPr>
        <w:t>Williams' Hebrew Syntax</w:t>
      </w:r>
      <w:r>
        <w:rPr/>
        <w:t xml:space="preserve"> §223).</w:t>
      </w:r>
    </w:p>
  </w:footnote>
  <w:footnote w:id="650">
    <w:p>
      <w:pPr>
        <w:pStyle w:val="Funote"/>
        <w:rPr/>
      </w:pPr>
      <w:r>
        <w:rPr/>
        <w:footnoteRef/>
        <w:tab/>
        <w:t>Wörtlich: „Wohin komme (part.) ich ?“</w:t>
      </w:r>
    </w:p>
  </w:footnote>
  <w:footnote w:id="651">
    <w:p>
      <w:pPr>
        <w:pStyle w:val="Funote"/>
        <w:rPr/>
      </w:pPr>
      <w:r>
        <w:rPr/>
        <w:footnoteRef/>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652">
    <w:p>
      <w:pPr>
        <w:pStyle w:val="Funote"/>
        <w:rPr/>
      </w:pPr>
      <w:r>
        <w:rPr/>
        <w:footnoteRef/>
        <w:tab/>
        <w:t>Wörtlich: „Wahrlich ein Zerrissener [ist] Josef.“</w:t>
      </w:r>
    </w:p>
  </w:footnote>
  <w:footnote w:id="653">
    <w:p>
      <w:pPr>
        <w:pStyle w:val="Funote"/>
        <w:rPr/>
      </w:pPr>
      <w:r>
        <w:rPr/>
        <w:footnoteRef/>
        <w:tab/>
        <w:t>Im hebräischen Original (d.h. im masoretischen Text) steht „Medaniter“ (wahrscheinlich ein Schreibfehler).</w:t>
      </w:r>
    </w:p>
  </w:footnote>
  <w:footnote w:id="654">
    <w:p>
      <w:pPr>
        <w:pStyle w:val="Funote"/>
        <w:rPr/>
      </w:pPr>
      <w:r>
        <w:rPr/>
        <w:footnoteRef/>
        <w:tab/>
        <w:t>[Status: Ungeprüft]</w:t>
      </w:r>
    </w:p>
  </w:footnote>
  <w:footnote w:id="655">
    <w:p>
      <w:pPr>
        <w:pStyle w:val="Funote"/>
        <w:rPr/>
      </w:pPr>
      <w:r>
        <w:rPr/>
        <w:footnoteRef/>
        <w:tab/>
        <w:t>Oder: „Und er zeltete / schlug sein Zelt auf in der Nähe eines adullamitischen Mannes.“</w:t>
      </w:r>
    </w:p>
  </w:footnote>
  <w:footnote w:id="656">
    <w:p>
      <w:pPr>
        <w:pStyle w:val="Funote"/>
        <w:rPr/>
      </w:pPr>
      <w:r>
        <w:rPr/>
        <w:footnoteRef/>
        <w:tab/>
        <w:t>Die Wendung „zu einer Frau kommen“ ist im Hebräischen ein Euphemismus für „mit einer Frau Geschlechtsverkehr haben“.</w:t>
      </w:r>
    </w:p>
  </w:footnote>
  <w:footnote w:id="657">
    <w:p>
      <w:pPr>
        <w:pStyle w:val="Funote"/>
        <w:rPr/>
      </w:pPr>
      <w:r>
        <w:rPr/>
        <w:footnoteRef/>
        <w:tab/>
        <w:t>Wörtlich: „Und sie fügte noch hinzu [schwanger zu werden]“ (verbaler Hendiadyoin)</w:t>
      </w:r>
    </w:p>
  </w:footnote>
  <w:footnote w:id="658">
    <w:p>
      <w:pPr>
        <w:pStyle w:val="Funote"/>
        <w:rPr/>
      </w:pPr>
      <w:r>
        <w:rPr/>
        <w:footnoteRef/>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659">
    <w:p>
      <w:pPr>
        <w:pStyle w:val="Funote"/>
        <w:rPr/>
      </w:pPr>
      <w:r>
        <w:rPr/>
        <w:footnoteRef/>
        <w:tab/>
        <w:t>Gemeint ist: „Vollziehe Beischlaf mit der Frau deines Bruders“. Der unmittelbar folgende Teilsatz stellt klar, dass der Beischlaf im gesetzlichen Rahmen der Schwagerehe erfolgen soll.</w:t>
      </w:r>
    </w:p>
  </w:footnote>
  <w:footnote w:id="660">
    <w:p>
      <w:pPr>
        <w:pStyle w:val="Funote"/>
        <w:rPr/>
      </w:pPr>
      <w:r>
        <w:rPr/>
        <w:footnoteRef/>
        <w:tab/>
        <w:t xml:space="preserve">Starb ein verheirateter Mann, ohne mit seiner Frau einen Erben gezeugt zu haben, musste dies nach </w:t>
      </w:r>
      <w:hyperlink r:id="rId24">
        <w:r>
          <w:rPr>
            <w:rStyle w:val="Internetverknpfung"/>
          </w:rPr>
          <w:t>Dtn 25,5-6</w:t>
        </w:r>
      </w:hyperlink>
      <w:r>
        <w:rPr/>
        <w:t xml:space="preserve"> „nachgeholt“ werden, indem einer der Brüder des Verstorbenen mit der Witwe die sogenannte Schwagerehe (Levirat) einging.</w:t>
      </w:r>
    </w:p>
  </w:footnote>
  <w:footnote w:id="661">
    <w:p>
      <w:pPr>
        <w:pStyle w:val="Funote"/>
        <w:rPr/>
      </w:pPr>
      <w:r>
        <w:rPr/>
        <w:footnoteRef/>
        <w:tab/>
        <w:t>Im hebräischen Original steht „auf“ statt „zu“, was wahrscheinlich ein Schreibfehler ist (vgl. den kritischen Apparat der Biblia Hebraica).</w:t>
      </w:r>
    </w:p>
  </w:footnote>
  <w:footnote w:id="662">
    <w:p>
      <w:pPr>
        <w:pStyle w:val="Funote"/>
        <w:rPr/>
      </w:pPr>
      <w:r>
        <w:rPr/>
        <w:footnoteRef/>
        <w:tab/>
        <w:t>Das Siegel wurde an einer Schnur um den Hals gehängt getragen.</w:t>
      </w:r>
    </w:p>
  </w:footnote>
  <w:footnote w:id="663">
    <w:p>
      <w:pPr>
        <w:pStyle w:val="Funote"/>
        <w:rPr/>
      </w:pPr>
      <w:r>
        <w:rPr/>
        <w:footnoteRef/>
        <w:tab/>
        <w:t>Das von Juda hinterlegte Pfand (Siegelring samt Band und Stab) war sicherlich mehr wert als der Ziegenbock, den Juda der Prostituierten als Lohn versprochen hatte.</w:t>
      </w:r>
    </w:p>
  </w:footnote>
  <w:footnote w:id="664">
    <w:p>
      <w:pPr>
        <w:pStyle w:val="Funote"/>
        <w:rPr/>
      </w:pPr>
      <w:r>
        <w:rPr/>
        <w:footnoteRef/>
        <w:tab/>
        <w:t>Gemeint ist: „damit wir nicht durch weitere peinliche Nachforschungen zum Gespött der Leute werden“.</w:t>
      </w:r>
    </w:p>
  </w:footnote>
  <w:footnote w:id="665">
    <w:p>
      <w:pPr>
        <w:pStyle w:val="Funote"/>
        <w:rPr/>
      </w:pPr>
      <w:r>
        <w:rPr/>
        <w:footnoteRef/>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666">
    <w:p>
      <w:pPr>
        <w:pStyle w:val="Funote"/>
        <w:rPr/>
      </w:pPr>
      <w:r>
        <w:rPr/>
        <w:footnoteRef/>
        <w:tab/>
        <w:t>Im hebräischen Original steht „er erkannte sie nicht mehr“, ein Euphemismus für „er hatte keinen Geschlechtsverkehr mehr mit ihr“.</w:t>
      </w:r>
    </w:p>
  </w:footnote>
  <w:footnote w:id="667">
    <w:p>
      <w:pPr>
        <w:pStyle w:val="Funote"/>
        <w:rPr/>
      </w:pPr>
      <w:r>
        <w:rPr/>
        <w:footnoteRef/>
        <w:tab/>
        <w:t xml:space="preserve">Hebr. </w:t>
      </w:r>
      <w:r>
        <w:rPr>
          <w:rStyle w:val="Betont"/>
        </w:rPr>
        <w:t>perez</w:t>
      </w:r>
      <w:r>
        <w:rPr/>
        <w:t xml:space="preserve"> bedeutet „Riss, Durchbruch“</w:t>
      </w:r>
    </w:p>
  </w:footnote>
  <w:footnote w:id="668">
    <w:p>
      <w:pPr>
        <w:pStyle w:val="Funote"/>
        <w:rPr/>
      </w:pPr>
      <w:r>
        <w:rPr/>
        <w:footnoteRef/>
        <w:tab/>
        <w:t xml:space="preserve">Hebr. </w:t>
      </w:r>
      <w:r>
        <w:rPr>
          <w:rStyle w:val="Betont"/>
        </w:rPr>
        <w:t>serach</w:t>
      </w:r>
      <w:r>
        <w:rPr/>
        <w:t xml:space="preserve"> bedeutet „Sonnenaufgang“</w:t>
      </w:r>
    </w:p>
  </w:footnote>
  <w:footnote w:id="669">
    <w:p>
      <w:pPr>
        <w:pStyle w:val="Funote"/>
        <w:rPr/>
      </w:pPr>
      <w:r>
        <w:rPr/>
        <w:footnoteRef/>
        <w:tab/>
        <w:t>[Status: Ungeprüft]</w:t>
      </w:r>
    </w:p>
  </w:footnote>
  <w:footnote w:id="670">
    <w:p>
      <w:pPr>
        <w:pStyle w:val="Funote"/>
        <w:rPr/>
      </w:pPr>
      <w:r>
        <w:rPr/>
        <w:footnoteRef/>
        <w:tab/>
        <w:t>D.h. Potifars.</w:t>
      </w:r>
    </w:p>
  </w:footnote>
  <w:footnote w:id="671">
    <w:p>
      <w:pPr>
        <w:pStyle w:val="Funote"/>
        <w:rPr/>
      </w:pPr>
      <w:r>
        <w:rPr/>
        <w:footnoteRef/>
        <w:tab/>
        <w:t>Für die Lesefassung bietet sich eine freie Übersetzung der hebräischen Ausdrucksweise an, z.B.: „Seitdem er Josef hatte, brauchte Potifar sich um nichts mehr zu kümmern, außer um seine intimsten Angelegenheiten.“</w:t>
      </w:r>
    </w:p>
  </w:footnote>
  <w:footnote w:id="672">
    <w:p>
      <w:pPr>
        <w:pStyle w:val="Funote"/>
        <w:rPr/>
      </w:pPr>
      <w:r>
        <w:rPr/>
        <w:footnoteRef/>
        <w:tab/>
        <w:t xml:space="preserve">Die beiden Verben „floh“ und „zog hinaus“ bezeichnen unterschiedliche Aspekte des gleichen Vorgangs (Art der Bewegung und Richtung der Bewegung) und müssen daher nicht beide als Verben übersetzt werden (vgl. </w:t>
      </w:r>
      <w:r>
        <w:rPr>
          <w:rStyle w:val="Betont"/>
        </w:rPr>
        <w:t>Williams' Hebrew Syntax</w:t>
      </w:r>
      <w:r>
        <w:rPr/>
        <w:t xml:space="preserve"> §223). Für die Lesefassung bietet sich z.B. an: „und floh hinaus auf die Straße“.</w:t>
      </w:r>
    </w:p>
  </w:footnote>
  <w:footnote w:id="673">
    <w:p>
      <w:pPr>
        <w:pStyle w:val="Funote"/>
        <w:rPr/>
      </w:pPr>
      <w:r>
        <w:rPr/>
        <w:footnoteRef/>
        <w:tab/>
        <w:t>D.h. Potifar.</w:t>
      </w:r>
    </w:p>
  </w:footnote>
  <w:footnote w:id="674">
    <w:p>
      <w:pPr>
        <w:pStyle w:val="Funote"/>
        <w:rPr/>
      </w:pPr>
      <w:r>
        <w:rPr/>
        <w:footnoteRef/>
        <w:tab/>
        <w:t>D.h. Potifar oder Hebräer, vgl. Fußnote in 17.</w:t>
      </w:r>
    </w:p>
  </w:footnote>
  <w:footnote w:id="675">
    <w:p>
      <w:pPr>
        <w:pStyle w:val="Funote"/>
        <w:rPr/>
      </w:pPr>
      <w:r>
        <w:rPr/>
        <w:footnoteRef/>
        <w:tab/>
        <w:t>D.h. „erzählte ihm die gleiche Geschichte“.</w:t>
      </w:r>
    </w:p>
  </w:footnote>
  <w:footnote w:id="676">
    <w:p>
      <w:pPr>
        <w:pStyle w:val="Funote"/>
        <w:rPr/>
      </w:pPr>
      <w:r>
        <w:rPr/>
        <w:footnoteRef/>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677">
    <w:p>
      <w:pPr>
        <w:pStyle w:val="Funote"/>
        <w:rPr/>
      </w:pPr>
      <w:r>
        <w:rPr/>
        <w:footnoteRef/>
        <w:tab/>
        <w:t>Wörtlich: „Er gab seine Gnade in den Augen des Gefängnismeisters“.</w:t>
      </w:r>
    </w:p>
  </w:footnote>
  <w:footnote w:id="678">
    <w:p>
      <w:pPr>
        <w:pStyle w:val="Funote"/>
        <w:rPr/>
      </w:pPr>
      <w:r>
        <w:rPr/>
        <w:footnoteRef/>
        <w:tab/>
        <w:t>Wörtlich: „Und alles, was sie dort Tuende waren: Er war der Tuende“.</w:t>
      </w:r>
    </w:p>
  </w:footnote>
  <w:footnote w:id="679">
    <w:p>
      <w:pPr>
        <w:pStyle w:val="Funote"/>
        <w:rPr/>
      </w:pPr>
      <w:r>
        <w:rPr/>
        <w:footnoteRef/>
        <w:tab/>
        <w:t>Wörtlich: „Anführer/Obersten der Mundschenke“ bzw. „Anführer/Obersten der Bäcker“.</w:t>
      </w:r>
    </w:p>
  </w:footnote>
  <w:footnote w:id="680">
    <w:p>
      <w:pPr>
        <w:pStyle w:val="Funote"/>
        <w:rPr/>
      </w:pPr>
      <w:r>
        <w:rPr/>
        <w:footnoteRef/>
        <w:tab/>
        <w:t>Wörtlich: „Warum sind eure Gesichter heute so schlecht?“</w:t>
      </w:r>
    </w:p>
  </w:footnote>
  <w:footnote w:id="681">
    <w:p>
      <w:pPr>
        <w:pStyle w:val="Funote"/>
        <w:rPr/>
      </w:pPr>
      <w:r>
        <w:rPr/>
        <w:footnoteRef/>
        <w:tab/>
        <w:t>Die Ägypter glaubten, Träume wären ein Medium, durch das Götter mit den Menschen kommunizierten. Josefs Idee, Gott könne ihm bei der Interpretation des Traumes helfen, entspricht dieser Auffassung.</w:t>
      </w:r>
    </w:p>
  </w:footnote>
  <w:footnote w:id="682">
    <w:p>
      <w:pPr>
        <w:pStyle w:val="Funote"/>
        <w:rPr/>
      </w:pPr>
      <w:r>
        <w:rPr/>
        <w:footnoteRef/>
        <w:tab/>
        <w:t>Wörtlich: „…stieg ihre Blüte auf“.</w:t>
      </w:r>
    </w:p>
  </w:footnote>
  <w:footnote w:id="683">
    <w:p>
      <w:pPr>
        <w:pStyle w:val="Funote"/>
        <w:rPr/>
      </w:pPr>
      <w:r>
        <w:rPr/>
        <w:footnoteRef/>
        <w:tab/>
        <w:t>Wörtlich: „kleinen Jungen des Alters“.</w:t>
      </w:r>
    </w:p>
  </w:footnote>
  <w:footnote w:id="684">
    <w:p>
      <w:pPr>
        <w:pStyle w:val="Funote"/>
        <w:rPr/>
      </w:pPr>
      <w:r>
        <w:rPr/>
        <w:footnoteRef/>
        <w:tab/>
        <w:t>Satzreihe mit Imperativ + Waw consecutivum, final aufgelöst.</w:t>
      </w:r>
    </w:p>
  </w:footnote>
  <w:footnote w:id="685">
    <w:p>
      <w:pPr>
        <w:pStyle w:val="Funote"/>
        <w:rPr/>
      </w:pPr>
      <w:r>
        <w:rPr/>
        <w:footnoteRef/>
        <w:tab/>
        <w:t>Konditionalsatz, der auf einer Waw-Satzfolge mit modalem Pf. cons. beruht.</w:t>
      </w:r>
    </w:p>
  </w:footnote>
  <w:footnote w:id="686">
    <w:p>
      <w:pPr>
        <w:pStyle w:val="Funote"/>
        <w:rPr/>
      </w:pPr>
      <w:r>
        <w:rPr/>
        <w:footnoteRef/>
        <w:tab/>
        <w:t>Superlativ durch Determination.</w:t>
      </w:r>
    </w:p>
  </w:footnote>
  <w:footnote w:id="687">
    <w:p>
      <w:pPr>
        <w:pStyle w:val="Funote"/>
        <w:rPr/>
      </w:pPr>
      <w:r>
        <w:rPr/>
        <w:footnoteRef/>
        <w:tab/>
        <w:t xml:space="preserve">Wörtlich „und“. Satzreihe wegen </w:t>
      </w:r>
      <w:r>
        <w:rPr>
          <w:rtl w:val="true"/>
          <w:lang w:bidi="he-IL"/>
        </w:rPr>
        <w:t>כִּי</w:t>
      </w:r>
      <w:r>
        <w:rPr/>
        <w:t xml:space="preserve"> </w:t>
      </w:r>
      <w:r>
        <w:rPr/>
        <w:t>temporal übersetzt.</w:t>
      </w:r>
    </w:p>
  </w:footnote>
  <w:footnote w:id="688">
    <w:p>
      <w:pPr>
        <w:pStyle w:val="Funote"/>
        <w:rPr/>
      </w:pPr>
      <w:r>
        <w:rPr/>
        <w:footnoteRef/>
        <w:tab/>
        <w:t xml:space="preserve">Wörtlich: „und“. Wegen </w:t>
      </w:r>
      <w:r>
        <w:rPr>
          <w:rtl w:val="true"/>
          <w:lang w:bidi="he-IL"/>
        </w:rPr>
        <w:t>אִם</w:t>
      </w:r>
      <w:r>
        <w:rPr/>
        <w:t xml:space="preserve"> </w:t>
      </w:r>
      <w:r>
        <w:rPr/>
        <w:t>kausal zu deuten.</w:t>
      </w:r>
    </w:p>
  </w:footnote>
  <w:footnote w:id="689">
    <w:p>
      <w:pPr>
        <w:pStyle w:val="Funote"/>
        <w:rPr/>
      </w:pPr>
      <w:r>
        <w:rPr/>
        <w:footnoteRef/>
        <w:tab/>
        <w:t xml:space="preserve">Wörtlich: „und“. Wegen </w:t>
      </w:r>
      <w:r>
        <w:rPr>
          <w:rtl w:val="true"/>
          <w:lang w:bidi="he-IL"/>
        </w:rPr>
        <w:t>כִּי</w:t>
      </w:r>
      <w:r>
        <w:rPr/>
        <w:t xml:space="preserve"> </w:t>
      </w:r>
      <w:r>
        <w:rPr/>
        <w:t>konditional.</w:t>
      </w:r>
    </w:p>
  </w:footnote>
  <w:footnote w:id="690">
    <w:p>
      <w:pPr>
        <w:pStyle w:val="Funote"/>
        <w:rPr/>
      </w:pPr>
      <w:r>
        <w:rPr/>
        <w:footnoteRef/>
        <w:tab/>
        <w:t>D.h. von wilden Tieren.</w:t>
      </w:r>
    </w:p>
  </w:footnote>
  <w:footnote w:id="691">
    <w:p>
      <w:pPr>
        <w:pStyle w:val="Funote"/>
        <w:rPr/>
      </w:pPr>
      <w:r>
        <w:rPr/>
        <w:footnoteRef/>
        <w:tab/>
        <w:t xml:space="preserve">Eigentlich futurisch zu übersetzen. </w:t>
      </w:r>
    </w:p>
  </w:footnote>
  <w:footnote w:id="692">
    <w:p>
      <w:pPr>
        <w:pStyle w:val="Funote"/>
        <w:rPr/>
      </w:pPr>
      <w:r>
        <w:rPr/>
        <w:footnoteRef/>
        <w:tab/>
        <w:t xml:space="preserve">Eigentlich futurisch zu übersetzen. </w:t>
      </w:r>
    </w:p>
  </w:footnote>
  <w:footnote w:id="693">
    <w:p>
      <w:pPr>
        <w:pStyle w:val="Funote"/>
        <w:rPr/>
      </w:pPr>
      <w:r>
        <w:rPr/>
        <w:footnoteRef/>
        <w:tab/>
        <w:t xml:space="preserve">Aus Waw-Satzfolge gebildeter Konditionalsatz. Der erste Satzteil kann wahlweise eigenständig übersetzt oder mit in das „Wenn“ hineingenommen werden. </w:t>
      </w:r>
    </w:p>
  </w:footnote>
  <w:footnote w:id="694">
    <w:p>
      <w:pPr>
        <w:pStyle w:val="Funote"/>
        <w:rPr/>
      </w:pPr>
      <w:r>
        <w:rPr/>
        <w:footnoteRef/>
        <w:tab/>
        <w:t xml:space="preserve">Also die des Vaters mit der des Sohnes. Zu verstehen als „er hängt ja sehr an ihm“ o.ä. </w:t>
      </w:r>
    </w:p>
  </w:footnote>
  <w:footnote w:id="695">
    <w:p>
      <w:pPr>
        <w:pStyle w:val="Funote"/>
        <w:rPr/>
      </w:pPr>
      <w:r>
        <w:rPr/>
        <w:footnoteRef/>
        <w:tab/>
        <w:t xml:space="preserve">Eigentlich futurisch zu übersetzen. </w:t>
      </w:r>
    </w:p>
  </w:footnote>
  <w:footnote w:id="696">
    <w:p>
      <w:pPr>
        <w:pStyle w:val="Funote"/>
        <w:rPr/>
      </w:pPr>
      <w:r>
        <w:rPr/>
        <w:footnoteRef/>
        <w:tab/>
        <w:t xml:space="preserve">Eigentlich futurisch zu übersetzen. </w:t>
      </w:r>
    </w:p>
  </w:footnote>
  <w:footnote w:id="697">
    <w:p>
      <w:pPr>
        <w:pStyle w:val="Funote"/>
        <w:rPr/>
      </w:pPr>
      <w:r>
        <w:rPr/>
        <w:footnoteRef/>
        <w:tab/>
        <w:t>Wörtlich: „sündigen“. Hier muss es jedoch entsprechend dieser Übersetzung verstanden werden.</w:t>
      </w:r>
    </w:p>
  </w:footnote>
  <w:footnote w:id="698">
    <w:p>
      <w:pPr>
        <w:pStyle w:val="Funote"/>
        <w:rPr/>
      </w:pPr>
      <w:r>
        <w:rPr/>
        <w:footnoteRef/>
        <w:tab/>
        <w:t>double duty-Prädikat aus der ersten Vershälfte</w:t>
      </w:r>
    </w:p>
  </w:footnote>
  <w:footnote w:id="699">
    <w:p>
      <w:pPr>
        <w:pStyle w:val="Funote"/>
        <w:rPr/>
      </w:pPr>
      <w:r>
        <w:rPr/>
        <w:footnoteRef/>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700">
    <w:p>
      <w:pPr>
        <w:pStyle w:val="Funote"/>
        <w:rPr/>
      </w:pPr>
      <w:r>
        <w:rPr/>
        <w:footnoteRef/>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701">
    <w:p>
      <w:pPr>
        <w:pStyle w:val="Funote"/>
        <w:rPr/>
      </w:pPr>
      <w:r>
        <w:rPr/>
        <w:footnoteRef/>
        <w:tab/>
        <w:t>[Status: Ungeprüft]</w:t>
      </w:r>
    </w:p>
  </w:footnote>
  <w:footnote w:id="702">
    <w:p>
      <w:pPr>
        <w:pStyle w:val="Funote"/>
        <w:rPr/>
      </w:pPr>
      <w:r>
        <w:rPr/>
        <w:footnoteRef/>
        <w:tab/>
        <w:t>[Status: Ungeprüft]</w:t>
      </w:r>
    </w:p>
  </w:footnote>
  <w:footnote w:id="703">
    <w:p>
      <w:pPr>
        <w:pStyle w:val="Funote"/>
        <w:rPr/>
      </w:pPr>
      <w:r>
        <w:rPr/>
        <w:footnoteRef/>
        <w:tab/>
        <w:t>Wörtlich: „die Tochter Levis“</w:t>
      </w:r>
    </w:p>
  </w:footnote>
  <w:footnote w:id="704">
    <w:p>
      <w:pPr>
        <w:pStyle w:val="Funote"/>
        <w:rPr/>
      </w:pPr>
      <w:r>
        <w:rPr/>
        <w:footnoteRef/>
        <w:tab/>
        <w:t>Das Wort bezeichnet sowohl ein rechteckiges Kästchen als auch ein größeres Schiff. Es wird auch im Zusammenhang mit der Arche Noach verwendet.</w:t>
      </w:r>
    </w:p>
  </w:footnote>
  <w:footnote w:id="705">
    <w:p>
      <w:pPr>
        <w:pStyle w:val="Funote"/>
        <w:rPr/>
      </w:pPr>
      <w:r>
        <w:rPr/>
        <w:footnoteRef/>
        <w:tab/>
        <w:t>Constructus-Verbindung.</w:t>
      </w:r>
    </w:p>
  </w:footnote>
  <w:footnote w:id="706">
    <w:p>
      <w:pPr>
        <w:pStyle w:val="Funote"/>
        <w:rPr/>
      </w:pPr>
      <w:r>
        <w:rPr/>
        <w:footnoteRef/>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707">
    <w:p>
      <w:pPr>
        <w:pStyle w:val="Funote"/>
        <w:rPr/>
      </w:pPr>
      <w:r>
        <w:rPr/>
        <w:footnoteRef/>
        <w:tab/>
        <w:t>Wörtlich: „und“, hier final zu verstehen.</w:t>
      </w:r>
    </w:p>
  </w:footnote>
  <w:footnote w:id="708">
    <w:p>
      <w:pPr>
        <w:pStyle w:val="Funote"/>
        <w:rPr/>
      </w:pPr>
      <w:r>
        <w:rPr/>
        <w:footnoteRef/>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709">
    <w:p>
      <w:pPr>
        <w:pStyle w:val="Funote"/>
        <w:rPr/>
      </w:pPr>
      <w:r>
        <w:rPr/>
        <w:footnoteRef/>
        <w:tab/>
        <w:t>Weniger idiomatisch: „rief/nannte seinen Namen“</w:t>
      </w:r>
    </w:p>
  </w:footnote>
  <w:footnote w:id="710">
    <w:p>
      <w:pPr>
        <w:pStyle w:val="Funote"/>
        <w:rPr/>
      </w:pPr>
      <w:r>
        <w:rPr/>
        <w:footnoteRef/>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711">
    <w:p>
      <w:pPr>
        <w:pStyle w:val="Funote"/>
        <w:rPr/>
      </w:pPr>
      <w:r>
        <w:rPr/>
        <w:footnoteRef/>
        <w:tab/>
        <w:t>D.h. er schaut sich um</w:t>
      </w:r>
    </w:p>
  </w:footnote>
  <w:footnote w:id="712">
    <w:p>
      <w:pPr>
        <w:pStyle w:val="Funote"/>
        <w:rPr/>
      </w:pPr>
      <w:r>
        <w:rPr/>
        <w:footnoteRef/>
        <w:tab/>
        <w:t>Figura etymologica.</w:t>
      </w:r>
    </w:p>
  </w:footnote>
  <w:footnote w:id="713">
    <w:p>
      <w:pPr>
        <w:pStyle w:val="Funote"/>
        <w:rPr/>
      </w:pPr>
      <w:r>
        <w:rPr/>
        <w:footnoteRef/>
        <w:tab/>
        <w:t>LXX: „nach“.</w:t>
      </w:r>
    </w:p>
  </w:footnote>
  <w:footnote w:id="714">
    <w:p>
      <w:pPr>
        <w:pStyle w:val="Funote"/>
        <w:rPr/>
      </w:pPr>
      <w:r>
        <w:rPr/>
        <w:footnoteRef/>
        <w:tab/>
        <w:t>Hier fehlt ein Objekt; vermutlich wird Bezug auf Vv. 23-24 genommen. Die LXX fügt „sie“ an (dann: „und Gott kannte sie“). Vgl. NET Ex 2,25 Fußnote 95.</w:t>
      </w:r>
    </w:p>
  </w:footnote>
  <w:footnote w:id="715">
    <w:p>
      <w:pPr>
        <w:pStyle w:val="Funote"/>
        <w:rPr/>
      </w:pPr>
      <w:r>
        <w:rPr/>
        <w:footnoteRef/>
        <w:tab/>
        <w:t>[Status: Zuverlässig]</w:t>
      </w:r>
    </w:p>
  </w:footnote>
  <w:footnote w:id="716">
    <w:p>
      <w:pPr>
        <w:pStyle w:val="Funote"/>
        <w:rPr/>
      </w:pPr>
      <w:r>
        <w:rPr/>
        <w:footnoteRef/>
        <w:tab/>
        <w:t>Dieses Waw muss im Kontext von Ex 2,25 gesehen werden.</w:t>
      </w:r>
    </w:p>
  </w:footnote>
  <w:footnote w:id="717">
    <w:p>
      <w:pPr>
        <w:pStyle w:val="Funote"/>
        <w:rPr/>
      </w:pPr>
      <w:r>
        <w:rPr/>
        <w:footnoteRef/>
        <w:tab/>
        <w:t>Kleinvieh entspricht Schafen und Ziegen (vgl. DBL Hebrew, 7366).</w:t>
      </w:r>
    </w:p>
  </w:footnote>
  <w:footnote w:id="718">
    <w:p>
      <w:pPr>
        <w:pStyle w:val="Funote"/>
        <w:rPr/>
      </w:pPr>
      <w:r>
        <w:rPr/>
        <w:footnoteRef/>
        <w:tab/>
        <w:t>Wörtlich: „war hütend/Hirte das Kleinvieh (Akk.)“. Die gewählte Übersetzung entspricht dem Konsens anderer Übersetzungen.</w:t>
      </w:r>
    </w:p>
  </w:footnote>
  <w:footnote w:id="719">
    <w:p>
      <w:pPr>
        <w:pStyle w:val="Funote"/>
        <w:rPr/>
      </w:pPr>
      <w:r>
        <w:rPr/>
        <w:footnoteRef/>
        <w:tab/>
        <w:t>Wörtlich „Flamme des Feuers“.</w:t>
      </w:r>
    </w:p>
  </w:footnote>
  <w:footnote w:id="720">
    <w:p>
      <w:pPr>
        <w:pStyle w:val="Funote"/>
        <w:rPr/>
      </w:pPr>
      <w:r>
        <w:rPr/>
        <w:footnoteRef/>
        <w:tab/>
        <w:t xml:space="preserve">Das Wort bezeichnet vermutlich einen Dornbusch, möglicherweise eine Brombeere (vgl. BDB, </w:t>
      </w:r>
      <w:r>
        <w:rPr>
          <w:rtl w:val="true"/>
          <w:lang w:bidi="he-IL"/>
        </w:rPr>
        <w:t>סְנֶה</w:t>
      </w:r>
      <w:r>
        <w:rPr/>
        <w:t>).</w:t>
      </w:r>
    </w:p>
  </w:footnote>
  <w:footnote w:id="721">
    <w:p>
      <w:pPr>
        <w:pStyle w:val="Funote"/>
        <w:rPr/>
      </w:pPr>
      <w:r>
        <w:rPr/>
        <w:footnoteRef/>
        <w:tab/>
        <w:t xml:space="preserve">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 </w:t>
      </w:r>
    </w:p>
  </w:footnote>
  <w:footnote w:id="722">
    <w:p>
      <w:pPr>
        <w:pStyle w:val="Funote"/>
        <w:rPr/>
      </w:pPr>
      <w:r>
        <w:rPr/>
        <w:footnoteRef/>
        <w:tab/>
        <w:t xml:space="preserve">D.h. „lichterloh“. Im Deutschen wird die zusätzliche Information, dass </w:t>
      </w:r>
      <w:r>
        <w:rPr>
          <w:i/>
        </w:rPr>
        <w:t>Feuer</w:t>
      </w:r>
      <w:r>
        <w:rPr/>
        <w:t xml:space="preserve"> in dem Busch brannte, als überflüssig empfunden. </w:t>
      </w:r>
    </w:p>
  </w:footnote>
  <w:footnote w:id="723">
    <w:p>
      <w:pPr>
        <w:pStyle w:val="Funote"/>
        <w:rPr/>
      </w:pPr>
      <w:r>
        <w:rPr/>
        <w:footnoteRef/>
        <w:tab/>
        <w:t>Ein Ptz. akt., das eine fortwährende Handlung ausdrückt.</w:t>
      </w:r>
    </w:p>
  </w:footnote>
  <w:footnote w:id="724">
    <w:p>
      <w:pPr>
        <w:pStyle w:val="Funote"/>
        <w:rPr/>
      </w:pPr>
      <w:r>
        <w:rPr/>
        <w:footnoteRef/>
        <w:tab/>
        <w:t>Der Kohortativ ist eine Selbstaufforderung.</w:t>
      </w:r>
    </w:p>
  </w:footnote>
  <w:footnote w:id="725">
    <w:p>
      <w:pPr>
        <w:pStyle w:val="Funote"/>
        <w:rPr/>
      </w:pPr>
      <w:r>
        <w:rPr/>
        <w:footnoteRef/>
        <w:tab/>
        <w:t xml:space="preserve">Zwei verbundene Kohortative, von denen der zweite den Zweck angibt. </w:t>
      </w:r>
    </w:p>
  </w:footnote>
  <w:footnote w:id="726">
    <w:p>
      <w:pPr>
        <w:pStyle w:val="Funote"/>
        <w:rPr/>
      </w:pPr>
      <w:r>
        <w:rPr/>
        <w:footnoteRef/>
        <w:tab/>
        <w:t>Duratives Ipf., das (wie das Ptz. in V. 2) ein fortwährendes Geschehen andeutet.</w:t>
      </w:r>
    </w:p>
  </w:footnote>
  <w:footnote w:id="727">
    <w:p>
      <w:pPr>
        <w:pStyle w:val="Funote"/>
        <w:rPr/>
      </w:pPr>
      <w:r>
        <w:rPr/>
        <w:footnoteRef/>
        <w:tab/>
        <w:t xml:space="preserve">Oder: „,[und herausfinden], warum der Busch nicht verbrennt!“ Die gewählte Lösung ist wohl eine genauere Übersetzung des Wortbestands, weil kein Verb ergänzt werden muss. </w:t>
      </w:r>
    </w:p>
  </w:footnote>
  <w:footnote w:id="728">
    <w:p>
      <w:pPr>
        <w:pStyle w:val="Funote"/>
        <w:rPr/>
      </w:pPr>
      <w:r>
        <w:rPr/>
        <w:footnoteRef/>
        <w:tab/>
        <w:t>Also sinngemäß: „Ich höre!“</w:t>
      </w:r>
    </w:p>
  </w:footnote>
  <w:footnote w:id="729">
    <w:p>
      <w:pPr>
        <w:pStyle w:val="Funote"/>
        <w:rPr/>
      </w:pPr>
      <w:r>
        <w:rPr/>
        <w:footnoteRef/>
        <w:tab/>
        <w:t>Wörtlich „Erdboden-Heiliges/Heiligtum“.</w:t>
      </w:r>
    </w:p>
  </w:footnote>
  <w:footnote w:id="730">
    <w:p>
      <w:pPr>
        <w:pStyle w:val="Funote"/>
        <w:rPr/>
      </w:pPr>
      <w:r>
        <w:rPr/>
        <w:footnoteRef/>
        <w:tab/>
        <w:t>„</w:t>
      </w:r>
      <w:r>
        <w:rPr/>
        <w:t xml:space="preserve">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 </w:t>
      </w:r>
    </w:p>
  </w:footnote>
  <w:footnote w:id="731">
    <w:p>
      <w:pPr>
        <w:pStyle w:val="Funote"/>
        <w:rPr/>
      </w:pPr>
      <w:r>
        <w:rPr/>
        <w:footnoteRef/>
        <w:tab/>
        <w:t xml:space="preserve">Hier heißt es im Hebräischen „ihrer“ mit Bezug auf die Menschen, die das Volk bilden (Constructio ad sensum). Im Deutschen muss entsprechend aber „seiner“ verwendet werden. </w:t>
      </w:r>
    </w:p>
  </w:footnote>
  <w:footnote w:id="732">
    <w:p>
      <w:pPr>
        <w:pStyle w:val="Funote"/>
        <w:rPr/>
      </w:pPr>
      <w:r>
        <w:rPr/>
        <w:footnoteRef/>
        <w:tab/>
        <w:t xml:space="preserve">Perfekt, das mit einem „Verb der Beziehung“ („wissen“) präsentisch gebraucht wird. </w:t>
      </w:r>
    </w:p>
  </w:footnote>
  <w:footnote w:id="733">
    <w:p>
      <w:pPr>
        <w:pStyle w:val="Funote"/>
        <w:rPr/>
      </w:pPr>
      <w:r>
        <w:rPr/>
        <w:footnoteRef/>
        <w:tab/>
        <w:t>Oder, etwas freier: „in dem Milch und Honig fließen.“</w:t>
      </w:r>
    </w:p>
  </w:footnote>
  <w:footnote w:id="734">
    <w:p>
      <w:pPr>
        <w:pStyle w:val="Funote"/>
        <w:rPr/>
      </w:pPr>
      <w:r>
        <w:rPr/>
        <w:footnoteRef/>
        <w:tab/>
        <w:t>„</w:t>
      </w:r>
      <w:r>
        <w:rPr/>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735">
    <w:p>
      <w:pPr>
        <w:pStyle w:val="Funote"/>
        <w:rPr/>
      </w:pPr>
      <w:r>
        <w:rPr/>
        <w:footnoteRef/>
        <w:tab/>
        <w:t xml:space="preserve">Die nur sinngemäß übersetzbare Partikel „siehe“ wirkt als Verstärkung der gemachten Aussage. Hier wurde sie in den Kontext eingearbeitet, indem der Kontrast am Satzanfang besonders stark ausgedrückt wurde. </w:t>
      </w:r>
    </w:p>
  </w:footnote>
  <w:footnote w:id="736">
    <w:p>
      <w:pPr>
        <w:pStyle w:val="Funote"/>
        <w:rPr/>
      </w:pPr>
      <w:r>
        <w:rPr/>
        <w:footnoteRef/>
        <w:tab/>
        <w:t xml:space="preserve">Constructio ad sensum: Das hier verwendete Partizip steht im Plural, weil es sich auf Ägypten als Metapher für die Ägypter bezieht. </w:t>
      </w:r>
    </w:p>
  </w:footnote>
  <w:footnote w:id="737">
    <w:p>
      <w:pPr>
        <w:pStyle w:val="Funote"/>
        <w:rPr/>
      </w:pPr>
      <w:r>
        <w:rPr/>
        <w:footnoteRef/>
        <w:tab/>
        <w:t>Das hier verwendete Stilmittel ist typisch Hebräisch: mit Unterdrückung wird unterdrückt. Freier: »auf welche Weise Ägypten/die Ägypter...«, »wie grausam (GNB)/schwer (LBBH) Ägypten/die Ägypter«</w:t>
      </w:r>
    </w:p>
  </w:footnote>
  <w:footnote w:id="738">
    <w:p>
      <w:pPr>
        <w:pStyle w:val="Funote"/>
        <w:rPr/>
      </w:pPr>
      <w:r>
        <w:rPr/>
        <w:footnoteRef/>
        <w:tab/>
        <w:t>Emphatischer Imperativ (LBBH).</w:t>
      </w:r>
    </w:p>
  </w:footnote>
  <w:footnote w:id="739">
    <w:p>
      <w:pPr>
        <w:pStyle w:val="Funote"/>
        <w:rPr/>
      </w:pPr>
      <w:r>
        <w:rPr/>
        <w:footnoteRef/>
        <w:tab/>
        <w:t xml:space="preserve">Oder: „und führe hinaus“ (Ipv.). Bei der Konstellation Ipv. + Waw + Ipv. gibt der letzte Ipv. in der Regel Ziel oder Zweck an. </w:t>
      </w:r>
    </w:p>
  </w:footnote>
  <w:footnote w:id="740">
    <w:p>
      <w:pPr>
        <w:pStyle w:val="Funote"/>
        <w:rPr/>
      </w:pPr>
      <w:r>
        <w:rPr/>
        <w:footnoteRef/>
        <w:tab/>
        <w:t>Beide Ipf.</w:t>
      </w:r>
    </w:p>
  </w:footnote>
  <w:footnote w:id="741">
    <w:p>
      <w:pPr>
        <w:pStyle w:val="Funote"/>
        <w:rPr/>
      </w:pPr>
      <w:r>
        <w:rPr/>
        <w:footnoteRef/>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742">
    <w:p>
      <w:pPr>
        <w:pStyle w:val="Funote"/>
        <w:rPr/>
      </w:pPr>
      <w:r>
        <w:rPr/>
        <w:footnoteRef/>
        <w:tab/>
        <w:t xml:space="preserve">Sowohl eine gegenwärtige als auch eine zukünftige Deutung sind möglich, weil das Verb statisch ist. </w:t>
      </w:r>
    </w:p>
  </w:footnote>
  <w:footnote w:id="743">
    <w:p>
      <w:pPr>
        <w:pStyle w:val="Funote"/>
        <w:rPr/>
      </w:pPr>
      <w:r>
        <w:rPr/>
        <w:footnoteRef/>
        <w:tab/>
        <w:t>Wörtlich „ für dich das“.</w:t>
      </w:r>
    </w:p>
  </w:footnote>
  <w:footnote w:id="744">
    <w:p>
      <w:pPr>
        <w:pStyle w:val="Funote"/>
        <w:rPr/>
      </w:pPr>
      <w:r>
        <w:rPr/>
        <w:footnoteRef/>
        <w:tab/>
        <w:t xml:space="preserve">Inf. cs. mit </w:t>
      </w:r>
      <w:r>
        <w:rPr>
          <w:rtl w:val="true"/>
          <w:lang w:bidi="he-IL"/>
        </w:rPr>
        <w:t>בְּ</w:t>
      </w:r>
      <w:r>
        <w:rPr/>
        <w:t>.</w:t>
      </w:r>
    </w:p>
  </w:footnote>
  <w:footnote w:id="745">
    <w:p>
      <w:pPr>
        <w:pStyle w:val="Funote"/>
        <w:rPr/>
      </w:pPr>
      <w:r>
        <w:rPr/>
        <w:footnoteRef/>
        <w:tab/>
        <w:t>Wörtlich: „Siehe, ich komme... und...“</w:t>
      </w:r>
    </w:p>
  </w:footnote>
  <w:footnote w:id="746">
    <w:p>
      <w:pPr>
        <w:pStyle w:val="Funote"/>
        <w:rPr/>
      </w:pPr>
      <w:r>
        <w:rPr/>
        <w:footnoteRef/>
        <w:tab/>
        <w:t>Ipf.</w:t>
      </w:r>
    </w:p>
  </w:footnote>
  <w:footnote w:id="747">
    <w:p>
      <w:pPr>
        <w:pStyle w:val="Funote"/>
        <w:rPr/>
      </w:pPr>
      <w:r>
        <w:rPr/>
        <w:footnoteRef/>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748">
    <w:p>
      <w:pPr>
        <w:pStyle w:val="Funote"/>
        <w:rPr/>
      </w:pPr>
      <w:r>
        <w:rPr/>
        <w:footnoteRef/>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749">
    <w:p>
      <w:pPr>
        <w:pStyle w:val="Funote"/>
        <w:rPr/>
      </w:pPr>
      <w:r>
        <w:rPr/>
        <w:footnoteRef/>
        <w:tab/>
        <w:t>Hier steht eine AKwaw-From. In der direkten Rede macht sie Aussagen über die sichere Zukunft. Nach einem Imperativ ist sie als bindender Direktiv zu verstehen. Dasselbe gilt beim nächsten Verb.</w:t>
      </w:r>
    </w:p>
  </w:footnote>
  <w:footnote w:id="750">
    <w:p>
      <w:pPr>
        <w:pStyle w:val="Funote"/>
        <w:rPr/>
      </w:pPr>
      <w:r>
        <w:rPr/>
        <w:footnoteRef/>
        <w:tab/>
        <w:t xml:space="preserve">Das Nifal von </w:t>
      </w:r>
      <w:r>
        <w:rPr>
          <w:rtl w:val="true"/>
          <w:lang w:bidi="he-IL"/>
        </w:rPr>
        <w:t>ראה</w:t>
      </w:r>
      <w:r>
        <w:rPr/>
        <w:t xml:space="preserve"> </w:t>
      </w:r>
      <w:r>
        <w:rPr/>
        <w:t>kann als Passiv übersetzt werden.</w:t>
      </w:r>
    </w:p>
  </w:footnote>
  <w:footnote w:id="751">
    <w:p>
      <w:pPr>
        <w:pStyle w:val="Funote"/>
        <w:rPr/>
      </w:pPr>
      <w:r>
        <w:rPr/>
        <w:footnoteRef/>
        <w:tab/>
        <w:t>Die LXX bezeugt »der Gott Abrahams, der Gott Isaaks und der Gott Abrahams«.</w:t>
      </w:r>
    </w:p>
  </w:footnote>
  <w:footnote w:id="752">
    <w:p>
      <w:pPr>
        <w:pStyle w:val="Funote"/>
        <w:rPr/>
      </w:pPr>
      <w:r>
        <w:rPr/>
        <w:footnoteRef/>
        <w:tab/>
        <w:t>„</w:t>
      </w:r>
      <w:r>
        <w:rPr/>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753">
    <w:p>
      <w:pPr>
        <w:pStyle w:val="Funote"/>
        <w:rPr/>
      </w:pPr>
      <w:r>
        <w:rPr/>
        <w:footnoteRef/>
        <w:tab/>
        <w:t xml:space="preserve">Das Wort </w:t>
      </w:r>
      <w:r>
        <w:rPr>
          <w:rtl w:val="true"/>
          <w:lang w:bidi="he-IL"/>
        </w:rPr>
        <w:t>פקד</w:t>
      </w:r>
      <w:r>
        <w:rPr/>
        <w:t xml:space="preserve"> </w:t>
      </w:r>
      <w:r>
        <w:rPr/>
        <w:t xml:space="preserve">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 </w:t>
      </w:r>
    </w:p>
  </w:footnote>
  <w:footnote w:id="754">
    <w:p>
      <w:pPr>
        <w:pStyle w:val="Funote"/>
        <w:rPr/>
      </w:pPr>
      <w:r>
        <w:rPr/>
        <w:footnoteRef/>
        <w:tab/>
        <w:t>Der textus graecus originalis bezeugt hier die 3.Sg: „Da dachte/sagte er“.</w:t>
      </w:r>
    </w:p>
  </w:footnote>
  <w:footnote w:id="755">
    <w:p>
      <w:pPr>
        <w:pStyle w:val="Funote"/>
        <w:rPr/>
      </w:pPr>
      <w:r>
        <w:rPr/>
        <w:footnoteRef/>
        <w:tab/>
        <w:t xml:space="preserve">Siehe Fußnoten V. 8. </w:t>
      </w:r>
    </w:p>
  </w:footnote>
  <w:footnote w:id="756">
    <w:p>
      <w:pPr>
        <w:pStyle w:val="Funote"/>
        <w:rPr/>
      </w:pPr>
      <w:r>
        <w:rPr/>
        <w:footnoteRef/>
        <w:tab/>
        <w:t>Die LXX bezeugt hier die 2.Sg. mas.</w:t>
      </w:r>
    </w:p>
  </w:footnote>
  <w:footnote w:id="757">
    <w:p>
      <w:pPr>
        <w:pStyle w:val="Funote"/>
        <w:rPr/>
      </w:pPr>
      <w:r>
        <w:rPr/>
        <w:footnoteRef/>
        <w:tab/>
        <w:t xml:space="preserve">Der Kohortativ lässt beide Möglichkeiten zu. </w:t>
      </w:r>
    </w:p>
  </w:footnote>
  <w:footnote w:id="758">
    <w:p>
      <w:pPr>
        <w:pStyle w:val="Funote"/>
        <w:rPr/>
      </w:pPr>
      <w:r>
        <w:rPr/>
        <w:footnoteRef/>
        <w:tab/>
        <w:t>Wörtlich: „eine Reise/Weg [von] drei Tagen“</w:t>
      </w:r>
    </w:p>
  </w:footnote>
  <w:footnote w:id="759">
    <w:p>
      <w:pPr>
        <w:pStyle w:val="Funote"/>
        <w:rPr/>
      </w:pPr>
      <w:r>
        <w:rPr/>
        <w:footnoteRef/>
        <w:tab/>
        <w:t>D.h. »wenn er nicht gezwungen wird« oder »auch nicht, wenn er gezwungen wird«. LXX: »außer«. Eine genauere Behandlung in NET Ex 3:19 Fußnote 65.</w:t>
      </w:r>
    </w:p>
  </w:footnote>
  <w:footnote w:id="760">
    <w:p>
      <w:pPr>
        <w:pStyle w:val="Funote"/>
        <w:rPr/>
      </w:pPr>
      <w:r>
        <w:rPr/>
        <w:footnoteRef/>
        <w:tab/>
        <w:t>D.h. „ich werde dafür sorgen, dass die Ägypter euch gesonnen sind“.</w:t>
      </w:r>
    </w:p>
  </w:footnote>
  <w:footnote w:id="761">
    <w:p>
      <w:pPr>
        <w:pStyle w:val="Funote"/>
        <w:rPr/>
      </w:pPr>
      <w:r>
        <w:rPr/>
        <w:footnoteRef/>
        <w:tab/>
        <w:t>Wörtlich „leer“.</w:t>
      </w:r>
    </w:p>
  </w:footnote>
  <w:footnote w:id="762">
    <w:p>
      <w:pPr>
        <w:pStyle w:val="Funote"/>
        <w:rPr/>
      </w:pPr>
      <w:r>
        <w:rPr/>
        <w:footnoteRef/>
        <w:tab/>
        <w:t>Ipf.</w:t>
      </w:r>
    </w:p>
  </w:footnote>
  <w:footnote w:id="763">
    <w:p>
      <w:pPr>
        <w:pStyle w:val="Funote"/>
        <w:rPr/>
      </w:pPr>
      <w:r>
        <w:rPr/>
        <w:footnoteRef/>
        <w:tab/>
        <w:t xml:space="preserve">Aus stilistischen Gründen wurde beide Male „packen“ übersetzt. Das Wort in Gottes Befehl heißt jedoch auch „nehmen, ergreifen“, während Moses Handlung auch ein stärkeres „Festhalten“ bedeuten kann. </w:t>
      </w:r>
    </w:p>
  </w:footnote>
  <w:footnote w:id="764">
    <w:p>
      <w:pPr>
        <w:pStyle w:val="Funote"/>
        <w:rPr/>
      </w:pPr>
      <w:r>
        <w:rPr/>
        <w:footnoteRef/>
        <w:tab/>
        <w:t xml:space="preserve">Fortsetzung von Gottes Befehl, die Schlange zu packen (V. 4). In der Lesefassung könnte hier mit einem Einschub und Gedankenstrichen gearbeitet werden. </w:t>
      </w:r>
    </w:p>
  </w:footnote>
  <w:footnote w:id="765">
    <w:p>
      <w:pPr>
        <w:pStyle w:val="Funote"/>
        <w:rPr/>
      </w:pPr>
      <w:r>
        <w:rPr/>
        <w:footnoteRef/>
        <w:tab/>
        <w:t>[Status: Ungeprüft]</w:t>
      </w:r>
    </w:p>
  </w:footnote>
  <w:footnote w:id="766">
    <w:p>
      <w:pPr>
        <w:pStyle w:val="Funote"/>
        <w:rPr/>
      </w:pPr>
      <w:r>
        <w:rPr/>
        <w:footnoteRef/>
        <w:tab/>
        <w:t xml:space="preserve">Das Wort </w:t>
      </w:r>
      <w:r>
        <w:rPr>
          <w:rtl w:val="true"/>
          <w:lang w:bidi="he-IL"/>
        </w:rPr>
        <w:t>לֵאמֹר</w:t>
      </w:r>
      <w:r>
        <w:rPr/>
        <w:t xml:space="preserve"> </w:t>
      </w:r>
      <w:r>
        <w:rPr/>
        <w:t xml:space="preserve">das im Grunde einen Doppelpunkt markiert, blieb hier unübersetzt. </w:t>
      </w:r>
    </w:p>
  </w:footnote>
  <w:footnote w:id="767">
    <w:p>
      <w:pPr>
        <w:pStyle w:val="Funote"/>
        <w:rPr/>
      </w:pPr>
      <w:r>
        <w:rPr/>
        <w:footnoteRef/>
        <w:tab/>
        <w:t>Alternativ: „Ich, JHWH, [bin] dein Gott“</w:t>
      </w:r>
    </w:p>
  </w:footnote>
  <w:footnote w:id="768">
    <w:p>
      <w:pPr>
        <w:pStyle w:val="Funote"/>
        <w:rPr/>
      </w:pPr>
      <w:r>
        <w:rPr/>
        <w:footnoteRef/>
        <w:tab/>
        <w:t xml:space="preserve">Eigentlich in der 1. Person. </w:t>
      </w:r>
    </w:p>
  </w:footnote>
  <w:footnote w:id="769">
    <w:p>
      <w:pPr>
        <w:pStyle w:val="Funote"/>
        <w:rPr/>
      </w:pPr>
      <w:r>
        <w:rPr/>
        <w:footnoteRef/>
        <w:tab/>
        <w:t>die genaue Formulierung ist umstritten. Es finden sich ebenfalls „Du wirst nicht..“ und das sehr finale „Ich bin JHWH..., deshalb machst du nicht,... Du stiehlst nicht. ...“</w:t>
      </w:r>
    </w:p>
  </w:footnote>
  <w:footnote w:id="770">
    <w:p>
      <w:pPr>
        <w:pStyle w:val="Funote"/>
        <w:rPr/>
      </w:pPr>
      <w:r>
        <w:rPr/>
        <w:footnoteRef/>
        <w:tab/>
        <w:t>Die Phrase ist nicht genau zu deuten, obwohl die Bedeutung klar ist: JHWH soll der einzige Gott sein. Die hebräische Wendung bedeutet vermutlich „vor“ oder „zusätzlich zu“, in der LXX steht „außer“.</w:t>
      </w:r>
    </w:p>
  </w:footnote>
  <w:footnote w:id="771">
    <w:p>
      <w:pPr>
        <w:pStyle w:val="Funote"/>
        <w:rPr/>
      </w:pPr>
      <w:r>
        <w:rPr/>
        <w:footnoteRef/>
        <w:tab/>
        <w:t>Aufgelöstes Ptz.</w:t>
      </w:r>
    </w:p>
  </w:footnote>
  <w:footnote w:id="772">
    <w:p>
      <w:pPr>
        <w:pStyle w:val="Funote"/>
        <w:rPr/>
      </w:pPr>
      <w:r>
        <w:rPr/>
        <w:footnoteRef/>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773">
    <w:p>
      <w:pPr>
        <w:pStyle w:val="Funote"/>
        <w:rPr/>
      </w:pPr>
      <w:r>
        <w:rPr/>
        <w:footnoteRef/>
        <w:tab/>
        <w:t xml:space="preserve">Wörtlich „aufheben“. In diesem Kontext aber dieser Übersetzung entsprechend zu verstehen. </w:t>
      </w:r>
    </w:p>
  </w:footnote>
  <w:footnote w:id="774">
    <w:p>
      <w:pPr>
        <w:pStyle w:val="Funote"/>
        <w:rPr/>
      </w:pPr>
      <w:r>
        <w:rPr/>
        <w:footnoteRef/>
        <w:tab/>
        <w:t xml:space="preserve">In dieser Variante evtl. noch zu ergänzen: „heilig“ bzw. „geweiht“. </w:t>
      </w:r>
    </w:p>
  </w:footnote>
  <w:footnote w:id="775">
    <w:p>
      <w:pPr>
        <w:pStyle w:val="Funote"/>
        <w:rPr/>
      </w:pPr>
      <w:r>
        <w:rPr/>
        <w:footnoteRef/>
        <w:tab/>
        <w:t xml:space="preserve">Oder: „[in] sechs Tagen“. Die bestehende Übersetzung wurde in Anlehnung an V. 9 gewählt. </w:t>
      </w:r>
    </w:p>
  </w:footnote>
  <w:footnote w:id="776">
    <w:p>
      <w:pPr>
        <w:pStyle w:val="Funote"/>
        <w:rPr/>
      </w:pPr>
      <w:r>
        <w:rPr/>
        <w:footnoteRef/>
        <w:tab/>
        <w:t xml:space="preserve">Ptz., das wegen des Kontexts als Futur übersetzt wurde. </w:t>
      </w:r>
    </w:p>
  </w:footnote>
  <w:footnote w:id="777">
    <w:p>
      <w:pPr>
        <w:pStyle w:val="Funote"/>
        <w:rPr/>
      </w:pPr>
      <w:r>
        <w:rPr/>
        <w:footnoteRef/>
        <w:tab/>
        <w:t xml:space="preserve">D.h. vor Gericht. Gemeint ist aber wohl in jedem Fall ein generelles Verbot der Lüge. </w:t>
      </w:r>
    </w:p>
  </w:footnote>
  <w:footnote w:id="778">
    <w:p>
      <w:pPr>
        <w:pStyle w:val="Funote"/>
        <w:rPr/>
      </w:pPr>
      <w:r>
        <w:rPr/>
        <w:footnoteRef/>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779">
    <w:p>
      <w:pPr>
        <w:pStyle w:val="Funote"/>
        <w:rPr/>
      </w:pPr>
      <w:r>
        <w:rPr/>
        <w:footnoteRef/>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780">
    <w:p>
      <w:pPr>
        <w:pStyle w:val="Funote"/>
        <w:rPr/>
      </w:pPr>
      <w:r>
        <w:rPr/>
        <w:footnoteRef/>
        <w:tab/>
        <w:t xml:space="preserve">hebr. Präposition </w:t>
      </w:r>
      <w:r>
        <w:rPr>
          <w:i/>
        </w:rPr>
        <w:t>b-</w:t>
      </w:r>
      <w:r>
        <w:rPr/>
        <w:t xml:space="preserve"> hier als Objektmarker</w:t>
      </w:r>
    </w:p>
  </w:footnote>
  <w:footnote w:id="781">
    <w:p>
      <w:pPr>
        <w:pStyle w:val="Funote"/>
        <w:rPr/>
      </w:pPr>
      <w:r>
        <w:rPr/>
        <w:footnoteRef/>
        <w:tab/>
        <w:t>wörtl. nicht wird mich sehen der Mensch</w:t>
      </w:r>
    </w:p>
  </w:footnote>
  <w:footnote w:id="782">
    <w:p>
      <w:pPr>
        <w:pStyle w:val="Funote"/>
        <w:rPr/>
      </w:pPr>
      <w:r>
        <w:rPr/>
        <w:footnoteRef/>
        <w:tab/>
        <w:t>wörtl. bis zu meinem Vorbeigehen</w:t>
      </w:r>
    </w:p>
  </w:footnote>
  <w:footnote w:id="783">
    <w:p>
      <w:pPr>
        <w:pStyle w:val="Funote"/>
        <w:rPr/>
      </w:pPr>
      <w:r>
        <w:rPr/>
        <w:footnoteRef/>
        <w:tab/>
        <w:t>wörtl. du wirst sehen meine Rückseite</w:t>
      </w:r>
    </w:p>
  </w:footnote>
  <w:footnote w:id="784">
    <w:p>
      <w:pPr>
        <w:pStyle w:val="Funote"/>
        <w:rPr/>
      </w:pPr>
      <w:r>
        <w:rPr/>
        <w:footnoteRef/>
        <w:tab/>
        <w:t>[Status: Zuverlässig]</w:t>
      </w:r>
    </w:p>
  </w:footnote>
  <w:footnote w:id="785">
    <w:p>
      <w:pPr>
        <w:pStyle w:val="Funote"/>
        <w:rPr/>
      </w:pPr>
      <w:r>
        <w:rPr/>
        <w:footnoteRef/>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786">
    <w:p>
      <w:pPr>
        <w:pStyle w:val="Funote"/>
        <w:rPr/>
      </w:pPr>
      <w:r>
        <w:rPr/>
        <w:footnoteRef/>
        <w:tab/>
        <w:t xml:space="preserve">Ägypten und Kanaan stehen hier metonym als </w:t>
      </w:r>
      <w:r>
        <w:rPr>
          <w:i/>
        </w:rPr>
        <w:t>toto pro pars</w:t>
      </w:r>
      <w:r>
        <w:rPr/>
        <w:t xml:space="preserve">; die gesamte Einheit (das ganze Land) wird also stellvertretend für einen Teil (die Bewohner) genannt. „[die Bewohner]“ wurde deshalb ergänzt. </w:t>
      </w:r>
    </w:p>
  </w:footnote>
  <w:footnote w:id="787">
    <w:p>
      <w:pPr>
        <w:pStyle w:val="Funote"/>
        <w:rPr/>
      </w:pPr>
      <w:r>
        <w:rPr/>
        <w:footnoteRef/>
        <w:tab/>
        <w:t xml:space="preserve">Partizip. Oder: „in das ich euch führen werde“, dann als Gegensatz zum vormaligen Leben in Ägypten gedeutet (vgl. NET). </w:t>
      </w:r>
    </w:p>
  </w:footnote>
  <w:footnote w:id="788">
    <w:p>
      <w:pPr>
        <w:pStyle w:val="Funote"/>
        <w:rPr/>
      </w:pPr>
      <w:r>
        <w:rPr/>
        <w:footnoteRef/>
        <w:tab/>
        <w:t>Wörtlich „gehen in“, sinngemäß jedoch eher „leben gemäß“; bezeichnet die Lebensführung (Sprinkle 2008, 24).</w:t>
      </w:r>
    </w:p>
  </w:footnote>
  <w:footnote w:id="789">
    <w:p>
      <w:pPr>
        <w:pStyle w:val="Funote"/>
        <w:rPr/>
      </w:pPr>
      <w:r>
        <w:rPr>
          <w:b/>
          <w:i/>
        </w:rPr>
        <w:footnoteRef/>
        <w:tab/>
        <w:t>Meine</w:t>
      </w:r>
      <w:r>
        <w:rPr>
          <w:i/>
        </w:rPr>
        <w:t xml:space="preserve"> Verordnungen</w:t>
      </w:r>
      <w:r>
        <w:rPr/>
        <w:t xml:space="preserve"> Die Hervorhebung ergibt sich aus der Wortstellung. Hier bildet nicht wie sonst das Prädikat den Satzanfang, sondern das Objekt (Milgrom 2000, 1521). </w:t>
      </w:r>
    </w:p>
  </w:footnote>
  <w:footnote w:id="790">
    <w:p>
      <w:pPr>
        <w:pStyle w:val="Funote"/>
        <w:rPr/>
      </w:pPr>
      <w:r>
        <w:rPr>
          <w:i/>
        </w:rPr>
        <w:footnoteRef/>
        <w:tab/>
        <w:t>tun (handeln)</w:t>
      </w:r>
      <w:r>
        <w:rPr/>
        <w:t xml:space="preserve"> Es handelt sich um dasselbe Wort, das in V. 3 mit „handeln“ übersetzt wurde. </w:t>
      </w:r>
    </w:p>
  </w:footnote>
  <w:footnote w:id="791">
    <w:p>
      <w:pPr>
        <w:pStyle w:val="Funote"/>
        <w:rPr/>
      </w:pPr>
      <w:r>
        <w:rPr/>
        <w:footnoteRef/>
        <w:tab/>
        <w:t xml:space="preserve">Es handelt sich um dasselbe Wort wie in V. 3 „Bräuche“, nur dass hier (im Paar mit „Gesetzen“) eine andere Konnotation vorhanden ist; es geht um Vorschriften und nicht nur Gepflogenheiten. </w:t>
      </w:r>
    </w:p>
  </w:footnote>
  <w:footnote w:id="792">
    <w:p>
      <w:pPr>
        <w:pStyle w:val="Funote"/>
        <w:rPr/>
      </w:pPr>
      <w:r>
        <w:rPr/>
        <w:footnoteRef/>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793">
    <w:p>
      <w:pPr>
        <w:pStyle w:val="Funote"/>
        <w:rPr/>
      </w:pPr>
      <w:r>
        <w:rPr/>
        <w:footnoteRef/>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 xml:space="preserve">denn“/„von denen gilt“ ist entweder Relativpronomen oder kausale Konjunktion, syntaktisch ist beides möglich. „und“ ist hier konsekutiv oder final; die Auflösung der Satzreihe zu Qualifikation→Folge entspricht also ebenfalls dem ursprünglichen Sinn. </w:t>
        <w:br/>
        <w:t xml:space="preserve">Der Wechsel in die dritte Person hat wohl den Grund, dass dieses Prinzip nicht nur für das angesprochene Israel gilt, sondern auch für im Land lebende Fremde, die sich ebenfalls an die im Folgenden gelisteten Gebote halten müssen (vgl. V. 26; Milgrom 2000, 1522). </w:t>
      </w:r>
    </w:p>
  </w:footnote>
  <w:footnote w:id="794">
    <w:p>
      <w:pPr>
        <w:pStyle w:val="Funote"/>
        <w:rPr/>
      </w:pPr>
      <w:r>
        <w:rPr>
          <w:i/>
        </w:rPr>
        <w:footnoteRef/>
        <w:tab/>
        <w:t>wird durch sie (nach/in ihnen) leben</w:t>
      </w:r>
      <w:r>
        <w:rPr/>
        <w:t xml:space="preserve"> Dieser Satz hat eine weit reichende Wirkungsgeschichte im AT, in der jüdischen Auslegung und im NT entfaltet. Was bedeutet „leben“? Geht es um diesseitiges oder jenseitiges Leben oder nur um die Lebensqualität? Und geht es um Leben </w:t>
      </w:r>
      <w:r>
        <w:rPr>
          <w:i/>
        </w:rPr>
        <w:t>durch</w:t>
      </w:r>
      <w:r>
        <w:rPr/>
        <w:t xml:space="preserve"> Einhaltung der Gebote, oder </w:t>
      </w:r>
      <w:r>
        <w:rPr>
          <w:i/>
        </w:rPr>
        <w:t>in</w:t>
      </w:r>
      <w:r>
        <w:rPr/>
        <w:t xml:space="preserve"> ihrem Schutz o.ä.? Unter dem Einfluss des Exils wurde er neu aufgegriffen (</w:t>
      </w:r>
      <w:r>
        <w:fldChar w:fldCharType="begin"/>
      </w:r>
      <w:r>
        <w:instrText> HYPERLINK "file:///wiki/Ezechiel_20" \l "s11"</w:instrText>
      </w:r>
      <w:r>
        <w:fldChar w:fldCharType="separate"/>
      </w:r>
      <w:r>
        <w:rPr>
          <w:rStyle w:val="Internetverknpfung"/>
        </w:rPr>
        <w:t>Ez 20,11</w:t>
      </w:r>
      <w:r>
        <w:fldChar w:fldCharType="end"/>
      </w:r>
      <w:r>
        <w:rPr/>
        <w:t xml:space="preserve">, </w:t>
      </w:r>
      <w:hyperlink r:id="rId25">
        <w:r>
          <w:rPr>
            <w:rStyle w:val="Internetverknpfung"/>
          </w:rPr>
          <w:t>Neh 9,29</w:t>
        </w:r>
      </w:hyperlink>
      <w:r>
        <w:rPr/>
        <w:t>) und als Beleg für Israels Versagen gegenüber ihrem Bundesversprechen. Viele Rabbinen benutzten den Vers als Beleg für die grundsätzlich lebensschützende Funktion der Tora, andere hingegen als Hinweis auf ewiges Leben. Besonders kompliziert ist Paulus' Verwendung von Lev 18,5 (</w:t>
      </w:r>
      <w:r>
        <w:fldChar w:fldCharType="begin"/>
      </w:r>
      <w:r>
        <w:instrText> HYPERLINK "file:///wiki/Römer_10" \l "s8"</w:instrText>
      </w:r>
      <w:r>
        <w:fldChar w:fldCharType="separate"/>
      </w:r>
      <w:r>
        <w:rPr>
          <w:rStyle w:val="Internetverknpfung"/>
        </w:rPr>
        <w:t>Röm 10,8</w:t>
      </w:r>
      <w:r>
        <w:fldChar w:fldCharType="end"/>
      </w:r>
      <w:r>
        <w:rPr/>
        <w:t xml:space="preserve">, </w:t>
      </w:r>
      <w:r>
        <w:fldChar w:fldCharType="begin"/>
      </w:r>
      <w:r>
        <w:instrText> HYPERLINK "file:///wiki/Galater_3" \l "s12"</w:instrText>
      </w:r>
      <w:r>
        <w:fldChar w:fldCharType="separate"/>
      </w:r>
      <w:r>
        <w:rPr>
          <w:rStyle w:val="Internetverknpfung"/>
        </w:rPr>
        <w:t>Gal 3,12</w:t>
      </w:r>
      <w:r>
        <w:fldChar w:fldCharType="end"/>
      </w:r>
      <w:r>
        <w:rPr/>
        <w:t xml:space="preserve">). Ab dem späten 20. Jh. spielte er in der Diskussion um die neue Paulusperspektive eine nicht unwichtige Rolle. </w:t>
        <w:br/>
        <w:t xml:space="preserve">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 xml:space="preserve">lokal; für sie geht es um ein gesegnetes Leben </w:t>
      </w:r>
      <w:r>
        <w:rPr>
          <w:i/>
        </w:rPr>
        <w:t>innerhalb</w:t>
      </w:r>
      <w:r>
        <w:rPr/>
        <w:t xml:space="preserve"> des Bundes. Die Mehrheit der Ausleger versteht die Stelle als gehorsamsbedingte Verheißung eines Lebens unter dem Bundessegen im verheißenen Land (Wenham, Sprinkle, Gathercole u.a.). </w:t>
      </w:r>
    </w:p>
  </w:footnote>
  <w:footnote w:id="795">
    <w:p>
      <w:pPr>
        <w:pStyle w:val="Funote"/>
        <w:rPr/>
      </w:pPr>
      <w:r>
        <w:rPr/>
        <w:footnoteRef/>
        <w:tab/>
        <w:t>[Status: Zuverlässig]</w:t>
      </w:r>
    </w:p>
  </w:footnote>
  <w:footnote w:id="796">
    <w:p>
      <w:pPr>
        <w:pStyle w:val="Funote"/>
        <w:rPr/>
      </w:pPr>
      <w:r>
        <w:rPr/>
        <w:footnoteRef/>
        <w:tab/>
        <w:t xml:space="preserve">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 </w:t>
      </w:r>
    </w:p>
  </w:footnote>
  <w:footnote w:id="797">
    <w:p>
      <w:pPr>
        <w:pStyle w:val="Funote"/>
        <w:rPr/>
      </w:pPr>
      <w:r>
        <w:rPr/>
        <w:footnoteRef/>
        <w:tab/>
        <w:t>Prädikatives Partizip.</w:t>
      </w:r>
    </w:p>
  </w:footnote>
  <w:footnote w:id="798">
    <w:p>
      <w:pPr>
        <w:pStyle w:val="Funote"/>
        <w:rPr/>
      </w:pPr>
      <w:r>
        <w:rPr/>
        <w:footnoteRef/>
        <w:tab/>
        <w:t xml:space="preserve">Mit einer konsekutiven Satzverknüpfung zeigt V. 25 an, dass die Unreinheit der Bewohner zur Unreinheit des Landes und zu Gottes Bestrafung führte. </w:t>
      </w:r>
    </w:p>
  </w:footnote>
  <w:footnote w:id="799">
    <w:p>
      <w:pPr>
        <w:pStyle w:val="Funote"/>
        <w:rPr/>
      </w:pPr>
      <w:r>
        <w:rPr/>
        <w:footnoteRef/>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800">
    <w:p>
      <w:pPr>
        <w:pStyle w:val="Funote"/>
        <w:rPr/>
      </w:pPr>
      <w:r>
        <w:rPr/>
        <w:footnoteRef/>
        <w:tab/>
        <w:t xml:space="preserve">Die Übersetzung „Seelen“ (Klammer) folgt Kiuchi 2007, 332, der sie in Verbindung mit „abschneiden“ für angemessener hält als „Personen“. </w:t>
      </w:r>
    </w:p>
  </w:footnote>
  <w:footnote w:id="801">
    <w:p>
      <w:pPr>
        <w:pStyle w:val="Funote"/>
        <w:rPr/>
      </w:pPr>
      <w:r>
        <w:rPr/>
        <w:footnoteRef/>
        <w:tab/>
        <w:t>übernehmen Wörtlich „tun/handeln“ (genauso das folgende Verb „nachgegangen sind“), doch Bräuche werden im Deutschen i.d.R. wahrgenommen. Denkbar sind auch „nachgehen“ oder „folgen“. übernehmen passt recht gut in den Kontext (vgl. NLB).</w:t>
      </w:r>
    </w:p>
  </w:footnote>
  <w:footnote w:id="802">
    <w:p>
      <w:pPr>
        <w:pStyle w:val="Funote"/>
        <w:rPr/>
      </w:pPr>
      <w:r>
        <w:rPr/>
        <w:footnoteRef/>
        <w:tab/>
        <w:t xml:space="preserve">Es ist nicht klar, ob „vor“ hier in räumlicher („vor euren Augen“) oder zeitlicher Hinsicht („vor eurer Ankunft“) gemeint ist. Nach Milgrom ist die räumliche Deutung wahrscheinlicher, weil die zeitliche das Verb „sein“ erforderlich machen würde (Milgrom 2000, 1583). Vgl. auch V. 5 &amp; 27. </w:t>
      </w:r>
    </w:p>
  </w:footnote>
  <w:footnote w:id="803">
    <w:p>
      <w:pPr>
        <w:pStyle w:val="Funote"/>
        <w:rPr/>
      </w:pPr>
      <w:r>
        <w:rPr>
          <w:i/>
        </w:rPr>
        <w:footnoteRef/>
        <w:tab/>
        <w:t>an ihnen (wie sie)</w:t>
      </w:r>
      <w:r>
        <w:rPr/>
        <w:t xml:space="preserve"> Hebr. </w:t>
      </w:r>
      <w:r>
        <w:rPr>
          <w:rtl w:val="true"/>
          <w:lang w:bidi="he-IL"/>
        </w:rPr>
        <w:t>בָּהֶם</w:t>
      </w:r>
      <w:r>
        <w:rPr/>
        <w:t xml:space="preserve"> </w:t>
      </w:r>
      <w:r>
        <w:rPr/>
        <w:t xml:space="preserve">bezieht sich hier wie „mit all diesen [Praktiken]“ in V. 24 instrumental auf das Mittel, mit dem die Verunreinigung entstand. Theoretisch möglich wäre jedoch auch die Übersetzung „wie sie“, also als Vergleich mit den Einheimischen. </w:t>
      </w:r>
    </w:p>
  </w:footnote>
  <w:footnote w:id="804">
    <w:p>
      <w:pPr>
        <w:pStyle w:val="Funote"/>
        <w:rPr/>
      </w:pPr>
      <w:r>
        <w:rPr/>
        <w:footnoteRef/>
        <w:tab/>
        <w:t>hier fehlen einige andere Möglichkeiten zur Begriffsklärung</w:t>
      </w:r>
    </w:p>
  </w:footnote>
  <w:footnote w:id="805">
    <w:p>
      <w:pPr>
        <w:pStyle w:val="Funote"/>
        <w:rPr/>
      </w:pPr>
      <w:r>
        <w:rPr/>
        <w:footnoteRef/>
        <w:tab/>
        <w:t xml:space="preserve">Luther übersetzt </w:t>
      </w:r>
      <w:r>
        <w:rPr>
          <w:rtl w:val="true"/>
          <w:lang w:bidi="he-IL"/>
        </w:rPr>
        <w:t>תַּחַת</w:t>
      </w:r>
      <w:r>
        <w:rPr/>
        <w:t xml:space="preserve"> </w:t>
      </w:r>
      <w:r>
        <w:rPr/>
        <w:t>mit „um“, was allerdings problematisch sein kann (s. Seldner), Liebe deinen Nächsten wie dich selbst (http://www.pfarrerblatt.de/text_34.htm, letzter Absatz). Kurz zusammengefasst: Es geht um eine angemessene, gerichtlich angeordnete Bestrafung (evtl. Entschädigung), nicht um persönlich durchgeführte Rache</w:t>
      </w:r>
    </w:p>
  </w:footnote>
  <w:footnote w:id="806">
    <w:p>
      <w:pPr>
        <w:pStyle w:val="Funote"/>
        <w:rPr/>
      </w:pPr>
      <w:r>
        <w:rPr/>
        <w:footnoteRef/>
        <w:tab/>
        <w:t>Gleiche Wurzel wie Schalom.</w:t>
      </w:r>
    </w:p>
  </w:footnote>
  <w:footnote w:id="807">
    <w:p>
      <w:pPr>
        <w:pStyle w:val="Funote"/>
        <w:rPr/>
      </w:pPr>
      <w:r>
        <w:rPr/>
        <w:footnoteRef/>
        <w:tab/>
        <w:t>[Status: Ungeprüft]</w:t>
      </w:r>
    </w:p>
  </w:footnote>
  <w:footnote w:id="808">
    <w:p>
      <w:pPr>
        <w:pStyle w:val="Funote"/>
        <w:rPr/>
      </w:pPr>
      <w:r>
        <w:rPr/>
        <w:footnoteRef/>
        <w:tab/>
        <w:t>Gemeint ist vermutlich ein Seitenarm des Roten Meeres bzw. der Golf von Suez.</w:t>
      </w:r>
    </w:p>
  </w:footnote>
  <w:footnote w:id="809">
    <w:p>
      <w:pPr>
        <w:pStyle w:val="Funote"/>
        <w:rPr/>
      </w:pPr>
      <w:r>
        <w:rPr/>
        <w:footnoteRef/>
        <w:tab/>
        <w:t xml:space="preserve">Das Wort „Schlange“ wird zweimal mit verschiedenen Begriffen. Dabei kann </w:t>
      </w:r>
      <w:r>
        <w:rPr>
          <w:rtl w:val="true"/>
          <w:lang w:bidi="he-IL"/>
        </w:rPr>
        <w:t>שָׂרָף</w:t>
      </w:r>
      <w:r>
        <w:rPr/>
        <w:t xml:space="preserve"> </w:t>
      </w:r>
      <w:r>
        <w:rPr/>
        <w:t>auch „das Brennen“ bedeuten, wobei diese Variante nach Gesenius</w:t>
      </w:r>
      <w:r>
        <w:rPr>
          <w:position w:val="7"/>
          <w:sz w:val="16"/>
        </w:rPr>
        <w:t>17</w:t>
      </w:r>
      <w:r>
        <w:rPr/>
        <w:t>, S. 794 eigentlich nicht für Num 21,6 zutrifft. Eine weitere (freiere) Übersetzungsmöglichkeit wäre: „Schlangen [auf] Schlangen“.</w:t>
      </w:r>
    </w:p>
  </w:footnote>
  <w:footnote w:id="810">
    <w:p>
      <w:pPr>
        <w:pStyle w:val="Funote"/>
        <w:rPr/>
      </w:pPr>
      <w:r>
        <w:rPr/>
        <w:footnoteRef/>
        <w:tab/>
        <w:t xml:space="preserve">Kal Impf. Cons. von </w:t>
      </w:r>
      <w:r>
        <w:rPr>
          <w:rtl w:val="true"/>
          <w:lang w:bidi="he-IL"/>
        </w:rPr>
        <w:t>קום</w:t>
      </w:r>
      <w:r>
        <w:rPr/>
        <w:t>, letzte Silbe ist ein Qamez Chatuf.</w:t>
      </w:r>
    </w:p>
  </w:footnote>
  <w:footnote w:id="811">
    <w:p>
      <w:pPr>
        <w:pStyle w:val="Funote"/>
        <w:rPr/>
      </w:pPr>
      <w:r>
        <w:rPr/>
        <w:footnoteRef/>
        <w:tab/>
        <w:t xml:space="preserve">Kal Impf. Cons. von </w:t>
      </w:r>
      <w:r>
        <w:rPr>
          <w:rtl w:val="true"/>
          <w:lang w:bidi="he-IL"/>
        </w:rPr>
        <w:t>קדד</w:t>
      </w:r>
      <w:r>
        <w:rPr/>
        <w:t>.</w:t>
      </w:r>
    </w:p>
  </w:footnote>
  <w:footnote w:id="812">
    <w:p>
      <w:pPr>
        <w:pStyle w:val="Funote"/>
        <w:rPr/>
      </w:pPr>
      <w:r>
        <w:rPr/>
        <w:footnoteRef/>
        <w:tab/>
        <w:t>Im Samaritanischen Pentateuch ist an dieser Stelle „JHWH“ überliefert.</w:t>
      </w:r>
    </w:p>
  </w:footnote>
  <w:footnote w:id="813">
    <w:p>
      <w:pPr>
        <w:pStyle w:val="Funote"/>
        <w:rPr/>
      </w:pPr>
      <w:r>
        <w:rPr/>
        <w:footnoteRef/>
        <w:tab/>
        <w:t xml:space="preserve">Apokopierter Kal Impf. Cons. von </w:t>
      </w:r>
      <w:r>
        <w:rPr>
          <w:rtl w:val="true"/>
          <w:lang w:bidi="he-IL"/>
        </w:rPr>
        <w:t>נטה</w:t>
      </w:r>
      <w:r>
        <w:rPr/>
        <w:t>.</w:t>
      </w:r>
    </w:p>
  </w:footnote>
  <w:footnote w:id="814">
    <w:p>
      <w:pPr>
        <w:pStyle w:val="Funote"/>
        <w:rPr/>
      </w:pPr>
      <w:r>
        <w:rPr/>
        <w:footnoteRef/>
        <w:tab/>
        <w:t xml:space="preserve">Hitpa'el Impf. Cons. von </w:t>
      </w:r>
      <w:r>
        <w:rPr>
          <w:rtl w:val="true"/>
          <w:lang w:bidi="he-IL"/>
        </w:rPr>
        <w:t>יצב</w:t>
      </w:r>
      <w:r>
        <w:rPr/>
        <w:t>.</w:t>
      </w:r>
    </w:p>
  </w:footnote>
  <w:footnote w:id="815">
    <w:p>
      <w:pPr>
        <w:pStyle w:val="Funote"/>
        <w:rPr/>
      </w:pPr>
      <w:r>
        <w:rPr/>
        <w:footnoteRef/>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816">
    <w:p>
      <w:pPr>
        <w:pStyle w:val="Funote"/>
        <w:rPr/>
      </w:pPr>
      <w:r>
        <w:rPr/>
        <w:footnoteRef/>
        <w:tab/>
        <w:t>Das Wort für „Diener“ meint vor allem „junges männliches Kind“ oder „Knabe“, weshalb auch ergänzend „seine zwei [jungen] Diener“ übersetzt werden könnte. Eine andere Übersetzung der Satzkonstruktion lautet: „und zwei seiner Diener mit ihm.“</w:t>
      </w:r>
    </w:p>
  </w:footnote>
  <w:footnote w:id="817">
    <w:p>
      <w:pPr>
        <w:pStyle w:val="Funote"/>
        <w:rPr/>
      </w:pPr>
      <w:r>
        <w:rPr/>
        <w:footnoteRef/>
        <w:tab/>
        <w:t xml:space="preserve">Nif'al Part. Sg. von </w:t>
      </w:r>
      <w:r>
        <w:rPr>
          <w:rtl w:val="true"/>
          <w:lang w:bidi="he-IL"/>
        </w:rPr>
        <w:t>נצב</w:t>
      </w:r>
      <w:r>
        <w:rPr/>
        <w:t>.</w:t>
      </w:r>
    </w:p>
  </w:footnote>
  <w:footnote w:id="818">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19">
    <w:p>
      <w:pPr>
        <w:pStyle w:val="Funote"/>
        <w:rPr/>
      </w:pPr>
      <w:r>
        <w:rPr/>
        <w:footnoteRef/>
        <w:tab/>
        <w:t xml:space="preserve">Apokopierter Kal Impf. Cons. von </w:t>
      </w:r>
      <w:r>
        <w:rPr>
          <w:rtl w:val="true"/>
          <w:lang w:bidi="he-IL"/>
        </w:rPr>
        <w:t>נטה</w:t>
      </w:r>
      <w:r>
        <w:rPr/>
        <w:t>.</w:t>
      </w:r>
    </w:p>
  </w:footnote>
  <w:footnote w:id="820">
    <w:p>
      <w:pPr>
        <w:pStyle w:val="Funote"/>
        <w:rPr/>
      </w:pPr>
      <w:r>
        <w:rPr/>
        <w:footnoteRef/>
        <w:tab/>
        <w:t xml:space="preserve">Hif'il Impf. Cons. von </w:t>
      </w:r>
      <w:r>
        <w:rPr>
          <w:rtl w:val="true"/>
          <w:lang w:bidi="he-IL"/>
        </w:rPr>
        <w:t>נכה</w:t>
      </w:r>
      <w:r>
        <w:rPr/>
        <w:t>.</w:t>
      </w:r>
    </w:p>
  </w:footnote>
  <w:footnote w:id="821">
    <w:p>
      <w:pPr>
        <w:pStyle w:val="Funote"/>
        <w:rPr/>
      </w:pPr>
      <w:r>
        <w:rPr/>
        <w:footnoteRef/>
        <w:tab/>
        <w:t xml:space="preserve">Hif'il Inf. Sg. mit Suff. von </w:t>
      </w:r>
      <w:r>
        <w:rPr>
          <w:rtl w:val="true"/>
          <w:lang w:bidi="he-IL"/>
        </w:rPr>
        <w:t>נטה</w:t>
      </w:r>
      <w:r>
        <w:rPr/>
        <w:t>.</w:t>
      </w:r>
    </w:p>
  </w:footnote>
  <w:footnote w:id="822">
    <w:p>
      <w:pPr>
        <w:pStyle w:val="Funote"/>
        <w:rPr/>
      </w:pPr>
      <w:r>
        <w:rPr/>
        <w:footnoteRef/>
        <w:tab/>
        <w:t xml:space="preserve">Die Richtungsangabe wird durch ein </w:t>
      </w:r>
      <w:r>
        <w:rPr>
          <w:rtl w:val="true"/>
          <w:lang w:bidi="he-IL"/>
        </w:rPr>
        <w:t>ה</w:t>
      </w:r>
      <w:r>
        <w:rPr/>
        <w:t>-</w:t>
      </w:r>
      <w:r>
        <w:rPr>
          <w:i/>
        </w:rPr>
        <w:t>locale</w:t>
      </w:r>
      <w:r>
        <w:rPr/>
        <w:t xml:space="preserve"> ausgedrückt.</w:t>
      </w:r>
    </w:p>
  </w:footnote>
  <w:footnote w:id="823">
    <w:p>
      <w:pPr>
        <w:pStyle w:val="Funote"/>
        <w:rPr/>
      </w:pPr>
      <w:r>
        <w:rPr/>
        <w:footnoteRef/>
        <w:tab/>
        <w:t xml:space="preserve">Pi'el Impf. Cons. von </w:t>
      </w:r>
      <w:r>
        <w:rPr>
          <w:rtl w:val="true"/>
          <w:lang w:bidi="he-IL"/>
        </w:rPr>
        <w:t>גלה</w:t>
      </w:r>
      <w:r>
        <w:rPr/>
        <w:t>.</w:t>
      </w:r>
    </w:p>
  </w:footnote>
  <w:footnote w:id="824">
    <w:p>
      <w:pPr>
        <w:pStyle w:val="Funote"/>
        <w:rPr/>
      </w:pPr>
      <w:r>
        <w:rPr/>
        <w:footnoteRef/>
        <w:tab/>
        <w:t xml:space="preserve">Nif'al Part. Sg. von </w:t>
      </w:r>
      <w:r>
        <w:rPr>
          <w:rtl w:val="true"/>
          <w:lang w:bidi="he-IL"/>
        </w:rPr>
        <w:t>נצב</w:t>
      </w:r>
      <w:r>
        <w:rPr/>
        <w:t>.</w:t>
      </w:r>
    </w:p>
  </w:footnote>
  <w:footnote w:id="825">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26">
    <w:p>
      <w:pPr>
        <w:pStyle w:val="Funote"/>
        <w:rPr/>
      </w:pPr>
      <w:r>
        <w:rPr/>
        <w:footnoteRef/>
        <w:tab/>
        <w:t xml:space="preserve">Kal Impf. Cons. von </w:t>
      </w:r>
      <w:r>
        <w:rPr>
          <w:rtl w:val="true"/>
          <w:lang w:bidi="he-IL"/>
        </w:rPr>
        <w:t>קדד</w:t>
      </w:r>
      <w:r>
        <w:rPr/>
        <w:t>.</w:t>
      </w:r>
    </w:p>
  </w:footnote>
  <w:footnote w:id="827">
    <w:p>
      <w:pPr>
        <w:pStyle w:val="Funote"/>
        <w:rPr/>
      </w:pPr>
      <w:r>
        <w:rPr/>
        <w:footnoteRef/>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w:t>
      </w:r>
      <w:r>
        <w:rPr>
          <w:position w:val="7"/>
          <w:sz w:val="16"/>
        </w:rPr>
        <w:t>17</w:t>
      </w:r>
      <w:r>
        <w:rPr/>
        <w:t>, S. 817, handelt es sich nicht um eine Pluralform, sondern um den Singular; vgl. Grethler, Hebräische Grammatik, 1962</w:t>
      </w:r>
      <w:r>
        <w:rPr>
          <w:position w:val="7"/>
          <w:sz w:val="16"/>
        </w:rPr>
        <w:t>3</w:t>
      </w:r>
      <w:r>
        <w:rPr/>
        <w:t>, S. 145.</w:t>
      </w:r>
    </w:p>
  </w:footnote>
  <w:footnote w:id="828">
    <w:p>
      <w:pPr>
        <w:pStyle w:val="Funote"/>
        <w:rPr/>
      </w:pPr>
      <w:r>
        <w:rPr/>
        <w:footnoteRef/>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829">
    <w:p>
      <w:pPr>
        <w:pStyle w:val="Funote"/>
        <w:rPr/>
      </w:pPr>
      <w:r>
        <w:rPr/>
        <w:footnoteRef/>
        <w:tab/>
        <w:t xml:space="preserve">Hif'il Pf. von </w:t>
      </w:r>
      <w:r>
        <w:rPr>
          <w:rtl w:val="true"/>
          <w:lang w:bidi="he-IL"/>
        </w:rPr>
        <w:t>חיה</w:t>
      </w:r>
      <w:r>
        <w:rPr/>
        <w:t>.</w:t>
      </w:r>
    </w:p>
  </w:footnote>
  <w:footnote w:id="830">
    <w:p>
      <w:pPr>
        <w:pStyle w:val="Funote"/>
        <w:rPr/>
      </w:pPr>
      <w:r>
        <w:rPr/>
        <w:footnoteRef/>
        <w:tab/>
        <w:t xml:space="preserve">Das Demonstrativpronom </w:t>
      </w:r>
      <w:r>
        <w:rPr>
          <w:rtl w:val="true"/>
          <w:lang w:bidi="he-IL"/>
        </w:rPr>
        <w:t>זהֶ</w:t>
      </w:r>
      <w:r>
        <w:rPr/>
        <w:t xml:space="preserve"> </w:t>
      </w:r>
      <w:r>
        <w:rPr/>
        <w:t>wird besonders vor Numeralen als temporales Adverb übersetzt; vgl. Gesenius</w:t>
      </w:r>
      <w:r>
        <w:rPr>
          <w:position w:val="7"/>
          <w:sz w:val="16"/>
        </w:rPr>
        <w:t>17</w:t>
      </w:r>
      <w:r>
        <w:rPr/>
        <w:t>, S. 193.</w:t>
      </w:r>
    </w:p>
  </w:footnote>
  <w:footnote w:id="831">
    <w:p>
      <w:pPr>
        <w:pStyle w:val="Funote"/>
        <w:rPr/>
      </w:pPr>
      <w:r>
        <w:rPr/>
        <w:footnoteRef/>
        <w:tab/>
        <w:t xml:space="preserve">Kal Pf. von </w:t>
      </w:r>
      <w:r>
        <w:rPr>
          <w:rtl w:val="true"/>
          <w:lang w:bidi="he-IL"/>
        </w:rPr>
        <w:t>ירט</w:t>
      </w:r>
      <w:r>
        <w:rPr/>
        <w:t>.</w:t>
      </w:r>
    </w:p>
  </w:footnote>
  <w:footnote w:id="832">
    <w:p>
      <w:pPr>
        <w:pStyle w:val="Funote"/>
        <w:rPr/>
      </w:pPr>
      <w:r>
        <w:rPr/>
        <w:footnoteRef/>
        <w:tab/>
        <w:t>Vgl. Vers 22.</w:t>
      </w:r>
    </w:p>
  </w:footnote>
  <w:footnote w:id="833">
    <w:p>
      <w:pPr>
        <w:pStyle w:val="Funote"/>
        <w:rPr/>
      </w:pPr>
      <w:r>
        <w:rPr/>
        <w:footnoteRef/>
        <w:tab/>
        <w:t xml:space="preserve">Kal Pf. von </w:t>
      </w:r>
      <w:r>
        <w:rPr>
          <w:rtl w:val="true"/>
          <w:lang w:bidi="he-IL"/>
        </w:rPr>
        <w:t>ירט</w:t>
      </w:r>
      <w:r>
        <w:rPr/>
        <w:t>.</w:t>
      </w:r>
    </w:p>
  </w:footnote>
  <w:footnote w:id="834">
    <w:p>
      <w:pPr>
        <w:pStyle w:val="Funote"/>
        <w:rPr/>
      </w:pPr>
      <w:r>
        <w:rPr/>
        <w:footnoteRef/>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835">
    <w:p>
      <w:pPr>
        <w:pStyle w:val="Funote"/>
        <w:rPr/>
      </w:pPr>
      <w:r>
        <w:rPr/>
        <w:footnoteRef/>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w:t>
      </w:r>
      <w:r>
        <w:rPr>
          <w:position w:val="7"/>
          <w:sz w:val="16"/>
        </w:rPr>
        <w:t>17</w:t>
      </w:r>
      <w:r>
        <w:rPr/>
        <w:t>, S. 16.</w:t>
      </w:r>
    </w:p>
  </w:footnote>
  <w:footnote w:id="836">
    <w:p>
      <w:pPr>
        <w:pStyle w:val="Funote"/>
        <w:rPr/>
      </w:pPr>
      <w:r>
        <w:rPr>
          <w:i/>
        </w:rPr>
        <w:footnoteRef/>
        <w:tab/>
        <w:t>Nota accusativa</w:t>
      </w:r>
      <w:r>
        <w:rPr/>
        <w:t xml:space="preserve"> mit Suff.</w:t>
      </w:r>
    </w:p>
  </w:footnote>
  <w:footnote w:id="837">
    <w:p>
      <w:pPr>
        <w:pStyle w:val="Funote"/>
        <w:rPr/>
      </w:pPr>
      <w:r>
        <w:rPr/>
        <w:footnoteRef/>
        <w:tab/>
        <w:t xml:space="preserve">Hif'il Pf. von </w:t>
      </w:r>
      <w:r>
        <w:rPr>
          <w:rtl w:val="true"/>
          <w:lang w:bidi="he-IL"/>
        </w:rPr>
        <w:t>חיה</w:t>
      </w:r>
      <w:r>
        <w:rPr/>
        <w:t>.</w:t>
      </w:r>
    </w:p>
  </w:footnote>
  <w:footnote w:id="838">
    <w:p>
      <w:pPr>
        <w:pStyle w:val="Funote"/>
        <w:rPr/>
      </w:pPr>
      <w:r>
        <w:rPr/>
        <w:footnoteRef/>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839">
    <w:p>
      <w:pPr>
        <w:pStyle w:val="Funote"/>
        <w:rPr/>
      </w:pPr>
      <w:r>
        <w:rPr/>
        <w:footnoteRef/>
        <w:tab/>
        <w:t>JHWH</w:t>
      </w:r>
    </w:p>
  </w:footnote>
  <w:footnote w:id="840">
    <w:p>
      <w:pPr>
        <w:pStyle w:val="Funote"/>
        <w:rPr/>
      </w:pPr>
      <w:r>
        <w:rPr/>
        <w:footnoteRef/>
        <w:tab/>
        <w:t>Part. Qal.</w:t>
      </w:r>
    </w:p>
  </w:footnote>
  <w:footnote w:id="841">
    <w:p>
      <w:pPr>
        <w:pStyle w:val="Funote"/>
        <w:rPr/>
      </w:pPr>
      <w:r>
        <w:rPr/>
        <w:footnoteRef/>
        <w:tab/>
        <w:t>Perf. cons./Waw-Consecutivum.</w:t>
      </w:r>
    </w:p>
  </w:footnote>
  <w:footnote w:id="842">
    <w:p>
      <w:pPr>
        <w:pStyle w:val="Funote"/>
        <w:rPr/>
      </w:pPr>
      <w:r>
        <w:rPr/>
        <w:footnoteRef/>
        <w:tab/>
        <w:t>Hier beginnt die wörtliche Rede, die in V4 eingeleitet wurde.</w:t>
      </w:r>
    </w:p>
  </w:footnote>
  <w:footnote w:id="843">
    <w:p>
      <w:pPr>
        <w:pStyle w:val="Funote"/>
        <w:rPr/>
      </w:pPr>
      <w:r>
        <w:rPr/>
        <w:footnoteRef/>
        <w:tab/>
        <w:t>Wörtlich: „Zu meinem Angesicht (Person) hinzu“.</w:t>
      </w:r>
    </w:p>
  </w:footnote>
  <w:footnote w:id="844">
    <w:p>
      <w:pPr>
        <w:pStyle w:val="Funote"/>
        <w:rPr/>
      </w:pPr>
      <w:r>
        <w:rPr/>
        <w:footnoteRef/>
        <w:tab/>
        <w:t>Wörtlich: „für dich“.</w:t>
      </w:r>
    </w:p>
  </w:footnote>
  <w:footnote w:id="845">
    <w:p>
      <w:pPr>
        <w:pStyle w:val="Funote"/>
        <w:rPr/>
      </w:pPr>
      <w:r>
        <w:rPr/>
        <w:footnoteRef/>
        <w:tab/>
        <w:t>Oder: „auf … hin“.</w:t>
      </w:r>
    </w:p>
  </w:footnote>
  <w:footnote w:id="846">
    <w:p>
      <w:pPr>
        <w:pStyle w:val="Funote"/>
        <w:rPr/>
      </w:pPr>
      <w:r>
        <w:rPr/>
        <w:footnoteRef/>
        <w:tab/>
        <w:t>Inf. abs. Qal.</w:t>
      </w:r>
    </w:p>
  </w:footnote>
  <w:footnote w:id="847">
    <w:p>
      <w:pPr>
        <w:pStyle w:val="Funote"/>
        <w:rPr/>
      </w:pPr>
      <w:r>
        <w:rPr/>
        <w:footnoteRef/>
        <w:tab/>
        <w:t xml:space="preserve">Wörtlich: „…, </w:t>
      </w:r>
      <w:r>
        <w:rPr>
          <w:i/>
        </w:rPr>
        <w:t>um</w:t>
      </w:r>
      <w:r>
        <w:rPr/>
        <w:t xml:space="preserve"> ruhen dein Sklave und deine Sklavin wie du </w:t>
      </w:r>
      <w:r>
        <w:rPr>
          <w:i/>
        </w:rPr>
        <w:t>willen</w:t>
      </w:r>
      <w:r>
        <w:rPr/>
        <w:t>.“</w:t>
      </w:r>
    </w:p>
  </w:footnote>
  <w:footnote w:id="848">
    <w:p>
      <w:pPr>
        <w:pStyle w:val="Funote"/>
        <w:rPr/>
      </w:pPr>
      <w:r>
        <w:rPr/>
        <w:footnoteRef/>
        <w:tab/>
        <w:t>Nota bene: dies ist der erste Imperativ (Piel-Form) in den „Zehn Geboten“.</w:t>
      </w:r>
    </w:p>
  </w:footnote>
  <w:footnote w:id="849">
    <w:p>
      <w:pPr>
        <w:pStyle w:val="Funote"/>
        <w:rPr/>
      </w:pPr>
      <w:r>
        <w:rPr/>
        <w:footnoteRef/>
        <w:tab/>
        <w:t>Wörtlich: „Nicht antwortest du deinem Nächsten falsches (lügenhaftes) Zeugnis.“</w:t>
      </w:r>
    </w:p>
  </w:footnote>
  <w:footnote w:id="850">
    <w:p>
      <w:pPr>
        <w:pStyle w:val="Funote"/>
        <w:rPr/>
      </w:pPr>
      <w:r>
        <w:rPr/>
        <w:footnoteRef/>
        <w:tab/>
        <w:t>Hier steht im Hebräischen ein anderes Verb als am Satzanfang.</w:t>
      </w:r>
    </w:p>
  </w:footnote>
  <w:footnote w:id="851">
    <w:p>
      <w:pPr>
        <w:pStyle w:val="Funote"/>
        <w:rPr/>
      </w:pPr>
      <w:r>
        <w:rPr/>
        <w:footnoteRef/>
        <w:tab/>
        <w:t>Ipf.</w:t>
      </w:r>
    </w:p>
  </w:footnote>
  <w:footnote w:id="852">
    <w:p>
      <w:pPr>
        <w:pStyle w:val="Funote"/>
        <w:rPr/>
      </w:pPr>
      <w:r>
        <w:rPr/>
        <w:footnoteRef/>
        <w:tab/>
        <w:t xml:space="preserve">Modales </w:t>
      </w:r>
      <w:r>
        <w:rPr>
          <w:rtl w:val="true"/>
          <w:lang w:bidi="he-IL"/>
        </w:rPr>
        <w:t>לְ</w:t>
      </w:r>
      <w:r>
        <w:rPr/>
        <w:t xml:space="preserve"> </w:t>
      </w:r>
      <w:r>
        <w:rPr/>
        <w:t>(LBBH, s. EU, ESV).</w:t>
      </w:r>
    </w:p>
  </w:footnote>
  <w:footnote w:id="853">
    <w:p>
      <w:pPr>
        <w:pStyle w:val="Funote"/>
        <w:rPr/>
      </w:pPr>
      <w:r>
        <w:rPr/>
        <w:footnoteRef/>
        <w:tab/>
        <w:t xml:space="preserve">Zur Verdeutlichung der Unmittelbarkeit ergänzt, die durch das Partizip ausgedrückt wird (vgl. V. 6). </w:t>
      </w:r>
    </w:p>
  </w:footnote>
  <w:footnote w:id="854">
    <w:p>
      <w:pPr>
        <w:pStyle w:val="Funote"/>
        <w:rPr/>
      </w:pPr>
      <w:r>
        <w:rPr/>
        <w:footnoteRef/>
        <w:tab/>
        <w:t xml:space="preserve">Wie am Versanfang hier Anschluss an V. 1: Das Volk soll Gottes Gebote befolgen, damit die Versprechen in V. 2 eintreffen können. </w:t>
      </w:r>
    </w:p>
  </w:footnote>
  <w:footnote w:id="855">
    <w:p>
      <w:pPr>
        <w:pStyle w:val="Funote"/>
        <w:rPr/>
      </w:pPr>
      <w:r>
        <w:rPr/>
        <w:footnoteRef/>
        <w:tab/>
        <w:t>Ipf.</w:t>
      </w:r>
    </w:p>
  </w:footnote>
  <w:footnote w:id="856">
    <w:p>
      <w:pPr>
        <w:pStyle w:val="Funote"/>
        <w:rPr/>
      </w:pPr>
      <w:r>
        <w:rPr/>
        <w:footnoteRef/>
        <w:tab/>
        <w:t>Jeweils modales Pf. cons. Oder: „Nun/deshalb sollst du hören und darauf achten...“</w:t>
      </w:r>
    </w:p>
  </w:footnote>
  <w:footnote w:id="857">
    <w:p>
      <w:pPr>
        <w:pStyle w:val="Funote"/>
        <w:rPr/>
      </w:pPr>
      <w:r>
        <w:rPr/>
        <w:footnoteRef/>
        <w:tab/>
        <w:t>Ipf.</w:t>
      </w:r>
    </w:p>
  </w:footnote>
  <w:footnote w:id="858">
    <w:p>
      <w:pPr>
        <w:pStyle w:val="Funote"/>
        <w:rPr/>
      </w:pPr>
      <w:r>
        <w:rPr/>
        <w:footnoteRef/>
        <w:tab/>
        <w:t>Oder: „denn JHWH … hat dir ein Land versprochen...“ (so etwa HCSB).</w:t>
      </w:r>
    </w:p>
  </w:footnote>
  <w:footnote w:id="859">
    <w:p>
      <w:pPr>
        <w:pStyle w:val="Funote"/>
        <w:rPr/>
      </w:pPr>
      <w:r>
        <w:rPr/>
        <w:footnoteRef/>
        <w:tab/>
        <w:t>Oder, etwas freier: „in dem Milch und Honig fließen.“</w:t>
      </w:r>
    </w:p>
  </w:footnote>
  <w:footnote w:id="860">
    <w:p>
      <w:pPr>
        <w:pStyle w:val="Funote"/>
        <w:rPr/>
      </w:pPr>
      <w:r>
        <w:rPr/>
        <w:footnoteRef/>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861">
    <w:p>
      <w:pPr>
        <w:pStyle w:val="Funote"/>
        <w:rPr/>
      </w:pPr>
      <w:r>
        <w:rPr/>
        <w:footnoteRef/>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862">
    <w:p>
      <w:pPr>
        <w:pStyle w:val="Funote"/>
        <w:rPr/>
      </w:pPr>
      <w:r>
        <w:rPr/>
        <w:footnoteRef/>
        <w:tab/>
        <w:t>Perf. cons.</w:t>
      </w:r>
    </w:p>
  </w:footnote>
  <w:footnote w:id="863">
    <w:p>
      <w:pPr>
        <w:pStyle w:val="Funote"/>
        <w:rPr/>
      </w:pPr>
      <w:r>
        <w:rPr/>
        <w:footnoteRef/>
        <w:tab/>
        <w:t>Modales Pf. cons.</w:t>
      </w:r>
    </w:p>
  </w:footnote>
  <w:footnote w:id="864">
    <w:p>
      <w:pPr>
        <w:pStyle w:val="Funote"/>
        <w:rPr/>
      </w:pPr>
      <w:r>
        <w:rPr/>
        <w:footnoteRef/>
        <w:tab/>
        <w:t>Modales Pf. cons.</w:t>
      </w:r>
    </w:p>
  </w:footnote>
  <w:footnote w:id="865">
    <w:p>
      <w:pPr>
        <w:pStyle w:val="Funote"/>
        <w:rPr/>
      </w:pPr>
      <w:r>
        <w:rPr/>
        <w:footnoteRef/>
        <w:tab/>
        <w:t xml:space="preserve">Vielleicht als „Erinnerungsbänder“, „Merkbänder“ oder „Symbolbänder“ zu verstehen. </w:t>
      </w:r>
    </w:p>
  </w:footnote>
  <w:footnote w:id="866">
    <w:p>
      <w:pPr>
        <w:pStyle w:val="Funote"/>
        <w:rPr/>
      </w:pPr>
      <w:r>
        <w:rPr/>
        <w:footnoteRef/>
        <w:tab/>
        <w:t>D.h. „auf der Stirn“.</w:t>
      </w:r>
    </w:p>
  </w:footnote>
  <w:footnote w:id="867">
    <w:p>
      <w:pPr>
        <w:pStyle w:val="Funote"/>
        <w:rPr/>
      </w:pPr>
      <w:r>
        <w:rPr/>
        <w:footnoteRef/>
        <w:tab/>
        <w:t>Modales Pf. cons.</w:t>
      </w:r>
    </w:p>
  </w:footnote>
  <w:footnote w:id="868">
    <w:p>
      <w:pPr>
        <w:pStyle w:val="Funote"/>
        <w:rPr/>
      </w:pPr>
      <w:r>
        <w:rPr/>
        <w:footnoteRef/>
        <w:tab/>
        <w:t>[Status: Ungeprüft]</w:t>
      </w:r>
    </w:p>
  </w:footnote>
  <w:footnote w:id="869">
    <w:p>
      <w:pPr>
        <w:pStyle w:val="Funote"/>
        <w:rPr/>
      </w:pPr>
      <w:r>
        <w:rPr/>
        <w:footnoteRef/>
        <w:tab/>
        <w:t>Kann auch wörtlich übersetzt werden: „ob ihr Liebende in Bezug auf JHWH, euren Gott, in eurem ganzen Herzen und in eurer ganzen Seele seid.“</w:t>
      </w:r>
    </w:p>
  </w:footnote>
  <w:footnote w:id="870">
    <w:p>
      <w:pPr>
        <w:pStyle w:val="Funote"/>
        <w:rPr/>
      </w:pPr>
      <w:r>
        <w:rPr/>
        <w:footnoteRef/>
        <w:tab/>
        <w:t>Im Orignial Imperfekt/Jussiv mit Inf. abs. (figura ethymologica). Die ist sinngemäß eine starke Aufforderung, die man mit „Du musst/sollst unbedingt …“ oder einem Imperativ wiedergeben kann.</w:t>
      </w:r>
    </w:p>
  </w:footnote>
  <w:footnote w:id="871">
    <w:p>
      <w:pPr>
        <w:pStyle w:val="Funote"/>
        <w:rPr/>
      </w:pPr>
      <w:r>
        <w:rPr/>
        <w:footnoteRef/>
        <w:tab/>
        <w:t>Perfect consecutivum. Schließt an die starke Aufforderung in V. 22 an, hat also ebenfalls starken Aufforderungscharakter.</w:t>
      </w:r>
    </w:p>
  </w:footnote>
  <w:footnote w:id="872">
    <w:p>
      <w:pPr>
        <w:pStyle w:val="Funote"/>
        <w:rPr/>
      </w:pPr>
      <w:r>
        <w:rPr/>
        <w:footnoteRef/>
        <w:tab/>
        <w:t>Hier vielleicht auch: „weil“ oder „dass“.</w:t>
      </w:r>
    </w:p>
  </w:footnote>
  <w:footnote w:id="873">
    <w:p>
      <w:pPr>
        <w:pStyle w:val="Funote"/>
        <w:rPr/>
      </w:pPr>
      <w:r>
        <w:rPr/>
        <w:footnoteRef/>
        <w:tab/>
        <w:t>Gemeint ist der Zehnte.</w:t>
      </w:r>
    </w:p>
  </w:footnote>
  <w:footnote w:id="874">
    <w:p>
      <w:pPr>
        <w:pStyle w:val="Funote"/>
        <w:rPr/>
      </w:pPr>
      <w:r>
        <w:rPr/>
        <w:footnoteRef/>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875">
    <w:p>
      <w:pPr>
        <w:pStyle w:val="Funote"/>
        <w:rPr/>
      </w:pPr>
      <w:r>
        <w:rPr/>
        <w:footnoteRef/>
        <w:tab/>
        <w:t>D.h. Schafe und Ziegen.</w:t>
      </w:r>
    </w:p>
  </w:footnote>
  <w:footnote w:id="876">
    <w:p>
      <w:pPr>
        <w:pStyle w:val="Funote"/>
        <w:rPr/>
      </w:pPr>
      <w:r>
        <w:rPr/>
        <w:footnoteRef/>
        <w:tab/>
        <w:t>Es ist interessant und zu berücksichtigen, dass das Verb für „zerschmettern“ das einzige in diesem Satz ist, das im Perfekt steht.</w:t>
      </w:r>
    </w:p>
  </w:footnote>
  <w:footnote w:id="877">
    <w:p>
      <w:pPr>
        <w:pStyle w:val="Funote"/>
        <w:rPr/>
      </w:pPr>
      <w:r>
        <w:rPr/>
        <w:footnoteRef/>
        <w:tab/>
        <w:t>'äbd' ist hier ein Ehrentitel für den „Knecht JHWHs“. Für Josua, den Diener des Mose wird in diesem Vers ein anderes Wort benutzt.</w:t>
      </w:r>
    </w:p>
  </w:footnote>
  <w:footnote w:id="878">
    <w:p>
      <w:pPr>
        <w:pStyle w:val="Funote"/>
        <w:rPr/>
      </w:pPr>
      <w:r>
        <w:rPr/>
        <w:footnoteRef/>
        <w:tab/>
        <w:t>Hier steht das Partizip „Dienender“.</w:t>
      </w:r>
    </w:p>
  </w:footnote>
  <w:footnote w:id="879">
    <w:p>
      <w:pPr>
        <w:pStyle w:val="Funote"/>
        <w:rPr/>
      </w:pPr>
      <w:r>
        <w:rPr/>
        <w:footnoteRef/>
        <w:tab/>
        <w:t>Hier steht das Partizip, wörtl.: „ich [erg. Hilfsverb, z.B.: war] ein Gebender“</w:t>
      </w:r>
    </w:p>
  </w:footnote>
  <w:footnote w:id="880">
    <w:p>
      <w:pPr>
        <w:pStyle w:val="Funote"/>
        <w:rPr/>
      </w:pPr>
      <w:r>
        <w:rPr/>
        <w:footnoteRef/>
        <w:tab/>
        <w:t>'im' ist Präposition „mit, bei“, nicht Konjunktion „ich gehe mit“.</w:t>
      </w:r>
    </w:p>
  </w:footnote>
  <w:footnote w:id="881">
    <w:p>
      <w:pPr>
        <w:pStyle w:val="Funote"/>
        <w:rPr/>
      </w:pPr>
      <w:r>
        <w:rPr/>
        <w:footnoteRef/>
        <w:tab/>
        <w:t>Ich konnte im Gesenius und in Fohrer, HAW, keinen Bedeutungsunterschied der Verben, 'rph' (hif.) und 'izb' (q.) finden; sie stehen hier referenzidentisch - vielleicht fällt jemandem ein schönes synonymes Begriffspaar ein?</w:t>
      </w:r>
    </w:p>
  </w:footnote>
  <w:footnote w:id="882">
    <w:p>
      <w:pPr>
        <w:pStyle w:val="Funote"/>
        <w:rPr/>
      </w:pPr>
      <w:r>
        <w:rPr/>
        <w:footnoteRef/>
        <w:tab/>
        <w:t>'mimänu' (3.Pers. Pl.) bezieht sich auf die Weisung (Sg.) (es geht bereits um das Torah-Buch, vgl. Vers 8), wahrscheinlich, weil jetzt „die Gebote“ gemeint sind.</w:t>
      </w:r>
    </w:p>
  </w:footnote>
  <w:footnote w:id="883">
    <w:p>
      <w:pPr>
        <w:pStyle w:val="Funote"/>
        <w:rPr/>
      </w:pPr>
      <w:r>
        <w:rPr/>
        <w:footnoteRef/>
        <w:tab/>
        <w:t>D.h. „auf allen [Wegen], auf denen du gehen wirst“ = „auf allen deinen Wegen“.</w:t>
      </w:r>
    </w:p>
  </w:footnote>
  <w:footnote w:id="884">
    <w:p>
      <w:pPr>
        <w:pStyle w:val="Funote"/>
        <w:rPr/>
      </w:pPr>
      <w:r>
        <w:rPr/>
        <w:footnoteRef/>
        <w:tab/>
        <w:t>D.h. „auf allen [Wegen], auf denen du gehen wirst“ = „auf allen deinen Wegen“.</w:t>
      </w:r>
    </w:p>
  </w:footnote>
  <w:footnote w:id="885">
    <w:p>
      <w:pPr>
        <w:pStyle w:val="Funote"/>
        <w:rPr/>
      </w:pPr>
      <w:r>
        <w:rPr/>
        <w:footnoteRef/>
        <w:tab/>
        <w:t>[Status: Zuverlässig]</w:t>
      </w:r>
    </w:p>
  </w:footnote>
  <w:footnote w:id="886">
    <w:p>
      <w:pPr>
        <w:pStyle w:val="Funote"/>
        <w:rPr/>
      </w:pPr>
      <w:r>
        <w:rPr/>
        <w:footnoteRef/>
        <w:tab/>
        <w:t xml:space="preserve">Die Bedeutung des Wortes ist nicht ganz sicher, wird aber als wahrscheinlich angegeben. </w:t>
      </w:r>
    </w:p>
  </w:footnote>
  <w:footnote w:id="887">
    <w:p>
      <w:pPr>
        <w:pStyle w:val="Funote"/>
        <w:rPr/>
      </w:pPr>
      <w:r>
        <w:rPr/>
        <w:footnoteRef/>
        <w:tab/>
        <w:t xml:space="preserve">Die Partikel „Siehe“ bleibt am besten unübersetzt. Sie drückt hier die Aufregung der Boten aus; der Satz wurde ansatzweise in eine entsprechende Form gebracht, um dies wiederzugeben. </w:t>
      </w:r>
    </w:p>
  </w:footnote>
  <w:footnote w:id="888">
    <w:p>
      <w:pPr>
        <w:pStyle w:val="Funote"/>
        <w:rPr/>
      </w:pPr>
      <w:r>
        <w:rPr/>
        <w:footnoteRef/>
        <w:tab/>
        <w:t xml:space="preserve">Möglich auch: „Befehl“, „Nachricht“, „Boten“, „Wachleute“, etc. Die Abgesandten waren aber wohl Polizisten oder Soldaten, wie aus den folgenden Versen klar wird. </w:t>
      </w:r>
    </w:p>
  </w:footnote>
  <w:footnote w:id="889">
    <w:p>
      <w:pPr>
        <w:pStyle w:val="Funote"/>
        <w:rPr/>
      </w:pPr>
      <w:r>
        <w:rPr/>
        <w:footnoteRef/>
        <w:tab/>
        <w:t>Im Hebräischen gibt es kein Plusquamperfekt. Der Kontext legt hier jedoch dringend nahe, dass das Geschilderte vorher geschah und entsprechend zu übersetzen ist.</w:t>
      </w:r>
    </w:p>
  </w:footnote>
  <w:footnote w:id="890">
    <w:p>
      <w:pPr>
        <w:pStyle w:val="Funote"/>
        <w:rPr/>
      </w:pPr>
      <w:r>
        <w:rPr/>
        <w:footnoteRef/>
        <w:tab/>
        <w:t>S. Erklärung zum Plusquamperfekt V. 4.</w:t>
      </w:r>
    </w:p>
  </w:footnote>
  <w:footnote w:id="891">
    <w:p>
      <w:pPr>
        <w:pStyle w:val="Funote"/>
        <w:rPr/>
      </w:pPr>
      <w:r>
        <w:rPr/>
        <w:footnoteRef/>
        <w:tab/>
        <w:t>Wörtlich: „Flachs (pl.) des Holzes“.</w:t>
      </w:r>
    </w:p>
  </w:footnote>
  <w:footnote w:id="892">
    <w:p>
      <w:pPr>
        <w:pStyle w:val="Funote"/>
        <w:rPr/>
      </w:pPr>
      <w:r>
        <w:rPr/>
        <w:footnoteRef/>
        <w:tab/>
        <w:t>Gesenius meint, es handele sich um Baumwolle – bitte in entsprechenden Werken nachschlagen</w:t>
      </w:r>
    </w:p>
  </w:footnote>
  <w:footnote w:id="893">
    <w:p>
      <w:pPr>
        <w:pStyle w:val="Funote"/>
        <w:rPr/>
      </w:pPr>
      <w:r>
        <w:rPr/>
        <w:footnoteRef/>
        <w:tab/>
        <w:t>Aufgelöstes Ptz.</w:t>
      </w:r>
    </w:p>
  </w:footnote>
  <w:footnote w:id="894">
    <w:p>
      <w:pPr>
        <w:pStyle w:val="Funote"/>
        <w:rPr/>
      </w:pPr>
      <w:r>
        <w:rPr/>
        <w:footnoteRef/>
        <w:tab/>
        <w:t xml:space="preserve">Offenbar zum Trocknen. V. 6 müsste vielleicht anhand von historischen Erkenntnissen zur Flachsverarbeitung korrigiert werden. Meine Kenntnisse stammen von </w:t>
      </w:r>
      <w:r>
        <w:fldChar w:fldCharType="begin"/>
      </w:r>
      <w:r>
        <w:instrText> HYPERLINK "http://de.wikipedia.org/wiki/Flachsfaser" \l "Gewinnung_der_Fasern"</w:instrText>
      </w:r>
      <w:r>
        <w:fldChar w:fldCharType="separate"/>
      </w:r>
      <w:r>
        <w:rPr>
          <w:rStyle w:val="Internetverknpfung"/>
        </w:rPr>
        <w:t>Wikipedia</w:t>
      </w:r>
      <w:r>
        <w:fldChar w:fldCharType="end"/>
      </w:r>
      <w:r>
        <w:rPr/>
        <w:t xml:space="preserve">, was weder sehr aussagekräftig noch zitierbar ist. </w:t>
      </w:r>
    </w:p>
  </w:footnote>
  <w:footnote w:id="895">
    <w:p>
      <w:pPr>
        <w:pStyle w:val="Funote"/>
        <w:rPr/>
      </w:pPr>
      <w:r>
        <w:rPr/>
        <w:footnoteRef/>
        <w:tab/>
        <w:t xml:space="preserve">Satzfolgeunterbrechender Waw-Satz, der hier einen erklärenden Einschub markiert. </w:t>
      </w:r>
    </w:p>
  </w:footnote>
  <w:footnote w:id="896">
    <w:p>
      <w:pPr>
        <w:pStyle w:val="Funote"/>
        <w:rPr/>
      </w:pPr>
      <w:r>
        <w:rPr/>
        <w:footnoteRef/>
        <w:tab/>
        <w:t>Kann auch so verstanden werden: „Während sie sie aufs Dach brachte (V. 6), suchten die Männer sie auf der Straße (V. 7)“. Rahab brachte die Männer danach also nachträglich in ein besseres Versteck (vgl. NET Jos 2:7 Fußnote 14).</w:t>
      </w:r>
    </w:p>
  </w:footnote>
  <w:footnote w:id="897">
    <w:p>
      <w:pPr>
        <w:pStyle w:val="Funote"/>
        <w:rPr/>
      </w:pPr>
      <w:r>
        <w:rPr/>
        <w:footnoteRef/>
        <w:tab/>
        <w:t xml:space="preserve">Aus der Perspektive der Verfolger geschildert (vgl. NET Jos 2:7 Fußnote 16). </w:t>
      </w:r>
    </w:p>
  </w:footnote>
  <w:footnote w:id="898">
    <w:p>
      <w:pPr>
        <w:pStyle w:val="Funote"/>
        <w:rPr/>
      </w:pPr>
      <w:r>
        <w:rPr/>
        <w:footnoteRef/>
        <w:tab/>
        <w:t xml:space="preserve">Beigeordnetes Partizip: Sie verließen die Stadt, „um sie zu verfolgen“ oder „bei der Verfolgung“, oder „diejenigen, die sie verfolgten“. </w:t>
      </w:r>
    </w:p>
  </w:footnote>
  <w:footnote w:id="899">
    <w:p>
      <w:pPr>
        <w:pStyle w:val="Funote"/>
        <w:rPr/>
      </w:pPr>
      <w:r>
        <w:rPr/>
        <w:footnoteRef/>
        <w:tab/>
        <w:t xml:space="preserve">Satzfolgeunterbrechender Waw-Satz, der hier einen erklärenden Einschub markiert. </w:t>
      </w:r>
    </w:p>
  </w:footnote>
  <w:footnote w:id="900">
    <w:p>
      <w:pPr>
        <w:pStyle w:val="Funote"/>
        <w:rPr/>
      </w:pPr>
      <w:r>
        <w:rPr/>
        <w:footnoteRef/>
        <w:tab/>
        <w:t>Wörtlich: „auf uns gefallen ist“</w:t>
      </w:r>
    </w:p>
  </w:footnote>
  <w:footnote w:id="901">
    <w:p>
      <w:pPr>
        <w:pStyle w:val="Funote"/>
        <w:rPr/>
      </w:pPr>
      <w:r>
        <w:rPr/>
        <w:footnoteRef/>
        <w:tab/>
        <w:t xml:space="preserve">Das Wort „schmelzen“ könnte auch „(er)zittern“/„beben“ bedeuten und drückt hier panische Angst aus. Es wurde versucht, eine passende deutsche Übersetzung zu finden. Vgl. TWOT, 1156 </w:t>
      </w:r>
      <w:r>
        <w:rPr>
          <w:rtl w:val="true"/>
          <w:lang w:bidi="he-IL"/>
        </w:rPr>
        <w:t>מוּג</w:t>
      </w:r>
      <w:r>
        <w:rPr/>
        <w:t xml:space="preserve">. </w:t>
      </w:r>
    </w:p>
  </w:footnote>
  <w:footnote w:id="902">
    <w:p>
      <w:pPr>
        <w:pStyle w:val="Funote"/>
        <w:rPr/>
      </w:pPr>
      <w:r>
        <w:rPr/>
        <w:footnoteRef/>
        <w:tab/>
        <w:t>Platzhalter für eine fachkundige Erklärung des Bannes.</w:t>
      </w:r>
    </w:p>
  </w:footnote>
  <w:footnote w:id="903">
    <w:p>
      <w:pPr>
        <w:pStyle w:val="Funote"/>
        <w:rPr/>
      </w:pPr>
      <w:r>
        <w:rPr/>
        <w:footnoteRef/>
        <w:tab/>
        <w:t>Wörtlich: „einem Mann“</w:t>
      </w:r>
    </w:p>
  </w:footnote>
  <w:footnote w:id="904">
    <w:p>
      <w:pPr>
        <w:pStyle w:val="Funote"/>
        <w:rPr/>
      </w:pPr>
      <w:r>
        <w:rPr/>
        <w:footnoteRef/>
        <w:tab/>
        <w:t xml:space="preserve">Alternativ „[selbst wenn wir dafür] sterben“ o.ä. Wörtlich „zu sterben“ – dies kann sich entweder auf die Kundschafter, oder auf Rahab beziehen. </w:t>
      </w:r>
    </w:p>
  </w:footnote>
  <w:footnote w:id="905">
    <w:p>
      <w:pPr>
        <w:pStyle w:val="Funote"/>
        <w:rPr/>
      </w:pPr>
      <w:r>
        <w:rPr/>
        <w:footnoteRef/>
        <w:tab/>
        <w:t xml:space="preserve">Alternativ lässt sich der „wenn“-Satz mit dem vorhergehenden Gelübde der Kundschafter verbinden: „Unser Leben für euch..., wenn ihr … nicht meldet“. </w:t>
      </w:r>
    </w:p>
  </w:footnote>
  <w:footnote w:id="906">
    <w:p>
      <w:pPr>
        <w:pStyle w:val="Funote"/>
        <w:rPr/>
      </w:pPr>
      <w:r>
        <w:rPr/>
        <w:footnoteRef/>
        <w:tab/>
        <w:t xml:space="preserve">Temporal aufzufassen. Deshalb wurde zur Verdeutlichung „sobald“ gewählt. </w:t>
      </w:r>
    </w:p>
  </w:footnote>
  <w:footnote w:id="907">
    <w:p>
      <w:pPr>
        <w:pStyle w:val="Funote"/>
        <w:rPr/>
      </w:pPr>
      <w:r>
        <w:rPr/>
        <w:footnoteRef/>
        <w:tab/>
        <w:t>Gedanklich zu ergänzen: „wenn du nicht folgende Bedingung erfüllst:“ (s. V. 18).</w:t>
      </w:r>
    </w:p>
  </w:footnote>
  <w:footnote w:id="908">
    <w:p>
      <w:pPr>
        <w:pStyle w:val="Funote"/>
        <w:rPr/>
      </w:pPr>
      <w:r>
        <w:rPr/>
        <w:footnoteRef/>
        <w:tab/>
        <w:t>„</w:t>
      </w:r>
      <w:r>
        <w:rPr/>
        <w:t>Siehe“ + Ptz. + satzfolgeunterbrechender Satz drückt ein als abgeschlossen betrachtetes Geschehen aus. Alle wichtigen Übersetzungen übersetzen hier „wenn“. Menge übersetzt „Siehe“ als „Wisse wohl:“.</w:t>
      </w:r>
    </w:p>
  </w:footnote>
  <w:footnote w:id="909">
    <w:p>
      <w:pPr>
        <w:pStyle w:val="Funote"/>
        <w:rPr/>
      </w:pPr>
      <w:r>
        <w:rPr/>
        <w:footnoteRef/>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910">
    <w:p>
      <w:pPr>
        <w:pStyle w:val="Funote"/>
        <w:rPr/>
      </w:pPr>
      <w:r>
        <w:rPr/>
        <w:footnoteRef/>
        <w:tab/>
        <w:t xml:space="preserve">D.h. er wird die Verantwortung dafür tragen. </w:t>
      </w:r>
    </w:p>
  </w:footnote>
  <w:footnote w:id="911">
    <w:p>
      <w:pPr>
        <w:pStyle w:val="Funote"/>
        <w:rPr/>
      </w:pPr>
      <w:r>
        <w:rPr/>
        <w:footnoteRef/>
        <w:tab/>
        <w:t>Wörtlich: „...an ihn sein wird“</w:t>
      </w:r>
    </w:p>
  </w:footnote>
  <w:footnote w:id="912">
    <w:p>
      <w:pPr>
        <w:pStyle w:val="Funote"/>
        <w:rPr/>
      </w:pPr>
      <w:r>
        <w:rPr/>
        <w:footnoteRef/>
        <w:tab/>
        <w:t>Aufgelöstes bestimmtes Ptz. akt. f. pl.</w:t>
      </w:r>
    </w:p>
  </w:footnote>
  <w:footnote w:id="913">
    <w:p>
      <w:pPr>
        <w:pStyle w:val="Funote"/>
        <w:rPr/>
      </w:pPr>
      <w:r>
        <w:rPr/>
        <w:footnoteRef/>
        <w:tab/>
        <w:t xml:space="preserve">S. Erklärung V. 9. </w:t>
      </w:r>
    </w:p>
  </w:footnote>
  <w:footnote w:id="914">
    <w:p>
      <w:pPr>
        <w:pStyle w:val="Funote"/>
        <w:rPr/>
      </w:pPr>
      <w:r>
        <w:rPr/>
        <w:footnoteRef/>
        <w:tab/>
        <w:t>[Status: Zuverlässig]</w:t>
      </w:r>
    </w:p>
  </w:footnote>
  <w:footnote w:id="915">
    <w:p>
      <w:pPr>
        <w:pStyle w:val="Funote"/>
        <w:rPr/>
      </w:pPr>
      <w:r>
        <w:rPr/>
        <w:footnoteRef/>
        <w:tab/>
        <w:t xml:space="preserve">Eigentlich Singular. </w:t>
      </w:r>
    </w:p>
  </w:footnote>
  <w:footnote w:id="916">
    <w:p>
      <w:pPr>
        <w:pStyle w:val="Funote"/>
        <w:rPr/>
      </w:pPr>
      <w:r>
        <w:rPr/>
        <w:footnoteRef/>
        <w:tab/>
        <w:t xml:space="preserve">Durch einen die Satzfolge unterbrechenden Teilsatz markierter, erklärender Einschub – daher die Übersetzung. </w:t>
      </w:r>
    </w:p>
  </w:footnote>
  <w:footnote w:id="917">
    <w:p>
      <w:pPr>
        <w:pStyle w:val="Funote"/>
        <w:rPr/>
      </w:pPr>
      <w:r>
        <w:rPr/>
        <w:footnoteRef/>
        <w:tab/>
        <w:t xml:space="preserve">Durch einen die Satzfolge unterbrechenden Teilsatz markierter, erklärender Einschub – daher die Übersetzung. </w:t>
      </w:r>
    </w:p>
  </w:footnote>
  <w:footnote w:id="918">
    <w:p>
      <w:pPr>
        <w:pStyle w:val="Funote"/>
        <w:rPr/>
      </w:pPr>
      <w:r>
        <w:rPr/>
        <w:footnoteRef/>
        <w:tab/>
        <w:t>Eigentlich Singular. Alternativ könnte man folgendermaßen übersetzen: „kam Simson mit seinem Vater ...“</w:t>
      </w:r>
    </w:p>
  </w:footnote>
  <w:footnote w:id="919">
    <w:p>
      <w:pPr>
        <w:pStyle w:val="Funote"/>
        <w:rPr/>
      </w:pPr>
      <w:r>
        <w:rPr/>
        <w:footnoteRef/>
        <w:tab/>
        <w:t>Wörtlich „Siehe“.</w:t>
      </w:r>
    </w:p>
  </w:footnote>
  <w:footnote w:id="920">
    <w:p>
      <w:pPr>
        <w:pStyle w:val="Funote"/>
        <w:rPr/>
      </w:pPr>
      <w:r>
        <w:rPr/>
        <w:footnoteRef/>
        <w:tab/>
        <w:t xml:space="preserve">Offenbar eine typisch hebräische Gattungsbezeichnung. Das erste Wort bezeichnet möglicherweise nicht nur junge Löwen. </w:t>
      </w:r>
    </w:p>
  </w:footnote>
  <w:footnote w:id="921">
    <w:p>
      <w:pPr>
        <w:pStyle w:val="Funote"/>
        <w:rPr/>
      </w:pPr>
      <w:r>
        <w:rPr/>
        <w:footnoteRef/>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922">
    <w:p>
      <w:pPr>
        <w:pStyle w:val="Funote"/>
        <w:rPr/>
      </w:pPr>
      <w:r>
        <w:rPr/>
        <w:footnoteRef/>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923">
    <w:p>
      <w:pPr>
        <w:pStyle w:val="Funote"/>
        <w:rPr/>
      </w:pPr>
      <w:r>
        <w:rPr/>
        <w:footnoteRef/>
        <w:tab/>
        <w:t xml:space="preserve">D.h. Simson den Löwen. </w:t>
      </w:r>
    </w:p>
  </w:footnote>
  <w:footnote w:id="924">
    <w:p>
      <w:pPr>
        <w:pStyle w:val="Funote"/>
        <w:rPr/>
      </w:pPr>
      <w:r>
        <w:rPr/>
        <w:footnoteRef/>
        <w:tab/>
        <w:t xml:space="preserve">Wörtlich: „wie zu zerreißen ein Böckchen“. Alternativ „wie [beim] Zerreißen eines Böckchens“ (LBBH). </w:t>
      </w:r>
    </w:p>
  </w:footnote>
  <w:footnote w:id="925">
    <w:p>
      <w:pPr>
        <w:pStyle w:val="Funote"/>
        <w:rPr/>
      </w:pPr>
      <w:r>
        <w:rPr/>
        <w:footnoteRef/>
        <w:tab/>
        <w:t xml:space="preserve">Durch einen die Satzfolge unterbrechenden Teilsatz markierter, erklärender Einschub – daher die Übersetzung. </w:t>
      </w:r>
    </w:p>
  </w:footnote>
  <w:footnote w:id="926">
    <w:p>
      <w:pPr>
        <w:pStyle w:val="Funote"/>
        <w:rPr/>
      </w:pPr>
      <w:r>
        <w:rPr/>
        <w:footnoteRef/>
        <w:tab/>
        <w:t xml:space="preserve">Wörtlich: „Und siehe“. Diese Wendung wird im Hebräischen häufig verwendet, um direkt Gesehenes oder Geschehendes einzuführen. </w:t>
      </w:r>
    </w:p>
  </w:footnote>
  <w:footnote w:id="927">
    <w:p>
      <w:pPr>
        <w:pStyle w:val="Funote"/>
        <w:rPr/>
      </w:pPr>
      <w:r>
        <w:rPr/>
        <w:footnoteRef/>
        <w:tab/>
        <w:t>Wörtlich: „Schwarm/Volk/Gruppe Bienen“</w:t>
      </w:r>
    </w:p>
  </w:footnote>
  <w:footnote w:id="928">
    <w:p>
      <w:pPr>
        <w:pStyle w:val="Funote"/>
        <w:rPr/>
      </w:pPr>
      <w:r>
        <w:rPr/>
        <w:footnoteRef/>
        <w:tab/>
        <w:t xml:space="preserve">Idiomatische Phrase. Wörtlich: „Er ging, gehen und essen (beide Inf. abs.)“. Dies drückt typischerweise aus, dass beide zur gleichen Zeit geschehen und kann wie die gewählte Übersetzung verstanden werden. </w:t>
      </w:r>
    </w:p>
  </w:footnote>
  <w:footnote w:id="929">
    <w:p>
      <w:pPr>
        <w:pStyle w:val="Funote"/>
        <w:rPr/>
      </w:pPr>
      <w:r>
        <w:rPr/>
        <w:footnoteRef/>
        <w:tab/>
        <w:t xml:space="preserve">Das berühren von Totem verletzte Simsons Gelübde als Nasiräer. S. Ri 13,5; Num 6,6; vgl. NET Ri 14,9 Fußnote 20. Offenbar sah die Familie den Honig als gutes Zeichen, vielleicht betrachtete ihn Simson als Aphrodisiakum (vgl. NET Ri 14,9 Fußnote 19). </w:t>
      </w:r>
    </w:p>
  </w:footnote>
  <w:footnote w:id="930">
    <w:p>
      <w:pPr>
        <w:pStyle w:val="Funote"/>
        <w:rPr/>
      </w:pPr>
      <w:r>
        <w:rPr/>
        <w:footnoteRef/>
        <w:tab/>
        <w:t xml:space="preserve">Duratives Imperfekt. Alternativ zur Verdeutlichung „zu machen pflegten“/ „immer so machten“, etc. </w:t>
      </w:r>
    </w:p>
  </w:footnote>
  <w:footnote w:id="931">
    <w:p>
      <w:pPr>
        <w:pStyle w:val="Funote"/>
        <w:rPr/>
      </w:pPr>
      <w:r>
        <w:rPr/>
        <w:footnoteRef/>
        <w:tab/>
        <w:t xml:space="preserve">Unpersönlicher Gebrauch (LBBH). </w:t>
      </w:r>
    </w:p>
  </w:footnote>
  <w:footnote w:id="932">
    <w:p>
      <w:pPr>
        <w:pStyle w:val="Funote"/>
        <w:rPr/>
      </w:pPr>
      <w:r>
        <w:rPr/>
        <w:footnoteRef/>
        <w:tab/>
        <w:t xml:space="preserve">Der Satz bezieht sich wohl auf die Philister. Der letzte Teilsatz kann sich theoretisch auch auf die erste Gruppe beziehen, semantisch sinnvoller ist allerdings die Gruppe der „Gefährten“. </w:t>
      </w:r>
    </w:p>
  </w:footnote>
  <w:footnote w:id="933">
    <w:p>
      <w:pPr>
        <w:pStyle w:val="Funote"/>
        <w:rPr/>
      </w:pPr>
      <w:r>
        <w:rPr/>
        <w:footnoteRef/>
        <w:tab/>
        <w:t>Kohortativ.</w:t>
      </w:r>
    </w:p>
  </w:footnote>
  <w:footnote w:id="934">
    <w:p>
      <w:pPr>
        <w:pStyle w:val="Funote"/>
        <w:rPr/>
      </w:pPr>
      <w:r>
        <w:rPr/>
        <w:footnoteRef/>
        <w:tab/>
        <w:t>Wörtlich „sie“, womit das Rätsel gemeint ist.</w:t>
      </w:r>
    </w:p>
  </w:footnote>
  <w:footnote w:id="935">
    <w:p>
      <w:pPr>
        <w:pStyle w:val="Funote"/>
        <w:rPr/>
      </w:pPr>
      <w:r>
        <w:rPr/>
        <w:footnoteRef/>
        <w:tab/>
        <w:t>Eingefügt, um die idiomatische Konstruktion mit Inf. Abs. + Ipf.</w:t>
      </w:r>
    </w:p>
  </w:footnote>
  <w:footnote w:id="936">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37">
    <w:p>
      <w:pPr>
        <w:pStyle w:val="Funote"/>
        <w:rPr/>
      </w:pPr>
      <w:r>
        <w:rPr/>
        <w:footnoteRef/>
        <w:tab/>
        <w:t xml:space="preserve">Ein Kleidungsstück aus Leinen, das offenbar als Untergewand diente und ständig getragen wurde. Vgl. DBL Hebrew 6041 </w:t>
      </w:r>
      <w:r>
        <w:rPr>
          <w:rtl w:val="true"/>
          <w:lang w:bidi="he-IL"/>
        </w:rPr>
        <w:t>סָדִין</w:t>
      </w:r>
      <w:r>
        <w:rPr/>
        <w:t>.</w:t>
      </w:r>
    </w:p>
  </w:footnote>
  <w:footnote w:id="938">
    <w:p>
      <w:pPr>
        <w:pStyle w:val="Funote"/>
        <w:rPr/>
      </w:pPr>
      <w:r>
        <w:rPr/>
        <w:footnoteRef/>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939">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40">
    <w:p>
      <w:pPr>
        <w:pStyle w:val="Funote"/>
        <w:rPr/>
      </w:pPr>
      <w:r>
        <w:rPr/>
        <w:footnoteRef/>
        <w:tab/>
        <w:t>Für Näheres über die Kleider s. V. 12.</w:t>
      </w:r>
    </w:p>
  </w:footnote>
  <w:footnote w:id="941">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42">
    <w:p>
      <w:pPr>
        <w:pStyle w:val="Funote"/>
        <w:rPr/>
      </w:pPr>
      <w:r>
        <w:rPr/>
        <w:footnoteRef/>
        <w:tab/>
        <w:t>Im MT steht hier „siebten“, in der LXX und anderen Manuskripten „vierten“. Das passt besser zum vorhergehenden Vers und in den Gesamtkontext.</w:t>
      </w:r>
    </w:p>
  </w:footnote>
  <w:footnote w:id="943">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44">
    <w:p>
      <w:pPr>
        <w:pStyle w:val="Funote"/>
        <w:rPr/>
      </w:pPr>
      <w:r>
        <w:rPr/>
        <w:footnoteRef/>
        <w:tab/>
        <w:t>Ipf.</w:t>
      </w:r>
    </w:p>
  </w:footnote>
  <w:footnote w:id="945">
    <w:p>
      <w:pPr>
        <w:pStyle w:val="Funote"/>
        <w:rPr/>
      </w:pPr>
      <w:r>
        <w:rPr/>
        <w:footnoteRef/>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946">
    <w:p>
      <w:pPr>
        <w:pStyle w:val="Funote"/>
        <w:rPr/>
      </w:pPr>
      <w:r>
        <w:rPr/>
        <w:footnoteRef/>
        <w:tab/>
        <w:t xml:space="preserve">Das kann so verstanden werden, dass sie sich auf ihn warf oder an seiner Schulter weinte. </w:t>
      </w:r>
    </w:p>
  </w:footnote>
  <w:footnote w:id="947">
    <w:p>
      <w:pPr>
        <w:pStyle w:val="Funote"/>
        <w:rPr/>
      </w:pPr>
      <w:r>
        <w:rPr/>
        <w:footnoteRef/>
        <w:tab/>
        <w:t>Das Wort kann auch weniger krass verstanden werden: »Du bist meiner überdrüssig« (LUT), »Du hast eine Abneigung gegen mich« (EU).</w:t>
      </w:r>
    </w:p>
  </w:footnote>
  <w:footnote w:id="948">
    <w:p>
      <w:pPr>
        <w:pStyle w:val="Funote"/>
        <w:rPr/>
      </w:pPr>
      <w:r>
        <w:rPr/>
        <w:footnoteRef/>
        <w:tab/>
        <w:t xml:space="preserve">Durch die etwas abgesetzte Fortsetzung wurde versucht, die (einen Gegensatz ausdrückende) Satzfolgeunterbrechung zu berücksichtigen. </w:t>
      </w:r>
    </w:p>
  </w:footnote>
  <w:footnote w:id="949">
    <w:p>
      <w:pPr>
        <w:pStyle w:val="Funote"/>
        <w:rPr/>
      </w:pPr>
      <w:r>
        <w:rPr/>
        <w:footnoteRef/>
        <w:tab/>
        <w:t xml:space="preserve">In Wirklichkeit bezieht sich das Verb direkt zurück auf das Rätsel. </w:t>
      </w:r>
    </w:p>
  </w:footnote>
  <w:footnote w:id="950">
    <w:p>
      <w:pPr>
        <w:pStyle w:val="Funote"/>
        <w:rPr/>
      </w:pPr>
      <w:r>
        <w:rPr/>
        <w:footnoteRef/>
        <w:tab/>
        <w:t xml:space="preserve">Idiomatische Wiedergabe von „Siehe“. </w:t>
      </w:r>
    </w:p>
  </w:footnote>
  <w:footnote w:id="951">
    <w:p>
      <w:pPr>
        <w:pStyle w:val="Funote"/>
        <w:rPr/>
      </w:pPr>
      <w:r>
        <w:rPr/>
        <w:footnoteRef/>
        <w:tab/>
        <w:t xml:space="preserve">Das kann so verstanden werden, dass sie sich auf ihn warf oder an seiner Schulter weinte. </w:t>
      </w:r>
    </w:p>
  </w:footnote>
  <w:footnote w:id="952">
    <w:p>
      <w:pPr>
        <w:pStyle w:val="Funote"/>
        <w:rPr/>
      </w:pPr>
      <w:r>
        <w:rPr/>
        <w:footnoteRef/>
        <w:tab/>
        <w:t xml:space="preserve">Wörtlich „[in] denen“ (bezogen auf die Tage). </w:t>
      </w:r>
    </w:p>
  </w:footnote>
  <w:footnote w:id="953">
    <w:p>
      <w:pPr>
        <w:pStyle w:val="Funote"/>
        <w:rPr/>
      </w:pPr>
      <w:r>
        <w:rPr/>
        <w:footnoteRef/>
        <w:tab/>
        <w:t xml:space="preserve">Wörtlich: „das Rätsel“. </w:t>
      </w:r>
    </w:p>
  </w:footnote>
  <w:footnote w:id="954">
    <w:p>
      <w:pPr>
        <w:pStyle w:val="Funote"/>
        <w:rPr/>
      </w:pPr>
      <w:r>
        <w:rPr/>
        <w:footnoteRef/>
        <w:tab/>
        <w:t xml:space="preserve">Eigentlich Imperfekt, das aber mit dem vorhergehenden Wort Vergangenheitsbedeutung hat. </w:t>
      </w:r>
    </w:p>
  </w:footnote>
  <w:footnote w:id="955">
    <w:p>
      <w:pPr>
        <w:pStyle w:val="Funote"/>
        <w:rPr/>
      </w:pPr>
      <w:r>
        <w:rPr/>
        <w:footnoteRef/>
        <w:tab/>
        <w:t xml:space="preserve">Idiom. Im Hebräischen „kommt die Sonne“, wenn sie untergeht (DBL Hebrew 995 </w:t>
      </w:r>
      <w:r>
        <w:rPr>
          <w:rtl w:val="true"/>
          <w:lang w:bidi="he-IL"/>
        </w:rPr>
        <w:t>בֹּוא</w:t>
      </w:r>
      <w:r>
        <w:rPr>
          <w:rtl w:val="true"/>
        </w:rPr>
        <w:t xml:space="preserve">, </w:t>
      </w:r>
      <w:r>
        <w:rPr/>
        <w:t>13</w:t>
      </w:r>
      <w:r>
        <w:rPr/>
        <w:t>.).</w:t>
      </w:r>
    </w:p>
  </w:footnote>
  <w:footnote w:id="956">
    <w:p>
      <w:pPr>
        <w:pStyle w:val="Funote"/>
        <w:rPr/>
      </w:pPr>
      <w:r>
        <w:rPr/>
        <w:footnoteRef/>
        <w:tab/>
        <w:t xml:space="preserve">Der Begriff bezeichnet ein weibliches Kalb. </w:t>
      </w:r>
    </w:p>
  </w:footnote>
  <w:footnote w:id="957">
    <w:p>
      <w:pPr>
        <w:pStyle w:val="Funote"/>
        <w:rPr/>
      </w:pPr>
      <w:r>
        <w:rPr/>
        <w:footnoteRef/>
        <w:tab/>
        <w:t xml:space="preserve">Wörtlich: „das Rätsel“. </w:t>
      </w:r>
    </w:p>
  </w:footnote>
  <w:footnote w:id="958">
    <w:p>
      <w:pPr>
        <w:pStyle w:val="Funote"/>
        <w:rPr/>
      </w:pPr>
      <w:r>
        <w:rPr/>
        <w:footnoteRef/>
        <w:tab/>
        <w:t xml:space="preserve">Die irreale Form des Konditionalsatzes wird durch die Konjunktion vorgegeben (vgl. Davidson, Hebrew Syntax, §130). </w:t>
      </w:r>
    </w:p>
  </w:footnote>
  <w:footnote w:id="959">
    <w:p>
      <w:pPr>
        <w:pStyle w:val="Funote"/>
        <w:rPr/>
      </w:pPr>
      <w:r>
        <w:rPr/>
        <w:footnoteRef/>
        <w:tab/>
        <w:t xml:space="preserve">S. V. 6. </w:t>
      </w:r>
    </w:p>
  </w:footnote>
  <w:footnote w:id="960">
    <w:p>
      <w:pPr>
        <w:pStyle w:val="Funote"/>
        <w:rPr/>
      </w:pPr>
      <w:r>
        <w:rPr/>
        <w:footnoteRef/>
        <w:tab/>
        <w:t xml:space="preserve">Bezieht sich auf die Stadtbewohner. </w:t>
      </w:r>
    </w:p>
  </w:footnote>
  <w:footnote w:id="961">
    <w:p>
      <w:pPr>
        <w:pStyle w:val="Funote"/>
        <w:rPr/>
      </w:pPr>
      <w:r>
        <w:rPr/>
        <w:footnoteRef/>
        <w:tab/>
        <w:t>Hier steht im Hebräischen tatsächlich ein kollektiver Singular.</w:t>
      </w:r>
    </w:p>
  </w:footnote>
  <w:footnote w:id="962">
    <w:p>
      <w:pPr>
        <w:pStyle w:val="Funote"/>
        <w:rPr/>
      </w:pPr>
      <w:r>
        <w:rPr/>
        <w:footnoteRef/>
        <w:tab/>
        <w:t xml:space="preserve">Hier im Plural. Gemeint sind die Gegenstände, die ein getöteter Feind bei sich trägt – also etwa seine „Habseligkeiten“(DBL Hebrew, 2723 </w:t>
      </w:r>
      <w:r>
        <w:rPr>
          <w:rtl w:val="true"/>
          <w:lang w:bidi="he-IL"/>
        </w:rPr>
        <w:t>חֲלִיצָה</w:t>
      </w:r>
      <w:r>
        <w:rPr/>
        <w:t xml:space="preserve">). Viele verstehen das in diesem Kontext als die „Kleider“, die Simson den Siegern im Rätselwettbewerb geben schuldete. </w:t>
      </w:r>
    </w:p>
  </w:footnote>
  <w:footnote w:id="963">
    <w:p>
      <w:pPr>
        <w:pStyle w:val="Funote"/>
        <w:rPr/>
      </w:pPr>
      <w:r>
        <w:rPr/>
        <w:footnoteRef/>
        <w:tab/>
        <w:t xml:space="preserve">Oder „Kleidungssätze“, wörtlich „Ersatze“. Details s. Fußnote V. 12. </w:t>
      </w:r>
    </w:p>
  </w:footnote>
  <w:footnote w:id="964">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65">
    <w:p>
      <w:pPr>
        <w:pStyle w:val="Funote"/>
        <w:rPr/>
      </w:pPr>
      <w:r>
        <w:rPr/>
        <w:footnoteRef/>
        <w:tab/>
        <w:t xml:space="preserve">Auflösung eines substantivierten Partizips. </w:t>
      </w:r>
    </w:p>
  </w:footnote>
  <w:footnote w:id="966">
    <w:p>
      <w:pPr>
        <w:pStyle w:val="Funote"/>
        <w:rPr/>
      </w:pPr>
      <w:r>
        <w:rPr/>
        <w:footnoteRef/>
        <w:tab/>
        <w:t xml:space="preserve">Idiom für „Er war zornig“. </w:t>
      </w:r>
    </w:p>
  </w:footnote>
  <w:footnote w:id="967">
    <w:p>
      <w:pPr>
        <w:pStyle w:val="Funote"/>
        <w:rPr/>
      </w:pPr>
      <w:r>
        <w:rPr/>
        <w:footnoteRef/>
        <w:tab/>
        <w:t>[Die Töchter sind hier keine Ausnahme, denn auch diesen wird der Erbbesitz entzogen, sobald sie außerhalb ihrer Familie heiraten; s. Num 36]</w:t>
      </w:r>
    </w:p>
  </w:footnote>
  <w:footnote w:id="968">
    <w:p>
      <w:pPr>
        <w:pStyle w:val="Funote"/>
        <w:rPr/>
      </w:pPr>
      <w:r>
        <w:rPr/>
        <w:footnoteRef/>
        <w:tab/>
        <w:t>[S. V. 24 der Erzählung in Gen 38: Tamar, die Frau des verstorbenen Er und „Schwiegertochter Judas“ ist „schwanger durch Hurerei“ - d.h. hier: Ehebruch - und soll dafür verbrannt werden.]</w:t>
      </w:r>
    </w:p>
  </w:footnote>
  <w:footnote w:id="969">
    <w:p>
      <w:pPr>
        <w:pStyle w:val="Funote"/>
        <w:rPr/>
      </w:pPr>
      <w:r>
        <w:rPr/>
        <w:footnoteRef/>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970">
    <w:p>
      <w:pPr>
        <w:pStyle w:val="Funote"/>
        <w:rPr/>
      </w:pPr>
      <w:r>
        <w:rPr/>
        <w:footnoteRef/>
        <w:tab/>
        <w:t>JHWH</w:t>
      </w:r>
    </w:p>
  </w:footnote>
  <w:footnote w:id="971">
    <w:p>
      <w:pPr>
        <w:pStyle w:val="Funote"/>
        <w:rPr/>
      </w:pPr>
      <w:r>
        <w:rPr/>
        <w:footnoteRef/>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972">
    <w:p>
      <w:pPr>
        <w:pStyle w:val="Funote"/>
        <w:rPr/>
      </w:pPr>
      <w:r>
        <w:rPr/>
        <w:footnoteRef/>
        <w:tab/>
        <w:t>[Status: Zuverlässig]</w:t>
      </w:r>
    </w:p>
  </w:footnote>
  <w:footnote w:id="973">
    <w:p>
      <w:pPr>
        <w:pStyle w:val="Funote"/>
        <w:rPr/>
      </w:pPr>
      <w:r>
        <w:rPr/>
        <w:footnoteRef/>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974">
    <w:p>
      <w:pPr>
        <w:pStyle w:val="Funote"/>
        <w:rPr/>
      </w:pPr>
      <w:r>
        <w:rPr/>
        <w:footnoteRef/>
        <w:tab/>
        <w:t>im Land - d.h. in Israel. Übersetze daher vielleicht besser: „...herrschte ein Hungersnot in Israel“ (de Waard/Nida 1992, S. 6).</w:t>
      </w:r>
    </w:p>
  </w:footnote>
  <w:footnote w:id="975">
    <w:p>
      <w:pPr>
        <w:pStyle w:val="Funote"/>
        <w:rPr/>
      </w:pPr>
      <w:r>
        <w:rPr/>
        <w:footnoteRef/>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976">
    <w:p>
      <w:pPr>
        <w:pStyle w:val="Funote"/>
        <w:rPr/>
      </w:pPr>
      <w:r>
        <w:rPr>
          <w:i/>
        </w:rPr>
        <w:footnoteRef/>
        <w:tab/>
        <w:t>verließ ein Mann Betlehem in Juda (machte sich ein aus Betlehem in Juda [stammender] Mann auf)</w:t>
      </w:r>
      <w:r>
        <w:rPr/>
        <w:t xml:space="preserve">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977">
    <w:p>
      <w:pPr>
        <w:pStyle w:val="Funote"/>
        <w:rPr/>
      </w:pPr>
      <w:r>
        <w:rPr/>
        <w:footnoteRef/>
        <w:tab/>
        <w:t>in {dem Gebiet von} (bei den Feldern von) (Vv. 1.6) + aus {dem Gebiet von}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978">
    <w:p>
      <w:pPr>
        <w:pStyle w:val="Funote"/>
        <w:rPr/>
      </w:pPr>
      <w:r>
        <w:rPr>
          <w:i/>
        </w:rPr>
        <w:footnoteRef/>
        <w:tab/>
        <w:t>Moab</w:t>
      </w:r>
      <w:r>
        <w:rPr/>
        <w:t xml:space="preserve"> - östlicher Nachbarstaat Israels (für näheres s. </w:t>
      </w:r>
      <w:hyperlink r:id="rId26">
        <w:r>
          <w:rPr>
            <w:rStyle w:val="Internetverknpfung"/>
          </w:rPr>
          <w:t>Moab / Moabiter (WiBiLex)</w:t>
        </w:r>
      </w:hyperlink>
      <w:r>
        <w:rPr/>
        <w:t xml:space="preserve">). Wegen verschiedener kriegerischer Konflikte ist Moab im AT meist negativ belegt; auch im Richterbuch (s. </w:t>
      </w:r>
      <w:hyperlink r:id="rId27">
        <w:r>
          <w:rPr>
            <w:rStyle w:val="Internetverknpfung"/>
          </w:rPr>
          <w:t>Ri 3,12-30</w:t>
        </w:r>
      </w:hyperlink>
      <w:r>
        <w:rPr/>
        <w:t xml:space="preserve">).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w:t>
      </w:r>
      <w:r>
        <w:rPr>
          <w:i/>
        </w:rPr>
        <w:t>zehn Jahren</w:t>
      </w:r>
      <w:r>
        <w:rPr/>
        <w:t xml:space="preserve"> verursachen.</w:t>
        <w:br/>
        <w:t>Hinter der der Entscheidung des Erzählers für Moab stehen daher sicher andere Gründe; s. das Ende der Anmerkungen.</w:t>
      </w:r>
    </w:p>
  </w:footnote>
  <w:footnote w:id="979">
    <w:p>
      <w:pPr>
        <w:pStyle w:val="Funote"/>
        <w:rPr/>
      </w:pPr>
      <w:r>
        <w:rPr/>
        <w:footnoteRef/>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980">
    <w:p>
      <w:pPr>
        <w:pStyle w:val="Funote"/>
        <w:rPr/>
      </w:pPr>
      <w:r>
        <w:rPr/>
        <w:footnoteRef/>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981">
    <w:p>
      <w:pPr>
        <w:pStyle w:val="Funote"/>
        <w:rPr/>
      </w:pPr>
      <w:r>
        <w:rPr/>
        <w:footnoteRef/>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982">
    <w:p>
      <w:pPr>
        <w:pStyle w:val="Funote"/>
        <w:rPr/>
      </w:pPr>
      <w:r>
        <w:rPr/>
        <w:footnoteRef/>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fast stets als sprechender Name gedeutet wird,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983">
    <w:p>
      <w:pPr>
        <w:pStyle w:val="Funote"/>
        <w:rPr/>
      </w:pPr>
      <w:r>
        <w:rPr/>
        <w:footnoteRef/>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984">
    <w:p>
      <w:pPr>
        <w:pStyle w:val="Funote"/>
        <w:rPr/>
      </w:pPr>
      <w:r>
        <w:rPr/>
        <w:footnoteRef/>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985">
    <w:p>
      <w:pPr>
        <w:pStyle w:val="Funote"/>
        <w:rPr/>
      </w:pPr>
      <w:r>
        <w:rPr/>
        <w:footnoteRef/>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986">
    <w:p>
      <w:pPr>
        <w:pStyle w:val="Funote"/>
        <w:rPr/>
      </w:pPr>
      <w:r>
        <w:rPr/>
        <w:footnoteRef/>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987">
    <w:p>
      <w:pPr>
        <w:pStyle w:val="Funote"/>
        <w:rPr/>
      </w:pPr>
      <w:r>
        <w:rPr/>
        <w:footnoteRef/>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988">
    <w:p>
      <w:pPr>
        <w:pStyle w:val="Funote"/>
        <w:rPr/>
      </w:pPr>
      <w:r>
        <w:rPr/>
        <w:footnoteRef/>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989">
    <w:p>
      <w:pPr>
        <w:pStyle w:val="Funote"/>
        <w:rPr/>
      </w:pPr>
      <w:r>
        <w:rPr>
          <w:i/>
        </w:rPr>
        <w:footnoteRef/>
        <w:tab/>
        <w:t>sie und ihre Schwiegertöchter</w:t>
      </w:r>
      <w:r>
        <w:rPr/>
        <w:t xml:space="preserve"> - die selbe Konstruktion wie in </w:t>
      </w:r>
      <w:r>
        <w:fldChar w:fldCharType="begin"/>
      </w:r>
      <w:r>
        <w:instrText> HYPERLINK "http://www.offene-bibel.de/wiki/index.php5?title=Rut_1" \l "note_h"</w:instrText>
      </w:r>
      <w:r>
        <w:fldChar w:fldCharType="separate"/>
      </w:r>
      <w:r>
        <w:rPr>
          <w:rStyle w:val="Internetverknpfung"/>
        </w:rPr>
        <w:t>FN h</w:t>
      </w:r>
      <w:r>
        <w:fldChar w:fldCharType="end"/>
      </w:r>
      <w:r>
        <w:rPr/>
        <w:t xml:space="preserve">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w:t>
      </w:r>
      <w:r>
        <w:rPr>
          <w:i/>
        </w:rPr>
        <w:t>Noomi</w:t>
      </w:r>
      <w:r>
        <w:rPr/>
        <w:t xml:space="preserve"> + </w:t>
      </w:r>
      <w:r>
        <w:rPr>
          <w:i/>
        </w:rPr>
        <w:t>Rut und Orpa</w:t>
      </w:r>
      <w:r>
        <w:rPr/>
        <w:t>; beinahe wie ein „Neue Runde, neues Glück!“: Ihre ersten drei Begleiter hat Noomi verloren - was wird mit den beiden neuen Begleiterinnen geschehen?</w:t>
      </w:r>
    </w:p>
  </w:footnote>
  <w:footnote w:id="990">
    <w:p>
      <w:pPr>
        <w:pStyle w:val="Funote"/>
        <w:rPr/>
      </w:pPr>
      <w:r>
        <w:rPr/>
        <w:footnoteRef/>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991">
    <w:p>
      <w:pPr>
        <w:pStyle w:val="Funote"/>
        <w:rPr/>
      </w:pPr>
      <w:r>
        <w:rPr/>
        <w:footnoteRef/>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992">
    <w:p>
      <w:pPr>
        <w:pStyle w:val="Funote"/>
        <w:rPr/>
      </w:pPr>
      <w:r>
        <w:rPr/>
        <w:footnoteRef/>
        <w:tab/>
        <w:t>ihm Brot - Klangspiel: lahem lachem. „Brot“ steht im Heb. fast stets pars pro toto für Nahrung im Allgemeinen (vgl. z.B. de Waard/Nida 1992, S. 9; Zakovitch 1999, S. 83); übersetze daher besser „Nahrung“.</w:t>
      </w:r>
    </w:p>
  </w:footnote>
  <w:footnote w:id="993">
    <w:p>
      <w:pPr>
        <w:pStyle w:val="Funote"/>
        <w:rPr/>
      </w:pPr>
      <w:r>
        <w:rPr/>
        <w:footnoteRef/>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994">
    <w:p>
      <w:pPr>
        <w:pStyle w:val="Funote"/>
        <w:rPr/>
      </w:pPr>
      <w:r>
        <w:rPr/>
        <w:footnoteRef/>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995">
    <w:p>
      <w:pPr>
        <w:pStyle w:val="Funote"/>
        <w:rPr/>
      </w:pPr>
      <w:r>
        <w:rPr/>
        <w:footnoteRef/>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996">
    <w:p>
      <w:pPr>
        <w:pStyle w:val="Funote"/>
        <w:rPr/>
      </w:pPr>
      <w:r>
        <w:rPr/>
        <w:footnoteRef/>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997">
    <w:p>
      <w:pPr>
        <w:pStyle w:val="Funote"/>
        <w:rPr/>
      </w:pPr>
      <w:r>
        <w:rPr/>
        <w:footnoteRef/>
        <w:tab/>
        <w:t>Wahrscheinlich durfte Noomi ihre Schwiegertöchter rechtlich gesehen gar nicht zurückschicken; s. die Anmerkungen.</w:t>
      </w:r>
    </w:p>
  </w:footnote>
  <w:footnote w:id="998">
    <w:p>
      <w:pPr>
        <w:pStyle w:val="Funote"/>
        <w:rPr/>
      </w:pPr>
      <w:r>
        <w:rPr/>
        <w:footnoteRef/>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999">
    <w:p>
      <w:pPr>
        <w:pStyle w:val="Funote"/>
        <w:rPr/>
      </w:pPr>
      <w:r>
        <w:rPr>
          <w:i/>
        </w:rPr>
        <w:footnoteRef/>
        <w:tab/>
        <w:t>Ruhe</w:t>
      </w:r>
      <w:r>
        <w:rPr/>
        <w:t xml:space="preserve"> - schönes Wort: Heb. </w:t>
      </w:r>
      <w:r>
        <w:rPr>
          <w:i/>
        </w:rPr>
        <w:t>mänuchah</w:t>
      </w:r>
      <w:r>
        <w:rPr/>
        <w:t xml:space="preserve"> ist (1) „Ruhe, Erholung“, (2) der Ort, wo man sich zur Erhohlung niederlassen kann, wo „Wohlsein“ ist, und dann (3) allgemein die „Heimstatt“. Hier drückt es also gleichzeitig etwa das selbe wie das folgende </w:t>
      </w:r>
      <w:r>
        <w:rPr>
          <w:i/>
        </w:rPr>
        <w:t>im Haus ihres Mannes</w:t>
      </w:r>
      <w:r>
        <w:rPr/>
        <w:t xml:space="preserve"> aus („Jede von euch soll eine Heimstatt im Haus ihres Mannes finden“) als auch einen Gegensatz zur aktuellen leidvollen Situation des verwitwet-Seins und wandern-Müssens: Noomi segnet ihre Schwiegertöchter mit dem Wunsch eines angenehmen Ehelebens.</w:t>
      </w:r>
    </w:p>
  </w:footnote>
  <w:footnote w:id="1000">
    <w:p>
      <w:pPr>
        <w:pStyle w:val="Funote"/>
        <w:rPr/>
      </w:pPr>
      <w:r>
        <w:rPr/>
        <w:footnoteRef/>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1001">
    <w:p>
      <w:pPr>
        <w:pStyle w:val="Funote"/>
        <w:rPr/>
      </w:pPr>
      <w:r>
        <w:rPr>
          <w:i/>
        </w:rPr>
        <w:footnoteRef/>
        <w:tab/>
        <w:t>Haus ihres Mannes</w:t>
      </w:r>
      <w:r>
        <w:rPr/>
        <w:t xml:space="preserve"> - Klangspiel: </w:t>
      </w:r>
      <w:r>
        <w:rPr>
          <w:i/>
        </w:rPr>
        <w:t>´ischah beth ´ischah</w:t>
      </w:r>
      <w:r>
        <w:rPr/>
        <w:t xml:space="preserve">. Gemeint ist auch hier nicht das Gebäude, sondern die neue Familie, in die die beiden eingegliedert werden sollen (s. </w:t>
      </w:r>
      <w:r>
        <w:fldChar w:fldCharType="begin"/>
      </w:r>
      <w:r>
        <w:instrText> HYPERLINK "http://www.offene-bibel.de/wiki/index.php5?title=Rut_1" \l "note_x"</w:instrText>
      </w:r>
      <w:r>
        <w:fldChar w:fldCharType="separate"/>
      </w:r>
      <w:r>
        <w:rPr>
          <w:rStyle w:val="Internetverknpfung"/>
        </w:rPr>
        <w:t>FN x</w:t>
      </w:r>
      <w:r>
        <w:fldChar w:fldCharType="end"/>
      </w:r>
      <w:r>
        <w:rPr/>
        <w:t>).</w:t>
      </w:r>
    </w:p>
  </w:footnote>
  <w:footnote w:id="1002">
    <w:p>
      <w:pPr>
        <w:pStyle w:val="Funote"/>
        <w:rPr/>
      </w:pPr>
      <w:r>
        <w:rPr>
          <w:i/>
        </w:rPr>
        <w:footnoteRef/>
        <w:tab/>
        <w:t>Da erhoben sie ihre Stimmen, weinten</w:t>
      </w:r>
      <w:r>
        <w:rPr/>
        <w:t xml:space="preserve"> - =„Da begannen sie zu weinen“.</w:t>
      </w:r>
    </w:p>
  </w:footnote>
  <w:footnote w:id="1003">
    <w:p>
      <w:pPr>
        <w:pStyle w:val="Funote"/>
        <w:rPr/>
      </w:pPr>
      <w:r>
        <w:rPr/>
        <w:footnoteRef/>
        <w:tab/>
        <w:t>tFN: Nein! ({Nein!})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1004">
    <w:p>
      <w:pPr>
        <w:pStyle w:val="Funote"/>
        <w:rPr/>
      </w:pPr>
      <w:r>
        <w:rPr>
          <w:i/>
        </w:rPr>
        <w:footnoteRef/>
        <w:tab/>
        <w:t>[die Frau] eines Mannes</w:t>
      </w:r>
      <w:r>
        <w:rPr/>
        <w:t xml:space="preserve"> - W. „um einem Mann zu sein“; Idiom für die Ehe.</w:t>
      </w:r>
    </w:p>
  </w:footnote>
  <w:footnote w:id="1005">
    <w:p>
      <w:pPr>
        <w:pStyle w:val="Funote"/>
        <w:rPr/>
      </w:pPr>
      <w:r>
        <w:rPr/>
        <w:footnoteRef/>
        <w:tab/>
        <w:t>tFN: ja + ja...sogar - potenzierendes gam (vgl. schon Jacob 1912, S. 279; Labuschagne 1966).</w:t>
      </w:r>
    </w:p>
  </w:footnote>
  <w:footnote w:id="1006">
    <w:p>
      <w:pPr>
        <w:pStyle w:val="Funote"/>
        <w:rPr/>
      </w:pPr>
      <w:r>
        <w:rPr/>
        <w:footnoteRef/>
        <w:tab/>
        <w:t>[selbst, wenn] - Brachylogie aus dem letzten Satz.</w:t>
      </w:r>
    </w:p>
  </w:footnote>
  <w:footnote w:id="1007">
    <w:p>
      <w:pPr>
        <w:pStyle w:val="Funote"/>
        <w:rPr/>
      </w:pPr>
      <w:r>
        <w:rPr/>
        <w:footnoteRef/>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1008">
    <w:p>
      <w:pPr>
        <w:pStyle w:val="Funote"/>
        <w:rPr/>
      </w:pPr>
      <w:r>
        <w:rPr/>
        <w:footnoteRef/>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1009">
    <w:p>
      <w:pPr>
        <w:pStyle w:val="Funote"/>
        <w:rPr/>
      </w:pPr>
      <w:r>
        <w:rPr/>
        <w:footnoteRef/>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1010">
    <w:p>
      <w:pPr>
        <w:pStyle w:val="Funote"/>
        <w:rPr/>
      </w:pPr>
      <w:r>
        <w:rPr/>
        <w:footnoteRef/>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1011">
    <w:p>
      <w:pPr>
        <w:pStyle w:val="Funote"/>
        <w:rPr/>
      </w:pPr>
      <w:r>
        <w:rPr/>
        <w:footnoteRef/>
        <w:tab/>
        <w:t>dass die Hand JHWHs gegen mich ging - Zum Ausdruck s. ähnlich Ex 9,3; Dtn 2,15; Ri 2,15; 1Sam 5,6.9; 7,13; 12,15; (Jes 19,16; 25,10); der Sinn ist dann wohl etwa: »dass mich JHWH gestraft hat« (vgl. bes. Huntley 2013, S. 9-11).</w:t>
      </w:r>
    </w:p>
  </w:footnote>
  <w:footnote w:id="1012">
    <w:p>
      <w:pPr>
        <w:pStyle w:val="Funote"/>
        <w:rPr/>
      </w:pPr>
      <w:r>
        <w:rPr>
          <w:i/>
        </w:rPr>
        <w:footnoteRef/>
        <w:tab/>
        <w:t>Und noch einmal erhoben sie ihre Stimme und weinten</w:t>
      </w:r>
      <w:r>
        <w:rPr/>
        <w:t xml:space="preserve"> - =„Und noch einmal begannen sie, zu weinen“.</w:t>
      </w:r>
    </w:p>
  </w:footnote>
  <w:footnote w:id="1013">
    <w:p>
      <w:pPr>
        <w:pStyle w:val="Funote"/>
        <w:rPr/>
      </w:pPr>
      <w:r>
        <w:rPr/>
        <w:footnoteRef/>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1014">
    <w:p>
      <w:pPr>
        <w:pStyle w:val="Funote"/>
        <w:rPr/>
      </w:pPr>
      <w:r>
        <w:rPr/>
        <w:footnoteRef/>
        <w:tab/>
        <w:t>tFN: {Siehe} + [also] - W. »Siehe«, doch das heb. hinneh signalisiert nur, dass die folgende Aussage direkt relevant ist für die aktuelle Situation oder eine folgende Äußerung. Treffender daher eine Übersetzung mit »also« o.Ä.</w:t>
      </w:r>
    </w:p>
  </w:footnote>
  <w:footnote w:id="1015">
    <w:p>
      <w:pPr>
        <w:pStyle w:val="Funote"/>
        <w:rPr/>
      </w:pPr>
      <w:r>
        <w:rPr/>
        <w:footnoteRef/>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1016">
    <w:p>
      <w:pPr>
        <w:pStyle w:val="Funote"/>
        <w:rPr/>
      </w:pPr>
      <w:r>
        <w:rPr>
          <w:i/>
        </w:rPr>
        <w:footnoteRef/>
        <w:tab/>
        <w:t>vom mit-dir-[Sein]</w:t>
      </w:r>
      <w:r>
        <w:rPr/>
        <w:t xml:space="preserve"> - die selbe Präposition wie in V. 15. Noomi fordert Rut auf zum „mit-Orpa-Sein“ und zum Zurückkehren zu deren Volk und deren Gott. Rut stellt dem das „mit-Noomi-Sein“ entgegen und entscheidet sich ineins damit auch für </w:t>
      </w:r>
      <w:r>
        <w:rPr>
          <w:i/>
        </w:rPr>
        <w:t>deren</w:t>
      </w:r>
      <w:r>
        <w:rPr/>
        <w:t xml:space="preserve"> Volk und Gott.</w:t>
      </w:r>
    </w:p>
  </w:footnote>
  <w:footnote w:id="1017">
    <w:p>
      <w:pPr>
        <w:pStyle w:val="Funote"/>
        <w:rPr/>
      </w:pPr>
      <w:r>
        <w:rPr/>
        <w:footnoteRef/>
        <w:tab/>
        <w:t>[einzig] - Fokuspartikel wie »nur«, »selbst« etc. werden im Heb. häufig nicht gesetzt, wo das Dt. sie setzen würde; im Dt. muss man sie sich daher dazudenken (ad loc. vgl. z.B. Ehrlich 1914, S. 22).</w:t>
      </w:r>
    </w:p>
  </w:footnote>
  <w:footnote w:id="1018">
    <w:p>
      <w:pPr>
        <w:pStyle w:val="Funote"/>
        <w:rPr/>
      </w:pPr>
      <w:r>
        <w:rPr/>
        <w:footnoteRef/>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1019">
    <w:p>
      <w:pPr>
        <w:pStyle w:val="Funote"/>
        <w:rPr/>
      </w:pPr>
      <w:r>
        <w:rPr/>
        <w:footnoteRef/>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1020">
    <w:p>
      <w:pPr>
        <w:pStyle w:val="Funote"/>
        <w:rPr/>
      </w:pPr>
      <w:r>
        <w:rPr>
          <w:i/>
        </w:rPr>
        <w:footnoteRef/>
        <w:tab/>
        <w:t>die beiden [gemeinsam]</w:t>
      </w:r>
      <w:r>
        <w:rPr/>
        <w:t xml:space="preserve"> - Das Dual-pronomen ist auch hier wieder bewusst gewählt (s. Anmerkungen). Im Dt. sollte man das besser durch die Einfügung eines „gemeinsam“ o.Ä. ausdrücklich machen.</w:t>
      </w:r>
    </w:p>
  </w:footnote>
  <w:footnote w:id="1021">
    <w:p>
      <w:pPr>
        <w:pStyle w:val="Funote"/>
        <w:rPr/>
      </w:pPr>
      <w:r>
        <w:rPr>
          <w:i/>
        </w:rPr>
        <w:footnoteRef/>
        <w:tab/>
        <w:t>sie</w:t>
      </w:r>
      <w:r>
        <w:rPr/>
        <w:t xml:space="preserve"> - ungewöhnlicherweise Femininum; nur die Frauen Betlehems scheinen hier gemeint zu sein.</w:t>
      </w:r>
    </w:p>
  </w:footnote>
  <w:footnote w:id="1022">
    <w:p>
      <w:pPr>
        <w:pStyle w:val="Funote"/>
        <w:rPr/>
      </w:pPr>
      <w:r>
        <w:rPr/>
        <w:footnoteRef/>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1023">
    <w:p>
      <w:pPr>
        <w:pStyle w:val="Funote"/>
        <w:rPr/>
      </w:pPr>
      <w:r>
        <w:rPr/>
        <w:footnoteRef/>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21)JHWH wird durch diese Struktur und durch die Gleichschaltung mit der Bezeichnung »Schaddai« als strafender Gott vorgestellt.</w:t>
      </w:r>
    </w:p>
  </w:footnote>
  <w:footnote w:id="1024">
    <w:p>
      <w:pPr>
        <w:pStyle w:val="Funote"/>
        <w:rPr/>
      </w:pPr>
      <w:r>
        <w:rPr/>
        <w:footnoteRef/>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1025">
    <w:p>
      <w:pPr>
        <w:pStyle w:val="Funote"/>
        <w:rPr/>
      </w:pPr>
      <w:r>
        <w:rPr/>
        <w:footnoteRef/>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1026">
    <w:p>
      <w:pPr>
        <w:pStyle w:val="Funote"/>
        <w:rPr/>
      </w:pPr>
      <w:r>
        <w:rPr/>
        <w:footnoteRef/>
        <w:tab/>
        <w:t>tFN: So also - W. »Und sie kehrte zurück«; einer der seltenen Fälle, in denen die Verbform Wayyiqtol als zusammenfassender Abschluss einer Erzählung verwendet wird (»summierendes Wayyiqtol«; vgl. JM §117i).</w:t>
      </w:r>
    </w:p>
  </w:footnote>
  <w:footnote w:id="1027">
    <w:p>
      <w:pPr>
        <w:pStyle w:val="Funote"/>
        <w:rPr/>
      </w:pPr>
      <w:r>
        <w:rPr/>
        <w:footnoteRef/>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1028">
    <w:p>
      <w:pPr>
        <w:pStyle w:val="Funote"/>
        <w:rPr/>
      </w:pPr>
      <w:r>
        <w:rPr/>
        <w:footnoteRef/>
        <w:tab/>
        <w:t>[„Mischna“: eine alte Sammlung jüdischer Rechtstexte]</w:t>
      </w:r>
    </w:p>
  </w:footnote>
  <w:footnote w:id="1029">
    <w:p>
      <w:pPr>
        <w:pStyle w:val="Funote"/>
        <w:rPr/>
      </w:pPr>
      <w:r>
        <w:rPr/>
        <w:footnoteRef/>
        <w:tab/>
        <w:t xml:space="preserve">[Indirekt wichtig für das Verständnis von Rut 2 ist außerdem ein weiteres Armenrecht: das </w:t>
      </w:r>
      <w:r>
        <w:rPr>
          <w:b/>
        </w:rPr>
        <w:t>Schikchah-Recht</w:t>
      </w:r>
      <w:r>
        <w:rPr/>
        <w: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 („Toseftot“: Alte jüdische Sammlungen mündlicher Überlieferungen zur Ergänzung der Mischna)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w:t>
      </w:r>
    </w:p>
  </w:footnote>
  <w:footnote w:id="1030">
    <w:p>
      <w:pPr>
        <w:pStyle w:val="Funote"/>
        <w:rPr/>
      </w:pPr>
      <w:r>
        <w:rPr/>
        <w:footnoteRef/>
        <w:tab/>
        <w:t>[Status: Zuverlässig]</w:t>
      </w:r>
    </w:p>
  </w:footnote>
  <w:footnote w:id="1031">
    <w:p>
      <w:pPr>
        <w:pStyle w:val="Funote"/>
        <w:rPr/>
      </w:pPr>
      <w:r>
        <w:rPr/>
        <w:footnoteRef/>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1032">
    <w:p>
      <w:pPr>
        <w:pStyle w:val="Funote"/>
        <w:rPr/>
      </w:pPr>
      <w:r>
        <w:rPr/>
        <w:footnoteRef/>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1033">
    <w:p>
      <w:pPr>
        <w:pStyle w:val="Funote"/>
        <w:rPr/>
      </w:pPr>
      <w:r>
        <w:rPr/>
        <w:footnoteRef/>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1034">
    <w:p>
      <w:pPr>
        <w:pStyle w:val="Funote"/>
        <w:rPr/>
      </w:pPr>
      <w:r>
        <w:rPr/>
        <w:footnoteRef/>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1035">
    <w:p>
      <w:pPr>
        <w:pStyle w:val="Funote"/>
        <w:rPr/>
      </w:pPr>
      <w:r>
        <w:rPr/>
        <w:footnoteRef/>
        <w:tab/>
        <w:t>Feld (V. 2), Feldstück (V. 3) - »Feld«: Das gesamte Ackerland um Betlehem herum, im Unterschied zum »Feldstück«, das nur den Anteil des Boas an diesem gesamten Ackerland bezeichnet (vgl. z.B. Köhlmoos 2010, S. 31).</w:t>
      </w:r>
    </w:p>
  </w:footnote>
  <w:footnote w:id="1036">
    <w:p>
      <w:pPr>
        <w:pStyle w:val="Funote"/>
        <w:rPr/>
      </w:pPr>
      <w:r>
        <w:rPr/>
        <w:footnoteRef/>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1037">
    <w:p>
      <w:pPr>
        <w:pStyle w:val="Funote"/>
        <w:rPr/>
      </w:pPr>
      <w:r>
        <w:rPr/>
        <w:footnoteRef/>
        <w:tab/>
        <w:t>tFN: an den Ähren mitlesen: Nicht »in den Ähren lesen«; die Präposition b- hat hier die Funktion eines »Beth comitatus«: an den Ähren mit-lesen (so z.B. Gerleman 1965, S. 23; Joüon 1913, S. 200; Zenger 1986, S. 55). Zum Ährenlesen s. näher die Anmerkungen.</w:t>
      </w:r>
    </w:p>
  </w:footnote>
  <w:footnote w:id="1038">
    <w:p>
      <w:pPr>
        <w:pStyle w:val="Funote"/>
        <w:rPr/>
      </w:pPr>
      <w:r>
        <w:rPr/>
        <w:footnoteRef/>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1039">
    <w:p>
      <w:pPr>
        <w:pStyle w:val="Funote"/>
        <w:rPr/>
      </w:pPr>
      <w:r>
        <w:rPr/>
        <w:footnoteRef/>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1040">
    <w:p>
      <w:pPr>
        <w:pStyle w:val="Funote"/>
        <w:rPr/>
      </w:pPr>
      <w:r>
        <w:rPr/>
        <w:footnoteRef/>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1041">
    <w:p>
      <w:pPr>
        <w:pStyle w:val="Funote"/>
        <w:rPr/>
      </w:pPr>
      <w:r>
        <w:rPr/>
        <w:footnoteRef/>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1042">
    <w:p>
      <w:pPr>
        <w:pStyle w:val="Funote"/>
        <w:rPr/>
      </w:pPr>
      <w:r>
        <w:rPr>
          <w:i/>
        </w:rPr>
        <w:footnoteRef/>
        <w:tab/>
        <w:t>Zufällig geriet sie</w:t>
      </w:r>
      <w:r>
        <w:rPr/>
        <w:t xml:space="preserv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1043">
    <w:p>
      <w:pPr>
        <w:pStyle w:val="Funote"/>
        <w:rPr/>
      </w:pPr>
      <w:r>
        <w:rPr/>
        <w:footnoteRef/>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1044">
    <w:p>
      <w:pPr>
        <w:pStyle w:val="Funote"/>
        <w:rPr/>
      </w:pPr>
      <w:r>
        <w:rPr/>
        <w:footnoteRef/>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eine „Segensgeschichte“ (Zenger 1986, S. 96), in der fortwährend gesegnet wird - s. eben hier; Rut 2,19.20; Rut 3,10; ähnlich auch die Segenswünsche in Rut 1,8f; Rut 2,12; Rut 4,11f.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Rut 1).Gut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1045">
    <w:p>
      <w:pPr>
        <w:pStyle w:val="Funote"/>
        <w:rPr/>
      </w:pPr>
      <w:r>
        <w:rPr>
          <w:i/>
        </w:rPr>
        <w:footnoteRef/>
        <w:tab/>
        <w:t>Junge (Angestelltem)</w:t>
      </w:r>
      <w:r>
        <w:rPr/>
        <w:t xml:space="preserve"> - W. „Junge“, doch bezeichnet das Wort hier wie oft recht sicher das Dienstverhältnis (für angestellte Feldarbeiter auch in </w:t>
      </w:r>
      <w:r>
        <w:fldChar w:fldCharType="begin"/>
      </w:r>
      <w:r>
        <w:instrText> HYPERLINK "file:///wiki/Ijob_1" \l "s5"</w:instrText>
      </w:r>
      <w:r>
        <w:fldChar w:fldCharType="separate"/>
      </w:r>
      <w:r>
        <w:rPr>
          <w:rStyle w:val="Internetverknpfung"/>
        </w:rPr>
        <w:t>Ijob 1,5</w:t>
      </w:r>
      <w:r>
        <w:fldChar w:fldCharType="end"/>
      </w:r>
      <w:r>
        <w:rPr/>
        <w:t xml:space="preserve">).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w:t>
      </w:r>
      <w:hyperlink r:id="rId28">
        <w:r>
          <w:rPr>
            <w:rStyle w:val="Internetverknpfung"/>
          </w:rPr>
          <w:t>Mt 20,8</w:t>
        </w:r>
      </w:hyperlink>
      <w:r>
        <w:rPr/>
        <w:t xml:space="preserve">; </w:t>
      </w:r>
      <w:hyperlink r:id="rId29">
        <w:r>
          <w:rPr>
            <w:rStyle w:val="Internetverknpfung"/>
          </w:rPr>
          <w:t>Lk 12,42</w:t>
        </w:r>
      </w:hyperlink>
      <w:r>
        <w:rPr/>
        <w:t xml:space="preserve"> handelt und dass dieser in Abwesenheit seines Herrn weitere „Jungen“ und „Mädchen“ - nämlich Lohnarbeiter - einstellen konnte, die Boas daher auch nicht kennen musste.</w:t>
      </w:r>
    </w:p>
  </w:footnote>
  <w:footnote w:id="1046">
    <w:p>
      <w:pPr>
        <w:pStyle w:val="Funote"/>
        <w:rPr/>
      </w:pPr>
      <w:r>
        <w:rPr/>
        <w:footnoteRef/>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1047">
    <w:p>
      <w:pPr>
        <w:pStyle w:val="Funote"/>
        <w:rPr/>
      </w:pPr>
      <w:r>
        <w:rPr/>
        <w:footnoteRef/>
        <w:tab/>
        <w:t xml:space="preserve">Zu </w:t>
      </w:r>
      <w:r>
        <w:rPr>
          <w:i/>
        </w:rPr>
        <w:t>aus {</w:t>
      </w:r>
      <w:r>
        <w:rPr>
          <w:i/>
          <w:strike/>
        </w:rPr>
        <w:t>dem Gebiet</w:t>
      </w:r>
      <w:r>
        <w:rPr>
          <w:i/>
        </w:rPr>
        <w:t>} (von den Feldern von) Moab</w:t>
      </w:r>
      <w:r>
        <w:rPr/>
        <w:t xml:space="preserve"> s. </w:t>
      </w:r>
      <w:r>
        <w:fldChar w:fldCharType="begin"/>
      </w:r>
      <w:r>
        <w:instrText> HYPERLINK "http://www.offene-bibel.de/wiki/index.php5?title=Rut_1" \l "note_e"</w:instrText>
      </w:r>
      <w:r>
        <w:fldChar w:fldCharType="separate"/>
      </w:r>
      <w:r>
        <w:rPr>
          <w:rStyle w:val="Internetverknpfung"/>
        </w:rPr>
        <w:t>FN e</w:t>
      </w:r>
      <w:r>
        <w:fldChar w:fldCharType="end"/>
      </w:r>
      <w:r>
        <w:rPr/>
        <w:t xml:space="preserve"> zu </w:t>
      </w:r>
      <w:r>
        <w:fldChar w:fldCharType="begin"/>
      </w:r>
      <w:r>
        <w:instrText> HYPERLINK "file:///wiki/Rut_1" \l "s1"</w:instrText>
      </w:r>
      <w:r>
        <w:fldChar w:fldCharType="separate"/>
      </w:r>
      <w:r>
        <w:rPr>
          <w:rStyle w:val="Internetverknpfung"/>
        </w:rPr>
        <w:t>Rut 1,1.6.22</w:t>
      </w:r>
      <w:r>
        <w:fldChar w:fldCharType="end"/>
      </w:r>
      <w:r>
        <w:rPr/>
        <w:t>.</w:t>
      </w:r>
    </w:p>
  </w:footnote>
  <w:footnote w:id="1048">
    <w:p>
      <w:pPr>
        <w:pStyle w:val="Funote"/>
        <w:rPr/>
      </w:pPr>
      <w:r>
        <w:rPr/>
        <w:footnoteRef/>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1049">
    <w:p>
      <w:pPr>
        <w:pStyle w:val="Funote"/>
        <w:rPr/>
      </w:pPr>
      <w:r>
        <w:rPr/>
        <w:footnoteRef/>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1050">
    <w:p>
      <w:pPr>
        <w:pStyle w:val="Funote"/>
        <w:rPr/>
      </w:pPr>
      <w:r>
        <w:rPr/>
        <w:footnoteRef/>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dieses/dieses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dieses/dieses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das Haus/auf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1051">
    <w:p>
      <w:pPr>
        <w:pStyle w:val="Funote"/>
        <w:rPr/>
      </w:pPr>
      <w:r>
        <w:rPr/>
        <w:footnoteRef/>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1052">
    <w:p>
      <w:pPr>
        <w:pStyle w:val="Funote"/>
        <w:rPr/>
      </w:pPr>
      <w:r>
        <w:rPr/>
        <w:footnoteRef/>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1053">
    <w:p>
      <w:pPr>
        <w:pStyle w:val="Funote"/>
        <w:rPr/>
      </w:pPr>
      <w:r>
        <w:rPr>
          <w:i/>
        </w:rPr>
        <w:footnoteRef/>
        <w:tab/>
        <w:t>das sie abernten</w:t>
      </w:r>
      <w:r>
        <w:rPr/>
        <w:t xml:space="preserve"> - „sie“: maskulin, also die männlichen Erntearbeiter.</w:t>
      </w:r>
    </w:p>
  </w:footnote>
  <w:footnote w:id="1054">
    <w:p>
      <w:pPr>
        <w:pStyle w:val="Funote"/>
        <w:rPr/>
      </w:pPr>
      <w:r>
        <w:rPr>
          <w:i/>
        </w:rPr>
        <w:footnoteRef/>
        <w:tab/>
        <w:t>ihnen</w:t>
      </w:r>
      <w:r>
        <w:rPr/>
        <w:t xml:space="preserve">: feminin. Entweder also die weiblichen Garbenbinderinnen, dann „folge ihnen“, oder die anderen Frauen, die Nachlese halten; dann „gehe an ihrer Seite“ (zu </w:t>
      </w:r>
      <w:r>
        <w:rPr>
          <w:i/>
        </w:rPr>
        <w:t>´achar</w:t>
      </w:r>
      <w:r>
        <w:rPr/>
        <w:t xml:space="preserve"> als „(zusammen) mit“ s. </w:t>
      </w:r>
      <w:r>
        <w:fldChar w:fldCharType="begin"/>
      </w:r>
      <w:r>
        <w:instrText> HYPERLINK "http://www.offene-bibel.de/wiki/?title=Special%3ABibelstelle_aufschlagen&amp;abk=Rut+1" \l "note_aq"</w:instrText>
      </w:r>
      <w:r>
        <w:fldChar w:fldCharType="separate"/>
      </w:r>
      <w:r>
        <w:rPr>
          <w:rStyle w:val="Internetverknpfung"/>
        </w:rPr>
        <w:t>FN aq</w:t>
      </w:r>
      <w:r>
        <w:fldChar w:fldCharType="end"/>
      </w:r>
      <w:r>
        <w:rPr/>
        <w:t xml:space="preserve"> zu </w:t>
      </w:r>
      <w:r>
        <w:fldChar w:fldCharType="begin"/>
      </w:r>
      <w:r>
        <w:instrText> HYPERLINK "file:///wiki/Rut_1" \l "s15"</w:instrText>
      </w:r>
      <w:r>
        <w:fldChar w:fldCharType="separate"/>
      </w:r>
      <w:r>
        <w:rPr>
          <w:rStyle w:val="Internetverknpfung"/>
        </w:rPr>
        <w:t>Rut 1,15</w:t>
      </w:r>
      <w:r>
        <w:fldChar w:fldCharType="end"/>
      </w:r>
      <w:r>
        <w:rPr/>
        <w:t>). Aber der letzte weibliche Referent sind „meine Mädchen“, daher ist die erste Option doch sehr viel wahrscheinlicher.</w:t>
      </w:r>
    </w:p>
  </w:footnote>
  <w:footnote w:id="1055">
    <w:p>
      <w:pPr>
        <w:pStyle w:val="Funote"/>
        <w:rPr/>
      </w:pPr>
      <w:r>
        <w:rPr/>
        <w:footnoteRef/>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1056">
    <w:p>
      <w:pPr>
        <w:pStyle w:val="Funote"/>
        <w:rPr/>
      </w:pPr>
      <w:r>
        <w:rPr>
          <w:i/>
        </w:rPr>
        <w:footnoteRef/>
        <w:tab/>
        <w:t>Gefallen in deinen Augen gefunden</w:t>
      </w:r>
      <w:r>
        <w:rPr/>
        <w:t xml:space="preserve">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w:t>
      </w:r>
      <w:r>
        <w:rPr>
          <w:i/>
        </w:rPr>
        <w:t>lähakireni</w:t>
      </w:r>
      <w:r>
        <w:rPr/>
        <w:t xml:space="preserve">, von </w:t>
      </w:r>
      <w:r>
        <w:rPr>
          <w:i/>
        </w:rPr>
        <w:t>nakar</w:t>
      </w:r>
      <w:r>
        <w:rPr/>
        <w:t xml:space="preserve"> „beachten“), obwohl ich doch Ausländerin (</w:t>
      </w:r>
      <w:r>
        <w:rPr>
          <w:i/>
        </w:rPr>
        <w:t>nokrijah</w:t>
      </w:r>
      <w:r>
        <w:rPr/>
        <w:t>) bin?“</w:t>
      </w:r>
    </w:p>
  </w:footnote>
  <w:footnote w:id="1057">
    <w:p>
      <w:pPr>
        <w:pStyle w:val="Funote"/>
        <w:rPr/>
      </w:pPr>
      <w:r>
        <w:rPr>
          <w:i/>
        </w:rPr>
        <w:footnoteRef/>
        <w:tab/>
        <w:t>{</w:t>
      </w:r>
      <w:r>
        <w:rPr>
          <w:i/>
          <w:strike/>
        </w:rPr>
        <w:t>und sagte zu</w:t>
      </w:r>
      <w:r>
        <w:rPr>
          <w:i/>
        </w:rPr>
        <w:t>}</w:t>
      </w:r>
      <w:r>
        <w:rPr/>
        <w:t xml:space="preserve"> (V. 11) + </w:t>
      </w:r>
      <w:r>
        <w:rPr>
          <w:i/>
        </w:rPr>
        <w:t>{</w:t>
      </w:r>
      <w:r>
        <w:rPr>
          <w:i/>
          <w:strike/>
        </w:rPr>
        <w:t>indem er sagte</w:t>
      </w:r>
      <w:r>
        <w:rPr>
          <w:i/>
        </w:rPr>
        <w:t>}</w:t>
      </w:r>
      <w:r>
        <w:rPr/>
        <w:t xml:space="preserve"> (V. 15) - Doppelte Redeeinleitung finden sich sehr häufig im Hebräischen und sind dort ganz gewöhnlich. Im Deutschen können sie ohne Bedeutungsverlust gestrichen werden.</w:t>
      </w:r>
    </w:p>
  </w:footnote>
  <w:footnote w:id="1058">
    <w:p>
      <w:pPr>
        <w:pStyle w:val="Funote"/>
        <w:rPr/>
      </w:pPr>
      <w:r>
        <w:rPr/>
        <w:footnoteRef/>
        <w:tab/>
        <w:t>Berichtet {berichtet}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1059">
    <w:p>
      <w:pPr>
        <w:pStyle w:val="Funote"/>
        <w:rPr/>
      </w:pPr>
      <w:r>
        <w:rPr>
          <w:i/>
        </w:rPr>
        <w:footnoteRef/>
        <w:tab/>
        <w:t>was du für deine Schwiegermutter nach dem Tod deines Mannes getan hast</w:t>
      </w:r>
      <w:r>
        <w:rPr/>
        <w:t xml:space="preserve"> - Ein „Segens-Update“: Noomi wünscht ihren Töchtern den Segen Gottes für alles, </w:t>
      </w:r>
      <w:r>
        <w:rPr>
          <w:i/>
        </w:rPr>
        <w:t>was sie ihr und ihren Ehemännern</w:t>
      </w:r>
      <w:r>
        <w:rPr/>
        <w:t xml:space="preserve"> getan haben (</w:t>
      </w:r>
      <w:r>
        <w:fldChar w:fldCharType="begin"/>
      </w:r>
      <w:r>
        <w:instrText> HYPERLINK "file:///wiki/Rut_1" \l "s8"</w:instrText>
      </w:r>
      <w:r>
        <w:fldChar w:fldCharType="separate"/>
      </w:r>
      <w:r>
        <w:rPr>
          <w:rStyle w:val="Internetverknpfung"/>
        </w:rPr>
        <w:t>Rut 1,8</w:t>
      </w:r>
      <w:r>
        <w:fldChar w:fldCharType="end"/>
      </w:r>
      <w:r>
        <w:rPr/>
        <w:t xml:space="preserve">); Boas nun wünscht Rut Gottes Segen für alles, was sie in der Zwischenzeit, nämlich </w:t>
      </w:r>
      <w:r>
        <w:rPr>
          <w:i/>
        </w:rPr>
        <w:t>nach dem Tod ihres Mannes für ihre Schwiegermutter</w:t>
      </w:r>
      <w:r>
        <w:rPr/>
        <w:t xml:space="preserve"> getan hat.</w:t>
      </w:r>
    </w:p>
  </w:footnote>
  <w:footnote w:id="1060">
    <w:p>
      <w:pPr>
        <w:pStyle w:val="Funote"/>
        <w:rPr/>
      </w:pPr>
      <w:r>
        <w:rPr>
          <w:i/>
        </w:rPr>
        <w:footnoteRef/>
        <w:tab/>
        <w:t>vorher (gestern vorgestern)</w:t>
      </w:r>
      <w:r>
        <w:rPr/>
        <w:t xml:space="preserve"> - W. „gestern vorgestern“; ein Idiom für „vorher, früher“.</w:t>
      </w:r>
    </w:p>
  </w:footnote>
  <w:footnote w:id="1061">
    <w:p>
      <w:pPr>
        <w:pStyle w:val="Funote"/>
        <w:rPr/>
      </w:pPr>
      <w:r>
        <w:rPr/>
        <w:footnoteRef/>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1062">
    <w:p>
      <w:pPr>
        <w:pStyle w:val="Funote"/>
        <w:rPr/>
      </w:pPr>
      <w:r>
        <w:rPr/>
        <w:footnoteRef/>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1063">
    <w:p>
      <w:pPr>
        <w:pStyle w:val="Funote"/>
        <w:rPr/>
      </w:pPr>
      <w:r>
        <w:rPr/>
        <w:footnoteRef/>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1064">
    <w:p>
      <w:pPr>
        <w:pStyle w:val="Funote"/>
        <w:rPr/>
      </w:pPr>
      <w:r>
        <w:rPr/>
        <w:footnoteRef/>
        <w:tab/>
        <w:t>zum Herzen deiner Magd gesprochen hast - Idiom sowohl für »trösten« (s. noch Gen 50,21; Jes 40,2) als auch für »Mut zusprechen« (s. noch 2 Sam 19,8; 2 Chr 30,22; 32,6). Wahrscheinlich ist hier beides im Blick (so auch Campbell 1975, S. 100).</w:t>
      </w:r>
    </w:p>
  </w:footnote>
  <w:footnote w:id="1065">
    <w:p>
      <w:pPr>
        <w:pStyle w:val="Funote"/>
        <w:rPr/>
      </w:pPr>
      <w:r>
        <w:rPr/>
        <w:footnoteRef/>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1066">
    <w:p>
      <w:pPr>
        <w:pStyle w:val="Funote"/>
        <w:rPr/>
      </w:pPr>
      <w:r>
        <w:rPr/>
        <w:footnoteRef/>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1067">
    <w:p>
      <w:pPr>
        <w:pStyle w:val="Funote"/>
        <w:rPr/>
      </w:pPr>
      <w:r>
        <w:rPr/>
        <w:footnoteRef/>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1068">
    <w:p>
      <w:pPr>
        <w:pStyle w:val="Funote"/>
        <w:rPr/>
      </w:pPr>
      <w:r>
        <w:rPr/>
        <w:footnoteRef/>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1069">
    <w:p>
      <w:pPr>
        <w:pStyle w:val="Funote"/>
        <w:rPr/>
      </w:pPr>
      <w:r>
        <w:rPr>
          <w:i/>
        </w:rPr>
        <w:footnoteRef/>
        <w:tab/>
        <w:t>Röstkorn</w:t>
      </w:r>
      <w:r>
        <w:rPr/>
        <w:t xml:space="preserve"> - Über dem Feuer geröstete Getreidekörner; ein im Alten Orient (und noch heute) verbreiteter Snack.</w:t>
      </w:r>
    </w:p>
  </w:footnote>
  <w:footnote w:id="1070">
    <w:p>
      <w:pPr>
        <w:pStyle w:val="Funote"/>
        <w:rPr/>
      </w:pPr>
      <w:r>
        <w:rPr/>
        <w:footnoteRef/>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1071">
    <w:p>
      <w:pPr>
        <w:pStyle w:val="Funote"/>
        <w:rPr/>
      </w:pPr>
      <w:r>
        <w:rPr/>
        <w:footnoteRef/>
        <w:tab/>
        <w:t>[durchaus] herausziehen {herausziehen} (herunterwerfen {herunterwerfen})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{herunterwerfen}«,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{herunterwerfen}«) ausgehen, obwohl keine einzige heb. Handschrift erhalten ist, in der diese Textvariante sich findet.</w:t>
      </w:r>
    </w:p>
  </w:footnote>
  <w:footnote w:id="1072">
    <w:p>
      <w:pPr>
        <w:pStyle w:val="Funote"/>
        <w:rPr/>
      </w:pPr>
      <w:r>
        <w:rPr/>
        <w:footnoteRef/>
        <w:tab/>
        <w:t>Handbündel - Die beim Ernten in der linken Hand gehaltenen Ährenbündel; s. die Anmerkungen und vgl. z.B. Dalman 1933, S. 42; Humbert 1950, S. 206f.; Vogelstein 1894, S. 62.</w:t>
      </w:r>
    </w:p>
  </w:footnote>
  <w:footnote w:id="1073">
    <w:p>
      <w:pPr>
        <w:pStyle w:val="Funote"/>
        <w:rPr/>
      </w:pPr>
      <w:r>
        <w:rPr>
          <w:i/>
        </w:rPr>
        <w:footnoteRef/>
        <w:tab/>
        <w:t>klopfte aus</w:t>
      </w:r>
      <w:r>
        <w:rPr/>
        <w:t xml:space="preserve"> - dazu s. die Anmerkungen</w:t>
      </w:r>
    </w:p>
  </w:footnote>
  <w:footnote w:id="1074">
    <w:p>
      <w:pPr>
        <w:pStyle w:val="Funote"/>
        <w:rPr/>
      </w:pPr>
      <w:r>
        <w:rPr/>
        <w:footnoteRef/>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1075">
    <w:p>
      <w:pPr>
        <w:pStyle w:val="Funote"/>
        <w:rPr/>
      </w:pPr>
      <w:r>
        <w:rPr>
          <w:i/>
        </w:rPr>
        <w:footnoteRef/>
        <w:tab/>
        <w:t>hob es auf (wuchtete es hoch)</w:t>
      </w:r>
      <w:r>
        <w:rPr/>
        <w:t xml:space="preserve"> - W. „hob es auf“; vermutlich expliziert, um das Gewicht ihres Ertrags zu betonen; daher besser „wuchtete es hoch“ o.Ä.</w:t>
      </w:r>
    </w:p>
  </w:footnote>
  <w:footnote w:id="1076">
    <w:p>
      <w:pPr>
        <w:pStyle w:val="Funote"/>
        <w:rPr/>
      </w:pPr>
      <w:r>
        <w:rPr/>
        <w:footnoteRef/>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1077">
    <w:p>
      <w:pPr>
        <w:pStyle w:val="Funote"/>
        <w:rPr/>
      </w:pPr>
      <w:r>
        <w:rPr/>
        <w:footnoteRef/>
        <w:tab/>
        <w:t>Wo - Das Heb. verwendet in dieser Frage zwei verschiedene Wörter für »wo« - vermutlich deshalb, weil das erste (´ephoh) ähnlich klingt wie »Efa« (´epha; so gut Zakovitch 1999, S. 126) - Ruts großer Ertrag ist es, der Noomis Frage provoziert.</w:t>
      </w:r>
    </w:p>
  </w:footnote>
  <w:footnote w:id="1078">
    <w:p>
      <w:pPr>
        <w:pStyle w:val="Funote"/>
        <w:rPr/>
      </w:pPr>
      <w:r>
        <w:rPr>
          <w:i/>
        </w:rPr>
        <w:footnoteRef/>
        <w:tab/>
        <w:t>der dich [wohlwollend] angesehen [hat]</w:t>
      </w:r>
      <w:r>
        <w:rPr/>
        <w:t xml:space="preserve"> - d.h., „dein Wohltäter“. Das selbe Verb wie in </w:t>
      </w:r>
      <w:r>
        <w:fldChar w:fldCharType="begin"/>
      </w:r>
      <w:r>
        <w:instrText> HYPERLINK "file:///wiki/Rut_2" \l "s10"</w:instrText>
      </w:r>
      <w:r>
        <w:fldChar w:fldCharType="separate"/>
      </w:r>
      <w:r>
        <w:rPr>
          <w:rStyle w:val="Internetverknpfung"/>
        </w:rPr>
        <w:t>V. 10</w:t>
      </w:r>
      <w:r>
        <w:fldChar w:fldCharType="end"/>
      </w:r>
      <w:r>
        <w:rPr/>
        <w:t>.</w:t>
      </w:r>
    </w:p>
  </w:footnote>
  <w:footnote w:id="1079">
    <w:p>
      <w:pPr>
        <w:pStyle w:val="Funote"/>
        <w:rPr/>
      </w:pPr>
      <w:r>
        <w:rPr/>
        <w:footnoteRef/>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1080">
    <w:p>
      <w:pPr>
        <w:pStyle w:val="Funote"/>
        <w:rPr/>
      </w:pPr>
      <w:r>
        <w:rPr/>
        <w:footnoteRef/>
        <w:tab/>
        <w:t>der nicht von seiner Treue zu den Lebenden und den Toten abgelassen hat könnte sich sowohl auf jenen, d.h. Boas, oder auf JHWH beziehen. Wohl bewusst; s. die Anmerkungen zu Kapitel 3.</w:t>
      </w:r>
    </w:p>
  </w:footnote>
  <w:footnote w:id="1081">
    <w:p>
      <w:pPr>
        <w:pStyle w:val="Funote"/>
        <w:rPr/>
      </w:pPr>
      <w:r>
        <w:rPr/>
        <w:footnoteRef/>
        <w:tab/>
        <w:t>Und dann sagte - W. „Und sie sagte“, die redundante Redeeinleitung soll hier den Höhepunkt des Dialogs von Noomi und Rut markieren (vgl. Runge 2007, S. 169, FN 226).</w:t>
      </w:r>
    </w:p>
  </w:footnote>
  <w:footnote w:id="1082">
    <w:p>
      <w:pPr>
        <w:pStyle w:val="Funote"/>
        <w:rPr/>
      </w:pPr>
      <w:r>
        <w:rPr/>
        <w:footnoteRef/>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1083">
    <w:p>
      <w:pPr>
        <w:pStyle w:val="Funote"/>
        <w:rPr/>
      </w:pPr>
      <w:r>
        <w:rPr/>
        <w:footnoteRef/>
        <w:tab/>
        <w:t>Dazu [kommt], dass - W. »Zusätzlich [ist (=gilt), dass]«. Gut Bertholet 1898, S. 62: »[... Dies] gibt die lebhafte Rede wieder: auch das noch muss ich beifügen, dass....«</w:t>
      </w:r>
    </w:p>
  </w:footnote>
  <w:footnote w:id="1084">
    <w:p>
      <w:pPr>
        <w:pStyle w:val="Funote"/>
        <w:rPr/>
      </w:pPr>
      <w:r>
        <w:rPr/>
        <w:footnoteRef/>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generisches Maskulinum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1085">
    <w:p>
      <w:pPr>
        <w:pStyle w:val="Funote"/>
        <w:rPr/>
      </w:pPr>
      <w:r>
        <w:rPr/>
        <w:footnoteRef/>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1086">
    <w:p>
      <w:pPr>
        <w:pStyle w:val="Funote"/>
        <w:rPr/>
      </w:pPr>
      <w:r>
        <w:rPr/>
        <w:footnoteRef/>
        <w:tab/>
        <w:t>JHWH</w:t>
      </w:r>
    </w:p>
  </w:footnote>
  <w:footnote w:id="1087">
    <w:p>
      <w:pPr>
        <w:pStyle w:val="Funote"/>
        <w:rPr/>
      </w:pPr>
      <w:r>
        <w:rPr/>
        <w:footnoteRef/>
        <w:tab/>
        <w:t>[Zu dieser vgl. v.a. Novick 2011.]</w:t>
      </w:r>
    </w:p>
  </w:footnote>
  <w:footnote w:id="1088">
    <w:p>
      <w:pPr>
        <w:pStyle w:val="Funote"/>
        <w:rPr/>
      </w:pPr>
      <w:r>
        <w:rPr/>
        <w:footnoteRef/>
        <w:tab/>
        <w:t>JHWH</w:t>
      </w:r>
    </w:p>
  </w:footnote>
  <w:footnote w:id="1089">
    <w:p>
      <w:pPr>
        <w:pStyle w:val="Funote"/>
        <w:rPr/>
      </w:pPr>
      <w:r>
        <w:rPr/>
        <w:footnoteRef/>
        <w:tab/>
        <w:t>JHWH</w:t>
      </w:r>
    </w:p>
  </w:footnote>
  <w:footnote w:id="1090">
    <w:p>
      <w:pPr>
        <w:pStyle w:val="Funote"/>
        <w:rPr/>
      </w:pPr>
      <w:r>
        <w:rPr/>
        <w:footnoteRef/>
        <w:tab/>
        <w:t>[Vgl. Frevel 1992, S. 79]</w:t>
      </w:r>
    </w:p>
  </w:footnote>
  <w:footnote w:id="1091">
    <w:p>
      <w:pPr>
        <w:pStyle w:val="Funote"/>
        <w:rPr/>
      </w:pPr>
      <w:r>
        <w:rPr/>
        <w:footnoteRef/>
        <w:tab/>
        <w:t>JHWH</w:t>
      </w:r>
    </w:p>
  </w:footnote>
  <w:footnote w:id="1092">
    <w:p>
      <w:pPr>
        <w:pStyle w:val="Funote"/>
        <w:rPr/>
      </w:pPr>
      <w:r>
        <w:rPr/>
        <w:footnoteRef/>
        <w:tab/>
        <w:t>[Vgl. Collins 1993, S. 100; Halton 2012, S. 37; Thompson 1993, S. 210]</w:t>
      </w:r>
    </w:p>
  </w:footnote>
  <w:footnote w:id="1093">
    <w:p>
      <w:pPr>
        <w:pStyle w:val="Funote"/>
        <w:rPr/>
      </w:pPr>
      <w:r>
        <w:rPr/>
        <w:footnoteRef/>
        <w:tab/>
        <w:t>JHWH</w:t>
      </w:r>
    </w:p>
  </w:footnote>
  <w:footnote w:id="1094">
    <w:p>
      <w:pPr>
        <w:pStyle w:val="Funote"/>
        <w:rPr/>
      </w:pPr>
      <w:r>
        <w:rPr/>
        <w:footnoteRef/>
        <w:tab/>
        <w:t>[Vgl. Gordis 1974, S. 241]</w:t>
      </w:r>
    </w:p>
  </w:footnote>
  <w:footnote w:id="1095">
    <w:p>
      <w:pPr>
        <w:pStyle w:val="Funote"/>
        <w:rPr/>
      </w:pPr>
      <w:r>
        <w:rPr/>
        <w:footnoteRef/>
        <w:tab/>
        <w:t>JHWH</w:t>
      </w:r>
    </w:p>
  </w:footnote>
  <w:footnote w:id="1096">
    <w:p>
      <w:pPr>
        <w:pStyle w:val="Funote"/>
        <w:rPr/>
      </w:pPr>
      <w:r>
        <w:rPr/>
        <w:footnoteRef/>
        <w:tab/>
        <w:t>[Vgl. z.B. Landy 1994, S. 297]</w:t>
      </w:r>
    </w:p>
  </w:footnote>
  <w:footnote w:id="1097">
    <w:p>
      <w:pPr>
        <w:pStyle w:val="Funote"/>
        <w:rPr/>
      </w:pPr>
      <w:r>
        <w:rPr/>
        <w:footnoteRef/>
        <w:tab/>
        <w:t>JHWH</w:t>
      </w:r>
    </w:p>
  </w:footnote>
  <w:footnote w:id="1098">
    <w:p>
      <w:pPr>
        <w:pStyle w:val="Funote"/>
        <w:rPr/>
      </w:pPr>
      <w:r>
        <w:rPr/>
        <w:footnoteRef/>
        <w:tab/>
        <w:t>[Vgl. Köhlmoos 2010, S. 63]</w:t>
      </w:r>
    </w:p>
  </w:footnote>
  <w:footnote w:id="1099">
    <w:p>
      <w:pPr>
        <w:pStyle w:val="Funote"/>
        <w:rPr/>
      </w:pPr>
      <w:r>
        <w:rPr/>
        <w:footnoteRef/>
        <w:tab/>
        <w:t>JHWH</w:t>
      </w:r>
    </w:p>
  </w:footnote>
  <w:footnote w:id="1100">
    <w:p>
      <w:pPr>
        <w:pStyle w:val="Funote"/>
        <w:rPr/>
      </w:pPr>
      <w:r>
        <w:rPr/>
        <w:footnoteRef/>
        <w:tab/>
        <w:t>JHWH</w:t>
      </w:r>
    </w:p>
  </w:footnote>
  <w:footnote w:id="1101">
    <w:p>
      <w:pPr>
        <w:pStyle w:val="Funote"/>
        <w:rPr/>
      </w:pPr>
      <w:r>
        <w:rPr/>
        <w:footnoteRef/>
        <w:tab/>
        <w:t>JHWH</w:t>
      </w:r>
    </w:p>
  </w:footnote>
  <w:footnote w:id="1102">
    <w:p>
      <w:pPr>
        <w:pStyle w:val="Funote"/>
        <w:rPr/>
      </w:pPr>
      <w:r>
        <w:rPr/>
        <w:footnoteRef/>
        <w:tab/>
        <w:t>JHWH</w:t>
      </w:r>
    </w:p>
  </w:footnote>
  <w:footnote w:id="1103">
    <w:p>
      <w:pPr>
        <w:pStyle w:val="Funote"/>
        <w:rPr/>
      </w:pPr>
      <w:r>
        <w:rPr/>
        <w:footnoteRef/>
        <w:tab/>
        <w:t>JHWH</w:t>
      </w:r>
    </w:p>
  </w:footnote>
  <w:footnote w:id="1104">
    <w:p>
      <w:pPr>
        <w:pStyle w:val="Funote"/>
        <w:rPr/>
      </w:pPr>
      <w:r>
        <w:rPr/>
        <w:footnoteRef/>
        <w:tab/>
        <w:t>JHWH</w:t>
      </w:r>
    </w:p>
  </w:footnote>
  <w:footnote w:id="1105">
    <w:p>
      <w:pPr>
        <w:pStyle w:val="Funote"/>
        <w:rPr/>
      </w:pPr>
      <w:r>
        <w:rPr/>
        <w:footnoteRef/>
        <w:tab/>
        <w:t>JHWH</w:t>
      </w:r>
    </w:p>
  </w:footnote>
  <w:footnote w:id="1106">
    <w:p>
      <w:pPr>
        <w:pStyle w:val="Funote"/>
        <w:rPr/>
      </w:pPr>
      <w:r>
        <w:rPr/>
        <w:footnoteRef/>
        <w:tab/>
        <w:t>[Status: Zuverlässig]</w:t>
      </w:r>
    </w:p>
  </w:footnote>
  <w:footnote w:id="1107">
    <w:p>
      <w:pPr>
        <w:pStyle w:val="Funote"/>
        <w:rPr/>
      </w:pPr>
      <w:r>
        <w:rPr/>
        <w:footnoteRef/>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1108">
    <w:p>
      <w:pPr>
        <w:pStyle w:val="Funote"/>
        <w:rPr/>
      </w:pPr>
      <w:r>
        <w:rPr>
          <w:i/>
        </w:rPr>
        <w:footnoteRef/>
        <w:tab/>
        <w:t>Ruhe (eine Heimstatt)</w:t>
      </w:r>
      <w:r>
        <w:rPr/>
        <w:t xml:space="preserve"> - Heb. </w:t>
      </w:r>
      <w:r>
        <w:rPr>
          <w:i/>
        </w:rPr>
        <w:t>manoach</w:t>
      </w:r>
      <w:r>
        <w:rPr/>
        <w:t xml:space="preserve">, ein Synonym von </w:t>
      </w:r>
      <w:r>
        <w:rPr>
          <w:i/>
        </w:rPr>
        <w:t>menuchah</w:t>
      </w:r>
      <w:r>
        <w:rPr/>
        <w:t xml:space="preserve"> in </w:t>
      </w:r>
      <w:r>
        <w:fldChar w:fldCharType="begin"/>
      </w:r>
      <w:r>
        <w:instrText> HYPERLINK "file:///wiki/Rut_1" \l "s9"</w:instrText>
      </w:r>
      <w:r>
        <w:fldChar w:fldCharType="separate"/>
      </w:r>
      <w:r>
        <w:rPr>
          <w:rStyle w:val="Internetverknpfung"/>
        </w:rPr>
        <w:t>Rut 1,9</w:t>
      </w:r>
      <w:r>
        <w:fldChar w:fldCharType="end"/>
      </w:r>
      <w:r>
        <w:rPr/>
        <w:t xml:space="preserve"> (s. dazu </w:t>
      </w:r>
      <w:r>
        <w:fldChar w:fldCharType="begin"/>
      </w:r>
      <w:r>
        <w:instrText> HYPERLINK "http://www.offene-bibel.de/wiki/?title=Special%3ABibelstelle_aufschlagen&amp;abk=Rut+1" \l "note_aa"</w:instrText>
      </w:r>
      <w:r>
        <w:fldChar w:fldCharType="separate"/>
      </w:r>
      <w:r>
        <w:rPr>
          <w:rStyle w:val="Internetverknpfung"/>
        </w:rPr>
        <w:t>FN aa</w:t>
      </w:r>
      <w:r>
        <w:fldChar w:fldCharType="end"/>
      </w:r>
      <w:r>
        <w:rPr/>
        <w:t>): Noomi will Rut ein Heim verschaffen; d.h. hier: sie will sie „unter die Haube bringen“.</w:t>
      </w:r>
    </w:p>
  </w:footnote>
  <w:footnote w:id="1109">
    <w:p>
      <w:pPr>
        <w:pStyle w:val="Funote"/>
        <w:rPr/>
      </w:pPr>
      <w:r>
        <w:rPr>
          <w:i/>
        </w:rPr>
        <w:footnoteRef/>
        <w:tab/>
        <w:t>damit es dir gut geht</w:t>
      </w:r>
      <w:r>
        <w:rPr/>
        <w:t xml:space="preserve"> - häufige Formulierung in der Bibel, die bes. häufig mit dem Halten von JHWHs Geboten zusammenhängt: Hält man sie, „geht es einem gut“ (s. z.B. </w:t>
      </w:r>
      <w:hyperlink r:id="rId30">
        <w:r>
          <w:rPr>
            <w:rStyle w:val="Internetverknpfung"/>
          </w:rPr>
          <w:t>Dtn 4,40</w:t>
        </w:r>
      </w:hyperlink>
      <w:r>
        <w:rPr/>
        <w:t xml:space="preserve">; </w:t>
      </w:r>
      <w:r>
        <w:fldChar w:fldCharType="begin"/>
      </w:r>
      <w:r>
        <w:instrText> HYPERLINK "file:///wiki/Deuteronomium_12" \l "s28"</w:instrText>
      </w:r>
      <w:r>
        <w:fldChar w:fldCharType="separate"/>
      </w:r>
      <w:r>
        <w:rPr>
          <w:rStyle w:val="Internetverknpfung"/>
        </w:rPr>
        <w:t>Dtn 12,28</w:t>
      </w:r>
      <w:r>
        <w:fldChar w:fldCharType="end"/>
      </w:r>
      <w:r>
        <w:rPr/>
        <w:t xml:space="preserve">; </w:t>
      </w:r>
      <w:r>
        <w:fldChar w:fldCharType="begin"/>
      </w:r>
      <w:r>
        <w:instrText> HYPERLINK "file:///wiki/Jeremia_7" \l "s23"</w:instrText>
      </w:r>
      <w:r>
        <w:fldChar w:fldCharType="separate"/>
      </w:r>
      <w:r>
        <w:rPr>
          <w:rStyle w:val="Internetverknpfung"/>
        </w:rPr>
        <w:t>Jer 7,23</w:t>
      </w:r>
      <w:r>
        <w:fldChar w:fldCharType="end"/>
      </w:r>
      <w:r>
        <w:rPr/>
        <w:t xml:space="preserve">; </w:t>
      </w:r>
      <w:hyperlink r:id="rId31">
        <w:r>
          <w:rPr>
            <w:rStyle w:val="Internetverknpfung"/>
          </w:rPr>
          <w:t>Jer 38,20</w:t>
        </w:r>
      </w:hyperlink>
      <w:r>
        <w:rPr/>
        <w:t xml:space="preserve">; </w:t>
      </w:r>
      <w:hyperlink r:id="rId32">
        <w:r>
          <w:rPr>
            <w:rStyle w:val="Internetverknpfung"/>
          </w:rPr>
          <w:t>Jer 42,6</w:t>
        </w:r>
      </w:hyperlink>
      <w:r>
        <w:rPr/>
        <w:t xml:space="preserve"> u.ö.). Für sich genommen wäre das nicht besonders auffällig, aber vgl. noch </w:t>
      </w:r>
      <w:r>
        <w:fldChar w:fldCharType="begin"/>
      </w:r>
      <w:r>
        <w:instrText> HYPERLINK "http://www.offene-bibel.de/wiki/index.php5?title=Rut_3" \l "note_o"</w:instrText>
      </w:r>
      <w:r>
        <w:fldChar w:fldCharType="separate"/>
      </w:r>
      <w:r>
        <w:rPr>
          <w:rStyle w:val="Internetverknpfung"/>
        </w:rPr>
        <w:t>FN o</w:t>
      </w:r>
      <w:r>
        <w:fldChar w:fldCharType="end"/>
      </w:r>
      <w:r>
        <w:rPr/>
        <w:t xml:space="preserve"> zu Vers 6: Noomi erlässt hier </w:t>
      </w:r>
      <w:r>
        <w:rPr>
          <w:i/>
        </w:rPr>
        <w:t>Gebote</w:t>
      </w:r>
      <w:r>
        <w:rPr/>
        <w:t xml:space="preserve"> (s. die Anmerkungen)</w:t>
      </w:r>
    </w:p>
  </w:footnote>
  <w:footnote w:id="1110">
    <w:p>
      <w:pPr>
        <w:pStyle w:val="Funote"/>
        <w:rPr/>
      </w:pPr>
      <w:r>
        <w:rPr/>
        <w:footnoteRef/>
        <w:tab/>
        <w:t>Und weiter - W.: »und nun«; doch wä`attah dient hier wohl nur zur »Markierung eines neuen Gedankens« (Ges18, S. 1030); treffender ist daher obiger Übersetzungsvorschlag.</w:t>
      </w:r>
    </w:p>
  </w:footnote>
  <w:footnote w:id="1111">
    <w:p>
      <w:pPr>
        <w:pStyle w:val="Funote"/>
        <w:rPr/>
      </w:pPr>
      <w:r>
        <w:rPr/>
        <w:footnoteRef/>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1112">
    <w:p>
      <w:pPr>
        <w:pStyle w:val="Funote"/>
        <w:rPr/>
      </w:pPr>
      <w:r>
        <w:rPr/>
        <w:footnoteRef/>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1113">
    <w:p>
      <w:pPr>
        <w:pStyle w:val="Funote"/>
        <w:rPr/>
      </w:pPr>
      <w:r>
        <w:rPr>
          <w:i/>
        </w:rPr>
        <w:footnoteRef/>
        <w:tab/>
        <w:t>[Daher]</w:t>
      </w:r>
      <w:r>
        <w:rPr/>
        <w:t xml:space="preserve"> - Dass die Aufforderung in Vv. 3f aus Vv. 1f </w:t>
      </w:r>
      <w:r>
        <w:rPr>
          <w:i/>
        </w:rPr>
        <w:t>abgeleitet</w:t>
      </w:r>
      <w:r>
        <w:rPr/>
        <w:t xml:space="preserve"> wird, wird im Heb. nur durch die Wortform (Weqatal) markiert (eben daher auch Einsatz durch Weqatal statt Yiqtol).</w:t>
      </w:r>
    </w:p>
  </w:footnote>
  <w:footnote w:id="1114">
    <w:p>
      <w:pPr>
        <w:pStyle w:val="Funote"/>
        <w:rPr/>
      </w:pPr>
      <w:r>
        <w:rPr/>
        <w:footnoteRef/>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1115">
    <w:p>
      <w:pPr>
        <w:pStyle w:val="Funote"/>
        <w:rPr/>
      </w:pPr>
      <w:r>
        <w:rPr/>
        <w:footnoteRef/>
        <w:tab/>
        <w:t>wasche dich, bade dich und wirf deine Kleider um dich - Typische Hochzeitsvorbereitungen (so richtig z.B. Fischer 2001, S. 201; Zenger 1986, S. 66f). Vgl. 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S. auch Ez 16,9-13 und Jdt 10,3-4 (zu Jdt 10-13 vgl. die Anmerkungen zu Hld 3: Auch hier wird deutlich auf eine Hochzeit angespielt). Nach m.Qid 1,1 galt eine Ehe schon durch den Geschlechtsakt als vollzogen und ähnliche Regelungen galten bereits zu biblischer Zeit (s. Ex 22,15f.; Dtn 22,28f.); mit einer erfolgreichen Verführung hätte sich Rut also auch gleich die Ehe ermogelt.</w:t>
      </w:r>
    </w:p>
  </w:footnote>
  <w:footnote w:id="1116">
    <w:p>
      <w:pPr>
        <w:pStyle w:val="Funote"/>
        <w:rPr/>
      </w:pPr>
      <w:r>
        <w:rPr/>
        <w:footnoteRef/>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1117">
    <w:p>
      <w:pPr>
        <w:pStyle w:val="Funote"/>
        <w:rPr/>
      </w:pPr>
      <w:r>
        <w:rPr/>
        <w:footnoteRef/>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1118">
    <w:p>
      <w:pPr>
        <w:pStyle w:val="Funote"/>
        <w:rPr/>
      </w:pPr>
      <w:r>
        <w:rPr/>
        <w:footnoteRef/>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1119">
    <w:p>
      <w:pPr>
        <w:pStyle w:val="Funote"/>
        <w:rPr/>
      </w:pPr>
      <w:r>
        <w:rPr/>
        <w:footnoteRef/>
        <w:tab/>
        <w:t>Textkritik: ([mir]) - Die Überlieferung des heb. Textes bietet beide Versionen; Ketiv und viele LXX- und VUL-Mss haben ohne »mir«; Qere, einige LXX- und VUL-Mss, Tg und Syr mit. Eine Entscheidung ist hier nicht möglich.</w:t>
      </w:r>
    </w:p>
  </w:footnote>
  <w:footnote w:id="1120">
    <w:p>
      <w:pPr>
        <w:pStyle w:val="Funote"/>
        <w:rPr/>
      </w:pPr>
      <w:r>
        <w:rPr>
          <w:i/>
        </w:rPr>
        <w:footnoteRef/>
        <w:tab/>
        <w:t>sagst (je sagen wirst)</w:t>
      </w:r>
      <w:r>
        <w:rPr/>
        <w:t xml:space="preserve"> - das Verb steht im Yiqtol; d.h.: Rut bezieht sich damit nicht (nur) auf Noomis Aufforderungen in Vv. 3f, sondern auf alles, was diese ihr je sagen wird.</w:t>
      </w:r>
    </w:p>
  </w:footnote>
  <w:footnote w:id="1121">
    <w:p>
      <w:pPr>
        <w:pStyle w:val="Funote"/>
        <w:rPr/>
      </w:pPr>
      <w:r>
        <w:rPr/>
        <w:footnoteRef/>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1122">
    <w:p>
      <w:pPr>
        <w:pStyle w:val="Funote"/>
        <w:rPr/>
      </w:pPr>
      <w:r>
        <w:rPr>
          <w:i/>
        </w:rPr>
        <w:footnoteRef/>
        <w:tab/>
        <w:t>sein Herz wurde fröhlich</w:t>
      </w:r>
      <w:r>
        <w:rPr/>
        <w:t xml:space="preserve"> - heb. Idiom, dass sowohl bedeuten kann, dass Boas (vom Weingenuß) „betrunken wurde“ (s. z.B. </w:t>
      </w:r>
      <w:hyperlink r:id="rId33">
        <w:r>
          <w:rPr>
            <w:rStyle w:val="Internetverknpfung"/>
          </w:rPr>
          <w:t>1 Sam 25,36</w:t>
        </w:r>
      </w:hyperlink>
      <w:r>
        <w:rPr/>
        <w:t xml:space="preserve">) als auch nur, dass er „gut gelaunt“ war (s. z.B. </w:t>
      </w:r>
      <w:hyperlink r:id="rId34">
        <w:r>
          <w:rPr>
            <w:rStyle w:val="Internetverknpfung"/>
          </w:rPr>
          <w:t>1 Kön 8,66</w:t>
        </w:r>
      </w:hyperlink>
      <w:r>
        <w:rPr/>
        <w:t xml:space="preserve">). Da es hier als direkte Folge des Essens </w:t>
      </w:r>
      <w:r>
        <w:rPr>
          <w:i/>
        </w:rPr>
        <w:t>und Trinkens</w:t>
      </w:r>
      <w:r>
        <w:rPr/>
        <w:t xml:space="preserve"> genannt wird und wegen der Bezüge des Kapitels zu </w:t>
      </w:r>
      <w:r>
        <w:fldChar w:fldCharType="begin"/>
      </w:r>
      <w:r>
        <w:instrText> HYPERLINK "file:///wiki/Genesis_19" \l "s30"</w:instrText>
      </w:r>
      <w:r>
        <w:fldChar w:fldCharType="separate"/>
      </w:r>
      <w:r>
        <w:rPr>
          <w:rStyle w:val="Internetverknpfung"/>
        </w:rPr>
        <w:t>Gen 19,30-38</w:t>
      </w:r>
      <w:r>
        <w:fldChar w:fldCharType="end"/>
      </w:r>
      <w:r>
        <w:rPr/>
        <w:t xml:space="preserve">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1123">
    <w:p>
      <w:pPr>
        <w:pStyle w:val="Funote"/>
        <w:rPr/>
      </w:pPr>
      <w:r>
        <w:rPr/>
        <w:footnoteRef/>
        <w:tab/>
        <w:t xml:space="preserve">zu </w:t>
      </w:r>
      <w:r>
        <w:rPr>
          <w:i/>
        </w:rPr>
        <w:t>entblößte seine Beine</w:t>
      </w:r>
      <w:r>
        <w:rPr/>
        <w:t xml:space="preserve"> s. </w:t>
      </w:r>
      <w:r>
        <w:fldChar w:fldCharType="begin"/>
      </w:r>
      <w:r>
        <w:instrText> HYPERLINK "http://www.offene-bibel.de/wiki/index.php5?title=Rut_3" \l "note_l"</w:instrText>
      </w:r>
      <w:r>
        <w:fldChar w:fldCharType="separate"/>
      </w:r>
      <w:r>
        <w:rPr>
          <w:rStyle w:val="Internetverknpfung"/>
        </w:rPr>
        <w:t>FN l</w:t>
      </w:r>
      <w:r>
        <w:fldChar w:fldCharType="end"/>
      </w:r>
      <w:r>
        <w:rPr/>
        <w:t xml:space="preserve"> zu V. 4.</w:t>
      </w:r>
    </w:p>
  </w:footnote>
  <w:footnote w:id="1124">
    <w:p>
      <w:pPr>
        <w:pStyle w:val="Funote"/>
        <w:rPr/>
      </w:pPr>
      <w:r>
        <w:rPr/>
        <w:footnoteRef/>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1125">
    <w:p>
      <w:pPr>
        <w:pStyle w:val="Funote"/>
        <w:rPr/>
      </w:pPr>
      <w:r>
        <w:rPr/>
        <w:footnoteRef/>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1126">
    <w:p>
      <w:pPr>
        <w:pStyle w:val="Funote"/>
        <w:rPr/>
      </w:pPr>
      <w:r>
        <w:rPr/>
        <w:footnoteRef/>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1127">
    <w:p>
      <w:pPr>
        <w:pStyle w:val="Funote"/>
        <w:rPr/>
      </w:pPr>
      <w:r>
        <w:rPr/>
        <w:footnoteRef/>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1128">
    <w:p>
      <w:pPr>
        <w:pStyle w:val="Funote"/>
        <w:rPr/>
      </w:pPr>
      <w:r>
        <w:rPr/>
        <w:footnoteRef/>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1129">
    <w:p>
      <w:pPr>
        <w:pStyle w:val="Funote"/>
        <w:rPr/>
      </w:pPr>
      <w:r>
        <w:rPr/>
        <w:footnoteRef/>
        <w:tab/>
        <w:t>Zu gesegnet [seist] du von JHWH vgl. FN aw zu Rut 2,20.</w:t>
      </w:r>
    </w:p>
  </w:footnote>
  <w:footnote w:id="1130">
    <w:p>
      <w:pPr>
        <w:pStyle w:val="Funote"/>
        <w:rPr/>
      </w:pPr>
      <w:r>
        <w:rPr/>
        <w:footnoteRef/>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1131">
    <w:p>
      <w:pPr>
        <w:pStyle w:val="Funote"/>
        <w:rPr/>
      </w:pPr>
      <w:r>
        <w:rPr/>
        <w:footnoteRef/>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1132">
    <w:p>
      <w:pPr>
        <w:pStyle w:val="Funote"/>
        <w:rPr/>
      </w:pPr>
      <w:r>
        <w:rPr/>
        <w:footnoteRef/>
        <w:tab/>
        <w:t>Zum Tor als Ausdruck für »Volk«, »öffentliche Ansicht« vgl. bes. Speiser 1956, S. 21). So auch die LXX, VL, Syr (»mein Stamm«); VUL (»das ganze Volk...«). Viele Üss. daher gut: »Jeder in der Stadt«.</w:t>
      </w:r>
    </w:p>
  </w:footnote>
  <w:footnote w:id="1133">
    <w:p>
      <w:pPr>
        <w:pStyle w:val="Funote"/>
        <w:rPr/>
      </w:pPr>
      <w:r>
        <w:rPr/>
        <w:footnoteRef/>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1134">
    <w:p>
      <w:pPr>
        <w:pStyle w:val="Funote"/>
        <w:rPr/>
      </w:pPr>
      <w:r>
        <w:rPr/>
        <w:footnoteRef/>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1135">
    <w:p>
      <w:pPr>
        <w:pStyle w:val="Funote"/>
        <w:rPr/>
      </w:pPr>
      <w:r>
        <w:rPr/>
        <w:footnoteRef/>
        <w:tab/>
        <w:t xml:space="preserve">Zu den Gründen gegen </w:t>
      </w:r>
      <w:r>
        <w:rPr>
          <w:i/>
        </w:rPr>
        <w:t>es gibt einen näheren Löser als mich</w:t>
      </w:r>
      <w:r>
        <w:rPr/>
        <w:t xml:space="preserve"> s. die vorige FN.</w:t>
      </w:r>
    </w:p>
  </w:footnote>
  <w:footnote w:id="1136">
    <w:p>
      <w:pPr>
        <w:pStyle w:val="Funote"/>
        <w:rPr/>
      </w:pPr>
      <w:r>
        <w:rPr>
          <w:i/>
        </w:rPr>
        <w:footnoteRef/>
        <w:tab/>
        <w:t>wenn er dich am Morgen lösen wird</w:t>
      </w:r>
      <w:r>
        <w:rPr/>
        <w:t xml:space="preserve"> - W.: „Und es wird sein am Morgen: Wenn er dich lösen wird...“: </w:t>
      </w:r>
      <w:r>
        <w:rPr>
          <w:i/>
        </w:rPr>
        <w:t>wähajah</w:t>
      </w:r>
      <w:r>
        <w:rPr/>
        <w:t xml:space="preserve"> („und es wird sein“) hier wie oft nur zur Markierung einer Zeitangabe.</w:t>
      </w:r>
    </w:p>
  </w:footnote>
  <w:footnote w:id="1137">
    <w:p>
      <w:pPr>
        <w:pStyle w:val="Funote"/>
        <w:rPr/>
      </w:pPr>
      <w:r>
        <w:rPr/>
        <w:footnoteRef/>
        <w:tab/>
        <w:t>[so wahr] JHWH lebt - Häufige Schwurformel. Entspr. im Dt. eher »das schwöre ich bei Gott«.</w:t>
      </w:r>
    </w:p>
  </w:footnote>
  <w:footnote w:id="1138">
    <w:p>
      <w:pPr>
        <w:pStyle w:val="Funote"/>
        <w:rPr/>
      </w:pPr>
      <w:r>
        <w:rPr/>
        <w:footnoteRef/>
        <w:tab/>
        <w:t>Textkritik: [an] seinem Bein - so Ketiv, doch das macht keinen Sinn und ist sicher ein Schreibfehler.</w:t>
      </w:r>
    </w:p>
  </w:footnote>
  <w:footnote w:id="1139">
    <w:p>
      <w:pPr>
        <w:pStyle w:val="Funote"/>
        <w:rPr/>
      </w:pPr>
      <w:r>
        <w:rPr/>
        <w:footnoteRef/>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1140">
    <w:p>
      <w:pPr>
        <w:pStyle w:val="Funote"/>
        <w:rPr/>
      </w:pPr>
      <w:r>
        <w:rPr/>
        <w:footnoteRef/>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1141">
    <w:p>
      <w:pPr>
        <w:pStyle w:val="Funote"/>
        <w:rPr/>
      </w:pPr>
      <w:r>
        <w:rPr/>
        <w:footnoteRef/>
        <w:tab/>
        <w:t>halte ihn [gut fest] + sie hielt ihn [fest] + er lud ihn ihr auf soll wohl v.a. ausdrücklich machen, wie schwer der Mantel nach seiner Befüllung mit Gerste ist. Sehr gut daher Campbell 1975, S. 116: »Get a good hold on it!« + »She held it firmly.«</w:t>
      </w:r>
    </w:p>
  </w:footnote>
  <w:footnote w:id="1142">
    <w:p>
      <w:pPr>
        <w:pStyle w:val="Funote"/>
        <w:rPr/>
      </w:pPr>
      <w:r>
        <w:rPr/>
        <w:footnoteRef/>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1143">
    <w:p>
      <w:pPr>
        <w:pStyle w:val="Funote"/>
        <w:rPr/>
      </w:pPr>
      <w:r>
        <w:rPr/>
        <w:footnoteRef/>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1144">
    <w:p>
      <w:pPr>
        <w:pStyle w:val="Funote"/>
        <w:rPr/>
      </w:pPr>
      <w:r>
        <w:rPr/>
        <w:footnoteRef/>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1145">
    <w:p>
      <w:pPr>
        <w:pStyle w:val="Funote"/>
        <w:rPr/>
      </w:pPr>
      <w:r>
        <w:rPr/>
        <w:footnoteRef/>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1146">
    <w:p>
      <w:pPr>
        <w:pStyle w:val="Funote"/>
        <w:rPr/>
      </w:pPr>
      <w:r>
        <w:rPr/>
        <w:footnoteRef/>
        <w:tab/>
        <w:t>[Wie etwa im hethitischen Recht, wo die die Abfolge der Schwagerehen-berechtigten ist: Bruder =&gt; Vater =&gt; Onkel (s. Hethitisches Gesetz §193).]</w:t>
      </w:r>
    </w:p>
  </w:footnote>
  <w:footnote w:id="1147">
    <w:p>
      <w:pPr>
        <w:pStyle w:val="Funote"/>
        <w:rPr/>
      </w:pPr>
      <w:r>
        <w:rPr/>
        <w:footnoteRef/>
        <w:tab/>
        <w:t>[Status: Zuverlässig]</w:t>
      </w:r>
    </w:p>
  </w:footnote>
  <w:footnote w:id="1148">
    <w:p>
      <w:pPr>
        <w:pStyle w:val="Funote"/>
        <w:rPr/>
      </w:pPr>
      <w:r>
        <w:rPr>
          <w:i/>
        </w:rPr>
        <w:footnoteRef/>
        <w:tab/>
        <w:t>ins Tor</w:t>
      </w:r>
      <w:r>
        <w:rPr/>
        <w:t xml:space="preserve"> - Mit dem „Tor“ ist in biblischen Texten nicht nur die Tür gemeint, die das Innere einer Stadt vom Äußeren einer Stadt abgrenzt, sondern ein größerer Platz, der im Alten Israel die selbe Funktion hatte wie z.B. die griechische Agora: Ein Versammlungsplatz, auf dem Handel getrieben wurde, auf dem die städtische Selbstverwaltung „tagte“ und wo - bes. wichtig für unsere Stelle - v.a. auch Recht gesprochen wurde. Das kleine Dorf Betlehem hatte wahrscheinlich überhaupt keine Tore; dass „Boas zum Tor geht“, ist wohl eine Anspielung auf </w:t>
      </w:r>
      <w:hyperlink r:id="rId35">
        <w:r>
          <w:rPr>
            <w:rStyle w:val="Internetverknpfung"/>
          </w:rPr>
          <w:t>Dtn 25,7</w:t>
        </w:r>
      </w:hyperlink>
      <w:r>
        <w:rPr/>
        <w:t>.</w:t>
      </w:r>
    </w:p>
  </w:footnote>
  <w:footnote w:id="1149">
    <w:p>
      <w:pPr>
        <w:pStyle w:val="Funote"/>
        <w:rPr/>
      </w:pPr>
      <w:r>
        <w:rPr/>
        <w:footnoteRef/>
        <w:tab/>
        <w:t>siehe da! - Wie in Rut 2,4 (s. FN m) drückt auch hier das „siehe da!“ aus, dass überraschenderweise genau das richtige passiert. Gut daher OEB: „Just then the [Löser] came along“; „Und zufällig kam just in diesem Moment auch der Löser vorbei...“</w:t>
      </w:r>
    </w:p>
  </w:footnote>
  <w:footnote w:id="1150">
    <w:p>
      <w:pPr>
        <w:pStyle w:val="Funote"/>
        <w:rPr/>
      </w:pPr>
      <w:r>
        <w:rPr>
          <w:i/>
        </w:rPr>
        <w:footnoteRef/>
        <w:tab/>
        <w:t>Löser</w:t>
      </w:r>
      <w:r>
        <w:rPr/>
        <w:t xml:space="preserve"> - Zum „Löser“ s. die Anmerkungen.</w:t>
      </w:r>
    </w:p>
  </w:footnote>
  <w:footnote w:id="1151">
    <w:p>
      <w:pPr>
        <w:pStyle w:val="Funote"/>
        <w:rPr/>
      </w:pPr>
      <w:r>
        <w:rPr/>
        <w:footnoteRef/>
        <w:tab/>
        <w:t>Bieg ab - nämlich auf die Seite zu den auf dem Torplatz stehenden Bänken. Die meisten Üss. übersetzen sinnvoll: »Komm her!«; am besten EÜ, HfA, NL: »Komm herüber!«</w:t>
      </w:r>
    </w:p>
  </w:footnote>
  <w:footnote w:id="1152">
    <w:p>
      <w:pPr>
        <w:pStyle w:val="Funote"/>
        <w:rPr/>
      </w:pPr>
      <w:r>
        <w:rPr/>
        <w:footnoteRef/>
        <w:tab/>
        <w:t>irgendwo hin (hier hin, Soundso) - Umstrittener Ausdruck. In der LF sollte er am Besten mit HfA, NL u.a. Üss. ausgespart werden, da er sich nicht wirklich erklären lässt.W. etwa „bestimmt stumm“. Der Ausdruck findet sich sonst nur noch zweimal in der Bibel und steht dort für einen nicht näher spezifizierten Ort (s. 1 Sam 21,3; 2 Kön 6,8). Vergleichbar ist eine Passage im ägyptischen Archivdokument 17.2, wo in einem Streitgespräch zweier Schreiber der erste den zweiten mit „du leerer, sinnloser Name!“ beschimpft und der zweite Schreiber den ersten mit „Du Wer-ist-es“ beleidigt. Schon LXX, und VL verstanden entsprechend auch hier das peloni almoni („irgendwo / Soundso“) als Bezeichnung des Lösers und übersetzen ho deina („der So-und-So“, so einige LXX-Mss), kruphie („du Verborgener“, so andere LXX-Mss) oder quicumque es („wer auch immer du bist“, VL). Dem folgend wird dann auch hier in allen modernen Kommentaren und Übersetzungen das peloni almoni so verstanden, dass damit der Löser bezeichnet, sein Name aber aus irgendeinem Grund verschwiegen werden solle: „Der und der“, „So-und-so“; „Herr Dingsbums“ (Hajek 1962, S. 77), „mein Lieber“ (diese häufige Übersetzung soll eine freie Übersetzung dieses „So-und-so“ sein, die schwerlich zu rechtfertigen ist). Der Grund dafür ist dann ganz rätselhaft; warum er den Löser gleich zur Eröffnung des Gesprächs beleidigen sollte, ist nicht einzusehen. Man hat also nach anderen Erklärungen zu suchen.Knight/Levine 2011, S. 115 und Sasson 2012, S. 255f. haben daher kürzlich geleitet von 1 Sam 21,3; 2 Kön 6,8 vorgeschlagen, dass man auch hier den Ausdruck besser als Ortsbezeichnung verstehen und daher besser mit „hier irgendwo“ übersetzen solle; in Ermangelung eines anderen Vorschlags haben wir dies als Primärübersetzung angegeben.</w:t>
      </w:r>
    </w:p>
  </w:footnote>
  <w:footnote w:id="1153">
    <w:p>
      <w:pPr>
        <w:pStyle w:val="Funote"/>
        <w:rPr/>
      </w:pPr>
      <w:r>
        <w:rPr/>
        <w:footnoteRef/>
        <w:tab/>
        <w:t>zehn Männer von den Ältesten der Stadt - gemeint sind nicht die ältesten Bürger der Stadt, sondern Familienoberhäupter, die im Alten Israel in derartigen Fällen als eine Art Schöffen fungierten. „Die Zehnzahl ist symbolisch zu verstehen, zumindest gibt es keine Bestimmungen in den Gesetzen des AT, die vorschreiben würden, daß ein Gericht mit genau 10 Ältesten besetzt sein muß. Die Zehnzahl unterstreicht vielmehr die Vollständigkeit des Gerichts am Tor. Boas Vorgehen ist ‚lupenrein‘ und ohne ‚Verfahrensfehler‘ [...].“ (Frevel 1992, S. 129).</w:t>
      </w:r>
    </w:p>
  </w:footnote>
  <w:footnote w:id="1154">
    <w:p>
      <w:pPr>
        <w:pStyle w:val="Funote"/>
        <w:rPr/>
      </w:pPr>
      <w:r>
        <w:rPr>
          <w:i/>
        </w:rPr>
        <w:footnoteRef/>
        <w:tab/>
        <w:t>Feldstück</w:t>
      </w:r>
      <w:r>
        <w:rPr/>
        <w:t xml:space="preserve"> - s. zum Begriff </w:t>
      </w:r>
      <w:r>
        <w:fldChar w:fldCharType="begin"/>
      </w:r>
      <w:r>
        <w:instrText> HYPERLINK "http://offene-bibel.de/mediawiki/index.php?title=Rut_2" \l "note_e"</w:instrText>
      </w:r>
      <w:r>
        <w:fldChar w:fldCharType="separate"/>
      </w:r>
      <w:r>
        <w:rPr>
          <w:rStyle w:val="Internetverknpfung"/>
        </w:rPr>
        <w:t>FN e</w:t>
      </w:r>
      <w:r>
        <w:fldChar w:fldCharType="end"/>
      </w:r>
      <w:r>
        <w:rPr/>
        <w:t xml:space="preserve"> zu </w:t>
      </w:r>
      <w:r>
        <w:fldChar w:fldCharType="begin"/>
      </w:r>
      <w:r>
        <w:instrText> HYPERLINK "file:///wiki/Rut_2" \l "s2"</w:instrText>
      </w:r>
      <w:r>
        <w:fldChar w:fldCharType="separate"/>
      </w:r>
      <w:r>
        <w:rPr>
          <w:rStyle w:val="Internetverknpfung"/>
        </w:rPr>
        <w:t>Rut 2,2</w:t>
      </w:r>
      <w:r>
        <w:fldChar w:fldCharType="end"/>
      </w:r>
      <w:r>
        <w:rPr/>
        <w:t>.</w:t>
      </w:r>
    </w:p>
  </w:footnote>
  <w:footnote w:id="1155">
    <w:p>
      <w:pPr>
        <w:pStyle w:val="Funote"/>
        <w:rPr/>
      </w:pPr>
      <w:r>
        <w:rPr/>
        <w:footnoteRef/>
        <w:tab/>
        <w:t>Bruder - Hier im Sinne von »Verwandter«; dass gerade »Bruder« verwendet wird, ist wahrscheinlich eine Anspielung auf Dtn 25,5 (vgl. z.B. Fischer 2001, S. 158; Zakovitch 1999 S. 154).</w:t>
      </w:r>
    </w:p>
  </w:footnote>
  <w:footnote w:id="1156">
    <w:p>
      <w:pPr>
        <w:pStyle w:val="Funote"/>
        <w:rPr/>
      </w:pPr>
      <w:r>
        <w:rPr/>
        <w:footnoteRef/>
        <w:tab/>
        <w:t>verkauft - »Verkaufen« trifft die Rechtslage nicht gut, denn Land war im Alten Israel eigentlich nur für eine begrenzte Zeit »verkäuflich« und würde dann wieder an die Familie zurückfallen, die es verkauft hat (vgl. z.B. Lipiński 1976, S. 126; ThWAT IV, S. 871). Strenggenommen müsste man hier mit »verpfänden« o.Ä. übersetzen, doch würde das die LF wohl nur unnötig verkomplizieren; auch fast alle neueren Üss. übersetzen daher mit »verkaufen«.</w:t>
      </w:r>
    </w:p>
  </w:footnote>
  <w:footnote w:id="1157">
    <w:p>
      <w:pPr>
        <w:pStyle w:val="Funote"/>
        <w:rPr/>
      </w:pPr>
      <w:r>
        <w:rPr>
          <w:i/>
        </w:rPr>
        <w:footnoteRef/>
        <w:tab/>
        <w:t>{</w:t>
      </w:r>
      <w:r>
        <w:rPr>
          <w:i/>
          <w:strike/>
        </w:rPr>
        <w:t>dem Gebiet von</w:t>
      </w:r>
      <w:r>
        <w:rPr>
          <w:i/>
        </w:rPr>
        <w:t>} (dem Feld von)</w:t>
      </w:r>
      <w:r>
        <w:rPr/>
        <w:t xml:space="preserve"> - Zum Ausdruck s. </w:t>
      </w:r>
      <w:r>
        <w:fldChar w:fldCharType="begin"/>
      </w:r>
      <w:r>
        <w:instrText> HYPERLINK "http://offene-bibel.de/wiki/Rut_1" \l "note_e"</w:instrText>
      </w:r>
      <w:r>
        <w:fldChar w:fldCharType="separate"/>
      </w:r>
      <w:r>
        <w:rPr>
          <w:rStyle w:val="Internetverknpfung"/>
        </w:rPr>
        <w:t>FN e</w:t>
      </w:r>
      <w:r>
        <w:fldChar w:fldCharType="end"/>
      </w:r>
      <w:r>
        <w:rPr/>
        <w:t xml:space="preserve"> zu </w:t>
      </w:r>
      <w:r>
        <w:fldChar w:fldCharType="begin"/>
      </w:r>
      <w:r>
        <w:instrText> HYPERLINK "file:///wiki/Rut_1" \l "s1"</w:instrText>
      </w:r>
      <w:r>
        <w:fldChar w:fldCharType="separate"/>
      </w:r>
      <w:r>
        <w:rPr>
          <w:rStyle w:val="Internetverknpfung"/>
        </w:rPr>
        <w:t>Rut 1,1</w:t>
      </w:r>
      <w:r>
        <w:fldChar w:fldCharType="end"/>
      </w:r>
      <w:r>
        <w:rPr/>
        <w:t>.</w:t>
      </w:r>
    </w:p>
  </w:footnote>
  <w:footnote w:id="1158">
    <w:p>
      <w:pPr>
        <w:pStyle w:val="Funote"/>
        <w:rPr/>
      </w:pPr>
      <w:r>
        <w:rPr>
          <w:i/>
        </w:rPr>
        <w:footnoteRef/>
        <w:tab/>
        <w:t>gesagt ([mir] gedacht)</w:t>
      </w:r>
      <w:r>
        <w:rPr/>
        <w:t xml:space="preserve"> - Meist übersetzt als „Ich habe mir gedacht“; naheliegender aber: Frauen wurden im Alten Israel vor Gericht in der Regel durch Männer vertreten; Boas - der ja ganz offensichtlich im Namen von Noomi handelt - gibt also wohl hier kund, dass er ihr diese Rechtsvertretung zugesichert habe: „Ich habe ihr versprochen, dir folgendes zu Gehör zu bringen: ...“</w:t>
      </w:r>
    </w:p>
  </w:footnote>
  <w:footnote w:id="1159">
    <w:p>
      <w:pPr>
        <w:pStyle w:val="Funote"/>
        <w:rPr/>
      </w:pPr>
      <w:r>
        <w:rPr>
          <w:i/>
        </w:rPr>
        <w:footnoteRef/>
        <w:tab/>
        <w:t>zu Gehör bringen</w:t>
      </w:r>
      <w:r>
        <w:rPr/>
        <w:t xml:space="preserve"> - Heb. Idiom, s. z.B. </w:t>
      </w:r>
      <w:hyperlink r:id="rId36">
        <w:r>
          <w:rPr>
            <w:rStyle w:val="Internetverknpfung"/>
          </w:rPr>
          <w:t>1 Sam 20,2</w:t>
        </w:r>
      </w:hyperlink>
      <w:r>
        <w:rPr/>
        <w:t>.</w:t>
      </w:r>
      <w:hyperlink r:id="rId37">
        <w:r>
          <w:rPr>
            <w:rStyle w:val="Internetverknpfung"/>
          </w:rPr>
          <w:t>12f</w:t>
        </w:r>
      </w:hyperlink>
      <w:r>
        <w:rPr/>
        <w:t xml:space="preserve">. Außer in </w:t>
      </w:r>
      <w:hyperlink r:id="rId38">
        <w:r>
          <w:rPr>
            <w:rStyle w:val="Internetverknpfung"/>
          </w:rPr>
          <w:t>Ijob 36,10</w:t>
        </w:r>
      </w:hyperlink>
      <w:r>
        <w:rPr/>
        <w:t>.</w:t>
      </w:r>
      <w:hyperlink r:id="rId39">
        <w:r>
          <w:rPr>
            <w:rStyle w:val="Internetverknpfung"/>
          </w:rPr>
          <w:t>15</w:t>
        </w:r>
      </w:hyperlink>
      <w:r>
        <w:rPr/>
        <w:t xml:space="preserve"> steht es stets für </w:t>
      </w:r>
      <w:r>
        <w:rPr>
          <w:i/>
        </w:rPr>
        <w:t>Privat</w:t>
      </w:r>
      <w:r>
        <w:rPr/>
        <w:t>mitteilungen: Was Boas hier verkünden will, ist speziell für die Ohren des Löser bestimmt, da eben dieser und kein anderer der Löser ist (s. Anmerkungen).</w:t>
      </w:r>
    </w:p>
  </w:footnote>
  <w:footnote w:id="1160">
    <w:p>
      <w:pPr>
        <w:pStyle w:val="Funote"/>
        <w:rPr/>
      </w:pPr>
      <w:r>
        <w:rPr/>
        <w:footnoteRef/>
        <w:tab/>
        <w:t>der Sitzenden und der Ältesten meines Volkes - Wahrscheinlich entspr. der Interpretation von SLT zu verstehen: »In Gegenwart der hier sitzenden Bürger (die sich inzwischen neugierig am Verhandlungsort niedergelassen haben) und der Ältesten meines Volkes«.Genauer: Nach V. 2 müsste sich schon »die Sitzenden« auf die Ältesten beziehen; hier scheinen aber mit den »Sitzenden« und den »Ältesten« zwei us. Gruppen gemeint zu sein. Zakovitch 1999, S. 156 denkt daher, das »und« sei hier als ein sog. Waw explicativum zu verstehen und man müsste übersetzen: »in Gegenart der [hier] Sitzenden, nämlich in Gegenwart der Ältesten meines Volkes«, und Campbell 1975, S. 145 denkt, die »Sitzenden« meine die zehn Ältesten, die Boas sich in V. 2 »genommen« hat, die »Ältesten« dagegen sämtliche Älteste Bethlehems, die hier durch die zehn ausgewählten Ältesten repräsentiert seien. Diese sämtlichen Ältesten sind hier aber eben nicht anwesend und daher nicht gut mit dem »in Gegenart von« vereinbar und die Deutung als Waw explicativum ist wegen der Wiederholung des neged (»in Gegenwart von«) nicht gut möglich, daher meint »die Sitzenden« wohl das übrige Volk, das sich mittlerweile im Tor niedergelassen hat und das später noch in Aktion treten wird.</w:t>
      </w:r>
    </w:p>
  </w:footnote>
  <w:footnote w:id="1161">
    <w:p>
      <w:pPr>
        <w:pStyle w:val="Funote"/>
        <w:rPr/>
      </w:pPr>
      <w:r>
        <w:rPr/>
        <w:footnoteRef/>
        <w:tab/>
        <w:t>wenn du lösen willst, dann löse - Der Nachsatz hat offenbar die Funktion, den »Kauf« des Lösers speziell als »Lösung« zu bestimmen, nämlich als pflichtgemäße Inanspruchnahme des Vorverkaufsrechts (s. die Anmerkungen). Einfacher also z.B. nach NL: »Wenn du das Land auslösen willst, dann kaufe es jetzt in der Gegenwart ... . Wenn du es jedoch nicht auslösen willst ...«</w:t>
      </w:r>
    </w:p>
  </w:footnote>
  <w:footnote w:id="1162">
    <w:p>
      <w:pPr>
        <w:pStyle w:val="Funote"/>
        <w:rPr/>
      </w:pPr>
      <w:r>
        <w:rPr/>
        <w:footnoteRef/>
        <w:tab/>
        <w:t>Textkritik: Wenn aber niemand lösen will (wenn du aber nicht lösen willst) - Die besten Handschriften haben hier das Verb in der 3. Pers. Sg.: »Wenn er nicht lösen will«. Viele heb. Handschriften, LXX, VUL und Tg korrigieren daher zu 2. Pers. Sg. und dem folgen alle modernen Üss. und Kommentare: »Wenn du nicht lösen willst«. Wie aber die 3.-Pers.-Version als Schreibfehler entstanden sein sollte, ist nicht erklärlich und daher wahrscheinlich doch die ursprüngliche Version; BHQ belässt daher auch diese Version, die dann mit Niccacci 1995, S. 97 und schon Ibn Ezra als impersonale Konstruktion erklärt werden muss: »Wenn er nicht lösen will« = »Wenn niemand lösen will«.Diese Deutung ist sogar effektvoller: Die Lösung wird fast völlig in die Verantwortung des Lösers gestellt, »es gibt niemand außer ihm, der lösen könnte« (4b); die Alternative dazu, dass der Löser löst, ist also, dass »niemand löst« (4a). Die Formulierung schlägt offenbar in die selbe Kerbe, in die auch der Ausdruck »zu Gehör bringen« schlägt (s.o.): Es ist speziell der Löser, der hier in Verantwortung steht. Und erst ganz am Ende seiner langen Rede zeigt Boas eine weitere Alternative auf, die im heb. Text nur aus zwei Worten besteht: »Und-ich nach-dir«. Boas will den Löser anscheinend durch diese Formulierung geradezu zur Zusage »verführen«.</w:t>
      </w:r>
    </w:p>
  </w:footnote>
  <w:footnote w:id="1163">
    <w:p>
      <w:pPr>
        <w:pStyle w:val="Funote"/>
        <w:rPr/>
      </w:pPr>
      <w:r>
        <w:rPr/>
        <w:footnoteRef/>
        <w:tab/>
        <w:t>kaufst - Dass nach der Primärübersetzung Rut anscheinend das Objekt eines »Kaufs« ist, ist unproblematisch; es ist dies ein bloß stilistisches Phänomen: Weil auch zuvor von »kaufen« die Rede ist, wird hier das »normalerweise« verwendete Verb (z.B.: »heiraten«) an das vorige Verb angeglichen (vgl. bes. Weiss 1964, S. 247f.; z.B. auch Campbell 1975, S. 147; Levine 1983, S. 101f.). Im Deutschen ist eine wörtliche Übersetzung nicht möglich. Am besten wohl wieder HfA: »Wenn du von Noomi das Grundstück erwirbst, musst du auch die Moabiterin Ruth heiraten.«</w:t>
      </w:r>
    </w:p>
  </w:footnote>
  <w:footnote w:id="1164">
    <w:p>
      <w:pPr>
        <w:pStyle w:val="Funote"/>
        <w:rPr/>
      </w:pPr>
      <w:r>
        <w:rPr/>
        <w:footnoteRef/>
        <w:tab/>
        <w:t>kaufst du auch die (kaufe ich die, kaufst du es auch von der, kaufe ich es von der) Moabiterin Rut - Die schwierigste und umstrittenste Stelle im Rutbuch. Wahrscheinlich ist sie so zu verstehen: Aus irgendeinem Grund ist die »Lösung« von Elimelechs Feld rechtlich gekoppelt an die »Schwagerehe« des Lösenden mit Rut (zu beidem s. die Anmerkungen). Und unter diesen Umständen - s. den nächsten Vers - ist der Löser nicht mehr zur Lösung bereit.Genauer: Der heb. Text liegt in zwei Versionen vor: (1) »kaufe ich es von der Moabiterin Rut«, (2) »kaufst du es auch von der Moabiterin Rut«. Da beide Versionen mit »von« nicht viel Sinn zu machen scheinen, wird meist der Text ume´et (»(und) von«) geändert (=&gt; Textkritik) zu we´et oder gam et (»(auch) die«). U.U. ist für diese Deutung auch gar keine Textänderung nötig, vgl. z.B. Bush 1996, S. 217; Campbell 1975, S. 146; Korpel 2011, S. 2. Weitere mögliche Übersetzungen sind dann daher (3) »kaufe ich/habe ich die Moabiterin Rut gekauft« und (4) »kaufst du auch die Moabiterin Rut«. Das ergibt vier mögliche Übersetzungen; einen fünften Vorschlag hat Holmstedt 2010 gemacht: # »An dem Tag, an dem du das Feld von Noomi kaufst, kaufe ich es von der Moabiterin Rut, der Frau des Toten« # »An dem Tag, an dem du das Feld von Noomi kaufst, kaufst du es auch von der Moabiterin Rut, der Frau des Toten« # »An dem Tag, an dem du das Feld von Noomi kaufst, kaufe ich/habe ich gekauft die Moabiterin Rut, die Frau des Toten« # »An dem Tag, an dem du das Feld von Noomi kaufst, kaufst du auch die Moabiterin Rut, die Frau des Toten« # »An dem Tag, an dem du das Feld von Noomi und von der Moabiterin Rut kaufst, kaufe ich die Frau des Toten« (1) und (2) ergeben nicht viel Sinn, weshalb ja auch in der Regel der Text geändert wird. Holmstedt 2010 muss für Deutung (5) die Akzente des heb. Textes sowie die Tatsache, dass zwei unterschiedliche Präpositionen vor »Noomi« und »Rut« verwendet werden, ignorieren. Bleiben daher als ernstzunehmende Alternativen (3) und (4).Die rechtlichen Zusammenhänge erschließen sich uns nicht mehr vollständig (s. Anmerkungen), daher muss eine Argumentation zunächst einmal unabhängig von diesen Hintergründen laufen. Für (4) sprechen dann zwei Dinge: Erstens ist nur nach dieser Deutung die in Rut 3,13 erwähnte Option, der Löser könne Rut »lösen«, eine reale Option, die auch in Rut 4 eine Rolle spielt (so richtig Zenger 1986, S. 83). Und zweitens und wichtiger: In Rut 4 wird mehrfach deutlich die Textstelle Dtn 25,5-10 zitiert (s. FNn a.h.p), in der von der Verweigerung der Schwagerehe die Rede ist (dazu s. die Anmerkungen). Wenn hier aber der Löser gar nicht die Option hätte, die Schwagerehe mit Rut einzugehen, weil Boas Rut für sich beansprucht oder die Schwagerehe gar schon vollzogen hat, macht diese Zitation keinen Sinn. Der Text ist also sehr wahrscheinlich wie oben gesagt zu verstehen und es ist dies ohnehin die häufigste Übersetzung des Verses.</w:t>
      </w:r>
    </w:p>
  </w:footnote>
  <w:footnote w:id="1165">
    <w:p>
      <w:pPr>
        <w:pStyle w:val="Funote"/>
        <w:rPr/>
      </w:pPr>
      <w:r>
        <w:rPr/>
        <w:footnoteRef/>
        <w:tab/>
        <w:t>um den Namen des Toten auf seinem Erbbesitz aufzurichten - Ein Zitat von Dtn 25,7; zu den Hintergründen s. die Anmerkungen. Eine sinngemäße Übersetzung wäre etwas wie „damit der Erbbesitz des Verstorbenen in seiner Familie bleibt“ (ähnlich HfA).</w:t>
      </w:r>
    </w:p>
  </w:footnote>
  <w:footnote w:id="1166">
    <w:p>
      <w:pPr>
        <w:pStyle w:val="Funote"/>
        <w:rPr/>
      </w:pPr>
      <w:r>
        <w:rPr/>
        <w:footnoteRef/>
        <w:tab/>
        <w:t>tFN: {für mich} + {für dich} - Sog. Dativi ethici; in einer dt. Üs. zu ignorieren.</w:t>
      </w:r>
    </w:p>
  </w:footnote>
  <w:footnote w:id="1167">
    <w:p>
      <w:pPr>
        <w:pStyle w:val="Funote"/>
        <w:rPr/>
      </w:pPr>
      <w:r>
        <w:rPr/>
        <w:footnoteRef/>
        <w:tab/>
        <w:t>Lösung und Tauschgeschäft - Oder zu verstehen als Hendiadyoin: „bezüglich des Tauschs von Löserechten“ (so Berlin 2010, S. 11; Brichto 1973, S. 18; Bush 1996, S. 234).</w:t>
      </w:r>
    </w:p>
  </w:footnote>
  <w:footnote w:id="1168">
    <w:p>
      <w:pPr>
        <w:pStyle w:val="Funote"/>
        <w:rPr/>
      </w:pPr>
      <w:r>
        <w:rPr>
          <w:i/>
        </w:rPr>
        <w:footnoteRef/>
        <w:tab/>
        <w:t>irgendetwas</w:t>
      </w:r>
      <w:r>
        <w:rPr/>
        <w:t xml:space="preserve"> - W. „jede Sache“.</w:t>
      </w:r>
    </w:p>
  </w:footnote>
  <w:footnote w:id="1169">
    <w:p>
      <w:pPr>
        <w:pStyle w:val="Funote"/>
        <w:rPr/>
      </w:pPr>
      <w:r>
        <w:rPr/>
        <w:footnoteRef/>
        <w:tab/>
        <w:t>Eine Abwandlung des in Dtn 25,9 geschilderten Schuhritus. Dieser ist im Judentum noch heute in der Variante von Dtn gebräuchlich und also offensichtlich nicht in Vergessenheit geraten. Außerdem findet er sich gerade an der Dtn-Stelle, die in den ersten Versen dieses Kapitels sehr oft und deutlich zitiert werden; er ist also dem idealen Leser des Rutbuches definitiv bekannt. Dass er hier dennoch erklärt werden muss, heißt dann wohl, dass er hier irregulär angewandt wird, dass diese irreguläre Anwendung als reguläre Anwendung ausgegeben wird und deshalb erklärt wird (so z.B. Berlin 2010, S. 11; Fischer 2001, S. 241) - ein weiteres Indiz dafür, dass offenbar irgend etwas hier nicht mit rechten Dingen zugeht (s. Anmerkungen). In die selbe Richtung weist die alternativer Auslegung von Speiser 1940, der Schuhritus diene regulär speziell dazu, eigentlich illegale Abmachungen legal zu machen.</w:t>
      </w:r>
    </w:p>
  </w:footnote>
  <w:footnote w:id="1170">
    <w:p>
      <w:pPr>
        <w:pStyle w:val="Funote"/>
        <w:rPr/>
      </w:pPr>
      <w:r>
        <w:rPr/>
        <w:footnoteRef/>
        <w:tab/>
        <w:t>und zog (und dieser zog) - Wer Subjekt des Schuh-Ausziehens ist, ist nicht ganz klar. Dafür, dass es der Löser ist, spricht aber, dass der Hintergrund des Schuhritus wohl der war, dass der Schuh ein Symbol für Besitz war und das Ausziehen des Schuhs damit ein Symbol für Besitzverzicht (vgl. z.B. gut Thompson/Thompson 1968, S. 92f.).</w:t>
      </w:r>
    </w:p>
  </w:footnote>
  <w:footnote w:id="1171">
    <w:p>
      <w:pPr>
        <w:pStyle w:val="Funote"/>
        <w:rPr/>
      </w:pPr>
      <w:r>
        <w:rPr>
          <w:i/>
        </w:rPr>
        <w:footnoteRef/>
        <w:tab/>
        <w:t>gekauft</w:t>
      </w:r>
      <w:r>
        <w:rPr/>
        <w:t xml:space="preserve"> - Zu „kaufen“ s. </w:t>
      </w:r>
      <w:r>
        <w:fldChar w:fldCharType="begin"/>
      </w:r>
      <w:r>
        <w:instrText> HYPERLINK "http://offene-bibel.de/mediawiki/index.php?title=Rut_4" \l "note_o"</w:instrText>
      </w:r>
      <w:r>
        <w:fldChar w:fldCharType="separate"/>
      </w:r>
      <w:r>
        <w:rPr>
          <w:rStyle w:val="Internetverknpfung"/>
        </w:rPr>
        <w:t>FN o</w:t>
      </w:r>
      <w:r>
        <w:fldChar w:fldCharType="end"/>
      </w:r>
      <w:r>
        <w:rPr/>
        <w:t>.</w:t>
      </w:r>
    </w:p>
  </w:footnote>
  <w:footnote w:id="1172">
    <w:p>
      <w:pPr>
        <w:pStyle w:val="Funote"/>
        <w:rPr/>
      </w:pPr>
      <w:r>
        <w:rPr/>
        <w:footnoteRef/>
        <w:tab/>
        <w:t>um [wieder] aufzurichten den Namen des Toten auf seinem Erbbesitz, so dass nicht ausgerottet werde der Name des Toten - s. hierzu wieder FN r und die Anmerkungen: Weil JHWH es war, der den Israeliten ihr Land gegeben hat, sollte der Status quo der Grundbesitzverhältnisse nach Möglichkeit auf ewig weiterbestehen, das heißt: Familien durften nicht aussterben und ihr Erbbesitz sollte immer in ihrem Besitz bleiben. Dies zu gewährleisten war Aufgabe von Löserinstitution und Schwagerehe, und von beidem ist hier die Rede: Boas kauft (1) das Land von Noomi, damit dieses Land in der Familie bleibt - er fungiert als »Löser« - und »kauft« (2) Rut, um mit ihr durch eine »Schwagerehe« einen Nachkommen Machlons zu zeugen, damit »der Name des Verstorbenen auf seinem Erbbesitz wieder aufgerichtet werde und der Name des Toten nicht ausgerottet wird«, d.h., damit überhaupt Nachkommen Elimelechs und Machlons existieren, die als Erben ihres Familienbesitzes fungieren können.</w:t>
      </w:r>
    </w:p>
  </w:footnote>
  <w:footnote w:id="1173">
    <w:p>
      <w:pPr>
        <w:pStyle w:val="Funote"/>
        <w:rPr/>
      </w:pPr>
      <w:r>
        <w:rPr/>
        <w:footnoteRef/>
        <w:tab/>
        <w:t>Tor seines Ortes - d.h. von innerhalb seiner Stadttore. Die ersten beiden Begriffe haben eine soziale, die zweiten beiden eine lokale Ausrichtung: Machlons Familie soll nicht ausgerottet werden »aus seinem Volk und aus seinem Ort«. Recht gut daher EÜ: »damit sein Name unter seinen Verwandten und innerhalb der Mauern seiner Stadt nicht erlischt.«; NeÜ: »So wird der Name des Verstorbenen in seiner Sippe und in seinem Heimatort nicht vergessen werden.« (obwohl »vergessen werden« eher unglücklich ist)</w:t>
      </w:r>
    </w:p>
  </w:footnote>
  <w:footnote w:id="1174">
    <w:p>
      <w:pPr>
        <w:pStyle w:val="Funote"/>
        <w:rPr/>
      </w:pPr>
      <w:r>
        <w:rPr>
          <w:i/>
        </w:rPr>
        <w:footnoteRef/>
        <w:tab/>
        <w:t>das ganze Volk, das im Tor [war], antwortete, und die Ältesten</w:t>
      </w:r>
      <w:r>
        <w:rPr/>
        <w:t xml:space="preserve"> - eine sog. „gespaltene Koordination“; sinngemäß wäre die Üs. „Das ganze Volk, das im Tor war, und die Ältesten antworteten:...“ Der Erzähler greift deshalb hier zu dieser Konstruktion, um zu betonen, dass tatsächlich das </w:t>
      </w:r>
      <w:r>
        <w:rPr>
          <w:i/>
        </w:rPr>
        <w:t>ganze</w:t>
      </w:r>
      <w:r>
        <w:rPr/>
        <w:t xml:space="preserve"> Volk, das sich dort aufhielt, die vorigen Vorgänge für rechtmäßig erklärten.</w:t>
      </w:r>
    </w:p>
  </w:footnote>
  <w:footnote w:id="1175">
    <w:p>
      <w:pPr>
        <w:pStyle w:val="Funote"/>
        <w:rPr/>
      </w:pPr>
      <w:r>
        <w:rPr>
          <w:i/>
        </w:rPr>
        <w:footnoteRef/>
        <w:tab/>
        <w:t>Rahel</w:t>
      </w:r>
      <w:r>
        <w:rPr/>
        <w:t xml:space="preserve">, </w:t>
      </w:r>
      <w:r>
        <w:rPr>
          <w:i/>
        </w:rPr>
        <w:t>Lea</w:t>
      </w:r>
      <w:r>
        <w:rPr/>
        <w:t xml:space="preserve"> und </w:t>
      </w:r>
      <w:r>
        <w:rPr>
          <w:i/>
        </w:rPr>
        <w:t>Tamar</w:t>
      </w:r>
      <w:r>
        <w:rPr/>
        <w:t xml:space="preserve"> sind drei der „Erzmütter“, die nach biblischer Vorstellung Vorfahrinnen des ganzen Volkes Israel waren - Tamar übrigens ebenso wie Rut infolge einer Schwagerehe. Spätestens in diesem Segensspruch wird also Rut endgültig vom „ganzen Volk“ in die „Gemeinde des Herrn“ aufgenommen (s. die Anmerkungen zu Kap. 1).</w:t>
      </w:r>
    </w:p>
  </w:footnote>
  <w:footnote w:id="1176">
    <w:p>
      <w:pPr>
        <w:pStyle w:val="Funote"/>
        <w:rPr/>
      </w:pPr>
      <w:r>
        <w:rPr/>
        <w:footnoteRef/>
        <w:tab/>
        <w:t>tFN: beide - Eine seltene Dualform, wie sie sich häufiger auch im 1. Kapitel fand (s. dort FN w).</w:t>
      </w:r>
    </w:p>
  </w:footnote>
  <w:footnote w:id="1177">
    <w:p>
      <w:pPr>
        <w:pStyle w:val="Funote"/>
        <w:rPr/>
      </w:pPr>
      <w:r>
        <w:rPr/>
        <w:footnoteRef/>
        <w:tab/>
        <w:t>das Haus Israel Israel erbauten - D.h., auf deren Nachkommen sich nach bib. Vorstellung ganz Israel zurückführt. Sinngemäß gut daher HfA: »von denen alle Israeliten abstammen«; NeÜ: »von denen das Volk Israel abstammt«; NL: »aus denen das ganze Volk Israel hervorgegangen ist«</w:t>
      </w:r>
    </w:p>
  </w:footnote>
  <w:footnote w:id="1178">
    <w:p>
      <w:pPr>
        <w:pStyle w:val="Funote"/>
        <w:rPr/>
      </w:pPr>
      <w:r>
        <w:rPr/>
        <w:footnoteRef/>
        <w:tab/>
        <w:t>Vollbringe Tüchtiges - Eigentlich ein Idiom für »siegen, mächtig werden« oder »Reichtum erlangen«; beides wird auch hier oft als Übersetzung gewählt. Besser aber: (1) Das verwendete Substantiv ist chajil, das in Rut 2,1 den Boas und in 3,11 die Rut näher charakterisierte. Rut und Boas sollen hier also etwas »erzeugen«, was so ist, wie sie sind. (2) Dass direkt davor und direkt danach vom Nachwuchs, der Rut und Boas gewünscht wird, die Rede ist, macht es wahrscheinlich, dass auch hier das chajil ein Ausdruck für Nachwuchs sein soll. Wahrscheinlich also zu verstehen als abstractum pro concreto: »Erzeuge Tüchtiges« = »Erzeuge tüchtige Nachkommen« (vgl. ähnlich Holmstedt 2010, S. 203; sinngemäß auch Köhlmoos 2010, S. 78). In die selbe Richtung geht der Deutungsvorschlag von Campbell 1975, S. 152; Labuschagne 1967, S. 365f. und Parker 1976, S. 23f., chajil habe hier die Bedeutung »Fortpflanzungskraft«: »Vollbringe Fortpflanzungskraft« = »Pflanze dich kräftig fort«.</w:t>
      </w:r>
    </w:p>
  </w:footnote>
  <w:footnote w:id="1179">
    <w:p>
      <w:pPr>
        <w:pStyle w:val="Funote"/>
        <w:rPr/>
      </w:pPr>
      <w:r>
        <w:rPr/>
        <w:footnoteRef/>
        <w:tab/>
        <w:t>rufe [einen] Namen - sonst ungebräuchlicher Ausdruck im Heb.; demgemäß umstritten ist die Bed. Früher wurde häufig der Text korrigiert, z.B. bei Rudolph 1962, S. 60: »Dein Name werde gerufen« (=»Mögest du gefeiert werden«); offenbar noch heute Köhlmoos 2010, S. 69. Aus den selben Gründen wie in der vorigen Zeile geht es aber wohl hier um Nachwuchs (so z.B. auch Parker 1976, S. 24, FN 3; Zakovitch 1999, S. 165); daher besser: »Rufe Namen« = »Werde Namens-geber«, d.h. »Zeuge viel Nachwuchs, denen du dann Namen geben kannst« (so Campbell 1975, S. 153f.; Labuschagne 1967, S. 366). Die alternative Erklärung, »Name« habe hier die Bedeutung »Nachwuchs«, taugt nicht viel, da Boas ja dann dennoch aufgefordert würde, seinen Nachwuchs zu »rufen« - und was das bedeuten soll, ist nur schwer verständlich.</w:t>
      </w:r>
    </w:p>
  </w:footnote>
  <w:footnote w:id="1180">
    <w:p>
      <w:pPr>
        <w:pStyle w:val="Funote"/>
        <w:rPr/>
      </w:pPr>
      <w:r>
        <w:rPr/>
        <w:footnoteRef/>
        <w:tab/>
        <w:t>Es sei dein Haus wie das Haus des Perez - bajit (»Haus«) hat hier wie häufig die Bedeutung »Familie«; sinngemäß daher »mögest du so viele Nachkommen haben, wie Perez sie hatte.« Richtig z.B. wieder NeÜ: »Durch die Nachkommen, die Jahwe dir von dieser jungen Frau geben wird, soll deine Familie so werden wie die des Perez...«</w:t>
      </w:r>
    </w:p>
  </w:footnote>
  <w:footnote w:id="1181">
    <w:p>
      <w:pPr>
        <w:pStyle w:val="Funote"/>
        <w:rPr/>
      </w:pPr>
      <w:r>
        <w:rPr/>
        <w:footnoteRef/>
        <w:tab/>
        <w:t>Den JHWH dir gebe - Eine sog. »Inclusio«; der Segensspruch wird eröffnet und geschlossen durch die selbe Formulierung: »JHWH gebe« - ein schöner Kontrapunkt zu Rut 1,21, wo Noomi JHWH beschuldigt hatte, dass er sie ihrer Kinder beraubt habe.</w:t>
      </w:r>
    </w:p>
  </w:footnote>
  <w:footnote w:id="1182">
    <w:p>
      <w:pPr>
        <w:pStyle w:val="Funote"/>
        <w:rPr/>
      </w:pPr>
      <w:r>
        <w:rPr>
          <w:i/>
        </w:rPr>
        <w:footnoteRef/>
        <w:tab/>
        <w:t>Boas nahm Rut</w:t>
      </w:r>
      <w:r>
        <w:rPr/>
        <w:t xml:space="preserve"> - d.h., er heiratete sie.</w:t>
      </w:r>
    </w:p>
  </w:footnote>
  <w:footnote w:id="1183">
    <w:p>
      <w:pPr>
        <w:pStyle w:val="Funote"/>
        <w:rPr/>
      </w:pPr>
      <w:r>
        <w:rPr/>
        <w:footnoteRef/>
        <w:tab/>
        <w:t>Boas nahm Rut, sie wurde seine Frau - Doppelausdruck, der wohl (wie auch in Gen 24,67) einfach nur bedeutet: Boas heiratete sie (daher lassen etwa einige LXX-Handschriften und Äth den zweiten Satz ganz weg und einige Syr-Handschriften ziehen zusammen zu „Boas nahm Rut zur Frau“). Hier statt einer kürzeren Alternative verwendet, um den Staccato-Eindruck dieses Verses noch zu steigern: Was geschieht, kommt Schlag auf Schlag, und ohnehin lassen sich die Ereignisse hier schnell übergehen, denn der Hauptfokus dieses Abschnitts liegt klar auf den beiden Äußerungen des Frauenchors.</w:t>
      </w:r>
    </w:p>
  </w:footnote>
  <w:footnote w:id="1184">
    <w:p>
      <w:pPr>
        <w:pStyle w:val="Funote"/>
        <w:rPr/>
      </w:pPr>
      <w:r>
        <w:rPr/>
        <w:footnoteRef/>
        <w:tab/>
        <w:t>ging zu ihr - heb. Idiom für Geschlechtsverkehr, vgl. z.B. Schorch 2000, S. 96.</w:t>
      </w:r>
    </w:p>
  </w:footnote>
  <w:footnote w:id="1185">
    <w:p>
      <w:pPr>
        <w:pStyle w:val="Funote"/>
        <w:rPr/>
      </w:pPr>
      <w:r>
        <w:rPr/>
        <w:footnoteRef/>
        <w:tab/>
        <w:t>Gepriesen sei JHWH, der ist eine Formel für »Gott sei dafür gedankt, dass...« (vgl. Lande 1949, S. 106f.).</w:t>
      </w:r>
    </w:p>
  </w:footnote>
  <w:footnote w:id="1186">
    <w:p>
      <w:pPr>
        <w:pStyle w:val="Funote"/>
        <w:rPr/>
      </w:pPr>
      <w:r>
        <w:rPr>
          <w:i/>
        </w:rPr>
        <w:footnoteRef/>
        <w:tab/>
        <w:t>Sein Name werde gerufen</w:t>
      </w:r>
      <w:r>
        <w:rPr/>
        <w:t xml:space="preserve"> - D.h. „er werde verehrt“: „Name“ ist hier wie oft (bes. wenn von Gott „im Menschenmund“ die Rede ist) Wechselbegriff für den Namensträger selbst.</w:t>
      </w:r>
    </w:p>
  </w:footnote>
  <w:footnote w:id="1187">
    <w:p>
      <w:pPr>
        <w:pStyle w:val="Funote"/>
        <w:rPr/>
      </w:pPr>
      <w:r>
        <w:rPr/>
        <w:footnoteRef/>
        <w:tab/>
        <w:t>Lebenskraft zurückkehren lässt - heb. Idiom für Wiederbelebung, Lebensrettung und am-Leben-Erhaltung; sicher ist hier Letzteres gemeint, s. nächste Zeile. Fast stets ist JHWH das Subjekt dieses Ausdrucks (1 Kön 17,21f; Ijob 33,30; Ps 23,3; 35,17; Klg 1,19). Wir haben also eine ähnliche Ambivalenz wie in Rut 2,20 (s. FN ax und die Anmerkungen zu Kap. 3) vor uns: Wegen V. 14 und diesem Ausdruck sollte man meinen, dass hier und in der nächsten Zeile noch von JHWH die Rede ist und erst in der vorletzten Zeile wird klar, dass tatsächlich von Ruts Kind die Rede ist.</w:t>
      </w:r>
    </w:p>
  </w:footnote>
  <w:footnote w:id="1188">
    <w:p>
      <w:pPr>
        <w:pStyle w:val="Funote"/>
        <w:rPr/>
      </w:pPr>
      <w:r>
        <w:rPr/>
        <w:footnoteRef/>
        <w:tab/>
        <w:t>Ja!, (denn) - Ein sog. »exklamatives ki«, das hier wie öfter den Abschluss eines Preises einleitet (wie z.B. auch in Ps 100,5, so aber offenbar nur Brichto 1973, S. 21). Im Dt. am besten auszusparen.Der Minihymnus des Frauenchors schließt mit einem durch das ki und durch die Verslänge hervorgehobenen Lobpreis auf die (Moabiterin!) Rut, die »besser ist als sieben Söhne«.</w:t>
      </w:r>
    </w:p>
  </w:footnote>
  <w:footnote w:id="1189">
    <w:p>
      <w:pPr>
        <w:pStyle w:val="Funote"/>
        <w:rPr/>
      </w:pPr>
      <w:r>
        <w:rPr/>
        <w:footnoteRef/>
        <w:tab/>
        <w:t>hob ihn an ihre Brust - sicher nicht im Sinn von „säugte ihn“, sd. i.S.v. „nahm ihn auf den Arm (wie eine liebende Großmutter das nun mal so tut)“, s. 1 Kön 3,20 (wo das Kind ja wohl nicht von einer Schlafenden gestillt wird) und 17,19 (wo doch wohl die Mutter nicht vor den Augen des Elija ihr Kind stillt); auch Frauen, Männer, Brüder, Neffen, Nichten und sogar Schafe können „an jemandes - auch eines Mannes - Brust“ sein, s. Gen 16,5; Dtn 13,7; 28,54.56; 2 Sam 12,3.8; 1 Kön 1,2; Est 2,7; Jes 40,11). Einige denken wg. V. 17, dass es sich hier um einen Adoptionsgestus handelt, aber das wäre eine überwörtliche Interpretation des Folgeverses und würde doch sehr viel in diese Geste hineinlesen (so auch Rudolph 1962, S. 71; Zakovitch 1999, S. 170; Zenger 1986, S. 97).</w:t>
      </w:r>
    </w:p>
  </w:footnote>
  <w:footnote w:id="1190">
    <w:p>
      <w:pPr>
        <w:pStyle w:val="Funote"/>
        <w:rPr/>
      </w:pPr>
      <w:r>
        <w:rPr/>
        <w:footnoteRef/>
        <w:tab/>
        <w:t>Ein weiterer umstrittener Vers. Dass offenbar die Bürgerinnen das Kind benennen, ist gar nicht so problematisch, s. Lk 1,58. Alternativ, aber weniger wahrscheinlich, könnte man dies mit Bush 1996b, S. 12 auch einfach so verstehen, dass die Bürgerinnen mit ihrem Ausruf Anlass für den Namen des Kindes waren und ihm in diesem Sinne „einen Namen gaben“.Schwierig ist aber, dass es zunächst so scheint, als wäre der Name des Kindes „Ein Sohn ist der Noomi geboren!“. Entweder ist mit Würthwein 1969, S. 20 das erste „Name“ zu streichen, so dass der Text lauten würde „Und die Bürgerinnen riefen über ihn: ‚Ein Sohn ist der Noomi geboren!‘, und sie nannten...“ oder das „wie folgt (indem sie sagten)“ wird so verstanden, dass es gar nicht den Namen einleitet, sondern die „Begleitumstände“ der Namensgabe, so dass man übersetzen müsste: „Und die Bürgerinnen gaben ihm einen Namen, indem sie sagten: ‚Ein Sohn ist der Noomi geboren!‘ - und der Name, den sie ihm gaben, war ‚Obed‘“ (so viele Üss., daher in der LF vorzuziehen). Gut dann z.B. NL: „Die Nachbarinnen sagten: ‚Jetzt hat Noomi endlich wieder einen Sohn!‘ Und sie nannten ihn Obed.“Der Zusammenhang zwischen dem Ausruf der Bürgerinnen und dem Namen „Obed“, also „Diener“, ist wohl der, dass Noomi nun mit ihrem Enkel eine „Altersvorsorge“ hat (s. die Anmerkungen), Obeds Geburt also der Noomi „dienlich“ ist (vgl. Bush 1996b, S. 13).</w:t>
      </w:r>
    </w:p>
  </w:footnote>
  <w:footnote w:id="1191">
    <w:p>
      <w:pPr>
        <w:pStyle w:val="Funote"/>
        <w:rPr/>
      </w:pPr>
      <w:r>
        <w:rPr/>
        <w:footnoteRef/>
        <w:tab/>
        <w:t>dies sind die Zeugungen von Perez - Übliche Einleitung für einen Stammbaum; gut z.B. GN, T4T: „Dies ist die Liste der Nachkommen von Perez“.</w:t>
      </w:r>
    </w:p>
  </w:footnote>
  <w:footnote w:id="1192">
    <w:p>
      <w:pPr>
        <w:pStyle w:val="Funote"/>
        <w:rPr/>
      </w:pPr>
      <w:r>
        <w:rPr/>
        <w:footnoteRef/>
        <w:tab/>
        <w:t>De Waard/Nida 1992, S. 78 haben einen sehr guten Vorschlag für eine zeitgemäße Übersetzung gemacht: „Dies [also] ist die Abstammungslinie von Perez bis zu David: Perez, Hezron, Ram, Amminadab, Nachschon, Salmon, Boaz, Obed, Jesse, David.“</w:t>
      </w:r>
    </w:p>
  </w:footnote>
  <w:footnote w:id="1193">
    <w:p>
      <w:pPr>
        <w:pStyle w:val="Funote"/>
        <w:rPr/>
      </w:pPr>
      <w:r>
        <w:rPr/>
        <w:footnoteRef/>
        <w:tab/>
        <w:t xml:space="preserve">Das hebräische Verb </w:t>
      </w:r>
      <w:r>
        <w:rPr>
          <w:rtl w:val="true"/>
          <w:lang w:bidi="he-IL"/>
        </w:rPr>
        <w:t>ירשׁ</w:t>
      </w:r>
      <w:r>
        <w:rPr/>
        <w:t xml:space="preserve"> </w:t>
      </w:r>
      <w:r>
        <w:rPr/>
        <w:t>bedeutet im Hifil „jdm. etwas zu Besitz geben“. An dieser Stelle im Gegensatz zum folgenden „reich machen“ wohl am Besten mit „arm machen“ zu übersetzen. „Besitz geben“ wird somit verstanden als ein einteilen von Besitz (bei dem manche auch leer ausgehen können).</w:t>
      </w:r>
    </w:p>
  </w:footnote>
  <w:footnote w:id="1194">
    <w:p>
      <w:pPr>
        <w:pStyle w:val="Funote"/>
        <w:rPr/>
      </w:pPr>
      <w:r>
        <w:rPr/>
        <w:footnoteRef/>
        <w:tab/>
        <w:t>An anderen Stellen (z.B. Ps. 50,5) ist mit den „Frommen JHWHs“ vermutlich ganz Israel gemeint.</w:t>
      </w:r>
    </w:p>
  </w:footnote>
  <w:footnote w:id="1195">
    <w:p>
      <w:pPr>
        <w:pStyle w:val="Funote"/>
        <w:rPr/>
      </w:pPr>
      <w:r>
        <w:rPr/>
        <w:footnoteRef/>
        <w:tab/>
        <w:t>[Status: Ungeprüft]</w:t>
      </w:r>
    </w:p>
  </w:footnote>
  <w:footnote w:id="1196">
    <w:p>
      <w:pPr>
        <w:pStyle w:val="Funote"/>
        <w:rPr/>
      </w:pPr>
      <w:r>
        <w:rPr/>
        <w:footnoteRef/>
        <w:tab/>
        <w:t xml:space="preserve">Die beiden Sätze dieses Verses sind Ergänzungen (markiert durch Satzfolgeunterbrechung), die die Situation zwischen den beiden Erzählungen erklären. </w:t>
      </w:r>
    </w:p>
  </w:footnote>
  <w:footnote w:id="1197">
    <w:p>
      <w:pPr>
        <w:pStyle w:val="Funote"/>
        <w:rPr/>
      </w:pPr>
      <w:r>
        <w:rPr/>
        <w:footnoteRef/>
        <w:tab/>
        <w:t>Eigentlich ein Sg.</w:t>
      </w:r>
    </w:p>
  </w:footnote>
  <w:footnote w:id="1198">
    <w:p>
      <w:pPr>
        <w:pStyle w:val="Funote"/>
        <w:rPr/>
      </w:pPr>
      <w:r>
        <w:rPr/>
        <w:footnoteRef/>
        <w:tab/>
        <w:t>Oder: „Und an jenem Tag geschah [folgendes]:“. S. V. 4.</w:t>
      </w:r>
    </w:p>
  </w:footnote>
  <w:footnote w:id="1199">
    <w:p>
      <w:pPr>
        <w:pStyle w:val="Funote"/>
        <w:rPr/>
      </w:pPr>
      <w:r>
        <w:rPr/>
        <w:footnoteRef/>
        <w:tab/>
        <w:t xml:space="preserve">Durch Satzfolgeunterbrechung markierte, eingeschobene Erklärung (bis V. 4). </w:t>
      </w:r>
    </w:p>
  </w:footnote>
  <w:footnote w:id="1200">
    <w:p>
      <w:pPr>
        <w:pStyle w:val="Funote"/>
        <w:rPr/>
      </w:pPr>
      <w:r>
        <w:rPr/>
        <w:footnoteRef/>
        <w:tab/>
        <w:t>„</w:t>
      </w:r>
      <w:r>
        <w:rPr/>
        <w:t xml:space="preserve">bevor“ steht im Hebräischen mit Ipf. </w:t>
      </w:r>
    </w:p>
  </w:footnote>
  <w:footnote w:id="1201">
    <w:p>
      <w:pPr>
        <w:pStyle w:val="Funote"/>
        <w:rPr/>
      </w:pPr>
      <w:r>
        <w:rPr/>
        <w:footnoteRef/>
        <w:tab/>
        <w:t xml:space="preserve">Oder: „{und} Bevor die Lampe Gottes ausging/gelöscht wurde“. Die gewählte Variante bietet sich aber wegen der Satzfolgeunterbrechung an. </w:t>
      </w:r>
    </w:p>
  </w:footnote>
  <w:footnote w:id="1202">
    <w:p>
      <w:pPr>
        <w:pStyle w:val="Funote"/>
        <w:rPr/>
      </w:pPr>
      <w:r>
        <w:rPr/>
        <w:footnoteRef/>
        <w:tab/>
        <w:t xml:space="preserve">Gemeint ist hier die „Stiftshütte“. </w:t>
      </w:r>
    </w:p>
  </w:footnote>
  <w:footnote w:id="1203">
    <w:p>
      <w:pPr>
        <w:pStyle w:val="Funote"/>
        <w:rPr/>
      </w:pPr>
      <w:r>
        <w:rPr/>
        <w:footnoteRef/>
        <w:tab/>
        <w:t>Dies ist semantisch gesehen die Fortsetzung des Anfangs von V. 2: „Und an jenem Tag … rief JHWH Samuel“. Die dazwischen liegenden Teile sind Anmerkungen, die den Hintergrund der Erzählung wiedergeben.</w:t>
      </w:r>
    </w:p>
  </w:footnote>
  <w:footnote w:id="1204">
    <w:p>
      <w:pPr>
        <w:pStyle w:val="Funote"/>
        <w:rPr/>
      </w:pPr>
      <w:r>
        <w:rPr/>
        <w:footnoteRef/>
        <w:tab/>
        <w:t xml:space="preserve">Der verbale Hendiadyoin hier drückt das Moment des „erneut“, „wieder“, „weiterhin“ durch ein Verb aus. </w:t>
      </w:r>
    </w:p>
  </w:footnote>
  <w:footnote w:id="1205">
    <w:p>
      <w:pPr>
        <w:pStyle w:val="Funote"/>
        <w:rPr/>
      </w:pPr>
      <w:r>
        <w:rPr/>
        <w:footnoteRef/>
        <w:tab/>
        <w:t xml:space="preserve">Ergänzende Anmerkung mit Satzfolgeunterbrechung. </w:t>
      </w:r>
    </w:p>
  </w:footnote>
  <w:footnote w:id="1206">
    <w:p>
      <w:pPr>
        <w:pStyle w:val="Funote"/>
        <w:rPr/>
      </w:pPr>
      <w:r>
        <w:rPr/>
        <w:footnoteRef/>
        <w:tab/>
        <w:t>S. Anm. V. 6.</w:t>
      </w:r>
    </w:p>
  </w:footnote>
  <w:footnote w:id="1207">
    <w:p>
      <w:pPr>
        <w:pStyle w:val="Funote"/>
        <w:rPr/>
      </w:pPr>
      <w:r>
        <w:rPr/>
        <w:footnoteRef/>
        <w:tab/>
        <w:t>Idiom. Wörtlich etwa „wie mal in mal“.</w:t>
      </w:r>
    </w:p>
  </w:footnote>
  <w:footnote w:id="1208">
    <w:p>
      <w:pPr>
        <w:pStyle w:val="Funote"/>
        <w:rPr/>
      </w:pPr>
      <w:r>
        <w:rPr/>
        <w:footnoteRef/>
        <w:tab/>
        <w:t>Partizip, das auch progressiv (?) wiedergegeben werden könnte: „Ich bin dabei...“</w:t>
      </w:r>
    </w:p>
  </w:footnote>
  <w:footnote w:id="1209">
    <w:p>
      <w:pPr>
        <w:pStyle w:val="Funote"/>
        <w:rPr/>
      </w:pPr>
      <w:r>
        <w:rPr/>
        <w:footnoteRef/>
        <w:tab/>
        <w:t>Aufgelöstes substantiviertes Partizip.</w:t>
      </w:r>
    </w:p>
  </w:footnote>
  <w:footnote w:id="1210">
    <w:p>
      <w:pPr>
        <w:pStyle w:val="Funote"/>
        <w:rPr/>
      </w:pPr>
      <w:r>
        <w:rPr/>
        <w:footnoteRef/>
        <w:tab/>
        <w:t xml:space="preserve">Eigentlich zwei Inf. abs. Wörtlich „anfangen und beenden“. </w:t>
      </w:r>
    </w:p>
  </w:footnote>
  <w:footnote w:id="1211">
    <w:p>
      <w:pPr>
        <w:pStyle w:val="Funote"/>
        <w:rPr/>
      </w:pPr>
      <w:r>
        <w:rPr/>
        <w:footnoteRef/>
        <w:tab/>
        <w:t>Ein konsekutives Perfekt, das hier vermutlich nicht futurisch, sondern durativ verwendet wird (LBBH).</w:t>
      </w:r>
    </w:p>
  </w:footnote>
  <w:footnote w:id="1212">
    <w:p>
      <w:pPr>
        <w:pStyle w:val="Funote"/>
        <w:rPr/>
      </w:pPr>
      <w:r>
        <w:rPr/>
        <w:footnoteRef/>
        <w:tab/>
        <w:t xml:space="preserve">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 </w:t>
      </w:r>
    </w:p>
  </w:footnote>
  <w:footnote w:id="1213">
    <w:p>
      <w:pPr>
        <w:pStyle w:val="Funote"/>
        <w:rPr/>
      </w:pPr>
      <w:r>
        <w:rPr/>
        <w:footnoteRef/>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1214">
    <w:p>
      <w:pPr>
        <w:pStyle w:val="Funote"/>
        <w:rPr/>
      </w:pPr>
      <w:r>
        <w:rPr/>
        <w:footnoteRef/>
        <w:tab/>
        <w:t>„</w:t>
      </w:r>
      <w:r>
        <w:rPr/>
        <w:t xml:space="preserve">weiter“ wird durch das Verb </w:t>
      </w:r>
      <w:r>
        <w:rPr>
          <w:rtl w:val="true"/>
          <w:lang w:bidi="he-IL"/>
        </w:rPr>
        <w:t>הוֹסִיף</w:t>
      </w:r>
      <w:r>
        <w:rPr/>
        <w:t xml:space="preserve"> </w:t>
      </w:r>
      <w:r>
        <w:rPr/>
        <w:t xml:space="preserve">(„erneut tun“) ausgedrückt (verbaler Hendiadyoin). </w:t>
      </w:r>
    </w:p>
  </w:footnote>
  <w:footnote w:id="1215">
    <w:p>
      <w:pPr>
        <w:pStyle w:val="Funote"/>
        <w:rPr/>
      </w:pPr>
      <w:r>
        <w:rPr/>
        <w:footnoteRef/>
        <w:tab/>
        <w:t>Hebräische Schwurformel.</w:t>
      </w:r>
    </w:p>
  </w:footnote>
  <w:footnote w:id="1216">
    <w:p>
      <w:pPr>
        <w:pStyle w:val="Funote"/>
        <w:rPr/>
      </w:pPr>
      <w:r>
        <w:rPr/>
        <w:footnoteRef/>
        <w:tab/>
        <w:t>[Status: Ungeprüft]</w:t>
      </w:r>
    </w:p>
  </w:footnote>
  <w:footnote w:id="1217">
    <w:p>
      <w:pPr>
        <w:pStyle w:val="Funote"/>
        <w:rPr/>
      </w:pPr>
      <w:r>
        <w:rPr/>
        <w:footnoteRef/>
        <w:tab/>
        <w:t>[Status: Ungeprüft]</w:t>
      </w:r>
    </w:p>
  </w:footnote>
  <w:footnote w:id="1218">
    <w:p>
      <w:pPr>
        <w:pStyle w:val="Funote"/>
        <w:rPr/>
      </w:pPr>
      <w:r>
        <w:rPr/>
        <w:footnoteRef/>
        <w:tab/>
        <w:t>[Status: Ungeprüft]</w:t>
      </w:r>
    </w:p>
  </w:footnote>
  <w:footnote w:id="1219">
    <w:p>
      <w:pPr>
        <w:pStyle w:val="Funote"/>
        <w:rPr/>
      </w:pPr>
      <w:r>
        <w:rPr/>
        <w:footnoteRef/>
        <w:tab/>
        <w:t>Es wird bei dieser Lesart Codex L (Petropolitanus) gefolgt.</w:t>
      </w:r>
    </w:p>
  </w:footnote>
  <w:footnote w:id="1220">
    <w:p>
      <w:pPr>
        <w:pStyle w:val="Funote"/>
        <w:rPr/>
      </w:pPr>
      <w:r>
        <w:rPr/>
        <w:footnoteRef/>
        <w:tab/>
        <w:t>Vetus Latina fügt hier weitere Textteile ein.</w:t>
      </w:r>
    </w:p>
  </w:footnote>
  <w:footnote w:id="1221">
    <w:p>
      <w:pPr>
        <w:pStyle w:val="Funote"/>
        <w:rPr/>
      </w:pPr>
      <w:r>
        <w:rPr>
          <w:i/>
        </w:rPr>
        <w:footnoteRef/>
        <w:tab/>
        <w:t>Vorkämpfer</w:t>
      </w:r>
      <w:r>
        <w:rPr/>
        <w:t>,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1222">
    <w:p>
      <w:pPr>
        <w:pStyle w:val="Funote"/>
        <w:rPr/>
      </w:pPr>
      <w:r>
        <w:rPr/>
        <w:footnoteRef/>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1223">
    <w:p>
      <w:pPr>
        <w:pStyle w:val="Funote"/>
        <w:rPr/>
      </w:pPr>
      <w:r>
        <w:rPr/>
        <w:footnoteRef/>
        <w:tab/>
        <w:t>[Status: Ungeprüft]</w:t>
      </w:r>
    </w:p>
  </w:footnote>
  <w:footnote w:id="1224">
    <w:p>
      <w:pPr>
        <w:pStyle w:val="Funote"/>
        <w:rPr/>
      </w:pPr>
      <w:r>
        <w:rPr/>
        <w:footnoteRef/>
        <w:tab/>
        <w:t xml:space="preserve">Im MT heißt es </w:t>
      </w:r>
      <w:r>
        <w:rPr>
          <w:rtl w:val="true"/>
          <w:lang w:bidi="he-IL"/>
        </w:rPr>
        <w:t>חָלִילָה</w:t>
      </w:r>
      <w:r>
        <w:rPr/>
        <w:t>.</w:t>
      </w:r>
    </w:p>
  </w:footnote>
  <w:footnote w:id="1225">
    <w:p>
      <w:pPr>
        <w:pStyle w:val="Funote"/>
        <w:rPr/>
      </w:pPr>
      <w:r>
        <w:rPr/>
        <w:footnoteRef/>
        <w:tab/>
        <w:t>[Status: Ungeprüft]</w:t>
      </w:r>
    </w:p>
  </w:footnote>
  <w:footnote w:id="1226">
    <w:p>
      <w:pPr>
        <w:pStyle w:val="Funote"/>
        <w:rPr/>
      </w:pPr>
      <w:r>
        <w:rPr/>
        <w:footnoteRef/>
        <w:tab/>
        <w:t xml:space="preserve">Nach Gesenius 18, </w:t>
      </w:r>
      <w:r>
        <w:rPr>
          <w:rtl w:val="true"/>
          <w:lang w:bidi="he-IL"/>
        </w:rPr>
        <w:t>מות</w:t>
      </w:r>
    </w:p>
  </w:footnote>
  <w:footnote w:id="1227">
    <w:p>
      <w:pPr>
        <w:pStyle w:val="Funote"/>
        <w:rPr/>
      </w:pPr>
      <w:r>
        <w:rPr/>
        <w:footnoteRef/>
        <w:tab/>
        <w:t xml:space="preserve">Nach Gesenius 18, </w:t>
      </w:r>
      <w:r>
        <w:rPr>
          <w:rtl w:val="true"/>
          <w:lang w:bidi="he-IL"/>
        </w:rPr>
        <w:t>מות</w:t>
      </w:r>
    </w:p>
  </w:footnote>
  <w:footnote w:id="1228">
    <w:p>
      <w:pPr>
        <w:pStyle w:val="Funote"/>
        <w:rPr/>
      </w:pPr>
      <w:r>
        <w:rPr/>
        <w:footnoteRef/>
        <w:tab/>
        <w:t>Bei modaler Tempusfunktion.</w:t>
      </w:r>
    </w:p>
  </w:footnote>
  <w:footnote w:id="1229">
    <w:p>
      <w:pPr>
        <w:pStyle w:val="Funote"/>
        <w:rPr/>
      </w:pPr>
      <w:r>
        <w:rPr/>
        <w:footnoteRef/>
        <w:tab/>
        <w:t xml:space="preserve">Als Reaktion auf das vorausgehende </w:t>
      </w:r>
      <w:r>
        <w:rPr>
          <w:rtl w:val="true"/>
          <w:lang w:bidi="he-IL"/>
        </w:rPr>
        <w:t>זה</w:t>
      </w:r>
      <w:r>
        <w:rPr/>
        <w:t xml:space="preserve"> </w:t>
      </w:r>
      <w:r>
        <w:rPr/>
        <w:t>in V.7.</w:t>
      </w:r>
    </w:p>
  </w:footnote>
  <w:footnote w:id="1230">
    <w:p>
      <w:pPr>
        <w:pStyle w:val="Funote"/>
        <w:rPr/>
      </w:pPr>
      <w:r>
        <w:rPr/>
        <w:footnoteRef/>
        <w:tab/>
        <w:t xml:space="preserve">Nach Gesenius 18, </w:t>
      </w:r>
      <w:r>
        <w:rPr>
          <w:rtl w:val="true"/>
          <w:lang w:bidi="he-IL"/>
        </w:rPr>
        <w:t>מות</w:t>
      </w:r>
    </w:p>
  </w:footnote>
  <w:footnote w:id="1231">
    <w:p>
      <w:pPr>
        <w:pStyle w:val="Funote"/>
        <w:rPr/>
      </w:pPr>
      <w:r>
        <w:rPr/>
        <w:footnoteRef/>
        <w:tab/>
        <w:t xml:space="preserve">Als Reaktion auf das vorausgehende </w:t>
      </w:r>
      <w:r>
        <w:rPr>
          <w:rtl w:val="true"/>
          <w:lang w:bidi="he-IL"/>
        </w:rPr>
        <w:t>זה</w:t>
      </w:r>
      <w:r>
        <w:rPr/>
        <w:t xml:space="preserve"> </w:t>
      </w:r>
      <w:r>
        <w:rPr/>
        <w:t>in V.17.</w:t>
      </w:r>
    </w:p>
  </w:footnote>
  <w:footnote w:id="1232">
    <w:p>
      <w:pPr>
        <w:pStyle w:val="Funote"/>
        <w:rPr/>
      </w:pPr>
      <w:r>
        <w:rPr/>
        <w:footnoteRef/>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 xml:space="preserve">erwarten würde. </w:t>
      </w:r>
    </w:p>
  </w:footnote>
  <w:footnote w:id="1233">
    <w:p>
      <w:pPr>
        <w:pStyle w:val="Funote"/>
        <w:rPr/>
      </w:pPr>
      <w:r>
        <w:rPr/>
        <w:footnoteRef/>
        <w:tab/>
        <w:t>mglw. Anspielung auf Vers 26.</w:t>
      </w:r>
    </w:p>
  </w:footnote>
  <w:footnote w:id="1234">
    <w:p>
      <w:pPr>
        <w:pStyle w:val="Funote"/>
        <w:rPr/>
      </w:pPr>
      <w:r>
        <w:rPr/>
        <w:footnoteRef/>
        <w:tab/>
        <w:t>Übersetzung hier nach LXX, da das hebräische Wort etwas unklar ist. Lt. Gesenius wäre es mit „Teilungen“, „Seiten“ oder „Krücken“ zu übersetzen.</w:t>
      </w:r>
    </w:p>
  </w:footnote>
  <w:footnote w:id="1235">
    <w:p>
      <w:pPr>
        <w:pStyle w:val="Funote"/>
        <w:rPr/>
      </w:pPr>
      <w:r>
        <w:rPr/>
        <w:footnoteRef/>
        <w:tab/>
        <w:t>Bis wann wollt ihr schwanken zwischen zwei Seiten?</w:t>
      </w:r>
    </w:p>
  </w:footnote>
  <w:footnote w:id="1236">
    <w:p>
      <w:pPr>
        <w:pStyle w:val="Funote"/>
        <w:rPr/>
      </w:pPr>
      <w:r>
        <w:rPr/>
        <w:footnoteRef/>
        <w:tab/>
        <w:t>Vgl. Apparat der BHS.</w:t>
      </w:r>
    </w:p>
  </w:footnote>
  <w:footnote w:id="1237">
    <w:p>
      <w:pPr>
        <w:pStyle w:val="Funote"/>
        <w:rPr/>
      </w:pPr>
      <w:r>
        <w:rPr/>
        <w:footnoteRef/>
        <w:tab/>
        <w:t>Wahrscheinlich spöttisch gemeint.</w:t>
      </w:r>
    </w:p>
  </w:footnote>
  <w:footnote w:id="1238">
    <w:p>
      <w:pPr>
        <w:pStyle w:val="Funote"/>
        <w:rPr/>
      </w:pPr>
      <w:r>
        <w:rPr/>
        <w:footnoteRef/>
        <w:tab/>
        <w:t>LXX: „er treibt Geschäfte“</w:t>
      </w:r>
    </w:p>
  </w:footnote>
  <w:footnote w:id="1239">
    <w:p>
      <w:pPr>
        <w:pStyle w:val="Funote"/>
        <w:rPr/>
      </w:pPr>
      <w:r>
        <w:rPr/>
        <w:footnoteRef/>
        <w:tab/>
        <w:t>Lt Gesenius: „er ist beschäftigt“</w:t>
      </w:r>
    </w:p>
  </w:footnote>
  <w:footnote w:id="1240">
    <w:p>
      <w:pPr>
        <w:pStyle w:val="Funote"/>
        <w:rPr/>
      </w:pPr>
      <w:r>
        <w:rPr/>
        <w:footnoteRef/>
        <w:tab/>
        <w:t>Mincha ist hier eine Zeitbestimmung, wahrscheinlich ist der Zeitpunkt gemeint, an dem die Mincha (ein Speiseopfer) stattfand, vgl. Gesenius.</w:t>
      </w:r>
    </w:p>
  </w:footnote>
  <w:footnote w:id="1241">
    <w:p>
      <w:pPr>
        <w:pStyle w:val="Funote"/>
        <w:rPr/>
      </w:pPr>
      <w:r>
        <w:rPr/>
        <w:footnoteRef/>
        <w:tab/>
        <w:t>Maßeinheit für Getreide</w:t>
      </w:r>
    </w:p>
  </w:footnote>
  <w:footnote w:id="1242">
    <w:p>
      <w:pPr>
        <w:pStyle w:val="Funote"/>
        <w:rPr/>
      </w:pPr>
      <w:r>
        <w:rPr/>
        <w:footnoteRef/>
        <w:tab/>
        <w:t>Bedeutung unsicher</w:t>
      </w:r>
    </w:p>
  </w:footnote>
  <w:footnote w:id="1243">
    <w:p>
      <w:pPr>
        <w:pStyle w:val="Funote"/>
        <w:rPr/>
      </w:pPr>
      <w:r>
        <w:rPr/>
        <w:footnoteRef/>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1244">
    <w:p>
      <w:pPr>
        <w:pStyle w:val="Funote"/>
        <w:rPr/>
      </w:pPr>
      <w:r>
        <w:rPr/>
        <w:footnoteRef/>
        <w:tab/>
        <w:t>wörtl.: „[...] um aufzunehmen einen Mann von seinem Aussatz.“ Dabei ist an die Wiedereingliederung an die Gesellschaft gedacht.</w:t>
      </w:r>
    </w:p>
  </w:footnote>
  <w:footnote w:id="1245">
    <w:p>
      <w:pPr>
        <w:pStyle w:val="Funote"/>
        <w:rPr/>
      </w:pPr>
      <w:r>
        <w:rPr/>
        <w:footnoteRef/>
        <w:tab/>
        <w:t xml:space="preserve">Verb </w:t>
      </w:r>
      <w:r>
        <w:rPr>
          <w:rtl w:val="true"/>
          <w:lang w:bidi="he-IL"/>
        </w:rPr>
        <w:t>אנה</w:t>
      </w:r>
      <w:r>
        <w:rPr/>
        <w:t xml:space="preserve"> </w:t>
      </w:r>
      <w:r>
        <w:rPr/>
        <w:t>im Hithpael Part. m. Sg. abs. In dieser Form nur an dieser Stelle.</w:t>
      </w:r>
    </w:p>
  </w:footnote>
  <w:footnote w:id="1246">
    <w:p>
      <w:pPr>
        <w:pStyle w:val="Funote"/>
        <w:rPr/>
      </w:pPr>
      <w:r>
        <w:rPr/>
        <w:footnoteRef/>
        <w:tab/>
        <w:t>Gemeint ist wohl eine Gelegenheit zur Konfrontation, zum Streit. Im Urtext steht das nicht explizit.</w:t>
      </w:r>
    </w:p>
  </w:footnote>
  <w:footnote w:id="1247">
    <w:p>
      <w:pPr>
        <w:pStyle w:val="Funote"/>
        <w:rPr/>
      </w:pPr>
      <w:r>
        <w:rPr/>
        <w:footnoteRef/>
        <w:tab/>
        <w:t>[Status: Ungeprüft]</w:t>
      </w:r>
    </w:p>
  </w:footnote>
  <w:footnote w:id="1248">
    <w:p>
      <w:pPr>
        <w:pStyle w:val="Funote"/>
        <w:rPr/>
      </w:pPr>
      <w:r>
        <w:rPr/>
        <w:footnoteRef/>
        <w:tab/>
        <w:t>Die Septuaginta hatte gelesen/verbessert: „Noach. Söhne Noachs: Sem, Ham, Jafet.“ (Vermutlich richtig).</w:t>
      </w:r>
    </w:p>
  </w:footnote>
  <w:footnote w:id="1249">
    <w:p>
      <w:pPr>
        <w:pStyle w:val="Funote"/>
        <w:rPr/>
      </w:pPr>
      <w:r>
        <w:rPr/>
        <w:footnoteRef/>
        <w:tab/>
        <w:t xml:space="preserve">So der Masoretische Text und Hieronymus / Septuaginta ohne Konjunktion; s. Gen 10 </w:t>
      </w:r>
      <w:r>
        <w:fldChar w:fldCharType="begin"/>
      </w:r>
      <w:r>
        <w:instrText> HYPERLINK "file:///wiki/Genesis_10" \l "S1"</w:instrText>
      </w:r>
      <w:r>
        <w:fldChar w:fldCharType="separate"/>
      </w:r>
      <w:r>
        <w:rPr>
          <w:rStyle w:val="Internetverknpfung"/>
        </w:rPr>
        <w:t>Genesis 10,1</w:t>
      </w:r>
      <w:r>
        <w:fldChar w:fldCharType="end"/>
      </w:r>
      <w:r>
        <w:rPr/>
        <w:t>.</w:t>
      </w:r>
    </w:p>
  </w:footnote>
  <w:footnote w:id="1250">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 von …“.</w:t>
      </w:r>
    </w:p>
  </w:footnote>
  <w:footnote w:id="1251">
    <w:p>
      <w:pPr>
        <w:pStyle w:val="Funote"/>
        <w:rPr/>
      </w:pPr>
      <w:r>
        <w:rPr/>
        <w:footnoteRef/>
        <w:tab/>
        <w:t xml:space="preserve">Die Septuaginta fügt hier ein: </w:t>
      </w:r>
      <w:r>
        <w:rPr>
          <w:lang w:val="el-GR"/>
        </w:rPr>
        <w:t>Ελισα</w:t>
      </w:r>
      <w:r>
        <w:rPr/>
        <w:t xml:space="preserve"> = Elischa (Vermutlich nur aus Vers 7 verlesen. Konjunktion in diesem Vers nur beim letzten Namen: „und Tiras“).</w:t>
      </w:r>
    </w:p>
  </w:footnote>
  <w:footnote w:id="1252">
    <w:p>
      <w:pPr>
        <w:pStyle w:val="Funote"/>
        <w:rPr/>
      </w:pPr>
      <w:r>
        <w:rPr/>
        <w:footnoteRef/>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 xml:space="preserve">an der Parallelstelle Gen 10 </w:t>
      </w:r>
      <w:r>
        <w:fldChar w:fldCharType="begin"/>
      </w:r>
      <w:r>
        <w:instrText> HYPERLINK "file:///wiki/Genesis_10" \l "S3"</w:instrText>
      </w:r>
      <w:r>
        <w:fldChar w:fldCharType="separate"/>
      </w:r>
      <w:r>
        <w:rPr>
          <w:rStyle w:val="Internetverknpfung"/>
        </w:rPr>
        <w:t>Genesis 10,3</w:t>
      </w:r>
      <w:r>
        <w:fldChar w:fldCharType="end"/>
      </w:r>
      <w:r>
        <w:rPr/>
        <w:t>.</w:t>
      </w:r>
    </w:p>
  </w:footnote>
  <w:footnote w:id="1253">
    <w:p>
      <w:pPr>
        <w:pStyle w:val="Funote"/>
        <w:rPr/>
      </w:pPr>
      <w:r>
        <w:rPr/>
        <w:footnoteRef/>
        <w:tab/>
        <w:t xml:space="preserve">Im Hebräischen mit Mehrzahlendung </w:t>
      </w:r>
      <w:r>
        <w:rPr>
          <w:rtl w:val="true"/>
          <w:lang w:bidi="he-IL"/>
        </w:rPr>
        <w:t>ים</w:t>
      </w:r>
      <w:r>
        <w:rPr/>
        <w:t xml:space="preserve">~ als Plural und daher als Name eines Volksstammes zu verstehen; s. Jer 2 </w:t>
      </w:r>
      <w:r>
        <w:fldChar w:fldCharType="begin"/>
      </w:r>
      <w:r>
        <w:instrText> HYPERLINK "file:///wiki/Jeremia_2" \l "S10"</w:instrText>
      </w:r>
      <w:r>
        <w:fldChar w:fldCharType="separate"/>
      </w:r>
      <w:r>
        <w:rPr>
          <w:rStyle w:val="Internetverknpfung"/>
        </w:rPr>
        <w:t>Jeremia 2,10</w:t>
      </w:r>
      <w:r>
        <w:fldChar w:fldCharType="end"/>
      </w:r>
      <w:r>
        <w:rPr/>
        <w:t>.</w:t>
      </w:r>
    </w:p>
  </w:footnote>
  <w:footnote w:id="1254">
    <w:p>
      <w:pPr>
        <w:pStyle w:val="Funote"/>
        <w:rPr/>
      </w:pPr>
      <w:r>
        <w:rPr/>
        <w:footnoteRef/>
        <w:tab/>
        <w:t xml:space="preserve">Im Hebräischen mit Mehrzahlendung </w:t>
      </w:r>
      <w:r>
        <w:rPr>
          <w:rtl w:val="true"/>
          <w:lang w:bidi="he-IL"/>
        </w:rPr>
        <w:t>ים</w:t>
      </w:r>
      <w:r>
        <w:rPr/>
        <w:t>~ als Plural und daher als Name eines Volksstammes zu verstehen.</w:t>
      </w:r>
    </w:p>
  </w:footnote>
  <w:footnote w:id="1255">
    <w:p>
      <w:pPr>
        <w:pStyle w:val="Funote"/>
        <w:rPr/>
      </w:pPr>
      <w:r>
        <w:rPr/>
        <w:footnoteRef/>
        <w:tab/>
        <w:t>Hier im Kontext als Personenname erkennbar; auch Name eines Landes, s. Gen 2 Genesis 2,13 und 2 Kön 19 2 Könige 19,9 etc.</w:t>
      </w:r>
    </w:p>
  </w:footnote>
  <w:footnote w:id="1256">
    <w:p>
      <w:pPr>
        <w:pStyle w:val="Funote"/>
        <w:rPr/>
      </w:pPr>
      <w:r>
        <w:rPr/>
        <w:footnoteRef/>
        <w:tab/>
        <w:t xml:space="preserve">Hier im Kontext als Personenname erkennbar; auch der Name eines Landes, s. Gen 12 </w:t>
      </w:r>
      <w:r>
        <w:fldChar w:fldCharType="begin"/>
      </w:r>
      <w:r>
        <w:instrText> HYPERLINK "file:///wiki/Genesis_12" \l "S10"</w:instrText>
      </w:r>
      <w:r>
        <w:fldChar w:fldCharType="separate"/>
      </w:r>
      <w:r>
        <w:rPr>
          <w:rStyle w:val="Internetverknpfung"/>
        </w:rPr>
        <w:t>Genesis 12,10</w:t>
      </w:r>
      <w:r>
        <w:fldChar w:fldCharType="end"/>
      </w:r>
      <w:r>
        <w:rPr/>
        <w:t xml:space="preserve"> etc. (Ägypten). Im Masoretischen Text zwar mit Mehrzahlendung </w:t>
      </w:r>
      <w:r>
        <w:rPr>
          <w:rtl w:val="true"/>
          <w:lang w:bidi="he-IL"/>
        </w:rPr>
        <w:t>יִם</w:t>
      </w:r>
      <w:r>
        <w:rPr/>
        <w:t>~ aber als Dual punktiert; muss sich nicht unbedingt auf „Ober- und Unterägypten“ beziehen.</w:t>
      </w:r>
    </w:p>
  </w:footnote>
  <w:footnote w:id="1257">
    <w:p>
      <w:pPr>
        <w:pStyle w:val="Funote"/>
        <w:rPr/>
      </w:pPr>
      <w:r>
        <w:rPr/>
        <w:footnoteRef/>
        <w:tab/>
        <w:t xml:space="preserve">So der Masoretische Text, Septuaginta und Hieronymus (ohne Konjunktion). Masoretischer Text an der Parallelstelle mit Konjunktion „und Put“; s. Gen 10 </w:t>
      </w:r>
      <w:r>
        <w:fldChar w:fldCharType="begin"/>
      </w:r>
      <w:r>
        <w:instrText> HYPERLINK "file:///wiki/Genesis_10" \l "S6"</w:instrText>
      </w:r>
      <w:r>
        <w:fldChar w:fldCharType="separate"/>
      </w:r>
      <w:r>
        <w:rPr>
          <w:rStyle w:val="Internetverknpfung"/>
        </w:rPr>
        <w:t>Genesis 10,6</w:t>
      </w:r>
      <w:r>
        <w:fldChar w:fldCharType="end"/>
      </w:r>
      <w:r>
        <w:rPr/>
        <w:t>.</w:t>
      </w:r>
    </w:p>
  </w:footnote>
  <w:footnote w:id="1258">
    <w:p>
      <w:pPr>
        <w:pStyle w:val="Funote"/>
        <w:rPr/>
      </w:pPr>
      <w:r>
        <w:rPr/>
        <w:footnoteRef/>
        <w:tab/>
        <w:t xml:space="preserve">Hier im Kontext als Personenname erkennbar; auch der Name eines Landes, s. Jer 46 </w:t>
      </w:r>
      <w:hyperlink r:id="rId40">
        <w:r>
          <w:rPr>
            <w:rStyle w:val="Internetverknpfung"/>
          </w:rPr>
          <w:t>Jeremia 46,9</w:t>
        </w:r>
      </w:hyperlink>
      <w:r>
        <w:rPr/>
        <w:t xml:space="preserve"> etc.</w:t>
      </w:r>
    </w:p>
  </w:footnote>
  <w:footnote w:id="1259">
    <w:p>
      <w:pPr>
        <w:pStyle w:val="Funote"/>
        <w:rPr/>
      </w:pPr>
      <w:r>
        <w:rPr/>
        <w:footnoteRef/>
        <w:tab/>
        <w:t xml:space="preserve">Hier im Kontext als Personenname erkennbar; auch der Name eines Landes, s. Gen 11 </w:t>
      </w:r>
      <w:r>
        <w:fldChar w:fldCharType="begin"/>
      </w:r>
      <w:r>
        <w:instrText> HYPERLINK "file:///wiki/Genesis_11" \l "S31"</w:instrText>
      </w:r>
      <w:r>
        <w:fldChar w:fldCharType="separate"/>
      </w:r>
      <w:r>
        <w:rPr>
          <w:rStyle w:val="Internetverknpfung"/>
        </w:rPr>
        <w:t>Genesis 11,31</w:t>
      </w:r>
      <w:r>
        <w:fldChar w:fldCharType="end"/>
      </w:r>
      <w:r>
        <w:rPr/>
        <w:t xml:space="preserve"> etc.</w:t>
      </w:r>
    </w:p>
  </w:footnote>
  <w:footnote w:id="1260">
    <w:p>
      <w:pPr>
        <w:pStyle w:val="Funote"/>
        <w:rPr/>
      </w:pPr>
      <w:r>
        <w:rPr/>
        <w:footnoteRef/>
        <w:tab/>
        <w:t xml:space="preserve">3. </w:t>
      </w:r>
      <w:r>
        <w:rPr>
          <w:i/>
        </w:rPr>
        <w:t>sg. masc. pf.</w:t>
      </w:r>
      <w:r>
        <w:rPr/>
        <w:t>, hier mit Plusquamperfekt wiedergegeben wegen der nachfolgenden Geschichte seines Sohnes Nimrod im selben Vers.</w:t>
      </w:r>
    </w:p>
  </w:footnote>
  <w:footnote w:id="1261">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262">
    <w:p>
      <w:pPr>
        <w:pStyle w:val="Funote"/>
        <w:rPr/>
      </w:pPr>
      <w:r>
        <w:rPr/>
        <w:footnoteRef/>
        <w:tab/>
        <w:t xml:space="preserve">Personalpronomen 3. </w:t>
      </w:r>
      <w:r>
        <w:rPr>
          <w:i/>
        </w:rPr>
        <w:t>sg. masc.</w:t>
      </w:r>
    </w:p>
  </w:footnote>
  <w:footnote w:id="1263">
    <w:p>
      <w:pPr>
        <w:pStyle w:val="Funote"/>
        <w:rPr/>
      </w:pPr>
      <w:r>
        <w:rPr/>
        <w:footnoteRef/>
        <w:tab/>
        <w:t xml:space="preserve">3. </w:t>
      </w:r>
      <w:r>
        <w:rPr>
          <w:i/>
        </w:rPr>
        <w:t>sg. masc. pf.</w:t>
      </w:r>
      <w:r>
        <w:rPr/>
        <w:t xml:space="preserve"> als hebräische Aktionsart „Hifil“.</w:t>
      </w:r>
    </w:p>
  </w:footnote>
  <w:footnote w:id="1264">
    <w:p>
      <w:pPr>
        <w:pStyle w:val="Funote"/>
        <w:rPr/>
      </w:pPr>
      <w:r>
        <w:rPr/>
        <w:footnoteRef/>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1265">
    <w:p>
      <w:pPr>
        <w:pStyle w:val="Funote"/>
        <w:rPr/>
      </w:pPr>
      <w:r>
        <w:rPr/>
        <w:footnoteRef/>
        <w:tab/>
        <w:t xml:space="preserve">Die Machtbestrebungen Nimrods beschränkten sich nicht nur auf die heimische Region (Schinar), sondern umfassten auch einen Neuerwerb von fremden Gebieten; im Masoretischen Text wäre der Artikel (im Hebräischen für ein bereits bekanntes bzw. </w:t>
      </w:r>
      <w:r>
        <w:fldChar w:fldCharType="begin"/>
      </w:r>
      <w:r>
        <w:instrText> HYPERLINK "file:///wiki/Genesis_2" \l "S14"</w:instrText>
      </w:r>
      <w:r>
        <w:fldChar w:fldCharType="separate"/>
      </w:r>
      <w:r>
        <w:rPr>
          <w:rStyle w:val="Internetverknpfung"/>
        </w:rPr>
        <w:t>im Text zuvor schon mal erwähntes</w:t>
      </w:r>
      <w:r>
        <w:fldChar w:fldCharType="end"/>
      </w:r>
      <w:r>
        <w:rPr/>
        <w:t xml:space="preserve"> Land) nur nachträglich hineinpunktiert.</w:t>
      </w:r>
    </w:p>
  </w:footnote>
  <w:footnote w:id="1266">
    <w:p>
      <w:pPr>
        <w:pStyle w:val="Funote"/>
        <w:rPr/>
      </w:pPr>
      <w:r>
        <w:rPr/>
        <w:footnoteRef/>
        <w:tab/>
        <w:t xml:space="preserve">3. </w:t>
      </w:r>
      <w:r>
        <w:rPr>
          <w:i/>
        </w:rPr>
        <w:t>sg. masc. pf.</w:t>
      </w:r>
    </w:p>
  </w:footnote>
  <w:footnote w:id="1267">
    <w:p>
      <w:pPr>
        <w:pStyle w:val="Funote"/>
        <w:rPr/>
      </w:pPr>
      <w:r>
        <w:rPr/>
        <w:footnoteRef/>
        <w:tab/>
        <w:t xml:space="preserve">Im Hebräischen mit Mehrzahlendung </w:t>
      </w:r>
      <w:r>
        <w:rPr>
          <w:rtl w:val="true"/>
          <w:lang w:bidi="he-IL"/>
        </w:rPr>
        <w:t>ים</w:t>
      </w:r>
      <w:r>
        <w:rPr/>
        <w:t>~ als Plural und daher als Volksstamm zu verstehen.</w:t>
      </w:r>
    </w:p>
  </w:footnote>
  <w:footnote w:id="1268">
    <w:p>
      <w:pPr>
        <w:pStyle w:val="Funote"/>
        <w:rPr/>
      </w:pPr>
      <w:r>
        <w:rPr/>
        <w:footnoteRef/>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269">
    <w:p>
      <w:pPr>
        <w:pStyle w:val="Funote"/>
        <w:rPr/>
      </w:pPr>
      <w:r>
        <w:rPr/>
        <w:footnoteRef/>
        <w:tab/>
        <w:t xml:space="preserve">3. </w:t>
      </w:r>
      <w:r>
        <w:rPr>
          <w:i/>
        </w:rPr>
        <w:t>pl. masc. pf.</w:t>
      </w:r>
    </w:p>
  </w:footnote>
  <w:footnote w:id="1270">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271">
    <w:p>
      <w:pPr>
        <w:pStyle w:val="Funote"/>
        <w:rPr/>
      </w:pPr>
      <w:r>
        <w:rPr/>
        <w:footnoteRef/>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w:t>
      </w:r>
      <w:hyperlink r:id="rId41">
        <w:r>
          <w:rPr>
            <w:rStyle w:val="Internetverknpfung"/>
          </w:rPr>
          <w:t>Jeremia 47,4</w:t>
        </w:r>
      </w:hyperlink>
      <w:r>
        <w:rPr/>
        <w:t xml:space="preserve">, </w:t>
      </w:r>
      <w:r>
        <w:fldChar w:fldCharType="begin"/>
      </w:r>
      <w:r>
        <w:instrText> HYPERLINK "file:///wiki/Amos_9" \l "S7"</w:instrText>
      </w:r>
      <w:r>
        <w:fldChar w:fldCharType="separate"/>
      </w:r>
      <w:r>
        <w:rPr>
          <w:rStyle w:val="Internetverknpfung"/>
        </w:rPr>
        <w:t>Amos 9,7</w:t>
      </w:r>
      <w:r>
        <w:fldChar w:fldCharType="end"/>
      </w:r>
      <w:r>
        <w:rPr/>
        <w:t>).</w:t>
      </w:r>
    </w:p>
  </w:footnote>
  <w:footnote w:id="1272">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273">
    <w:p>
      <w:pPr>
        <w:pStyle w:val="Funote"/>
        <w:rPr/>
      </w:pPr>
      <w:r>
        <w:rPr/>
        <w:footnoteRef/>
        <w:tab/>
        <w:t>Im Masoretischen Text als „Constructus“ (Genitiv) geschrieben, daher als Angehöriger des Volksstammes zu verstehen.</w:t>
      </w:r>
    </w:p>
  </w:footnote>
  <w:footnote w:id="1274">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275">
    <w:p>
      <w:pPr>
        <w:pStyle w:val="Funote"/>
        <w:rPr/>
      </w:pPr>
      <w:r>
        <w:rPr/>
        <w:footnoteRef/>
        <w:tab/>
        <w:t>Masoretischer Text und Hieronymus fassen hier Söhne und Enkel Sems zusammen.</w:t>
      </w:r>
    </w:p>
  </w:footnote>
  <w:footnote w:id="1276">
    <w:p>
      <w:pPr>
        <w:pStyle w:val="Funote"/>
        <w:rPr/>
      </w:pPr>
      <w:r>
        <w:rPr/>
        <w:footnoteRef/>
        <w:tab/>
        <w:t>Masoretischer Text und Hieronymus fassen Söhne und Enkel Sems zusammen / Cod. Alexandrinus (LXX) liest getrennt „und Söhne Arams …“ wie in Gen 10 Genesis 10,23.</w:t>
      </w:r>
    </w:p>
  </w:footnote>
  <w:footnote w:id="1277">
    <w:p>
      <w:pPr>
        <w:pStyle w:val="Funote"/>
        <w:rPr/>
      </w:pPr>
      <w:r>
        <w:rPr/>
        <w:footnoteRef/>
        <w:tab/>
        <w:t xml:space="preserve">3. </w:t>
      </w:r>
      <w:r>
        <w:rPr>
          <w:i/>
        </w:rPr>
        <w:t>sg. masc. pf.</w:t>
      </w:r>
      <w:r>
        <w:rPr/>
        <w:t xml:space="preserve"> hier mit Plusquamperfekt wiedergegeben wegen der nachfolgenden Familiengeschichte seines Sohnes Schelach im selben Vers.</w:t>
      </w:r>
    </w:p>
  </w:footnote>
  <w:footnote w:id="1278">
    <w:p>
      <w:pPr>
        <w:pStyle w:val="Funote"/>
        <w:rPr/>
      </w:pPr>
      <w:r>
        <w:rPr/>
        <w:footnoteRef/>
        <w:tab/>
        <w:t xml:space="preserve">Im Masoretischen Text als Schreibfehler hier die gleiche Formel „er hat gezeugt“ (3. </w:t>
      </w:r>
      <w:r>
        <w:rPr>
          <w:i/>
        </w:rPr>
        <w:t>sg. masc. pf. aktiv</w:t>
      </w:r>
      <w:r>
        <w:rPr/>
        <w:t xml:space="preserve">), punktiert als Aktionsart „Pual“ (Passiv) zu „er/es ist geboren worden“. Der Kontext verlangt die 3. </w:t>
      </w:r>
      <w:r>
        <w:rPr>
          <w:i/>
        </w:rPr>
        <w:t>pl. masc. pf. passiv</w:t>
      </w:r>
      <w:r>
        <w:rPr/>
        <w:t xml:space="preserve">; s. Gen 10 </w:t>
      </w:r>
      <w:r>
        <w:fldChar w:fldCharType="begin"/>
      </w:r>
      <w:r>
        <w:instrText> HYPERLINK "file:///wiki/Genesis_10" \l "S25"</w:instrText>
      </w:r>
      <w:r>
        <w:fldChar w:fldCharType="separate"/>
      </w:r>
      <w:r>
        <w:rPr>
          <w:rStyle w:val="Internetverknpfung"/>
        </w:rPr>
        <w:t>Genesis 10,25</w:t>
      </w:r>
      <w:r>
        <w:fldChar w:fldCharType="end"/>
      </w:r>
      <w:r>
        <w:rPr/>
        <w:t>.</w:t>
      </w:r>
    </w:p>
  </w:footnote>
  <w:footnote w:id="1279">
    <w:p>
      <w:pPr>
        <w:pStyle w:val="Funote"/>
        <w:rPr/>
      </w:pPr>
      <w:r>
        <w:rPr/>
        <w:footnoteRef/>
        <w:tab/>
        <w:t>Masoretischer Text mit Artikel</w:t>
      </w:r>
    </w:p>
  </w:footnote>
  <w:footnote w:id="1280">
    <w:p>
      <w:pPr>
        <w:pStyle w:val="Funote"/>
        <w:rPr/>
      </w:pPr>
      <w:r>
        <w:rPr/>
        <w:footnoteRef/>
        <w:tab/>
        <w:t>Demonstrativpronomen im Plural.</w:t>
      </w:r>
    </w:p>
  </w:footnote>
  <w:footnote w:id="1281">
    <w:p>
      <w:pPr>
        <w:pStyle w:val="Funote"/>
        <w:rPr/>
      </w:pPr>
      <w:r>
        <w:rPr/>
        <w:footnoteRef/>
        <w:tab/>
        <w:t>Plural von „Werdegang“, hier auf Menschen bezogen.</w:t>
      </w:r>
    </w:p>
  </w:footnote>
  <w:footnote w:id="1282">
    <w:p>
      <w:pPr>
        <w:pStyle w:val="Funote"/>
        <w:rPr/>
      </w:pPr>
      <w:r>
        <w:rPr/>
        <w:footnoteRef/>
        <w:tab/>
        <w:t>Personalpronomen 3. Person (m) Plural</w:t>
      </w:r>
    </w:p>
  </w:footnote>
  <w:footnote w:id="1283">
    <w:p>
      <w:pPr>
        <w:pStyle w:val="Funote"/>
        <w:rPr/>
      </w:pPr>
      <w:r>
        <w:rPr/>
        <w:footnoteRef/>
        <w:tab/>
        <w:t>3. Person Singular (f) Perfekt</w:t>
      </w:r>
    </w:p>
  </w:footnote>
  <w:footnote w:id="1284">
    <w:p>
      <w:pPr>
        <w:pStyle w:val="Funote"/>
        <w:rPr/>
      </w:pPr>
      <w:r>
        <w:rPr/>
        <w:footnoteRef/>
        <w:tab/>
        <w:t>3. Person Singular (m) Imperfekt</w:t>
      </w:r>
    </w:p>
  </w:footnote>
  <w:footnote w:id="1285">
    <w:p>
      <w:pPr>
        <w:pStyle w:val="Funote"/>
        <w:rPr/>
      </w:pPr>
      <w:r>
        <w:rPr/>
        <w:footnoteRef/>
        <w:tab/>
        <w:t>Im Masoretischen Text als Constructus punktiert, als eine Sprech- und Bedeutungseinheit mit dem nachfolgenden Personennamen: Die korrekte Übersetzung davon ins Deutsche ist der Personenname mit Genitiv-s (nicht: „Schwester von …“.</w:t>
      </w:r>
    </w:p>
  </w:footnote>
  <w:footnote w:id="1286">
    <w:p>
      <w:pPr>
        <w:pStyle w:val="Funote"/>
        <w:rPr/>
      </w:pPr>
      <w:r>
        <w:rPr/>
        <w:footnoteRef/>
        <w:tab/>
        <w:t>Im Masoretischen Text hier die gleiche Formel „Söhne“ (Plural), obwohl Anas nur einen „Sohn“ hatte</w:t>
      </w:r>
    </w:p>
  </w:footnote>
  <w:footnote w:id="1287">
    <w:p>
      <w:pPr>
        <w:pStyle w:val="Funote"/>
        <w:rPr/>
      </w:pPr>
      <w:r>
        <w:rPr/>
        <w:footnoteRef/>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288">
    <w:p>
      <w:pPr>
        <w:pStyle w:val="Funote"/>
        <w:rPr/>
      </w:pPr>
      <w:r>
        <w:rPr/>
        <w:footnoteRef/>
        <w:tab/>
        <w:t>Im Hebräischen eine Constructus-Verbindung (Sprech- und Bedeutungseinheit) mit dem nachfolgenden Personennamen: Die korrekte Übersetzung davon ins Deutsche ist der Personenname mit Genitiv-s (nicht: „Tochter von …“.</w:t>
      </w:r>
    </w:p>
  </w:footnote>
  <w:footnote w:id="1289">
    <w:p>
      <w:pPr>
        <w:pStyle w:val="Funote"/>
        <w:rPr/>
      </w:pPr>
      <w:r>
        <w:rPr/>
        <w:footnoteRef/>
        <w:tab/>
        <w:t>Im Hebräischen eine Constructus-Verbindung (Sprech- und Bedeutungseinheit) mit dem nachfolgenden Personennamen: Die korrekte Übersetzung davon ins Deutsche ist der Personenname mit Genitiv-s (nicht: „Häuptlinge von …“.</w:t>
      </w:r>
    </w:p>
  </w:footnote>
  <w:footnote w:id="1290">
    <w:p>
      <w:pPr>
        <w:pStyle w:val="Funote"/>
        <w:rPr/>
      </w:pPr>
      <w:r>
        <w:rPr/>
        <w:footnoteRef/>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291">
    <w:p>
      <w:pPr>
        <w:pStyle w:val="Funote"/>
        <w:rPr/>
      </w:pPr>
      <w:r>
        <w:rPr/>
        <w:footnoteRef/>
        <w:tab/>
        <w:t xml:space="preserve">Hif'il Impf. Cons. von </w:t>
      </w:r>
      <w:r>
        <w:rPr>
          <w:rtl w:val="true"/>
          <w:lang w:bidi="he-IL"/>
        </w:rPr>
        <w:t>נכה</w:t>
      </w:r>
      <w:r>
        <w:rPr/>
        <w:t>.</w:t>
      </w:r>
    </w:p>
  </w:footnote>
  <w:footnote w:id="1292">
    <w:p>
      <w:pPr>
        <w:pStyle w:val="Funote"/>
        <w:rPr/>
      </w:pPr>
      <w:r>
        <w:rPr/>
        <w:footnoteRef/>
        <w:tab/>
        <w:t xml:space="preserve">Kal Inf. von </w:t>
      </w:r>
      <w:r>
        <w:rPr>
          <w:rtl w:val="true"/>
          <w:lang w:bidi="he-IL"/>
        </w:rPr>
        <w:t>מנה</w:t>
      </w:r>
      <w:r>
        <w:rPr/>
        <w:t>. Der Infinitiv kann auch kausal übersetzt werden: „damit er Israel zählte.“ Gemeint ist hier ein allgemeiner Zensus.</w:t>
      </w:r>
    </w:p>
  </w:footnote>
  <w:footnote w:id="1293">
    <w:p>
      <w:pPr>
        <w:pStyle w:val="Funote"/>
        <w:rPr/>
      </w:pPr>
      <w:r>
        <w:rPr/>
        <w:footnoteRef/>
        <w:tab/>
        <w:t xml:space="preserve">Das Verb </w:t>
      </w:r>
      <w:r>
        <w:rPr>
          <w:rtl w:val="true"/>
          <w:lang w:bidi="he-IL"/>
        </w:rPr>
        <w:t>ספר</w:t>
      </w:r>
      <w:r>
        <w:rPr/>
        <w:t xml:space="preserve"> </w:t>
      </w:r>
      <w:r>
        <w:rPr/>
        <w:t>meint im eigentlichen Sinn: „(amtlich) aufschreiben“.</w:t>
      </w:r>
    </w:p>
  </w:footnote>
  <w:footnote w:id="1294">
    <w:p>
      <w:pPr>
        <w:pStyle w:val="Funote"/>
        <w:rPr/>
      </w:pPr>
      <w:r>
        <w:rPr/>
        <w:footnoteRef/>
        <w:tab/>
        <w:t xml:space="preserve">Hif'il Imp. Pl. von </w:t>
      </w:r>
      <w:r>
        <w:rPr>
          <w:rtl w:val="true"/>
          <w:lang w:bidi="he-IL"/>
        </w:rPr>
        <w:t>בוא</w:t>
      </w:r>
      <w:r>
        <w:rPr/>
        <w:t>.</w:t>
      </w:r>
    </w:p>
  </w:footnote>
  <w:footnote w:id="1295">
    <w:p>
      <w:pPr>
        <w:pStyle w:val="Funote"/>
        <w:rPr/>
      </w:pPr>
      <w:r>
        <w:rPr/>
        <w:footnoteRef/>
        <w:tab/>
        <w:t xml:space="preserve">Kal Impf. 1 Person Sg. von </w:t>
      </w:r>
      <w:r>
        <w:rPr>
          <w:rtl w:val="true"/>
          <w:lang w:bidi="he-IL"/>
        </w:rPr>
        <w:t>ידע</w:t>
      </w:r>
      <w:r>
        <w:rPr/>
        <w:t>.</w:t>
      </w:r>
    </w:p>
  </w:footnote>
  <w:footnote w:id="1296">
    <w:p>
      <w:pPr>
        <w:pStyle w:val="Funote"/>
        <w:rPr/>
      </w:pPr>
      <w:r>
        <w:rPr/>
        <w:footnoteRef/>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297">
    <w:p>
      <w:pPr>
        <w:pStyle w:val="Funote"/>
        <w:rPr/>
      </w:pPr>
      <w:r>
        <w:rPr/>
        <w:footnoteRef/>
        <w:tab/>
        <w:t xml:space="preserve">Hif'il Impf. Cons. von </w:t>
      </w:r>
      <w:r>
        <w:rPr>
          <w:rtl w:val="true"/>
          <w:lang w:bidi="he-IL"/>
        </w:rPr>
        <w:t>נכה</w:t>
      </w:r>
      <w:r>
        <w:rPr/>
        <w:t>.</w:t>
      </w:r>
    </w:p>
  </w:footnote>
  <w:footnote w:id="1298">
    <w:p>
      <w:pPr>
        <w:pStyle w:val="Funote"/>
        <w:rPr/>
      </w:pPr>
      <w:r>
        <w:rPr/>
        <w:footnoteRef/>
        <w:tab/>
        <w:t>Am Ende des Verses steht im MT ein Petucha (</w:t>
      </w:r>
      <w:r>
        <w:rPr>
          <w:rtl w:val="true"/>
          <w:lang w:bidi="he-IL"/>
        </w:rPr>
        <w:t>פ</w:t>
      </w:r>
      <w:r>
        <w:rPr/>
        <w:t>), das einen neuen Sinnabschnitt bezeichnet.</w:t>
      </w:r>
    </w:p>
  </w:footnote>
  <w:footnote w:id="1299">
    <w:p>
      <w:pPr>
        <w:pStyle w:val="Funote"/>
        <w:rPr/>
      </w:pPr>
      <w:r>
        <w:rPr/>
        <w:footnoteRef/>
        <w:tab/>
        <w:t xml:space="preserve">Hif'il Imp. Sg. von </w:t>
      </w:r>
      <w:r>
        <w:rPr>
          <w:rtl w:val="true"/>
          <w:lang w:bidi="he-IL"/>
        </w:rPr>
        <w:t>עבר</w:t>
      </w:r>
      <w:r>
        <w:rPr/>
        <w:t xml:space="preserve"> </w:t>
      </w:r>
      <w:r>
        <w:rPr/>
        <w:t>mit Verstärkungspartikel.</w:t>
      </w:r>
    </w:p>
  </w:footnote>
  <w:footnote w:id="1300">
    <w:p>
      <w:pPr>
        <w:pStyle w:val="Funote"/>
        <w:rPr/>
      </w:pPr>
      <w:r>
        <w:rPr/>
        <w:footnoteRef/>
        <w:tab/>
        <w:t>Am Ende des Verses steht im MT ein Petucha (</w:t>
      </w:r>
      <w:r>
        <w:rPr>
          <w:rtl w:val="true"/>
          <w:lang w:bidi="he-IL"/>
        </w:rPr>
        <w:t>פ</w:t>
      </w:r>
      <w:r>
        <w:rPr/>
        <w:t>), das einen neuen Sinnabschnitt bezeichnet.</w:t>
      </w:r>
    </w:p>
  </w:footnote>
  <w:footnote w:id="1301">
    <w:p>
      <w:pPr>
        <w:pStyle w:val="Funote"/>
        <w:rPr/>
      </w:pPr>
      <w:r>
        <w:rPr/>
        <w:footnoteRef/>
        <w:tab/>
        <w:t>[Status: Ungeprüft]</w:t>
      </w:r>
    </w:p>
  </w:footnote>
  <w:footnote w:id="1302">
    <w:p>
      <w:pPr>
        <w:pStyle w:val="Funote"/>
        <w:rPr/>
      </w:pPr>
      <w:r>
        <w:rPr/>
        <w:footnoteRef/>
        <w:tab/>
        <w:t>Diese Übersetzung ist recht wörtlich, ergibt aber so nicht wirklich Sinn. Darüber sollte noch weiter diskutiert werden.</w:t>
      </w:r>
    </w:p>
  </w:footnote>
  <w:footnote w:id="1303">
    <w:p>
      <w:pPr>
        <w:pStyle w:val="Funote"/>
        <w:rPr/>
      </w:pPr>
      <w:r>
        <w:rPr/>
        <w:footnoteRef/>
        <w:tab/>
        <w:t>Besser lesbar: für alle Gegenstände des jeweiligen Dienstes.</w:t>
      </w:r>
    </w:p>
  </w:footnote>
  <w:footnote w:id="1304">
    <w:p>
      <w:pPr>
        <w:pStyle w:val="Funote"/>
        <w:rPr/>
      </w:pPr>
      <w:r>
        <w:rPr/>
        <w:footnoteRef/>
        <w:tab/>
        <w:t>Vgl. Fußnote 2.</w:t>
      </w:r>
    </w:p>
  </w:footnote>
  <w:footnote w:id="1305">
    <w:p>
      <w:pPr>
        <w:pStyle w:val="Funote"/>
        <w:rPr/>
      </w:pPr>
      <w:r>
        <w:rPr/>
        <w:footnoteRef/>
        <w:tab/>
        <w:t>Vgl. Fußnote 2.</w:t>
      </w:r>
    </w:p>
  </w:footnote>
  <w:footnote w:id="1306">
    <w:p>
      <w:pPr>
        <w:pStyle w:val="Funote"/>
        <w:rPr/>
      </w:pPr>
      <w:r>
        <w:rPr/>
        <w:footnoteRef/>
        <w:tab/>
        <w:t>Vgl. Fußnote 2.</w:t>
      </w:r>
    </w:p>
  </w:footnote>
  <w:footnote w:id="1307">
    <w:p>
      <w:pPr>
        <w:pStyle w:val="Funote"/>
        <w:rPr/>
      </w:pPr>
      <w:r>
        <w:rPr/>
        <w:footnoteRef/>
        <w:tab/>
        <w:t>Vgl. Fußnote 2.</w:t>
      </w:r>
    </w:p>
  </w:footnote>
  <w:footnote w:id="1308">
    <w:p>
      <w:pPr>
        <w:pStyle w:val="Funote"/>
        <w:rPr/>
      </w:pPr>
      <w:r>
        <w:rPr/>
        <w:footnoteRef/>
        <w:tab/>
        <w:t>Vgl. Fußnote 2.</w:t>
      </w:r>
    </w:p>
  </w:footnote>
  <w:footnote w:id="1309">
    <w:p>
      <w:pPr>
        <w:pStyle w:val="Funote"/>
        <w:rPr/>
      </w:pPr>
      <w:r>
        <w:rPr/>
        <w:footnoteRef/>
        <w:tab/>
        <w:t>Vgl. Fußnote 2.</w:t>
      </w:r>
    </w:p>
  </w:footnote>
  <w:footnote w:id="1310">
    <w:p>
      <w:pPr>
        <w:pStyle w:val="Funote"/>
        <w:rPr/>
      </w:pPr>
      <w:r>
        <w:rPr/>
        <w:footnoteRef/>
        <w:tab/>
        <w:t>[Status: Ungeprüft]</w:t>
      </w:r>
    </w:p>
  </w:footnote>
  <w:footnote w:id="1311">
    <w:p>
      <w:pPr>
        <w:pStyle w:val="Funote"/>
        <w:rPr/>
      </w:pPr>
      <w:r>
        <w:rPr/>
        <w:footnoteRef/>
        <w:tab/>
        <w:t xml:space="preserve">Esra 4,8-6,18 (sowie 7,12-26) sind auf Aramäisch verfasst bzw. aus aramäischen Quellen zitiert (zudem Dan 2,4b-7,28; </w:t>
      </w:r>
      <w:r>
        <w:fldChar w:fldCharType="begin"/>
      </w:r>
      <w:r>
        <w:instrText> HYPERLINK "file:///wiki/Jeremia_10" \l "s11"</w:instrText>
      </w:r>
      <w:r>
        <w:fldChar w:fldCharType="separate"/>
      </w:r>
      <w:r>
        <w:rPr>
          <w:rStyle w:val="Internetverknpfung"/>
        </w:rPr>
        <w:t>Jer 10,11</w:t>
      </w:r>
      <w:r>
        <w:fldChar w:fldCharType="end"/>
      </w:r>
      <w:r>
        <w:rPr/>
        <w:t xml:space="preserve"> und ein Teil von </w:t>
      </w:r>
      <w:hyperlink r:id="rId42">
        <w:r>
          <w:rPr>
            <w:rStyle w:val="Internetverknpfung"/>
          </w:rPr>
          <w:t>Gen 31,47</w:t>
        </w:r>
      </w:hyperlink>
      <w:r>
        <w:rPr/>
        <w:t xml:space="preserve">).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 </w:t>
      </w:r>
    </w:p>
  </w:footnote>
  <w:footnote w:id="1312">
    <w:p>
      <w:pPr>
        <w:pStyle w:val="Funote"/>
        <w:rPr/>
      </w:pPr>
      <w:r>
        <w:rPr/>
        <w:footnoteRef/>
        <w:tab/>
        <w:t xml:space="preserve">Wörtlich „Herr des Kommandos“, also etwa „Befehlshaber“. Was genau dieser Titel bezeichnet, ist nicht mehr bekannt. Es liegt nahe, dass Rehum vielleicht ein hoher Beamter in der Provinzverwaltung war (Loken 2011, 4:8). </w:t>
      </w:r>
    </w:p>
  </w:footnote>
  <w:footnote w:id="1313">
    <w:p>
      <w:pPr>
        <w:pStyle w:val="Funote"/>
        <w:rPr/>
      </w:pPr>
      <w:r>
        <w:rPr/>
        <w:footnoteRef/>
        <w:tab/>
        <w:t xml:space="preserve">Artaxerxes war 486-465 v. Chr. König von Persien (Loken 2011, 4:6-24 Commentary). </w:t>
      </w:r>
    </w:p>
  </w:footnote>
  <w:footnote w:id="1314">
    <w:p>
      <w:pPr>
        <w:pStyle w:val="Funote"/>
        <w:rPr/>
      </w:pPr>
      <w:r>
        <w:rPr/>
        <w:footnoteRef/>
        <w:tab/>
        <w:t>W. „dann“</w:t>
      </w:r>
    </w:p>
  </w:footnote>
  <w:footnote w:id="1315">
    <w:p>
      <w:pPr>
        <w:pStyle w:val="Funote"/>
        <w:rPr/>
      </w:pPr>
      <w:r>
        <w:rPr/>
        <w:footnoteRef/>
        <w:tab/>
        <w:t xml:space="preserve">Das Wort lässt sich nicht sicher deuten, steht aber wohl für eine persische Beamtenklasse („Richter“) und ist dann persisches Lehnwort, ansonsten eine Volksbezeichnung (BDB </w:t>
      </w:r>
      <w:r>
        <w:rPr>
          <w:rtl w:val="true"/>
          <w:lang w:bidi="he-IL"/>
        </w:rPr>
        <w:t>דִּינָיֵא</w:t>
      </w:r>
      <w:r>
        <w:rPr/>
        <w:t xml:space="preserve">). Die erste Übersetzung ist wahrscheinlicher, wenn man davon ausgeht, dass in der Unterstützerliste zuerst Beamtenklassen, dann Völker aufgezählt werden (Loken 2011, 4:9). </w:t>
      </w:r>
    </w:p>
  </w:footnote>
  <w:footnote w:id="1316">
    <w:p>
      <w:pPr>
        <w:pStyle w:val="Funote"/>
        <w:rPr/>
      </w:pPr>
      <w:r>
        <w:rPr/>
        <w:footnoteRef/>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317">
    <w:p>
      <w:pPr>
        <w:pStyle w:val="Funote"/>
        <w:rPr/>
      </w:pPr>
      <w:r>
        <w:rPr/>
        <w:footnoteRef/>
        <w:tab/>
        <w:t>das sind die (Dehawiter) Das masoretische Qere versteht es als eine weitere Herkunftsbezeichnung, wahrscheinlicher jedoch als Relativpronomen zu verstehen (so BHS).</w:t>
      </w:r>
    </w:p>
  </w:footnote>
  <w:footnote w:id="1318">
    <w:p>
      <w:pPr>
        <w:pStyle w:val="Funote"/>
        <w:rPr/>
      </w:pPr>
      <w:r>
        <w:rPr>
          <w:i/>
        </w:rPr>
        <w:footnoteRef/>
        <w:tab/>
        <w:t>Asenappar</w:t>
      </w:r>
      <w:r>
        <w:rPr/>
        <w:t xml:space="preserve"> Wahrscheinlich der assyrische König Assurbanipal (669-626 v. Chr.), der den ganzen fruchtbaren Halbmond mit Krieg überzog und viele Gefangene machte. Als einziger assyrischer König kam er dabei bis Susa (Loken 2011, 4:10; vgl. Ryle 1901, 56f.). </w:t>
      </w:r>
    </w:p>
  </w:footnote>
  <w:footnote w:id="1319">
    <w:p>
      <w:pPr>
        <w:pStyle w:val="Funote"/>
        <w:rPr/>
      </w:pPr>
      <w:r>
        <w:rPr/>
        <w:footnoteRef/>
        <w:tab/>
        <w:t xml:space="preserve">Hier ist von der Satrapie Transeuphrat, „Jenseits des Stromes“ die Rede (Loken 2011, 4:10). Samaria ist die alte Hauptstadt des israelischen Nordreichs, die ebenfalls von den Assyrern (722) zerstört worden war. </w:t>
      </w:r>
    </w:p>
  </w:footnote>
  <w:footnote w:id="1320">
    <w:p>
      <w:pPr>
        <w:pStyle w:val="Funote"/>
        <w:rPr/>
      </w:pPr>
      <w:r>
        <w:rPr/>
        <w:footnoteRef/>
        <w:tab/>
        <w:t xml:space="preserve">Dient zur syntaktischen Markierung eines neuen Absatzes (Loken 2011, 4,6-24 Translation). Manchmal auch mit „nun“ übersetzt (Zür, NRSV, NASB), meist aber unübersetzt. </w:t>
      </w:r>
    </w:p>
  </w:footnote>
  <w:footnote w:id="1321">
    <w:p>
      <w:pPr>
        <w:pStyle w:val="Funote"/>
        <w:rPr/>
      </w:pPr>
      <w:r>
        <w:rPr/>
        <w:footnoteRef/>
        <w:tab/>
        <w:t xml:space="preserve">Hier ist von der Satrapie Transeuphrat, „Jenseits des Stromes“ die Rede (Loken 2011, 4:10). </w:t>
      </w:r>
    </w:p>
  </w:footnote>
  <w:footnote w:id="1322">
    <w:p>
      <w:pPr>
        <w:pStyle w:val="Funote"/>
        <w:rPr/>
      </w:pPr>
      <w:r>
        <w:rPr/>
        <w:footnoteRef/>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323">
    <w:p>
      <w:pPr>
        <w:pStyle w:val="Funote"/>
        <w:rPr/>
      </w:pPr>
      <w:r>
        <w:rPr>
          <w:i/>
        </w:rPr>
        <w:footnoteRef/>
        <w:tab/>
        <w:t>bessern gerade aus</w:t>
      </w:r>
      <w:r>
        <w:rPr/>
        <w:t xml:space="preserve"> Futur, durativ, daher die Einfügung von „gerade“. Bedeutung ist unklar, wird jedoch meist mit </w:t>
      </w:r>
      <w:r>
        <w:rPr>
          <w:i/>
        </w:rPr>
        <w:t>ausbessern, reparieren</w:t>
      </w:r>
      <w:r>
        <w:rPr/>
        <w:t xml:space="preserve"> wiedergegeben (DBL Aramaic, </w:t>
      </w:r>
      <w:r>
        <w:rPr>
          <w:rtl w:val="true"/>
          <w:lang w:bidi="he-IL"/>
        </w:rPr>
        <w:t>חוּט</w:t>
      </w:r>
      <w:r>
        <w:rPr/>
        <w:t xml:space="preserve">). </w:t>
      </w:r>
    </w:p>
  </w:footnote>
  <w:footnote w:id="1324">
    <w:p>
      <w:pPr>
        <w:pStyle w:val="Funote"/>
        <w:rPr/>
      </w:pPr>
      <w:r>
        <w:rPr/>
        <w:footnoteRef/>
        <w:tab/>
        <w:t xml:space="preserve">W. „geben“. </w:t>
      </w:r>
    </w:p>
  </w:footnote>
  <w:footnote w:id="1325">
    <w:p>
      <w:pPr>
        <w:pStyle w:val="Funote"/>
        <w:rPr/>
      </w:pPr>
      <w:r>
        <w:rPr/>
        <w:footnoteRef/>
        <w:tab/>
        <w:t xml:space="preserve">Im Hebr. im Plural, wohl ein Pluralis majestatis (Loken 2011, 4:6–24 Translation). </w:t>
      </w:r>
    </w:p>
  </w:footnote>
  <w:footnote w:id="1326">
    <w:p>
      <w:pPr>
        <w:pStyle w:val="Funote"/>
        <w:rPr/>
      </w:pPr>
      <w:r>
        <w:rPr>
          <w:i/>
        </w:rPr>
        <w:footnoteRef/>
        <w:tab/>
        <w:t>sicherlich</w:t>
      </w:r>
      <w:r>
        <w:rPr/>
        <w:t xml:space="preserve"> Wort mit unsicherer Bedeutung; in der neueren Forschung </w:t>
      </w:r>
      <w:r>
        <w:rPr>
          <w:i/>
        </w:rPr>
        <w:t>schließlich</w:t>
      </w:r>
      <w:r>
        <w:rPr/>
        <w:t xml:space="preserve">, früher eher </w:t>
      </w:r>
      <w:r>
        <w:rPr>
          <w:i/>
        </w:rPr>
        <w:t>Schatzkammer</w:t>
      </w:r>
      <w:r>
        <w:rPr/>
        <w:t xml:space="preserve">, entsprechend: „das wird dem König sicherlich schaden“ oder „das wird der Schatzkammer des Königs schaden“ (Loken 2011, 4:6–24 Translation, vgl. GesD, DBL Aramaic). </w:t>
      </w:r>
    </w:p>
  </w:footnote>
  <w:footnote w:id="1327">
    <w:p>
      <w:pPr>
        <w:pStyle w:val="Funote"/>
        <w:rPr/>
      </w:pPr>
      <w:r>
        <w:rPr/>
        <w:footnoteRef/>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328">
    <w:p>
      <w:pPr>
        <w:pStyle w:val="Funote"/>
        <w:rPr/>
      </w:pPr>
      <w:r>
        <w:rPr/>
        <w:footnoteRef/>
        <w:tab/>
        <w:t>Vgl. EÜ, GNB, NIV, NET. W. »senden und informieren wir den König«. »und« hat finale Bedeutung, die Sendung erfolgt zum Zweck der Information des Königs.</w:t>
      </w:r>
    </w:p>
  </w:footnote>
  <w:footnote w:id="1329">
    <w:p>
      <w:pPr>
        <w:pStyle w:val="Funote"/>
        <w:rPr/>
      </w:pPr>
      <w:r>
        <w:rPr/>
        <w:footnoteRef/>
        <w:tab/>
        <w:t xml:space="preserve">W. „Buch der Denkwürdigkeiten“, offenbar die Annalen des Reiches, die wohl auch noch Informationen über die Herrschaft der Babylonier enthielten, die vor den Persern geherrscht und gegen die sich die Juden mehrmals aufgelehnt hatten (Loken 2011, 4:15). </w:t>
      </w:r>
    </w:p>
  </w:footnote>
  <w:footnote w:id="1330">
    <w:p>
      <w:pPr>
        <w:pStyle w:val="Funote"/>
        <w:rPr/>
      </w:pPr>
      <w:r>
        <w:rPr/>
        <w:footnoteRef/>
        <w:tab/>
        <w:t>Oder genauer „damit man nachforscht“ (Pael 3. Sg. m. Ipf., unpersönlich).</w:t>
      </w:r>
    </w:p>
  </w:footnote>
  <w:footnote w:id="1331">
    <w:p>
      <w:pPr>
        <w:pStyle w:val="Funote"/>
        <w:rPr/>
      </w:pPr>
      <w:r>
        <w:rPr/>
        <w:footnoteRef/>
        <w:tab/>
        <w:t xml:space="preserve">Also etwa: „dass sie von jeher ein Unruheherd ist“. </w:t>
      </w:r>
      <w:r>
        <w:rPr>
          <w:i/>
        </w:rPr>
        <w:t>anzettelt</w:t>
      </w:r>
      <w:r>
        <w:rPr/>
        <w:t xml:space="preserve"> Ein Ptz. m. pl. mit iterativem Sinn, hier wird also eine grundsätzliche, sich u.U. wiederholende Tätigkeit beschrieben – kein einmaliger Vorgang von ewiger Dauer. </w:t>
      </w:r>
      <w:r>
        <w:rPr>
          <w:i/>
        </w:rPr>
        <w:t>Aufstände</w:t>
      </w:r>
      <w:r>
        <w:rPr/>
        <w:t xml:space="preserve"> Eigentlich ein Sg., hier wohl als Kollektivbegriff zu verstehen. </w:t>
      </w:r>
    </w:p>
  </w:footnote>
  <w:footnote w:id="1332">
    <w:p>
      <w:pPr>
        <w:pStyle w:val="Funote"/>
        <w:rPr/>
      </w:pPr>
      <w:r>
        <w:rPr>
          <w:i/>
        </w:rPr>
        <w:footnoteRef/>
        <w:tab/>
        <w:t>deswegen</w:t>
      </w:r>
      <w:r>
        <w:rPr/>
        <w:t xml:space="preserve"> wurde vorgezogen, eigentlich: „Wir teilen … mit: Wenn … wirst du deswegen…“ </w:t>
      </w:r>
    </w:p>
  </w:footnote>
  <w:footnote w:id="1333">
    <w:p>
      <w:pPr>
        <w:pStyle w:val="Funote"/>
        <w:rPr/>
      </w:pPr>
      <w:r>
        <w:rPr/>
        <w:footnoteRef/>
        <w:tab/>
        <w:t>Des Königs Antwortschreiben (17-22) folgte wohl umgehend, entstand dann vermutlich nicht mehr als drei Monate später (Loken 2011, 4:17; vgl. 1. Fußnote in V. 8). Der Brief beginnt wohl hier (mit „an“), könnte aber auch erst mit „Friede“ beginnen (so SLT).</w:t>
      </w:r>
    </w:p>
  </w:footnote>
  <w:footnote w:id="1334">
    <w:p>
      <w:pPr>
        <w:pStyle w:val="Funote"/>
        <w:rPr/>
      </w:pPr>
      <w:r>
        <w:rPr/>
        <w:footnoteRef/>
        <w:tab/>
        <w:t xml:space="preserve">Stimmt wörtlich mit Teilen von 8a überein. </w:t>
      </w:r>
    </w:p>
  </w:footnote>
  <w:footnote w:id="1335">
    <w:p>
      <w:pPr>
        <w:pStyle w:val="Funote"/>
        <w:rPr/>
      </w:pPr>
      <w:r>
        <w:rPr/>
        <w:footnoteRef/>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336">
    <w:p>
      <w:pPr>
        <w:pStyle w:val="Funote"/>
        <w:rPr/>
      </w:pPr>
      <w:r>
        <w:rPr/>
        <w:footnoteRef/>
        <w:tab/>
        <w:t>W. „von mir ist ein Befehl ausgegangen“</w:t>
      </w:r>
    </w:p>
  </w:footnote>
  <w:footnote w:id="1337">
    <w:p>
      <w:pPr>
        <w:pStyle w:val="Funote"/>
        <w:rPr/>
      </w:pPr>
      <w:r>
        <w:rPr/>
        <w:footnoteRef/>
        <w:tab/>
        <w:t xml:space="preserve">Mit vielen direkten Anleihen an </w:t>
      </w:r>
      <w:r>
        <w:fldChar w:fldCharType="begin"/>
      </w:r>
      <w:r>
        <w:instrText> HYPERLINK "file:///wiki/Esra_4" \l "s15"</w:instrText>
      </w:r>
      <w:r>
        <w:fldChar w:fldCharType="separate"/>
      </w:r>
      <w:r>
        <w:rPr>
          <w:rStyle w:val="Internetverknpfung"/>
        </w:rPr>
        <w:t>V. 15</w:t>
      </w:r>
      <w:r>
        <w:fldChar w:fldCharType="end"/>
      </w:r>
      <w:r>
        <w:rPr/>
        <w:t xml:space="preserve"> formuliert – der König übernimmt die Polemik der Widersacher also 1:1. </w:t>
        <w:br/>
      </w:r>
      <w:r>
        <w:rPr>
          <w:i/>
        </w:rPr>
        <w:t>aufkommen</w:t>
      </w:r>
      <w:r>
        <w:rPr/>
        <w:t xml:space="preserve"> Dasselbe Wort wie in V. 15 „anzettelt“, wieder als Ptz., aber Sg. </w:t>
      </w:r>
    </w:p>
  </w:footnote>
  <w:footnote w:id="1338">
    <w:p>
      <w:pPr>
        <w:pStyle w:val="Funote"/>
        <w:rPr/>
      </w:pPr>
      <w:r>
        <w:rPr/>
        <w:footnoteRef/>
        <w:tab/>
        <w:t xml:space="preserve">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 </w:t>
      </w:r>
    </w:p>
  </w:footnote>
  <w:footnote w:id="1339">
    <w:p>
      <w:pPr>
        <w:pStyle w:val="Funote"/>
        <w:rPr/>
      </w:pPr>
      <w:r>
        <w:rPr/>
        <w:footnoteRef/>
        <w:tab/>
        <w:t>W. „waren über Jerusalem“</w:t>
      </w:r>
    </w:p>
  </w:footnote>
  <w:footnote w:id="1340">
    <w:p>
      <w:pPr>
        <w:pStyle w:val="Funote"/>
        <w:rPr/>
      </w:pPr>
      <w:r>
        <w:rPr/>
        <w:footnoteRef/>
        <w:tab/>
        <w:t xml:space="preserve">W. „bis von mir der Befehl [dazu] erteilt wird“. </w:t>
      </w:r>
      <w:r>
        <w:rPr>
          <w:i/>
        </w:rPr>
        <w:t>von mir</w:t>
      </w:r>
      <w:r>
        <w:rPr/>
        <w:t xml:space="preserve"> ist eine emphatische Formulierung. </w:t>
      </w:r>
    </w:p>
  </w:footnote>
  <w:footnote w:id="1341">
    <w:p>
      <w:pPr>
        <w:pStyle w:val="Funote"/>
        <w:rPr/>
      </w:pPr>
      <w:r>
        <w:rPr/>
        <w:footnoteRef/>
        <w:tab/>
        <w:t xml:space="preserve">W. „Nachlässigkeit zu machen/üben“. Lt. DBL Aramaic hat das Verb hier jedoch lediglich die Funktion, das Objekt in ein Prädikat zu verwandeln, und keine eigene semantische Bedeutung. </w:t>
      </w:r>
    </w:p>
  </w:footnote>
  <w:footnote w:id="1342">
    <w:p>
      <w:pPr>
        <w:pStyle w:val="Funote"/>
        <w:rPr/>
      </w:pPr>
      <w:r>
        <w:rPr>
          <w:i/>
        </w:rPr>
        <w:footnoteRef/>
        <w:tab/>
        <w:t>da</w:t>
      </w:r>
      <w:r>
        <w:rPr/>
        <w:t xml:space="preserve"> Der Übersicht halber vom Satzanfang an die im Deutschen erwartete Stelle verschoben. </w:t>
      </w:r>
    </w:p>
  </w:footnote>
  <w:footnote w:id="1343">
    <w:p>
      <w:pPr>
        <w:pStyle w:val="Funote"/>
        <w:rPr/>
      </w:pPr>
      <w:r>
        <w:rPr/>
        <w:footnoteRef/>
        <w:tab/>
        <w:t>W. „in Eile“</w:t>
      </w:r>
    </w:p>
  </w:footnote>
  <w:footnote w:id="1344">
    <w:p>
      <w:pPr>
        <w:pStyle w:val="Funote"/>
        <w:rPr/>
      </w:pPr>
      <w:r>
        <w:rPr/>
        <w:footnoteRef/>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345">
    <w:p>
      <w:pPr>
        <w:pStyle w:val="Funote"/>
        <w:rPr/>
      </w:pPr>
      <w:r>
        <w:rPr>
          <w:i/>
        </w:rPr>
        <w:footnoteRef/>
        <w:tab/>
        <w:t>Einstellen</w:t>
      </w:r>
      <w:r>
        <w:rPr/>
        <w:t xml:space="preserve"> Dasselbe Wort wie in </w:t>
      </w:r>
      <w:r>
        <w:fldChar w:fldCharType="begin"/>
      </w:r>
      <w:r>
        <w:instrText> HYPERLINK "file:///wiki/Esra_4" \l "s21"</w:instrText>
      </w:r>
      <w:r>
        <w:fldChar w:fldCharType="separate"/>
      </w:r>
      <w:r>
        <w:rPr>
          <w:rStyle w:val="Internetverknpfung"/>
        </w:rPr>
        <w:t>V. 21</w:t>
      </w:r>
      <w:r>
        <w:fldChar w:fldCharType="end"/>
      </w:r>
      <w:r>
        <w:rPr/>
        <w:t xml:space="preserve">, wie schon dort im Zusammenspiel „zu etwas bringen“ bzw. hier „zwingen“ gebraucht, um die Stammesmodifikation Pa'el genauer abzubilden. </w:t>
      </w:r>
    </w:p>
  </w:footnote>
  <w:footnote w:id="1346">
    <w:p>
      <w:pPr>
        <w:pStyle w:val="Funote"/>
        <w:rPr/>
      </w:pPr>
      <w:r>
        <w:rPr>
          <w:i/>
        </w:rPr>
        <w:footnoteRef/>
        <w:tab/>
        <w:t>Sofort</w:t>
      </w:r>
      <w:r>
        <w:rPr/>
        <w:t xml:space="preserve"> (GesD) funktioniert nur, wenn es sich bei </w:t>
      </w:r>
      <w:r>
        <w:fldChar w:fldCharType="begin"/>
      </w:r>
      <w:r>
        <w:instrText> HYPERLINK "file:///wiki/Esra_4" \l "s23"</w:instrText>
      </w:r>
      <w:r>
        <w:fldChar w:fldCharType="separate"/>
      </w:r>
      <w:r>
        <w:rPr>
          <w:rStyle w:val="Internetverknpfung"/>
        </w:rPr>
        <w:t>V. 23</w:t>
      </w:r>
      <w:r>
        <w:fldChar w:fldCharType="end"/>
      </w:r>
      <w:r>
        <w:rPr/>
        <w:t xml:space="preserve"> nicht, wie in der nächsten Fußnote angenommen, um eine Rückkehr zur Handlung von </w:t>
      </w:r>
      <w:r>
        <w:fldChar w:fldCharType="begin"/>
      </w:r>
      <w:r>
        <w:instrText> HYPERLINK "file:///wiki/Esra_4" \l "s5"</w:instrText>
      </w:r>
      <w:r>
        <w:fldChar w:fldCharType="separate"/>
      </w:r>
      <w:r>
        <w:rPr>
          <w:rStyle w:val="Internetverknpfung"/>
        </w:rPr>
        <w:t>V. 5</w:t>
      </w:r>
      <w:r>
        <w:fldChar w:fldCharType="end"/>
      </w:r>
      <w:r>
        <w:rPr/>
        <w:t xml:space="preserve"> handelt, sondern um die Fortsetzung der Erzählung aus </w:t>
      </w:r>
      <w:r>
        <w:fldChar w:fldCharType="begin"/>
      </w:r>
      <w:r>
        <w:instrText> HYPERLINK "file:///wiki/Esra_4" \l "s23"</w:instrText>
      </w:r>
      <w:r>
        <w:fldChar w:fldCharType="separate"/>
      </w:r>
      <w:r>
        <w:rPr>
          <w:rStyle w:val="Internetverknpfung"/>
        </w:rPr>
        <w:t>V. 23</w:t>
      </w:r>
      <w:r>
        <w:fldChar w:fldCharType="end"/>
      </w:r>
      <w:r>
        <w:rPr/>
        <w:t xml:space="preserve">. </w:t>
      </w:r>
    </w:p>
  </w:footnote>
  <w:footnote w:id="1347">
    <w:p>
      <w:pPr>
        <w:pStyle w:val="Funote"/>
        <w:spacing w:before="0" w:after="283"/>
        <w:rPr/>
      </w:pPr>
      <w:r>
        <w:rPr/>
        <w:footnoteRef/>
        <w:tab/>
        <w:t xml:space="preserve">Das ist Darius I. Hystaspes (522–486 v. Chr.), der gerade zitierte Brief stammt aber von Artaxerxes (486-465 v. Chr.). Die Handlung kehrt hier offenbar zurück zu </w:t>
      </w:r>
      <w:r>
        <w:fldChar w:fldCharType="begin"/>
      </w:r>
      <w:r>
        <w:instrText> HYPERLINK "file:///wiki/Esra_4" \l "s5"</w:instrText>
      </w:r>
      <w:r>
        <w:fldChar w:fldCharType="separate"/>
      </w:r>
      <w:r>
        <w:rPr>
          <w:rStyle w:val="Internetverknpfung"/>
        </w:rPr>
        <w:t>V. 5</w:t>
      </w:r>
      <w:r>
        <w:fldChar w:fldCharType="end"/>
      </w:r>
      <w:r>
        <w:rPr/>
        <w:t xml:space="preserve">, in die Zeit des Kyrus etliche Jahrzehnte vorher. (Eine Verwechslung vonseiten des Verfassers scheint ausgeschlossen, weil er in </w:t>
      </w:r>
      <w:r>
        <w:fldChar w:fldCharType="begin"/>
      </w:r>
      <w:r>
        <w:instrText> HYPERLINK "file:///wiki/Esra_6" \l "s14"</w:instrText>
      </w:r>
      <w:r>
        <w:fldChar w:fldCharType="separate"/>
      </w:r>
      <w:r>
        <w:rPr>
          <w:rStyle w:val="Internetverknpfung"/>
        </w:rPr>
        <w:t>6,14</w:t>
      </w:r>
      <w:r>
        <w:fldChar w:fldCharType="end"/>
      </w:r>
      <w:r>
        <w:rPr/>
        <w:t xml:space="preserve"> die persischen Könige in chronologischer Reihenfolge nennt und also zu kennen scheint.) Der Verfasser (Esra?) schiebt mit </w:t>
      </w:r>
      <w:r>
        <w:fldChar w:fldCharType="begin"/>
      </w:r>
      <w:r>
        <w:instrText> HYPERLINK "file:///wiki/Esra_4" \l "s6"</w:instrText>
      </w:r>
      <w:r>
        <w:fldChar w:fldCharType="separate"/>
      </w:r>
      <w:r>
        <w:rPr>
          <w:rStyle w:val="Internetverknpfung"/>
        </w:rPr>
        <w:t>6-23</w:t>
      </w:r>
      <w:r>
        <w:fldChar w:fldCharType="end"/>
      </w:r>
      <w:r>
        <w:rPr/>
        <w:t xml:space="preserve">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w:t>
      </w:r>
    </w:p>
    <w:p>
      <w:pPr>
        <w:pStyle w:val="Textkrper"/>
        <w:rPr/>
      </w:pPr>
      <w:r>
        <w:rPr/>
        <w:tab/>
        <w:t xml:space="preserve">Dass V. 24 an </w:t>
      </w:r>
      <w:r>
        <w:fldChar w:fldCharType="begin"/>
      </w:r>
      <w:r>
        <w:instrText> HYPERLINK "file:///wiki/Esra_4" \l "s5"</w:instrText>
      </w:r>
      <w:r>
        <w:fldChar w:fldCharType="separate"/>
      </w:r>
      <w:r>
        <w:rPr>
          <w:rStyle w:val="Internetverknpfung"/>
        </w:rPr>
        <w:t>V. 5</w:t>
      </w:r>
      <w:r>
        <w:fldChar w:fldCharType="end"/>
      </w:r>
      <w:r>
        <w:rPr/>
        <w:t xml:space="preserve"> anknüpft, zeigt sich auch daran, dass Inhalt und Formulierung z.T. übernommen wurden (ein Stilmittel namens „wiederholende Wiederaufnahme“; vgl. Loken 2011, 4:6–24 Commentary).</w:t>
      </w:r>
    </w:p>
    <w:p>
      <w:pPr>
        <w:pStyle w:val="Textkrper"/>
        <w:spacing w:before="0" w:after="283"/>
        <w:rPr/>
      </w:pPr>
      <w:r>
        <w:rPr/>
        <w:tab/>
        <w:t xml:space="preserve">Der Baustopp unter Kyrus hielt von 536 bis 520 v. Chr. (das zweite Jahr von Darius' Herrschaft), also 16 Jahre an (Loken 2011, 4:24). Artaxerxes, von dessen Baustopp bis V. 23 die Rede war, nahm seine Entscheidung 444 v. Chr. auf Bitten Nehemias selbst zurück (Loken 2011, 4:21). </w:t>
      </w:r>
    </w:p>
  </w:footnote>
  <w:footnote w:id="1348">
    <w:p>
      <w:pPr>
        <w:pStyle w:val="Funote"/>
        <w:rPr/>
      </w:pPr>
      <w:r>
        <w:rPr/>
        <w:footnoteRef/>
        <w:tab/>
        <w:t>[Status: Ungeprüft]</w:t>
      </w:r>
    </w:p>
  </w:footnote>
  <w:footnote w:id="1349">
    <w:p>
      <w:pPr>
        <w:pStyle w:val="Funote"/>
        <w:rPr/>
      </w:pPr>
      <w:r>
        <w:rPr/>
        <w:footnoteRef/>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350">
    <w:p>
      <w:pPr>
        <w:pStyle w:val="Funote"/>
        <w:rPr/>
      </w:pPr>
      <w:r>
        <w:rPr/>
        <w:footnoteRef/>
        <w:tab/>
        <w:t xml:space="preserve">Aus </w:t>
      </w:r>
      <w:r>
        <w:fldChar w:fldCharType="begin"/>
      </w:r>
      <w:r>
        <w:instrText> HYPERLINK "file:///wiki/Esra_4" \l "s24"</w:instrText>
      </w:r>
      <w:r>
        <w:fldChar w:fldCharType="separate"/>
      </w:r>
      <w:r>
        <w:rPr>
          <w:rStyle w:val="Internetverknpfung"/>
        </w:rPr>
        <w:t>Esra 4,24</w:t>
      </w:r>
      <w:r>
        <w:fldChar w:fldCharType="end"/>
      </w:r>
      <w:r>
        <w:rPr/>
        <w:t xml:space="preserve">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 </w:t>
      </w:r>
    </w:p>
  </w:footnote>
  <w:footnote w:id="1351">
    <w:p>
      <w:pPr>
        <w:pStyle w:val="Funote"/>
        <w:rPr/>
      </w:pPr>
      <w:r>
        <w:rPr/>
        <w:footnoteRef/>
        <w:tab/>
        <w:t xml:space="preserve">Hier ist von der Satrapie Transeuphrat, „Jenseits des Stromes“ die Rede (Loken 2011, 4:10). Tattenai ist 502 v. Chr. aus einem babylonischen Dokument als Statthalter der Satrapie Transeuphrat bekannt (Loken 2011, 5:3). </w:t>
      </w:r>
    </w:p>
  </w:footnote>
  <w:footnote w:id="1352">
    <w:p>
      <w:pPr>
        <w:pStyle w:val="Funote"/>
        <w:rPr/>
      </w:pPr>
      <w:r>
        <w:rPr/>
        <w:footnoteRef/>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353">
    <w:p>
      <w:pPr>
        <w:pStyle w:val="Funote"/>
        <w:rPr/>
      </w:pPr>
      <w:r>
        <w:rPr/>
        <w:footnoteRef/>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354">
    <w:p>
      <w:pPr>
        <w:pStyle w:val="Funote"/>
        <w:rPr/>
      </w:pPr>
      <w:r>
        <w:rPr/>
        <w:footnoteRef/>
        <w:tab/>
        <w:t xml:space="preserve">Dieser Brief muss zwischen dem 21.09.520 (das Datum von Haggais Prophezeiung, </w:t>
      </w:r>
      <w:r>
        <w:fldChar w:fldCharType="begin"/>
      </w:r>
      <w:r>
        <w:instrText> HYPERLINK "file:///wiki/Haggai_1" \l "s15"</w:instrText>
      </w:r>
      <w:r>
        <w:fldChar w:fldCharType="separate"/>
      </w:r>
      <w:r>
        <w:rPr>
          <w:rStyle w:val="Internetverknpfung"/>
        </w:rPr>
        <w:t>Hag 1,15</w:t>
      </w:r>
      <w:r>
        <w:fldChar w:fldCharType="end"/>
      </w:r>
      <w:r>
        <w:rPr/>
        <w:t>) und der Fertigstellung des Tempels am 12.03.515 v. Chr. (</w:t>
      </w:r>
      <w:r>
        <w:fldChar w:fldCharType="begin"/>
      </w:r>
      <w:r>
        <w:instrText> HYPERLINK "file:///wiki/Esra_6" \l "s15"</w:instrText>
      </w:r>
      <w:r>
        <w:fldChar w:fldCharType="separate"/>
      </w:r>
      <w:r>
        <w:rPr>
          <w:rStyle w:val="Internetverknpfung"/>
        </w:rPr>
        <w:t>Esr 6,15</w:t>
      </w:r>
      <w:r>
        <w:fldChar w:fldCharType="end"/>
      </w:r>
      <w:r>
        <w:rPr/>
        <w:t xml:space="preserve">) entstanden sein, am ehesten wohl zwischen 520 und 517 v. Chr. (Loken 2011, 5:6). </w:t>
      </w:r>
    </w:p>
  </w:footnote>
  <w:footnote w:id="1355">
    <w:p>
      <w:pPr>
        <w:pStyle w:val="Funote"/>
        <w:rPr/>
      </w:pPr>
      <w:r>
        <w:rPr/>
        <w:footnoteRef/>
        <w:tab/>
        <w:t xml:space="preserve">Hier ist von der Satrapie Transeuphrat, „Jenseits des Stromes“ die Rede (Loken 2011, 4:10). Tattenai ist 502 v. Chr. aus einem babylonischen Dokument als Statthalter der Satrapie Transeuphrat bekannt (Loken 2011, 5:3). </w:t>
      </w:r>
    </w:p>
  </w:footnote>
  <w:footnote w:id="1356">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357">
    <w:p>
      <w:pPr>
        <w:pStyle w:val="Funote"/>
        <w:rPr/>
      </w:pPr>
      <w:r>
        <w:rPr/>
        <w:footnoteRef/>
        <w:tab/>
        <w:t xml:space="preserve">Juda war eine Provinz innerhalb der Satrapie Transeuphrat, also eine Provinz auf einer niedrigeren Ebene (Loken 2011, 5:8). </w:t>
      </w:r>
    </w:p>
  </w:footnote>
  <w:footnote w:id="1358">
    <w:p>
      <w:pPr>
        <w:pStyle w:val="Funote"/>
        <w:rPr/>
      </w:pPr>
      <w:r>
        <w:rPr/>
        <w:footnoteRef/>
        <w:tab/>
        <w:t xml:space="preserve">Dieselbe Bautechnik wie in </w:t>
      </w:r>
      <w:hyperlink r:id="rId43">
        <w:r>
          <w:rPr>
            <w:rStyle w:val="Internetverknpfung"/>
          </w:rPr>
          <w:t>1. Kön 6,36</w:t>
        </w:r>
      </w:hyperlink>
      <w:r>
        <w:rPr/>
        <w:t xml:space="preserve">. Die Holzbalken dienen dabei zur Verstärkung der Wände (Loken 2011, 5:8). </w:t>
      </w:r>
    </w:p>
  </w:footnote>
  <w:footnote w:id="1359">
    <w:p>
      <w:pPr>
        <w:pStyle w:val="Funote"/>
        <w:rPr/>
      </w:pPr>
      <w:r>
        <w:rPr/>
        <w:footnoteRef/>
        <w:tab/>
        <w:t xml:space="preserve">Das Wort </w:t>
      </w:r>
      <w:r>
        <w:rPr>
          <w:rtl w:val="true"/>
          <w:lang w:bidi="he-IL"/>
        </w:rPr>
        <w:t>פֶחָה</w:t>
      </w:r>
      <w:r>
        <w:rPr/>
        <w:t xml:space="preserve"> </w:t>
      </w:r>
      <w:r>
        <w:rPr/>
        <w:t xml:space="preserve">kann einen Statthalter, Satrapen oder Kommissar mit bestimmten Vollmachten bezeichnen. Obwohl „Statthalter“ hier möglich ist, scheint Scheschbazzar doch eher besondere Vollmachten zu einem bestimmten Auftrag, nicht unbedingt das Statthalteramt, erhalten zu haben (Loken 2011, 5:14). </w:t>
      </w:r>
    </w:p>
  </w:footnote>
  <w:footnote w:id="1360">
    <w:p>
      <w:pPr>
        <w:pStyle w:val="Funote"/>
        <w:rPr/>
      </w:pPr>
      <w:r>
        <w:rPr/>
        <w:footnoteRef/>
        <w:tab/>
        <w:t xml:space="preserve">Scheschbazzars Tätigkeiten werden in </w:t>
      </w:r>
      <w:hyperlink r:id="rId44">
        <w:r>
          <w:rPr>
            <w:rStyle w:val="Internetverknpfung"/>
          </w:rPr>
          <w:t>Esr 1,5-11</w:t>
        </w:r>
      </w:hyperlink>
      <w:r>
        <w:rPr/>
        <w:t xml:space="preserve"> etwas genauer beschrieben. </w:t>
      </w:r>
    </w:p>
  </w:footnote>
  <w:footnote w:id="1361">
    <w:p>
      <w:pPr>
        <w:pStyle w:val="Funote"/>
        <w:rPr/>
      </w:pPr>
      <w:r>
        <w:rPr/>
        <w:footnoteRef/>
        <w:tab/>
        <w:t xml:space="preserve">Wo sich offenbar auch die Archive befanden (vgl. </w:t>
      </w:r>
      <w:r>
        <w:fldChar w:fldCharType="begin"/>
      </w:r>
      <w:r>
        <w:instrText> HYPERLINK "file:///wiki/Esra_6" \l "s1"</w:instrText>
      </w:r>
      <w:r>
        <w:fldChar w:fldCharType="separate"/>
      </w:r>
      <w:r>
        <w:rPr>
          <w:rStyle w:val="Internetverknpfung"/>
        </w:rPr>
        <w:t>6,1</w:t>
      </w:r>
      <w:r>
        <w:fldChar w:fldCharType="end"/>
      </w:r>
      <w:r>
        <w:rPr/>
        <w:t xml:space="preserve">; vgl. DBL Aramaic </w:t>
      </w:r>
      <w:r>
        <w:rPr>
          <w:rtl w:val="true"/>
          <w:lang w:bidi="he-IL"/>
        </w:rPr>
        <w:t>גְּנַז</w:t>
      </w:r>
      <w:r>
        <w:rPr/>
        <w:t xml:space="preserve">). </w:t>
      </w:r>
    </w:p>
  </w:footnote>
  <w:footnote w:id="1362">
    <w:p>
      <w:pPr>
        <w:pStyle w:val="Funote"/>
        <w:rPr/>
      </w:pPr>
      <w:r>
        <w:rPr/>
        <w:footnoteRef/>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363">
    <w:p>
      <w:pPr>
        <w:pStyle w:val="Funote"/>
        <w:rPr/>
      </w:pPr>
      <w:r>
        <w:rPr/>
        <w:footnoteRef/>
        <w:tab/>
        <w:t>[Status: Ungeprüft]</w:t>
      </w:r>
    </w:p>
  </w:footnote>
  <w:footnote w:id="1364">
    <w:p>
      <w:pPr>
        <w:pStyle w:val="Funote"/>
        <w:rPr/>
      </w:pPr>
      <w:r>
        <w:rPr>
          <w:i/>
        </w:rPr>
        <w:footnoteRef/>
        <w:tab/>
        <w:t>Ekbata</w:t>
      </w:r>
      <w:r>
        <w:rPr/>
        <w:t xml:space="preserve"> Die Sommerresidenz des Königs Kyrus lag in den Bergen. Vor seiner Zeit (bis 550 v. Chr.) war sie Hauptstadt der Meder (Loken 2011, 6:2). </w:t>
      </w:r>
    </w:p>
  </w:footnote>
  <w:footnote w:id="1365">
    <w:p>
      <w:pPr>
        <w:pStyle w:val="Funote"/>
        <w:rPr/>
      </w:pPr>
      <w:r>
        <w:rPr/>
        <w:footnoteRef/>
        <w:tab/>
        <w:t xml:space="preserve">Der Begriff wurde regelmäßig als Überschrift von Listen und Inventarprotokollen gebraucht (Loken 2011, 6:2). </w:t>
      </w:r>
    </w:p>
  </w:footnote>
  <w:footnote w:id="1366">
    <w:p>
      <w:pPr>
        <w:pStyle w:val="Funote"/>
        <w:rPr/>
      </w:pPr>
      <w:r>
        <w:rPr/>
        <w:footnoteRef/>
        <w:tab/>
        <w:t xml:space="preserve">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 </w:t>
      </w:r>
    </w:p>
  </w:footnote>
  <w:footnote w:id="1367">
    <w:p>
      <w:pPr>
        <w:pStyle w:val="Funote"/>
        <w:rPr/>
      </w:pPr>
      <w:r>
        <w:rPr/>
        <w:footnoteRef/>
        <w:tab/>
        <w:t xml:space="preserve">Oder: „Das Haus soll wieder aufgebaut werden, die Stätte, an der sie Opfer darbrachten (darbringen)“ Da weder die Perser noch die Juden während des persischen Exils Opfer darbrachten, dient diese Angabe als Unterscheidungsmerkmal gegenüber anderen Tempeln (Loken 2011, 6:3-5). </w:t>
      </w:r>
    </w:p>
  </w:footnote>
  <w:footnote w:id="1368">
    <w:p>
      <w:pPr>
        <w:pStyle w:val="Funote"/>
        <w:rPr/>
      </w:pPr>
      <w:r>
        <w:rPr/>
        <w:footnoteRef/>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369">
    <w:p>
      <w:pPr>
        <w:pStyle w:val="Funote"/>
        <w:rPr/>
      </w:pPr>
      <w:r>
        <w:rPr/>
        <w:footnoteRef/>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370">
    <w:p>
      <w:pPr>
        <w:pStyle w:val="Funote"/>
        <w:rPr/>
      </w:pPr>
      <w:r>
        <w:rPr/>
        <w:footnoteRef/>
        <w:tab/>
        <w:t xml:space="preserve">Dieser Teil stimmt bis hierhin fast wortwörtlich mit dem entsprechenden Abschnitt aus dem Bericht der Juden aus </w:t>
      </w:r>
      <w:r>
        <w:fldChar w:fldCharType="begin"/>
      </w:r>
      <w:r>
        <w:instrText> HYPERLINK "file:///wiki/Esra_5" \l "s14"</w:instrText>
      </w:r>
      <w:r>
        <w:fldChar w:fldCharType="separate"/>
      </w:r>
      <w:r>
        <w:rPr>
          <w:rStyle w:val="Internetverknpfung"/>
        </w:rPr>
        <w:t>5,14</w:t>
      </w:r>
      <w:r>
        <w:fldChar w:fldCharType="end"/>
      </w:r>
      <w:r>
        <w:rPr/>
        <w:t xml:space="preserve"> überein. </w:t>
      </w:r>
    </w:p>
  </w:footnote>
  <w:footnote w:id="1371">
    <w:p>
      <w:pPr>
        <w:pStyle w:val="Funote"/>
        <w:rPr/>
      </w:pPr>
      <w:r>
        <w:rPr/>
        <w:footnoteRef/>
        <w:tab/>
        <w:t>W. „gehen“</w:t>
      </w:r>
    </w:p>
  </w:footnote>
  <w:footnote w:id="1372">
    <w:p>
      <w:pPr>
        <w:pStyle w:val="Funote"/>
        <w:rPr/>
      </w:pPr>
      <w:r>
        <w:rPr/>
        <w:footnoteRef/>
        <w:tab/>
        <w:t>W. „ihren“ (3. Pl.)</w:t>
      </w:r>
    </w:p>
  </w:footnote>
  <w:footnote w:id="1373">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374">
    <w:p>
      <w:pPr>
        <w:pStyle w:val="Funote"/>
        <w:rPr/>
      </w:pPr>
      <w:r>
        <w:rPr/>
        <w:footnoteRef/>
        <w:tab/>
        <w:t xml:space="preserve">W. „und von mir ist [der] Befehl erteilt worden“ </w:t>
      </w:r>
    </w:p>
  </w:footnote>
  <w:footnote w:id="1375">
    <w:p>
      <w:pPr>
        <w:pStyle w:val="Funote"/>
        <w:rPr/>
      </w:pPr>
      <w:r>
        <w:rPr/>
        <w:footnoteRef/>
        <w:tab/>
        <w:t xml:space="preserve">W. „jeder Mensch (Mann), der“. Die Umformulierung war notwendig, um den restlichen Satz möglich 1:1 ins Deutsche übertragen zu können. </w:t>
      </w:r>
    </w:p>
  </w:footnote>
  <w:footnote w:id="1376">
    <w:p>
      <w:pPr>
        <w:pStyle w:val="Funote"/>
        <w:rPr/>
      </w:pPr>
      <w:r>
        <w:rPr/>
        <w:footnoteRef/>
        <w:tab/>
        <w:t xml:space="preserve">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 </w:t>
      </w:r>
    </w:p>
  </w:footnote>
  <w:footnote w:id="1377">
    <w:p>
      <w:pPr>
        <w:pStyle w:val="Funote"/>
        <w:rPr/>
      </w:pPr>
      <w:r>
        <w:rPr/>
        <w:footnoteRef/>
        <w:tab/>
        <w:t xml:space="preserve">Vgl. Fußnote zu </w:t>
      </w:r>
      <w:r>
        <w:fldChar w:fldCharType="begin"/>
      </w:r>
      <w:r>
        <w:instrText> HYPERLINK "file:///wiki/Daniel_2" \l "s5"</w:instrText>
      </w:r>
      <w:r>
        <w:fldChar w:fldCharType="separate"/>
      </w:r>
      <w:r>
        <w:rPr>
          <w:rStyle w:val="Internetverknpfung"/>
        </w:rPr>
        <w:t>Daniel 2,5</w:t>
      </w:r>
      <w:r>
        <w:fldChar w:fldCharType="end"/>
      </w:r>
      <w:r>
        <w:rPr/>
        <w:t xml:space="preserve">. </w:t>
      </w:r>
    </w:p>
  </w:footnote>
  <w:footnote w:id="1378">
    <w:p>
      <w:pPr>
        <w:pStyle w:val="Funote"/>
        <w:rPr/>
      </w:pPr>
      <w:r>
        <w:rPr/>
        <w:footnoteRef/>
        <w:tab/>
        <w:t>W. „der seine Hand ausstreckt“</w:t>
      </w:r>
    </w:p>
  </w:footnote>
  <w:footnote w:id="1379">
    <w:p>
      <w:pPr>
        <w:pStyle w:val="Funote"/>
        <w:rPr/>
      </w:pPr>
      <w:r>
        <w:rPr/>
        <w:footnoteRef/>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380">
    <w:p>
      <w:pPr>
        <w:pStyle w:val="Funote"/>
        <w:rPr/>
      </w:pPr>
      <w:r>
        <w:rPr/>
        <w:footnoteRef/>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 xml:space="preserve">(Loken 2011, 6:13-22 Translation). </w:t>
      </w:r>
    </w:p>
  </w:footnote>
  <w:footnote w:id="1381">
    <w:p>
      <w:pPr>
        <w:pStyle w:val="Funote"/>
        <w:rPr/>
      </w:pPr>
      <w:r>
        <w:rPr/>
        <w:footnoteRef/>
        <w:tab/>
        <w:t>Am 12. März 515 v. Chr. In 1. Esdras 7,5 ist vielleicht deshalb nicht vom 3., sondern vom 23. Tag die Rede, weil der 12. März 515 ein Sabbat war (Loken 2011, 6:15).</w:t>
      </w:r>
    </w:p>
  </w:footnote>
  <w:footnote w:id="1382">
    <w:p>
      <w:pPr>
        <w:pStyle w:val="Funote"/>
        <w:rPr/>
      </w:pPr>
      <w:r>
        <w:rPr/>
        <w:footnoteRef/>
        <w:tab/>
        <w:t xml:space="preserve">W. „Kinder (Nachfahren, Söhne; Leute) der Verbannung “, die gewählte Übersetzung des Idioms nach GesD. </w:t>
      </w:r>
    </w:p>
  </w:footnote>
  <w:footnote w:id="1383">
    <w:p>
      <w:pPr>
        <w:pStyle w:val="Funote"/>
        <w:rPr/>
      </w:pPr>
      <w:r>
        <w:rPr/>
        <w:footnoteRef/>
        <w:tab/>
        <w:t>W. „nach der Schrift des Buchs von Mose“</w:t>
      </w:r>
    </w:p>
  </w:footnote>
  <w:footnote w:id="1384">
    <w:p>
      <w:pPr>
        <w:pStyle w:val="Funote"/>
        <w:rPr/>
      </w:pPr>
      <w:r>
        <w:rPr/>
        <w:footnoteRef/>
        <w:tab/>
        <w:t xml:space="preserve">Ex 29; Lev 8; Num 3; 8; 18. </w:t>
      </w:r>
    </w:p>
  </w:footnote>
  <w:footnote w:id="1385">
    <w:p>
      <w:pPr>
        <w:pStyle w:val="Funote"/>
        <w:rPr/>
      </w:pPr>
      <w:r>
        <w:rPr/>
        <w:footnoteRef/>
        <w:tab/>
        <w:t xml:space="preserve">Nach Esr 4,8-6,18 sind auch 7,12-26 auf Aramäisch verfasst bzw. aus einem aramäischen Urdokument zitiert (sonst Dan 2,4b-7,28 und Jer 10,11 sowie ein Teil von Gen 31,47). </w:t>
      </w:r>
    </w:p>
  </w:footnote>
  <w:footnote w:id="1386">
    <w:p>
      <w:pPr>
        <w:pStyle w:val="Funote"/>
        <w:rPr/>
      </w:pPr>
      <w:r>
        <w:rPr/>
        <w:footnoteRef/>
        <w:tab/>
        <w:t xml:space="preserve">Die Bedeutung und Funktion dieses aramäischen Wortes (Ptz. pass. m. Sg.) sind nicht mehr bekannt. Es handelt sich wahrscheinlich um eine Grußformel (vgl. Esr 4,17 und 5,8), nach anderen Vorschlägen um eine Eigenschaft oder einen Titel Esras (Loken 2011, 7:11-28 Translation). </w:t>
      </w:r>
    </w:p>
  </w:footnote>
  <w:footnote w:id="1387">
    <w:p>
      <w:pPr>
        <w:pStyle w:val="Funote"/>
        <w:rPr/>
      </w:pPr>
      <w:r>
        <w:rPr/>
        <w:footnoteRef/>
        <w:tab/>
        <w:t xml:space="preserve">Dient zur syntaktischen Markierung eines neuen Absatzes (Loken 2011, 4,6-24 Translation). Manchmal auch mit „Nun“ übersetzt (Zür, NRSV, NASB), meist aber unübersetzt. </w:t>
      </w:r>
    </w:p>
  </w:footnote>
  <w:footnote w:id="1388">
    <w:p>
      <w:pPr>
        <w:pStyle w:val="Funote"/>
        <w:rPr/>
      </w:pPr>
      <w:r>
        <w:rPr/>
        <w:footnoteRef/>
        <w:tab/>
        <w:t xml:space="preserve">W. „Von mir ist [der] Befehl erteilt worden“ </w:t>
      </w:r>
    </w:p>
  </w:footnote>
  <w:footnote w:id="1389">
    <w:p>
      <w:pPr>
        <w:pStyle w:val="Funote"/>
        <w:rPr/>
      </w:pPr>
      <w:r>
        <w:rPr/>
        <w:footnoteRef/>
        <w:tab/>
        <w:t xml:space="preserve">Attributives Ptz. als Relativsatz aufgelöst. </w:t>
      </w:r>
    </w:p>
  </w:footnote>
  <w:footnote w:id="1390">
    <w:p>
      <w:pPr>
        <w:pStyle w:val="Funote"/>
        <w:rPr/>
      </w:pPr>
      <w:r>
        <w:rPr>
          <w:i/>
        </w:rPr>
        <w:footnoteRef/>
        <w:tab/>
        <w:t>für das (zum) Haus ihres Gottes in Jerusalem</w:t>
      </w:r>
      <w:r>
        <w:rPr/>
        <w:t xml:space="preserve"> Die Ortsangabe kann auch als Lokalangabe des Prädikats „zu bringen“ aus V. 15 verstanden werden, dann: „um … zum Haus... zu bringen“</w:t>
      </w:r>
    </w:p>
  </w:footnote>
  <w:footnote w:id="1391">
    <w:p>
      <w:pPr>
        <w:pStyle w:val="Funote"/>
        <w:rPr/>
      </w:pPr>
      <w:r>
        <w:rPr/>
        <w:footnoteRef/>
        <w:tab/>
        <w:t>W. „ihre“</w:t>
      </w:r>
    </w:p>
  </w:footnote>
  <w:footnote w:id="1392">
    <w:p>
      <w:pPr>
        <w:pStyle w:val="Funote"/>
        <w:rPr/>
      </w:pPr>
      <w:r>
        <w:rPr/>
        <w:footnoteRef/>
        <w:tab/>
        <w:t>Oder „das dürft ihr in Übereinstimmung mit (gemäß) dem Willen eures Gottes tun.“</w:t>
      </w:r>
    </w:p>
  </w:footnote>
  <w:footnote w:id="1393">
    <w:p>
      <w:pPr>
        <w:pStyle w:val="Funote"/>
        <w:rPr/>
      </w:pPr>
      <w:r>
        <w:rPr/>
        <w:footnoteRef/>
        <w:tab/>
        <w:t>W. „den/von dem gilt: es fällt dir zu (könnte dir zufallen), [den Bedarf] aufzubringen“</w:t>
      </w:r>
    </w:p>
  </w:footnote>
  <w:footnote w:id="1394">
    <w:p>
      <w:pPr>
        <w:pStyle w:val="Funote"/>
        <w:rPr/>
      </w:pPr>
      <w:r>
        <w:rPr/>
        <w:footnoteRef/>
        <w:tab/>
        <w:t>W. „Zudem (und) ergeht von mir, {ich} dem König Artaxerxes (Artachschaste), [hiermit] Befehl“</w:t>
      </w:r>
    </w:p>
  </w:footnote>
  <w:footnote w:id="1395">
    <w:p>
      <w:pPr>
        <w:pStyle w:val="Funote"/>
        <w:rPr/>
      </w:pPr>
      <w:r>
        <w:rPr/>
        <w:footnoteRef/>
        <w:tab/>
        <w:t xml:space="preserve">Ein Talent Silber wog etwa 34kg, 100 Talente sind also 3,4t – eine große Menge, die etwa einem Drittel des jährlichen Steueraufkommens von 350 Talenten in der Satrapie Transeuphrat entsprach (Loken 2011, 7:21-24). </w:t>
      </w:r>
    </w:p>
  </w:footnote>
  <w:footnote w:id="1396">
    <w:p>
      <w:pPr>
        <w:pStyle w:val="Funote"/>
        <w:rPr/>
      </w:pPr>
      <w:r>
        <w:rPr/>
        <w:footnoteRef/>
        <w:tab/>
        <w:t xml:space="preserve">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 </w:t>
      </w:r>
    </w:p>
  </w:footnote>
  <w:footnote w:id="1397">
    <w:p>
      <w:pPr>
        <w:pStyle w:val="Funote"/>
        <w:rPr/>
      </w:pPr>
      <w:r>
        <w:rPr/>
        <w:footnoteRef/>
        <w:tab/>
        <w:t xml:space="preserve">Ein Hohlmaß für Flüssigkeiten (GesD), nach Hes 45,14 gilt 1kor=10bath (Loken 2011, 7:21-24). </w:t>
      </w:r>
    </w:p>
  </w:footnote>
  <w:footnote w:id="1398">
    <w:p>
      <w:pPr>
        <w:pStyle w:val="Funote"/>
        <w:rPr/>
      </w:pPr>
      <w:r>
        <w:rPr/>
        <w:footnoteRef/>
        <w:tab/>
        <w:t xml:space="preserve">W. etwa „Salz, das nicht vorgeschrieben ist“, also „Salz in unbegrenzten/beliebigen Mengen“. Salz war zu dieser Zeit in Israel billig und einfach zu bekommen (Loken 2011, 7:21-24). </w:t>
      </w:r>
    </w:p>
  </w:footnote>
  <w:footnote w:id="1399">
    <w:p>
      <w:pPr>
        <w:pStyle w:val="Funote"/>
        <w:rPr/>
      </w:pPr>
      <w:r>
        <w:rPr/>
        <w:footnoteRef/>
        <w:tab/>
        <w:t>W. „ist“</w:t>
      </w:r>
    </w:p>
  </w:footnote>
  <w:footnote w:id="1400">
    <w:p>
      <w:pPr>
        <w:pStyle w:val="Funote"/>
        <w:rPr/>
      </w:pPr>
      <w:r>
        <w:rPr/>
        <w:footnoteRef/>
        <w:tab/>
        <w:t>W. etwa „dass [es im Falle] alle[r] Priester … dieses Hauses Gottes nicht gestattet ist... auf sie zu legen“</w:t>
      </w:r>
    </w:p>
  </w:footnote>
  <w:footnote w:id="1401">
    <w:p>
      <w:pPr>
        <w:pStyle w:val="Funote"/>
        <w:rPr/>
      </w:pPr>
      <w:r>
        <w:rPr/>
        <w:footnoteRef/>
        <w:tab/>
        <w:t xml:space="preserve">Beide Wörter haben die Hauptbedeutung „Richter“, stammen aber von verschiedenen Wurzeln. Beide kommen auch im Hebräischen vor, wobei das erste deutlich verbreiteter ist und etwa die Richter, die politischen Führer der Richterzeit bezeichnet. </w:t>
      </w:r>
    </w:p>
  </w:footnote>
  <w:footnote w:id="1402">
    <w:p>
      <w:pPr>
        <w:pStyle w:val="Funote"/>
        <w:rPr/>
      </w:pPr>
      <w:r>
        <w:rPr/>
        <w:footnoteRef/>
        <w:tab/>
        <w:t xml:space="preserve">Attributives Ptz. als Relativsatz aufgelöst. </w:t>
      </w:r>
    </w:p>
  </w:footnote>
  <w:footnote w:id="1403">
    <w:p>
      <w:pPr>
        <w:pStyle w:val="Funote"/>
        <w:rPr/>
      </w:pPr>
      <w:r>
        <w:rPr/>
        <w:footnoteRef/>
        <w:tab/>
        <w:t>genauestens kann sich auch auf den Gerichtsprozess beziehen (so EÜ, SLT, Zür).</w:t>
      </w:r>
    </w:p>
  </w:footnote>
  <w:footnote w:id="1404">
    <w:p>
      <w:pPr>
        <w:pStyle w:val="Funote"/>
        <w:rPr/>
      </w:pPr>
      <w:r>
        <w:rPr/>
        <w:footnoteRef/>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405">
    <w:p>
      <w:pPr>
        <w:pStyle w:val="Funote"/>
        <w:rPr/>
      </w:pPr>
      <w:r>
        <w:rPr/>
        <w:footnoteRef/>
        <w:tab/>
        <w:t>Mit Artikel, daher auch: „an diesem Tag“.</w:t>
      </w:r>
    </w:p>
  </w:footnote>
  <w:footnote w:id="1406">
    <w:p>
      <w:pPr>
        <w:pStyle w:val="Funote"/>
        <w:rPr/>
      </w:pPr>
      <w:r>
        <w:rPr/>
        <w:footnoteRef/>
        <w:tab/>
        <w:t>Die LXX liest: „</w:t>
      </w:r>
      <w:r>
        <w:rPr>
          <w:lang w:val="el-GR"/>
        </w:rPr>
        <w:t>οι αγγελοι του θεου</w:t>
      </w:r>
      <w:r>
        <w:rPr/>
        <w:t>“.</w:t>
      </w:r>
    </w:p>
  </w:footnote>
  <w:footnote w:id="1407">
    <w:p>
      <w:pPr>
        <w:pStyle w:val="Funote"/>
        <w:rPr/>
      </w:pPr>
      <w:r>
        <w:rPr/>
        <w:footnoteRef/>
        <w:tab/>
        <w:t>Hitpa'el Pf. von </w:t>
      </w:r>
      <w:r>
        <w:rPr>
          <w:rtl w:val="true"/>
          <w:lang w:bidi="he-IL"/>
        </w:rPr>
        <w:t>יצב</w:t>
      </w:r>
      <w:r>
        <w:rPr/>
        <w:t>.</w:t>
      </w:r>
    </w:p>
  </w:footnote>
  <w:footnote w:id="1408">
    <w:p>
      <w:pPr>
        <w:pStyle w:val="Funote"/>
        <w:rPr/>
      </w:pPr>
      <w:r>
        <w:rPr/>
        <w:footnoteRef/>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409">
    <w:p>
      <w:pPr>
        <w:pStyle w:val="Funote"/>
        <w:rPr/>
      </w:pPr>
      <w:r>
        <w:rPr/>
        <w:footnoteRef/>
        <w:tab/>
        <w:t xml:space="preserve">Kal Inf. von </w:t>
      </w:r>
      <w:r>
        <w:rPr>
          <w:rtl w:val="true"/>
          <w:lang w:bidi="he-IL"/>
        </w:rPr>
        <w:t>שוט</w:t>
      </w:r>
      <w:r>
        <w:rPr/>
        <w:t>.</w:t>
      </w:r>
    </w:p>
  </w:footnote>
  <w:footnote w:id="1410">
    <w:p>
      <w:pPr>
        <w:pStyle w:val="Funote"/>
        <w:rPr/>
      </w:pPr>
      <w:r>
        <w:rPr/>
        <w:footnoteRef/>
        <w:tab/>
        <w:t xml:space="preserve">Hitpa'el Pt. von </w:t>
      </w:r>
      <w:r>
        <w:rPr>
          <w:rtl w:val="true"/>
          <w:lang w:bidi="he-IL"/>
        </w:rPr>
        <w:t>הלך</w:t>
      </w:r>
      <w:r>
        <w:rPr/>
        <w:t>.</w:t>
      </w:r>
    </w:p>
  </w:footnote>
  <w:footnote w:id="1411">
    <w:p>
      <w:pPr>
        <w:pStyle w:val="Funote"/>
        <w:rPr/>
      </w:pPr>
      <w:r>
        <w:rPr/>
        <w:footnoteRef/>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412">
    <w:p>
      <w:pPr>
        <w:pStyle w:val="Funote"/>
        <w:rPr/>
      </w:pPr>
      <w:r>
        <w:rPr/>
        <w:footnoteRef/>
        <w:tab/>
        <w:t xml:space="preserve">St. Constr. von </w:t>
      </w:r>
      <w:r>
        <w:rPr>
          <w:rtl w:val="true"/>
          <w:lang w:bidi="he-IL"/>
        </w:rPr>
        <w:t>מַעֲשֶׂה</w:t>
      </w:r>
      <w:r>
        <w:rPr/>
        <w:t>.</w:t>
      </w:r>
    </w:p>
  </w:footnote>
  <w:footnote w:id="1413">
    <w:p>
      <w:pPr>
        <w:pStyle w:val="Funote"/>
        <w:rPr/>
      </w:pPr>
      <w:r>
        <w:rPr/>
        <w:footnoteRef/>
        <w:tab/>
        <w:t xml:space="preserve">Wörtlich: „fürchtend Gott“; Verbaldadjektiv im St. Constr. von </w:t>
      </w:r>
      <w:r>
        <w:rPr>
          <w:rtl w:val="true"/>
          <w:lang w:bidi="he-IL"/>
        </w:rPr>
        <w:t>ירא</w:t>
      </w:r>
      <w:r>
        <w:rPr/>
        <w:t>.</w:t>
      </w:r>
    </w:p>
  </w:footnote>
  <w:footnote w:id="1414">
    <w:p>
      <w:pPr>
        <w:pStyle w:val="Funote"/>
        <w:rPr/>
      </w:pPr>
      <w:r>
        <w:rPr/>
        <w:footnoteRef/>
        <w:tab/>
        <w:t>I.S.v. „ohne Lohn zu empfangen“.</w:t>
      </w:r>
    </w:p>
  </w:footnote>
  <w:footnote w:id="1415">
    <w:p>
      <w:pPr>
        <w:pStyle w:val="Funote"/>
        <w:rPr/>
      </w:pPr>
      <w:r>
        <w:rPr/>
        <w:footnoteRef/>
        <w:tab/>
        <w:t>Betonung auf das „Du“ (also JHWH).</w:t>
      </w:r>
    </w:p>
  </w:footnote>
  <w:footnote w:id="1416">
    <w:p>
      <w:pPr>
        <w:pStyle w:val="Funote"/>
        <w:rPr/>
      </w:pPr>
      <w:r>
        <w:rPr/>
        <w:footnoteRef/>
        <w:tab/>
        <w:t>Formelhafte Einleitung für Negativfrage.</w:t>
      </w:r>
    </w:p>
  </w:footnote>
  <w:footnote w:id="1417">
    <w:p>
      <w:pPr>
        <w:pStyle w:val="Funote"/>
        <w:rPr/>
      </w:pPr>
      <w:r>
        <w:rPr/>
        <w:footnoteRef/>
        <w:tab/>
        <w:t xml:space="preserve">Kal Pf. von </w:t>
      </w:r>
      <w:r>
        <w:rPr>
          <w:rtl w:val="true"/>
          <w:lang w:bidi="he-IL"/>
        </w:rPr>
        <w:t>שׂוך</w:t>
      </w:r>
      <w:r>
        <w:rPr/>
        <w:t>, wörtlich: „umzäunen“.</w:t>
      </w:r>
    </w:p>
  </w:footnote>
  <w:footnote w:id="1418">
    <w:p>
      <w:pPr>
        <w:pStyle w:val="Funote"/>
        <w:rPr/>
      </w:pPr>
      <w:r>
        <w:rPr/>
        <w:footnoteRef/>
        <w:tab/>
        <w:t xml:space="preserve">Adv., bezieht sich auf das Verb </w:t>
      </w:r>
      <w:r>
        <w:rPr>
          <w:rtl w:val="true"/>
          <w:lang w:bidi="he-IL"/>
        </w:rPr>
        <w:t>שׂוך</w:t>
      </w:r>
      <w:r>
        <w:rPr/>
        <w:t>.</w:t>
      </w:r>
    </w:p>
  </w:footnote>
  <w:footnote w:id="1419">
    <w:p>
      <w:pPr>
        <w:pStyle w:val="Funote"/>
        <w:rPr/>
      </w:pPr>
      <w:r>
        <w:rPr/>
        <w:footnoteRef/>
        <w:tab/>
        <w:t xml:space="preserve">St. Constr. von </w:t>
      </w:r>
      <w:r>
        <w:rPr>
          <w:rtl w:val="true"/>
          <w:lang w:bidi="he-IL"/>
        </w:rPr>
        <w:t>מַעֲשֶׂה</w:t>
      </w:r>
      <w:r>
        <w:rPr/>
        <w:t>.</w:t>
      </w:r>
    </w:p>
  </w:footnote>
  <w:footnote w:id="1420">
    <w:p>
      <w:pPr>
        <w:pStyle w:val="Funote"/>
        <w:rPr/>
      </w:pPr>
      <w:r>
        <w:rPr/>
        <w:footnoteRef/>
        <w:tab/>
        <w:t xml:space="preserve">Pi'el Pf. von </w:t>
      </w:r>
      <w:r>
        <w:rPr>
          <w:rtl w:val="true"/>
          <w:lang w:bidi="he-IL"/>
        </w:rPr>
        <w:t>ברך</w:t>
      </w:r>
      <w:r>
        <w:rPr/>
        <w:t>.</w:t>
      </w:r>
    </w:p>
  </w:footnote>
  <w:footnote w:id="1421">
    <w:p>
      <w:pPr>
        <w:pStyle w:val="Funote"/>
        <w:rPr/>
      </w:pPr>
      <w:r>
        <w:rPr/>
        <w:footnoteRef/>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422">
    <w:p>
      <w:pPr>
        <w:pStyle w:val="Funote"/>
        <w:rPr/>
      </w:pPr>
      <w:r>
        <w:rPr/>
        <w:footnoteRef/>
        <w:tab/>
        <w:t xml:space="preserve">Kal Imp. von </w:t>
      </w:r>
      <w:r>
        <w:rPr>
          <w:rtl w:val="true"/>
          <w:lang w:bidi="he-IL"/>
        </w:rPr>
        <w:t>שׁלח</w:t>
      </w:r>
      <w:r>
        <w:rPr/>
        <w:t>.</w:t>
      </w:r>
    </w:p>
  </w:footnote>
  <w:footnote w:id="1423">
    <w:p>
      <w:pPr>
        <w:pStyle w:val="Funote"/>
        <w:rPr/>
      </w:pPr>
      <w:r>
        <w:rPr/>
        <w:footnoteRef/>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424">
    <w:p>
      <w:pPr>
        <w:pStyle w:val="Funote"/>
        <w:rPr/>
      </w:pPr>
      <w:r>
        <w:rPr/>
        <w:footnoteRef/>
        <w:tab/>
        <w:t xml:space="preserve">Kal Impf. von </w:t>
      </w:r>
      <w:r>
        <w:rPr>
          <w:rtl w:val="true"/>
          <w:lang w:bidi="he-IL"/>
        </w:rPr>
        <w:t>שׁלח</w:t>
      </w:r>
      <w:r>
        <w:rPr/>
        <w:t>.</w:t>
      </w:r>
    </w:p>
  </w:footnote>
  <w:footnote w:id="1425">
    <w:p>
      <w:pPr>
        <w:pStyle w:val="Funote"/>
        <w:rPr/>
      </w:pPr>
      <w:r>
        <w:rPr/>
        <w:footnoteRef/>
        <w:tab/>
        <w:t>[Status: Ungeprüft]</w:t>
      </w:r>
    </w:p>
  </w:footnote>
  <w:footnote w:id="1426">
    <w:p>
      <w:pPr>
        <w:pStyle w:val="Funote"/>
        <w:rPr/>
      </w:pPr>
      <w:r>
        <w:rPr/>
        <w:footnoteRef/>
        <w:tab/>
        <w:t xml:space="preserve">Gemeint ist der Tag seiner Geburt, vgl. Gen 40,20; Jer 20,14; Hos 2,5; Koh 7,1. </w:t>
      </w:r>
    </w:p>
  </w:footnote>
  <w:footnote w:id="1427">
    <w:p>
      <w:pPr>
        <w:pStyle w:val="Funote"/>
        <w:rPr/>
      </w:pPr>
      <w:r>
        <w:rPr/>
        <w:footnoteRef/>
        <w:tab/>
        <w:t xml:space="preserve">Der Artikel zu </w:t>
      </w:r>
      <w:r>
        <w:rPr>
          <w:rtl w:val="true"/>
          <w:lang w:bidi="he-IL"/>
        </w:rPr>
        <w:t>יומ</w:t>
      </w:r>
      <w:r>
        <w:rPr/>
        <w:t xml:space="preserve"> </w:t>
      </w:r>
      <w:r>
        <w:rPr/>
        <w:t xml:space="preserve">fehlt in poetischen Texten häufig. Das Substantiv wird aber analog einer Construktus-Verbindung durch den nachfolgenden Relativsatz determiniert. </w:t>
      </w:r>
    </w:p>
  </w:footnote>
  <w:footnote w:id="1428">
    <w:p>
      <w:pPr>
        <w:pStyle w:val="Funote"/>
        <w:rPr/>
      </w:pPr>
      <w:r>
        <w:rPr/>
        <w:footnoteRef/>
        <w:tab/>
        <w:t xml:space="preserve">Relativsatz ohne Relativpartikel, wobei das rückbezügliche Pronomen von einer Präposition abhängig ist. </w:t>
      </w:r>
    </w:p>
  </w:footnote>
  <w:footnote w:id="1429">
    <w:p>
      <w:pPr>
        <w:pStyle w:val="Funote"/>
        <w:rPr/>
      </w:pPr>
      <w:r>
        <w:rPr/>
        <w:footnoteRef/>
        <w:tab/>
        <w:t xml:space="preserve">Die Imperfekt-Form ist hier ohne iterative bzw. durative Bedeutung, sondern als poetische Form zum Ausdruck lebhaften Handelns in der Vergangenheit gebraucht und deshalb (wie in Hi 3,11) mit Perfekt zu übersetzen. </w:t>
      </w:r>
    </w:p>
  </w:footnote>
  <w:footnote w:id="1430">
    <w:p>
      <w:pPr>
        <w:pStyle w:val="Funote"/>
        <w:rPr/>
      </w:pPr>
      <w:r>
        <w:rPr/>
        <w:footnoteRef/>
        <w:tab/>
        <w:t xml:space="preserve">Relativsatz ohne Relativpartikel, wobei das rückbezügliche Pronomen von einer Präposition abhängig ist. </w:t>
      </w:r>
    </w:p>
  </w:footnote>
  <w:footnote w:id="1431">
    <w:p>
      <w:pPr>
        <w:pStyle w:val="Funote"/>
        <w:rPr/>
      </w:pPr>
      <w:r>
        <w:rPr>
          <w:rtl w:val="true"/>
          <w:lang w:bidi="he-IL"/>
        </w:rPr>
        <w:footnoteRef/>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432">
    <w:p>
      <w:pPr>
        <w:pStyle w:val="Funote"/>
        <w:rPr/>
      </w:pPr>
      <w:r>
        <w:rPr>
          <w:rtl w:val="true"/>
          <w:lang w:bidi="he-IL"/>
        </w:rPr>
        <w:footnoteRef/>
        <w:tab/>
        <w:t>דרש</w:t>
      </w:r>
      <w:r>
        <w:rPr/>
        <w:t xml:space="preserve"> </w:t>
      </w:r>
      <w:r>
        <w:rPr/>
        <w:t xml:space="preserve">in der Bedeutung von „sich erkundigen, nachfragen nach“, vgl. Dtn 11,12; Jes 62,12; Jer 30,17. Denn es geht nicht um die Beschaffenheit des Tages, sondern um seine Existenz, um die (von Hiob gewünschte) zeitlich (nicht vorhandene) Lage. </w:t>
      </w:r>
    </w:p>
  </w:footnote>
  <w:footnote w:id="1433">
    <w:p>
      <w:pPr>
        <w:pStyle w:val="Funote"/>
        <w:rPr/>
      </w:pPr>
      <w:r>
        <w:rPr/>
        <w:footnoteRef/>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 xml:space="preserve">Tod“ besteht. </w:t>
      </w:r>
    </w:p>
  </w:footnote>
  <w:footnote w:id="1434">
    <w:p>
      <w:pPr>
        <w:pStyle w:val="Funote"/>
        <w:rPr/>
      </w:pPr>
      <w:r>
        <w:rPr>
          <w:rtl w:val="true"/>
          <w:lang w:bidi="he-IL"/>
        </w:rPr>
        <w:footnoteRef/>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 xml:space="preserve">verabscheuen“ abzuleiten, scheitern deshalb. </w:t>
      </w:r>
    </w:p>
  </w:footnote>
  <w:footnote w:id="1435">
    <w:p>
      <w:pPr>
        <w:pStyle w:val="Funote"/>
        <w:rPr/>
      </w:pPr>
      <w:r>
        <w:rPr>
          <w:rtl w:val="true"/>
          <w:lang w:bidi="he-IL"/>
        </w:rPr>
        <w:footnoteRef/>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 xml:space="preserve">unübersetzt bleiben. </w:t>
      </w:r>
    </w:p>
  </w:footnote>
  <w:footnote w:id="1436">
    <w:p>
      <w:pPr>
        <w:pStyle w:val="Funote"/>
        <w:rPr/>
      </w:pPr>
      <w:r>
        <w:rPr/>
        <w:footnoteRef/>
        <w:tab/>
        <w:t xml:space="preserve">Da </w:t>
      </w:r>
      <w:r>
        <w:rPr>
          <w:rtl w:val="true"/>
          <w:lang w:bidi="he-IL"/>
        </w:rPr>
        <w:t>לילה</w:t>
      </w:r>
      <w:r>
        <w:rPr/>
        <w:t xml:space="preserve"> – „</w:t>
      </w:r>
      <w:r>
        <w:rPr/>
        <w:t xml:space="preserve">Nacht“ und </w:t>
      </w:r>
      <w:r>
        <w:rPr>
          <w:rtl w:val="true"/>
          <w:lang w:bidi="he-IL"/>
        </w:rPr>
        <w:t>יומ</w:t>
      </w:r>
      <w:r>
        <w:rPr/>
        <w:t xml:space="preserve"> – „</w:t>
      </w:r>
      <w:r>
        <w:rPr/>
        <w:t xml:space="preserve">Tag“ beides maskuline Begriffe sind, lässt sich grammatikalisch nicht entscheiden, wer das Subjekt der Verse 6-7.10 ist. Ich verstehe es als Vorzeichen zu den folgenden Aussagen über die Nacht. </w:t>
      </w:r>
    </w:p>
  </w:footnote>
  <w:footnote w:id="1437">
    <w:p>
      <w:pPr>
        <w:pStyle w:val="Funote"/>
        <w:rPr/>
      </w:pPr>
      <w:r>
        <w:rPr>
          <w:rtl w:val="true"/>
          <w:lang w:bidi="he-IL"/>
        </w:rPr>
        <w:footnoteRef/>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 xml:space="preserve">sich gesellen“ zu lesen. </w:t>
      </w:r>
    </w:p>
  </w:footnote>
  <w:footnote w:id="1438">
    <w:p>
      <w:pPr>
        <w:pStyle w:val="Funote"/>
        <w:rPr/>
      </w:pPr>
      <w:r>
        <w:rPr/>
        <w:footnoteRef/>
        <w:tab/>
        <w:t xml:space="preserve">Wörtlich: „Zahl“. Insofern ist „Ablauf“ bereits eine interpretierende Übersetzung. </w:t>
      </w:r>
    </w:p>
  </w:footnote>
  <w:footnote w:id="1439">
    <w:p>
      <w:pPr>
        <w:pStyle w:val="Funote"/>
        <w:rPr/>
      </w:pPr>
      <w:r>
        <w:rPr/>
        <w:footnoteRef/>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 xml:space="preserve">Meer“ zu lesen. Es besteht aber kein Grund für diese Änderung. </w:t>
      </w:r>
    </w:p>
  </w:footnote>
  <w:footnote w:id="1440">
    <w:p>
      <w:pPr>
        <w:pStyle w:val="Funote"/>
        <w:rPr/>
      </w:pPr>
      <w:r>
        <w:rPr/>
        <w:footnoteRef/>
        <w:tab/>
        <w:t xml:space="preserve">Wer das Subjekt ist, muss aus grammatikalischer Sicht offen bleiben. Ich beziehe es auf die Nacht. Siehe Anm. 11. </w:t>
      </w:r>
    </w:p>
  </w:footnote>
  <w:footnote w:id="1441">
    <w:p>
      <w:pPr>
        <w:pStyle w:val="Funote"/>
        <w:rPr/>
      </w:pPr>
      <w:r>
        <w:rPr/>
        <w:footnoteRef/>
        <w:tab/>
        <w:t xml:space="preserve">Wörtlich: „mein Bauch“, hier aber in der Bedeutung gebraucht: „der Bauch, der mich ausgetragen hat und aus dem ich geboren bin“. </w:t>
      </w:r>
    </w:p>
  </w:footnote>
  <w:footnote w:id="1442">
    <w:p>
      <w:pPr>
        <w:pStyle w:val="Funote"/>
        <w:rPr/>
      </w:pPr>
      <w:r>
        <w:rPr>
          <w:rtl w:val="true"/>
          <w:lang w:bidi="he-IL"/>
        </w:rPr>
        <w:footnoteRef/>
        <w:tab/>
        <w:t>לא</w:t>
      </w:r>
      <w:r>
        <w:rPr/>
        <w:t xml:space="preserve"> </w:t>
      </w:r>
      <w:r>
        <w:rPr/>
        <w:t>bezieht sich auch auf den zweiten, parallel gebauten Versteil.</w:t>
      </w:r>
    </w:p>
  </w:footnote>
  <w:footnote w:id="1443">
    <w:p>
      <w:pPr>
        <w:pStyle w:val="Funote"/>
        <w:rPr/>
      </w:pPr>
      <w:r>
        <w:rPr/>
        <w:footnoteRef/>
        <w:tab/>
        <w:t xml:space="preserve">Wörtlich: „aus dem Mutterleib“, im Sinne von „sofort, als ich aus dem Mutterleib gekommen bin“. </w:t>
      </w:r>
    </w:p>
  </w:footnote>
  <w:footnote w:id="1444">
    <w:p>
      <w:pPr>
        <w:pStyle w:val="Funote"/>
        <w:rPr/>
      </w:pPr>
      <w:r>
        <w:rPr>
          <w:rtl w:val="true"/>
          <w:lang w:bidi="he-IL"/>
        </w:rPr>
        <w:footnoteRef/>
        <w:tab/>
        <w:t>עתה</w:t>
      </w:r>
      <w:r>
        <w:rPr/>
        <w:t xml:space="preserve"> „</w:t>
      </w:r>
      <w:r>
        <w:rPr/>
        <w:t xml:space="preserve">nun“ zeigt hier – wie das später im Vers vorkommende temporale </w:t>
      </w:r>
      <w:r>
        <w:rPr>
          <w:rtl w:val="true"/>
          <w:lang w:bidi="he-IL"/>
        </w:rPr>
        <w:t>אז</w:t>
      </w:r>
      <w:r>
        <w:rPr/>
        <w:t xml:space="preserve"> – </w:t>
      </w:r>
      <w:r>
        <w:rPr/>
        <w:t xml:space="preserve">eine strikt logische Folge an. </w:t>
      </w:r>
    </w:p>
  </w:footnote>
  <w:footnote w:id="1445">
    <w:p>
      <w:pPr>
        <w:pStyle w:val="Funote"/>
        <w:rPr/>
      </w:pPr>
      <w:r>
        <w:rPr>
          <w:rtl w:val="true"/>
          <w:lang w:bidi="he-IL"/>
        </w:rPr>
        <w:footnoteRef/>
        <w:tab/>
        <w:t>נוח</w:t>
      </w:r>
      <w:r>
        <w:rPr/>
        <w:t xml:space="preserve"> </w:t>
      </w:r>
      <w:r>
        <w:rPr/>
        <w:t xml:space="preserve">wird unpersönlich gebraucht, um ein Gefühl auszudrücken. </w:t>
      </w:r>
    </w:p>
  </w:footnote>
  <w:footnote w:id="1446">
    <w:p>
      <w:pPr>
        <w:pStyle w:val="Funote"/>
        <w:rPr/>
      </w:pPr>
      <w:r>
        <w:rPr>
          <w:rtl w:val="true"/>
          <w:lang w:bidi="he-IL"/>
        </w:rPr>
        <w:footnoteRef/>
        <w:tab/>
        <w:t>עם</w:t>
      </w:r>
      <w:r>
        <w:rPr/>
        <w:t xml:space="preserve"> – „</w:t>
      </w:r>
      <w:r>
        <w:rPr/>
        <w:t xml:space="preserve">mit, bei“ im Sinne einer Gleichheit: „zusammengestellt mit, so gut wie“. </w:t>
      </w:r>
    </w:p>
  </w:footnote>
  <w:footnote w:id="1447">
    <w:p>
      <w:pPr>
        <w:pStyle w:val="Funote"/>
        <w:rPr/>
      </w:pPr>
      <w:r>
        <w:rPr/>
        <w:footnoteRef/>
        <w:tab/>
        <w:t xml:space="preserve">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 </w:t>
      </w:r>
    </w:p>
  </w:footnote>
  <w:footnote w:id="1448">
    <w:p>
      <w:pPr>
        <w:pStyle w:val="Funote"/>
        <w:rPr/>
      </w:pPr>
      <w:r>
        <w:rPr/>
        <w:footnoteRef/>
        <w:tab/>
        <w:t xml:space="preserve">Anstatt des Perfekts kann in der prophetischen oder poetischen Sprache auch wie hier das parallele Imperfekt zur Beschreibung von Handlungen, Ereignissen oder Zuständen herangezogen werden, die – obwohl in der Vergangenheit vollendet – in die Gegenwart hineinreichen. </w:t>
      </w:r>
    </w:p>
  </w:footnote>
  <w:footnote w:id="1449">
    <w:p>
      <w:pPr>
        <w:pStyle w:val="Funote"/>
        <w:rPr/>
      </w:pPr>
      <w:r>
        <w:rPr/>
        <w:footnoteRef/>
        <w:tab/>
        <w:t xml:space="preserve">Wörtlich: „beisammen“, hier wegen des Parallelismus und wie in Dtn 33,5; Ps 33,15; Hi 38,7 mehrere Personen zusammenfassend als poetisches Synonym für </w:t>
      </w:r>
      <w:r>
        <w:rPr>
          <w:rtl w:val="true"/>
          <w:lang w:bidi="he-IL"/>
        </w:rPr>
        <w:t>כל</w:t>
      </w:r>
      <w:r>
        <w:rPr/>
        <w:t xml:space="preserve"> </w:t>
      </w:r>
      <w:r>
        <w:rPr/>
        <w:t xml:space="preserve">gebraucht. </w:t>
      </w:r>
    </w:p>
  </w:footnote>
  <w:footnote w:id="1450">
    <w:p>
      <w:pPr>
        <w:pStyle w:val="Funote"/>
        <w:rPr/>
      </w:pPr>
      <w:r>
        <w:rPr/>
        <w:footnoteRef/>
        <w:tab/>
        <w:t xml:space="preserve">Hier wird </w:t>
      </w:r>
      <w:r>
        <w:rPr>
          <w:rtl w:val="true"/>
          <w:lang w:bidi="he-IL"/>
        </w:rPr>
        <w:t>שמע</w:t>
      </w:r>
      <w:r>
        <w:rPr/>
        <w:t xml:space="preserve"> </w:t>
      </w:r>
      <w:r>
        <w:rPr/>
        <w:t xml:space="preserve">wie in Ruth 2,8 und Jer 4,31 als Zustandsverb gebraucht. </w:t>
      </w:r>
    </w:p>
  </w:footnote>
  <w:footnote w:id="1451">
    <w:p>
      <w:pPr>
        <w:pStyle w:val="Funote"/>
        <w:rPr/>
      </w:pPr>
      <w:r>
        <w:rPr>
          <w:rtl w:val="true"/>
          <w:lang w:bidi="he-IL"/>
        </w:rPr>
        <w:footnoteRef/>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 xml:space="preserve">im Sinne von „gleich sein“ aufgefasst werden könne. </w:t>
      </w:r>
    </w:p>
  </w:footnote>
  <w:footnote w:id="1452">
    <w:p>
      <w:pPr>
        <w:pStyle w:val="Funote"/>
        <w:rPr/>
      </w:pPr>
      <w:r>
        <w:rPr/>
        <w:footnoteRef/>
        <w:tab/>
        <w:t xml:space="preserve">Gott ist das logische, wenn auch ungenannte Subjekt. </w:t>
      </w:r>
    </w:p>
  </w:footnote>
  <w:footnote w:id="1453">
    <w:p>
      <w:pPr>
        <w:pStyle w:val="Funote"/>
        <w:rPr/>
      </w:pPr>
      <w:r>
        <w:rPr/>
        <w:footnoteRef/>
        <w:tab/>
        <w:t xml:space="preserve">Epexegetischer Genitiv zur Angabe des Teils der Person, dessen physischer oder seelischer Zustand beschrieben werden soll. </w:t>
      </w:r>
    </w:p>
  </w:footnote>
  <w:footnote w:id="1454">
    <w:p>
      <w:pPr>
        <w:pStyle w:val="Funote"/>
        <w:rPr/>
      </w:pPr>
      <w:r>
        <w:rPr/>
        <w:footnoteRef/>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455">
    <w:p>
      <w:pPr>
        <w:pStyle w:val="Funote"/>
        <w:rPr/>
      </w:pPr>
      <w:r>
        <w:rPr>
          <w:rtl w:val="true"/>
          <w:lang w:bidi="he-IL"/>
        </w:rPr>
        <w:footnoteRef/>
        <w:tab/>
        <w:t>לפני</w:t>
      </w:r>
      <w:r>
        <w:rPr/>
        <w:t xml:space="preserve"> – </w:t>
      </w:r>
      <w:r>
        <w:rPr/>
        <w:t xml:space="preserve">wörtlich: „vor mein Angesicht“ scheint gut als komperativische Umschreibung vorstellbar, die ausdrückt, dass das Stöhnen wichtiger ist als Essen. </w:t>
      </w:r>
    </w:p>
  </w:footnote>
  <w:footnote w:id="1456">
    <w:p>
      <w:pPr>
        <w:pStyle w:val="Funote"/>
        <w:rPr/>
      </w:pPr>
      <w:r>
        <w:rPr/>
        <w:footnoteRef/>
        <w:tab/>
        <w:t>Hier steht dieselbe hebräische Wurzel (</w:t>
      </w:r>
      <w:r>
        <w:rPr>
          <w:rtl w:val="true"/>
          <w:lang w:bidi="he-IL"/>
        </w:rPr>
        <w:t>גאל</w:t>
      </w:r>
      <w:r>
        <w:rPr/>
        <w:t>) wie im Buch Ruth, dort wird damit der „Löser“ im Kontext der sogenannten Leviratsehe bezeichnet.</w:t>
      </w:r>
    </w:p>
  </w:footnote>
  <w:footnote w:id="1457">
    <w:p>
      <w:pPr>
        <w:pStyle w:val="Funote"/>
        <w:rPr/>
      </w:pPr>
      <w:r>
        <w:rPr/>
        <w:footnoteRef/>
        <w:tab/>
        <w:t>[Status: Sehr gut]</w:t>
      </w:r>
    </w:p>
  </w:footnote>
  <w:footnote w:id="1458">
    <w:p>
      <w:pPr>
        <w:pStyle w:val="Funote"/>
        <w:rPr/>
      </w:pPr>
      <w:r>
        <w:rPr/>
        <w:footnoteRef/>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t>
      </w:r>
      <w:r>
        <w:fldChar w:fldCharType="begin"/>
      </w:r>
      <w:r>
        <w:instrText> HYPERLINK "http://books.google.de/books?id=nJbZ3d5BF0UC&amp;lpg=PP1&amp;pg=PA133" \l "v=onepage&amp;q&amp;f=false"</w:instrText>
      </w:r>
      <w:r>
        <w:fldChar w:fldCharType="separate"/>
      </w:r>
      <w:r>
        <w:rPr>
          <w:rStyle w:val="Internetverknpfung"/>
        </w:rPr>
        <w:t>Waltke 2010, 133</w:t>
      </w:r>
      <w:r>
        <w:fldChar w:fldCharType="end"/>
      </w:r>
      <w:r>
        <w:rPr/>
        <w:t>). Ähnlich auch die Seligpreisungen (</w:t>
      </w:r>
      <w:r>
        <w:fldChar w:fldCharType="begin"/>
      </w:r>
      <w:r>
        <w:instrText> HYPERLINK "file:///wiki/Matthäus_5" \l "s1"</w:instrText>
      </w:r>
      <w:r>
        <w:fldChar w:fldCharType="separate"/>
      </w:r>
      <w:r>
        <w:rPr>
          <w:rStyle w:val="Internetverknpfung"/>
        </w:rPr>
        <w:t>Mt 5,1-12</w:t>
      </w:r>
      <w:r>
        <w:fldChar w:fldCharType="end"/>
      </w:r>
      <w:r>
        <w:rPr/>
        <w:t xml:space="preserve">). Psalm 1 kann als Definition dafür gelten, welche Art von Mensch sich auf diese Weise glücklich nennen darf (vgl. Kraus </w:t>
      </w:r>
      <w:r>
        <w:rPr>
          <w:position w:val="7"/>
          <w:sz w:val="16"/>
        </w:rPr>
        <w:t>4</w:t>
      </w:r>
      <w:r>
        <w:rPr/>
        <w:t>1972, 3): der „Gerechte“ (</w:t>
      </w:r>
      <w:r>
        <w:rPr>
          <w:rtl w:val="true"/>
          <w:lang w:bidi="he-IL"/>
        </w:rPr>
        <w:t>צַדִּיק</w:t>
      </w:r>
      <w:r>
        <w:rPr/>
        <w:t>), der falsche Wege meidet (1) und sich stattdessen der Torah, der Weisung Gottes zuwendet (</w:t>
      </w:r>
      <w:r>
        <w:fldChar w:fldCharType="begin"/>
      </w:r>
      <w:r>
        <w:instrText> HYPERLINK "file:///wiki/Psalm_1" \l "s2"</w:instrText>
      </w:r>
      <w:r>
        <w:fldChar w:fldCharType="separate"/>
      </w:r>
      <w:r>
        <w:rPr>
          <w:rStyle w:val="Internetverknpfung"/>
        </w:rPr>
        <w:t>2</w:t>
      </w:r>
      <w:r>
        <w:fldChar w:fldCharType="end"/>
      </w:r>
      <w:r>
        <w:rPr/>
        <w:t xml:space="preserve">)(Kraus </w:t>
      </w:r>
      <w:r>
        <w:rPr>
          <w:position w:val="7"/>
          <w:sz w:val="16"/>
        </w:rPr>
        <w:t>4</w:t>
      </w:r>
      <w:r>
        <w:rPr/>
        <w:t xml:space="preserve">1972, 9). </w:t>
      </w:r>
    </w:p>
  </w:footnote>
  <w:footnote w:id="1459">
    <w:p>
      <w:pPr>
        <w:pStyle w:val="Funote"/>
        <w:rPr/>
      </w:pPr>
      <w:r>
        <w:rPr/>
        <w:footnoteRef/>
        <w:tab/>
        <w:t>Die männliche Form steht hier stellvertretend für jeden Menschen, auf den das Beschriebene zutrifft (</w:t>
      </w:r>
      <w:hyperlink r:id="rId45">
        <w:r>
          <w:rPr>
            <w:rStyle w:val="Internetverknpfung"/>
          </w:rPr>
          <w:t>Generisches Maskulinum</w:t>
        </w:r>
      </w:hyperlink>
      <w:r>
        <w:rPr/>
        <w:t xml:space="preserve">; vgl. </w:t>
      </w:r>
      <w:r>
        <w:fldChar w:fldCharType="begin"/>
      </w:r>
      <w:r>
        <w:instrText> HYPERLINK "http://books.google.de/books?id=nJbZ3d5BF0UC&amp;lpg=PP1&amp;pg=PA128" \l "v=onepage&amp;q&amp;f=false"</w:instrText>
      </w:r>
      <w:r>
        <w:fldChar w:fldCharType="separate"/>
      </w:r>
      <w:r>
        <w:rPr>
          <w:rStyle w:val="Internetverknpfung"/>
        </w:rPr>
        <w:t>Waltke 2010, 128</w:t>
      </w:r>
      <w:r>
        <w:fldChar w:fldCharType="end"/>
      </w:r>
      <w:r>
        <w:rPr/>
        <w:t xml:space="preserve">). </w:t>
      </w:r>
    </w:p>
  </w:footnote>
  <w:footnote w:id="1460">
    <w:p>
      <w:pPr>
        <w:pStyle w:val="Funote"/>
        <w:rPr/>
      </w:pPr>
      <w:r>
        <w:rPr/>
        <w:footnoteRef/>
        <w:tab/>
        <w:t xml:space="preserve">Das Wort kann sich auch auf die Pläne und Ziele einer Person beziehen, umfasst also mehr als einen einmaligen Ratschlag. </w:t>
      </w:r>
    </w:p>
  </w:footnote>
  <w:footnote w:id="1461">
    <w:p>
      <w:pPr>
        <w:pStyle w:val="Funote"/>
        <w:rPr/>
      </w:pPr>
      <w:r>
        <w:rPr/>
        <w:footnoteRef/>
        <w:tab/>
        <w:t>„</w:t>
      </w:r>
      <w:r>
        <w:rPr/>
        <w:t>Gottlose“ (</w:t>
      </w:r>
      <w:r>
        <w:rPr>
          <w:rtl w:val="true"/>
          <w:lang w:bidi="he-IL"/>
        </w:rPr>
        <w:t>רְשָׁעִים</w:t>
      </w:r>
      <w:r>
        <w:rPr/>
        <w:t xml:space="preserve">) sind solche, die vor dem Gesetz Gottes schuldig sind und sich Gott bewusst widersetzen (Kraus </w:t>
      </w:r>
      <w:r>
        <w:rPr>
          <w:position w:val="7"/>
          <w:sz w:val="16"/>
        </w:rPr>
        <w:t>4</w:t>
      </w:r>
      <w:r>
        <w:rPr/>
        <w:t>1972, 4). Der Gottlose ist das genaue Gegenstück zum Gerechten (</w:t>
      </w:r>
      <w:r>
        <w:fldChar w:fldCharType="begin"/>
      </w:r>
      <w:r>
        <w:instrText> HYPERLINK "http://books.google.de/books?id=nJbZ3d5BF0UC&amp;lpg=PP1&amp;pg=PA133" \l "v=onepage&amp;q&amp;f=false"</w:instrText>
      </w:r>
      <w:r>
        <w:fldChar w:fldCharType="separate"/>
      </w:r>
      <w:r>
        <w:rPr>
          <w:rStyle w:val="Internetverknpfung"/>
        </w:rPr>
        <w:t>Waltke 2010, 133</w:t>
      </w:r>
      <w:r>
        <w:fldChar w:fldCharType="end"/>
      </w:r>
      <w:r>
        <w:rPr/>
        <w:t xml:space="preserve">). </w:t>
      </w:r>
    </w:p>
  </w:footnote>
  <w:footnote w:id="1462">
    <w:p>
      <w:pPr>
        <w:pStyle w:val="Funote"/>
        <w:rPr/>
      </w:pPr>
      <w:r>
        <w:rPr/>
        <w:footnoteRef/>
        <w:tab/>
        <w:t>Wörtlich: „im Rat der Gottlosen geht/gegangen ist“; Übs. vgl. NGÜ, REB, NET.</w:t>
      </w:r>
    </w:p>
  </w:footnote>
  <w:footnote w:id="1463">
    <w:p>
      <w:pPr>
        <w:pStyle w:val="Funote"/>
        <w:rPr/>
      </w:pPr>
      <w:r>
        <w:rPr/>
        <w:footnoteRef/>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464">
    <w:p>
      <w:pPr>
        <w:pStyle w:val="Funote"/>
        <w:rPr/>
      </w:pPr>
      <w:r>
        <w:rPr/>
        <w:footnoteRef/>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465">
    <w:p>
      <w:pPr>
        <w:pStyle w:val="Funote"/>
        <w:rPr/>
      </w:pPr>
      <w:r>
        <w:rPr/>
        <w:footnoteRef/>
        <w:tab/>
        <w:t xml:space="preserve">Freude und Andacht gegenüber dem Gesetz sind Metonymien der Ursache für ein Leben, das sich an der Schrift orientiert. Da Psalm 1 den gesamten </w:t>
      </w:r>
      <w:hyperlink r:id="rId46">
        <w:r>
          <w:rPr>
            <w:rStyle w:val="Internetverknpfung"/>
          </w:rPr>
          <w:t>Psalter</w:t>
        </w:r>
      </w:hyperlink>
      <w:r>
        <w:rPr/>
        <w:t xml:space="preserve"> einleitet, nennt er mit dieser Aussage eine Schlüsselqualifikation für das richtige Verständnis der Psalmen (</w:t>
      </w:r>
      <w:r>
        <w:fldChar w:fldCharType="begin"/>
      </w:r>
      <w:r>
        <w:instrText> HYPERLINK "http://books.google.de/books?id=nJbZ3d5BF0UC&amp;lpg=PP1&amp;pg=PA139" \l "v=onepage&amp;q&amp;f=false"</w:instrText>
      </w:r>
      <w:r>
        <w:fldChar w:fldCharType="separate"/>
      </w:r>
      <w:r>
        <w:rPr>
          <w:rStyle w:val="Internetverknpfung"/>
        </w:rPr>
        <w:t>Waltke 2010, 139</w:t>
      </w:r>
      <w:r>
        <w:fldChar w:fldCharType="end"/>
      </w:r>
      <w:r>
        <w:rPr/>
        <w:t xml:space="preserve">). </w:t>
      </w:r>
    </w:p>
  </w:footnote>
  <w:footnote w:id="1466">
    <w:p>
      <w:pPr>
        <w:pStyle w:val="Funote"/>
        <w:rPr/>
      </w:pPr>
      <w:r>
        <w:rPr/>
        <w:footnoteRef/>
        <w:tab/>
        <w:t>Gemeint sind künstliche Bewässerungskanäle.</w:t>
      </w:r>
    </w:p>
  </w:footnote>
  <w:footnote w:id="1467">
    <w:p>
      <w:pPr>
        <w:pStyle w:val="Funote"/>
        <w:rPr/>
      </w:pPr>
      <w:r>
        <w:rPr/>
        <w:footnoteRef/>
        <w:tab/>
        <w:t xml:space="preserve">Also: regelmäßig, wegen der steten Wasserversorgung, die ohne solche Bewässerungskanäle nicht möglich wäre (Kraus </w:t>
      </w:r>
      <w:r>
        <w:rPr>
          <w:position w:val="7"/>
          <w:sz w:val="16"/>
        </w:rPr>
        <w:t>4</w:t>
      </w:r>
      <w:r>
        <w:rPr/>
        <w:t>1972, 6). Dieser Vergleich beschreibt zusammen mit dem Aspekt der nicht verwelkenden Blätter das ewige Leben, das der Gottesfürchtige als „Frucht“ bekommen wird (</w:t>
      </w:r>
      <w:r>
        <w:fldChar w:fldCharType="begin"/>
      </w:r>
      <w:r>
        <w:instrText> HYPERLINK "http://books.google.de/books?id=nJbZ3d5BF0UC&amp;lpg=PP1&amp;pg=PA140" \l "v=onepage&amp;q&amp;f=false"</w:instrText>
      </w:r>
      <w:r>
        <w:fldChar w:fldCharType="separate"/>
      </w:r>
      <w:r>
        <w:rPr>
          <w:rStyle w:val="Internetverknpfung"/>
        </w:rPr>
        <w:t>Waltke 2010, 140</w:t>
      </w:r>
      <w:r>
        <w:fldChar w:fldCharType="end"/>
      </w:r>
      <w:r>
        <w:rPr/>
        <w:t xml:space="preserve">). </w:t>
      </w:r>
    </w:p>
  </w:footnote>
  <w:footnote w:id="1468">
    <w:p>
      <w:pPr>
        <w:pStyle w:val="Funote"/>
        <w:rPr/>
      </w:pPr>
      <w:r>
        <w:rPr/>
        <w:footnoteRef/>
        <w:tab/>
        <w:t xml:space="preserve">Auch möglich: „Und er bringt alles, was er tut, zum Gedeihen“ („two-place“ Hiphil nach </w:t>
      </w:r>
      <w:r>
        <w:fldChar w:fldCharType="begin"/>
      </w:r>
      <w:r>
        <w:instrText> HYPERLINK "http://books.google.de/books?id=nJbZ3d5BF0UC&amp;lpg=PP1&amp;pg=PA128" \l "v=onepage&amp;q&amp;f=false"</w:instrText>
      </w:r>
      <w:r>
        <w:fldChar w:fldCharType="separate"/>
      </w:r>
      <w:r>
        <w:rPr>
          <w:rStyle w:val="Internetverknpfung"/>
        </w:rPr>
        <w:t>Waltke 2010, 128</w:t>
      </w:r>
      <w:r>
        <w:fldChar w:fldCharType="end"/>
      </w:r>
      <w:r>
        <w:rPr/>
        <w:t>).</w:t>
      </w:r>
    </w:p>
  </w:footnote>
  <w:footnote w:id="1469">
    <w:p>
      <w:pPr>
        <w:pStyle w:val="Funote"/>
        <w:rPr/>
      </w:pPr>
      <w:r>
        <w:rPr/>
        <w:footnoteRef/>
        <w:tab/>
        <w:t xml:space="preserve">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w:t>
      </w:r>
      <w:r>
        <w:rPr>
          <w:i/>
        </w:rPr>
        <w:t>zu seiner Zeit</w:t>
      </w:r>
      <w:r>
        <w:rPr/>
        <w:t xml:space="preserve"> Frucht bringen. </w:t>
      </w:r>
    </w:p>
  </w:footnote>
  <w:footnote w:id="1470">
    <w:p>
      <w:pPr>
        <w:pStyle w:val="Funote"/>
        <w:rPr/>
      </w:pPr>
      <w:r>
        <w:rPr/>
        <w:footnoteRef/>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w:t>
      </w:r>
      <w:r>
        <w:fldChar w:fldCharType="begin"/>
      </w:r>
      <w:r>
        <w:instrText> HYPERLINK "file:///wiki/Psalm_1" \l "s3"</w:instrText>
      </w:r>
      <w:r>
        <w:fldChar w:fldCharType="separate"/>
      </w:r>
      <w:r>
        <w:rPr>
          <w:rStyle w:val="Internetverknpfung"/>
        </w:rPr>
        <w:t>3</w:t>
      </w:r>
      <w:r>
        <w:fldChar w:fldCharType="end"/>
      </w:r>
      <w:r>
        <w:rPr/>
        <w:t>) (</w:t>
      </w:r>
      <w:r>
        <w:fldChar w:fldCharType="begin"/>
      </w:r>
      <w:r>
        <w:instrText> HYPERLINK "http://books.google.de/books?id=nJbZ3d5BF0UC&amp;lpg=PP1&amp;pg=PA141" \l "v=onepage&amp;q&amp;f=false"</w:instrText>
      </w:r>
      <w:r>
        <w:fldChar w:fldCharType="separate"/>
      </w:r>
      <w:r>
        <w:rPr>
          <w:rStyle w:val="Internetverknpfung"/>
        </w:rPr>
        <w:t>Waltke 2010, 141</w:t>
      </w:r>
      <w:r>
        <w:fldChar w:fldCharType="end"/>
      </w:r>
      <w:r>
        <w:rPr/>
        <w:t xml:space="preserve">). Gottlose und Spreu teilen für den Psalmisten dasselbe Schicksal: Sie sind wertlos und bestehen nicht, sie werden im entscheidenden Moment vergehen (vgl. den Beginn von V. 5: „deshalb“ </w:t>
      </w:r>
    </w:p>
  </w:footnote>
  <w:footnote w:id="1471">
    <w:p>
      <w:pPr>
        <w:pStyle w:val="Funote"/>
        <w:rPr/>
      </w:pPr>
      <w:r>
        <w:rPr/>
        <w:footnoteRef/>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472">
    <w:p>
      <w:pPr>
        <w:pStyle w:val="Funote"/>
        <w:rPr/>
      </w:pPr>
      <w:r>
        <w:rPr/>
        <w:footnoteRef/>
        <w:tab/>
        <w:t xml:space="preserve">Zum Gebrauch des Begriffs „Gerechter“ s. die Fußnote in </w:t>
      </w:r>
      <w:r>
        <w:fldChar w:fldCharType="begin"/>
      </w:r>
      <w:r>
        <w:instrText> HYPERLINK "file:///wiki/Psalm_1" \l "note_a"</w:instrText>
      </w:r>
      <w:r>
        <w:fldChar w:fldCharType="separate"/>
      </w:r>
      <w:r>
        <w:rPr>
          <w:rStyle w:val="Internetverknpfung"/>
        </w:rPr>
        <w:t>V. 1</w:t>
      </w:r>
      <w:r>
        <w:fldChar w:fldCharType="end"/>
      </w:r>
      <w:r>
        <w:rPr/>
        <w:t xml:space="preserve">. </w:t>
      </w:r>
    </w:p>
  </w:footnote>
  <w:footnote w:id="1473">
    <w:p>
      <w:pPr>
        <w:pStyle w:val="Funote"/>
        <w:rPr/>
      </w:pPr>
      <w:r>
        <w:rPr/>
        <w:footnoteRef/>
        <w:tab/>
        <w:t xml:space="preserve">führt ins Verderben (vgl. SLT, NGÜ, NLB) übersetzt das Verb </w:t>
      </w:r>
      <w:r>
        <w:rPr>
          <w:rtl w:val="true"/>
          <w:lang w:bidi="he-IL"/>
        </w:rPr>
        <w:t>אָבַד</w:t>
      </w:r>
      <w:r>
        <w:rPr/>
        <w:t>, das häufig etwas altertümlich als „zugrunde gehen, umkommen“ übersetzt wird.</w:t>
      </w:r>
    </w:p>
  </w:footnote>
  <w:footnote w:id="1474">
    <w:p>
      <w:pPr>
        <w:pStyle w:val="Funote"/>
        <w:rPr/>
      </w:pPr>
      <w:r>
        <w:rPr/>
        <w:footnoteRef/>
        <w:tab/>
        <w:t>[Status: Sehr gut]</w:t>
      </w:r>
    </w:p>
  </w:footnote>
  <w:footnote w:id="1475">
    <w:p>
      <w:pPr>
        <w:pStyle w:val="Funote"/>
        <w:rPr/>
      </w:pPr>
      <w:r>
        <w:rPr/>
        <w:footnoteRef/>
        <w:tab/>
        <w:t xml:space="preserve">Dieses Verb ist ein nur selten erkannter Aramaismus (in </w:t>
      </w:r>
      <w:r>
        <w:fldChar w:fldCharType="begin"/>
      </w:r>
      <w:r>
        <w:instrText> HYPERLINK "file:///wiki/Psalm_2" \l "s9"</w:instrText>
      </w:r>
      <w:r>
        <w:fldChar w:fldCharType="separate"/>
      </w:r>
      <w:r>
        <w:rPr>
          <w:rStyle w:val="Internetverknpfung"/>
        </w:rPr>
        <w:t>9</w:t>
      </w:r>
      <w:r>
        <w:fldChar w:fldCharType="end"/>
      </w:r>
      <w:r>
        <w:rPr/>
        <w:t>.</w:t>
      </w:r>
      <w:r>
        <w:fldChar w:fldCharType="begin"/>
      </w:r>
      <w:r>
        <w:instrText> HYPERLINK "file:///wiki/Psalm_2" \l "s12"</w:instrText>
      </w:r>
      <w:r>
        <w:fldChar w:fldCharType="separate"/>
      </w:r>
      <w:r>
        <w:rPr>
          <w:rStyle w:val="Internetverknpfung"/>
        </w:rPr>
        <w:t>12</w:t>
      </w:r>
      <w:r>
        <w:fldChar w:fldCharType="end"/>
      </w:r>
      <w:r>
        <w:rPr/>
        <w:t xml:space="preserve"> sind weitere). In </w:t>
      </w:r>
      <w:hyperlink r:id="rId47">
        <w:r>
          <w:rPr>
            <w:rStyle w:val="Internetverknpfung"/>
          </w:rPr>
          <w:t>Dan 6,7.12.16</w:t>
        </w:r>
      </w:hyperlink>
      <w:r>
        <w:rPr/>
        <w:t xml:space="preserve"> hat das aramäische Verb jeweils die Bedeutung „gemeinsam/als Gruppe [an einen Ort] gehen“, wobei immer eine heimliche/intrigante Absprache Teil der Konnotation ist (DBL Aramaic). Die konkrete Übersetzung „verschwören“ ergibt sich aus dem Kontext (vgl. </w:t>
      </w:r>
      <w:r>
        <w:fldChar w:fldCharType="begin"/>
      </w:r>
      <w:r>
        <w:instrText> HYPERLINK "http://books.google.de/books?id=nJbZ3d5BF0UC&amp;lpg=PP1&amp;pg=PA157" \l "v=onepage&amp;q&amp;f=false"</w:instrText>
      </w:r>
      <w:r>
        <w:fldChar w:fldCharType="separate"/>
      </w:r>
      <w:r>
        <w:rPr>
          <w:rStyle w:val="Internetverknpfung"/>
        </w:rPr>
        <w:t>Waltke 2010, S. 157</w:t>
      </w:r>
      <w:r>
        <w:fldChar w:fldCharType="end"/>
      </w:r>
      <w:r>
        <w:rPr/>
        <w:t xml:space="preserve">): Das parallele Verb aus der zweiten Vershälfte bedeutet etwa, „Pläne zu schmieden“ (vgl. Fußnote dort); ein ähnliches Bedeutungsfeld ergeben die Verben in </w:t>
      </w:r>
      <w:r>
        <w:fldChar w:fldCharType="begin"/>
      </w:r>
      <w:r>
        <w:instrText> HYPERLINK "file:///wiki/Psalm_2" \l "s2"</w:instrText>
      </w:r>
      <w:r>
        <w:fldChar w:fldCharType="separate"/>
      </w:r>
      <w:r>
        <w:rPr>
          <w:rStyle w:val="Internetverknpfung"/>
        </w:rPr>
        <w:t>2</w:t>
      </w:r>
      <w:r>
        <w:fldChar w:fldCharType="end"/>
      </w:r>
      <w:r>
        <w:rPr/>
        <w:t xml:space="preserve">, der mit </w:t>
      </w:r>
      <w:r>
        <w:fldChar w:fldCharType="begin"/>
      </w:r>
      <w:r>
        <w:instrText> HYPERLINK "file:///wiki/Psalm_2" \l "s1"</w:instrText>
      </w:r>
      <w:r>
        <w:fldChar w:fldCharType="separate"/>
      </w:r>
      <w:r>
        <w:rPr>
          <w:rStyle w:val="Internetverknpfung"/>
        </w:rPr>
        <w:t>1</w:t>
      </w:r>
      <w:r>
        <w:fldChar w:fldCharType="end"/>
      </w:r>
      <w:r>
        <w:rPr/>
        <w:t xml:space="preserve"> (und </w:t>
      </w:r>
      <w:r>
        <w:fldChar w:fldCharType="begin"/>
      </w:r>
      <w:r>
        <w:instrText> HYPERLINK "file:///wiki/Psalm_2" \l "s3"</w:instrText>
      </w:r>
      <w:r>
        <w:fldChar w:fldCharType="separate"/>
      </w:r>
      <w:r>
        <w:rPr>
          <w:rStyle w:val="Internetverknpfung"/>
        </w:rPr>
        <w:t>3</w:t>
      </w:r>
      <w:r>
        <w:fldChar w:fldCharType="end"/>
      </w:r>
      <w:r>
        <w:rPr/>
        <w:t xml:space="preserve">) eine klimaktische Sinneinheit bildet. Dennoch findet sich in deutschen Übersetzungen i.d.R. eine Übersetzung nach dem Sinn von „sich in Unruhe befinden“ (vgl. aber NET, </w:t>
      </w:r>
      <w:r>
        <w:fldChar w:fldCharType="begin"/>
      </w:r>
      <w:r>
        <w:instrText> HYPERLINK "http://books.google.de/books?id=nJbZ3d5BF0UC&amp;lpg=PP1&amp;dq=Waltke&amp;hl=de&amp;pg=PA157" \l "v=onepage&amp;q&amp;f=false"</w:instrText>
      </w:r>
      <w:r>
        <w:fldChar w:fldCharType="separate"/>
      </w:r>
      <w:r>
        <w:rPr>
          <w:rStyle w:val="Internetverknpfung"/>
        </w:rPr>
        <w:t>Waltke 2010</w:t>
      </w:r>
      <w:r>
        <w:fldChar w:fldCharType="end"/>
      </w:r>
      <w:r>
        <w:rPr/>
        <w:t xml:space="preserve">, </w:t>
      </w:r>
      <w:r>
        <w:fldChar w:fldCharType="begin"/>
      </w:r>
      <w:r>
        <w:instrText> HYPERLINK "http://books.google.de/books?id=PpvY6V8xakUC&amp;lpg=PP1&amp;hl=de&amp;pg=PA50" \l "v=onepage&amp;q&amp;f=false"</w:instrText>
      </w:r>
      <w:r>
        <w:fldChar w:fldCharType="separate"/>
      </w:r>
      <w:r>
        <w:rPr>
          <w:rStyle w:val="Internetverknpfung"/>
        </w:rPr>
        <w:t>Hunter 1999</w:t>
      </w:r>
      <w:r>
        <w:fldChar w:fldCharType="end"/>
      </w:r>
      <w:r>
        <w:rPr/>
        <w:t xml:space="preserve">). </w:t>
      </w:r>
    </w:p>
  </w:footnote>
  <w:footnote w:id="1476">
    <w:p>
      <w:pPr>
        <w:pStyle w:val="Funote"/>
        <w:rPr/>
      </w:pPr>
      <w:r>
        <w:rPr/>
        <w:footnoteRef/>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477">
    <w:p>
      <w:pPr>
        <w:pStyle w:val="Funote"/>
        <w:rPr/>
      </w:pPr>
      <w:r>
        <w:rPr/>
        <w:footnoteRef/>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478">
    <w:p>
      <w:pPr>
        <w:pStyle w:val="Funote"/>
        <w:rPr/>
      </w:pPr>
      <w:r>
        <w:rPr/>
        <w:footnoteRef/>
        <w:tab/>
        <w:t>Wahrscheinlich double duty-Präposition aus V. 1a; so z.B. Niccacci 2006, S. 8; auch schon Carrier 1900, S. 58.</w:t>
      </w:r>
    </w:p>
  </w:footnote>
  <w:footnote w:id="1479">
    <w:p>
      <w:pPr>
        <w:pStyle w:val="Funote"/>
        <w:rPr/>
      </w:pPr>
      <w:r>
        <w:rPr/>
        <w:footnoteRef/>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480">
    <w:p>
      <w:pPr>
        <w:pStyle w:val="Funote"/>
        <w:rPr/>
      </w:pPr>
      <w:r>
        <w:rPr/>
        <w:footnoteRef/>
        <w:tab/>
        <w:t>Vgl. Kraus 1960, S. 11.</w:t>
      </w:r>
    </w:p>
  </w:footnote>
  <w:footnote w:id="1481">
    <w:p>
      <w:pPr>
        <w:pStyle w:val="Funote"/>
        <w:rPr/>
      </w:pPr>
      <w:r>
        <w:rPr/>
        <w:footnoteRef/>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482">
    <w:p>
      <w:pPr>
        <w:pStyle w:val="Funote"/>
        <w:rPr/>
      </w:pPr>
      <w:r>
        <w:rPr/>
        <w:footnoteRef/>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483">
    <w:p>
      <w:pPr>
        <w:pStyle w:val="Funote"/>
        <w:rPr/>
      </w:pPr>
      <w:r>
        <w:rPr/>
        <w:footnoteRef/>
        <w:tab/>
        <w:t>Hier sprechen die erwähnten Könige (</w:t>
      </w:r>
      <w:r>
        <w:fldChar w:fldCharType="begin"/>
      </w:r>
      <w:r>
        <w:instrText> HYPERLINK "file:///wiki/Psalm_2" \l "s2"</w:instrText>
      </w:r>
      <w:r>
        <w:fldChar w:fldCharType="separate"/>
      </w:r>
      <w:r>
        <w:rPr>
          <w:rStyle w:val="Internetverknpfung"/>
        </w:rPr>
        <w:t>V. 2</w:t>
      </w:r>
      <w:r>
        <w:fldChar w:fldCharType="end"/>
      </w:r>
      <w:r>
        <w:rPr/>
        <w:t>).</w:t>
      </w:r>
    </w:p>
  </w:footnote>
  <w:footnote w:id="1484">
    <w:p>
      <w:pPr>
        <w:pStyle w:val="Funote"/>
        <w:rPr/>
      </w:pPr>
      <w:r>
        <w:rPr/>
        <w:footnoteRef/>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485">
    <w:p>
      <w:pPr>
        <w:pStyle w:val="Funote"/>
        <w:rPr/>
      </w:pPr>
      <w:r>
        <w:rPr/>
        <w:footnoteRef/>
        <w:tab/>
        <w:t>Das Objekt am Satzende bezieht sich auf beide Verben (vgl. Luther).</w:t>
      </w:r>
    </w:p>
  </w:footnote>
  <w:footnote w:id="1486">
    <w:p>
      <w:pPr>
        <w:pStyle w:val="Funote"/>
        <w:rPr/>
      </w:pPr>
      <w:r>
        <w:rPr/>
        <w:footnoteRef/>
        <w:tab/>
        <w:t>Von einer allgemeinen, zu jeder Zeit vorstellbaren Beschreibung wechselt der Psalmist nun zu einer konkreten Beschreibung von JHWHs Handeln („dann“). Die Handlung entfaltet sich vor den Augen des Erzählers (</w:t>
      </w:r>
      <w:r>
        <w:fldChar w:fldCharType="begin"/>
      </w:r>
      <w:r>
        <w:instrText> HYPERLINK "http://books.google.de/books?id=nJbZ3d5BF0UC&amp;lpg=PP1&amp;pg=PA158" \l "v=onepage&amp;q&amp;f=false"</w:instrText>
      </w:r>
      <w:r>
        <w:fldChar w:fldCharType="separate"/>
      </w:r>
      <w:r>
        <w:rPr>
          <w:rStyle w:val="Internetverknpfung"/>
        </w:rPr>
        <w:t>Waltke 2010, S. 158</w:t>
      </w:r>
      <w:r>
        <w:fldChar w:fldCharType="end"/>
      </w:r>
      <w:r>
        <w:rPr/>
        <w:t xml:space="preserve">; NET Ps 2,4, Fußnote 15). Im Gegensatz dazu interpretiert Kraus 1960 das Folgende als zukünftige Rede (S. 12; Übers. „Einst redet er sie an...“), die folgenden Verse sind dann dem nachgeschobene Erklärung. </w:t>
      </w:r>
    </w:p>
  </w:footnote>
  <w:footnote w:id="1487">
    <w:p>
      <w:pPr>
        <w:pStyle w:val="Funote"/>
        <w:rPr/>
      </w:pPr>
      <w:r>
        <w:rPr/>
        <w:footnoteRef/>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t>
      </w:r>
      <w:r>
        <w:fldChar w:fldCharType="begin"/>
      </w:r>
      <w:r>
        <w:instrText> HYPERLINK "http://books.google.de/books?id=nJbZ3d5BF0UC&amp;lpg=PP1&amp;pg=PA158" \l "v=onepage&amp;q&amp;f=false"</w:instrText>
      </w:r>
      <w:r>
        <w:fldChar w:fldCharType="separate"/>
      </w:r>
      <w:r>
        <w:rPr>
          <w:rStyle w:val="Internetverknpfung"/>
        </w:rPr>
        <w:t>Waltke 2010, S. 158</w:t>
      </w:r>
      <w:r>
        <w:fldChar w:fldCharType="end"/>
      </w:r>
      <w:r>
        <w:rPr/>
        <w:t>). Die beiden Begriffe sind hier referenzidentisch.</w:t>
      </w:r>
    </w:p>
  </w:footnote>
  <w:footnote w:id="1488">
    <w:p>
      <w:pPr>
        <w:pStyle w:val="Funote"/>
        <w:rPr/>
      </w:pPr>
      <w:r>
        <w:rPr/>
        <w:footnoteRef/>
        <w:tab/>
        <w:t xml:space="preserve">Das Waw markiert hier die lose Anknüpfung der direkten Rede an vorher (nicht) Gesagtes und bleibt unübersetzt (Gesenius-Kautzsch §154b) - so ähnlich, wie man auch im Deutschen in Erregung einen Satz mit „und“ beginnt. Alternativ ist es adversativ zu verstehen; dann „aber“ (Davidson, </w:t>
      </w:r>
      <w:r>
        <w:rPr>
          <w:i/>
        </w:rPr>
        <w:t>Hebrew Syntax</w:t>
      </w:r>
      <w:r>
        <w:rPr/>
        <w:t xml:space="preserve">, §155); es ist aber kein wirklicher Gegensatz vorhanden. </w:t>
      </w:r>
    </w:p>
  </w:footnote>
  <w:footnote w:id="1489">
    <w:p>
      <w:pPr>
        <w:pStyle w:val="Funote"/>
        <w:rPr/>
      </w:pPr>
      <w:r>
        <w:rPr/>
        <w:footnoteRef/>
        <w:tab/>
        <w:t xml:space="preserve">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w:t>
      </w:r>
      <w:r>
        <w:rPr>
          <w:i/>
        </w:rPr>
        <w:t>Hebrew Syntax</w:t>
      </w:r>
      <w:r>
        <w:rPr/>
        <w:t>, §24.2).</w:t>
      </w:r>
    </w:p>
  </w:footnote>
  <w:footnote w:id="1490">
    <w:p>
      <w:pPr>
        <w:pStyle w:val="Funote"/>
        <w:rPr/>
      </w:pPr>
      <w:r>
        <w:rPr/>
        <w:footnoteRef/>
        <w:tab/>
        <w:t>LXX: »ich wurde von ihm ... eingesetzt«, das begradigt den unmarkierten Wechsel der sprechenden Person in 6-7. Waltke (2010, S. 158) interpretiert als Vollzugsperfekt: »Hiermit setze ich ein«</w:t>
      </w:r>
    </w:p>
  </w:footnote>
  <w:footnote w:id="1491">
    <w:p>
      <w:pPr>
        <w:pStyle w:val="Funote"/>
        <w:rPr/>
      </w:pPr>
      <w:r>
        <w:rPr/>
        <w:footnoteRef/>
        <w:tab/>
        <w:t>Jetzt (7-9) spricht der Gesalbte JHWHs (</w:t>
      </w:r>
      <w:r>
        <w:fldChar w:fldCharType="begin"/>
      </w:r>
      <w:r>
        <w:instrText> HYPERLINK "file:///wiki/Psalm_2" \l "s2"</w:instrText>
      </w:r>
      <w:r>
        <w:fldChar w:fldCharType="separate"/>
      </w:r>
      <w:r>
        <w:rPr>
          <w:rStyle w:val="Internetverknpfung"/>
        </w:rPr>
        <w:t>V. 2</w:t>
      </w:r>
      <w:r>
        <w:fldChar w:fldCharType="end"/>
      </w:r>
      <w:r>
        <w:rPr/>
        <w:t>).</w:t>
      </w:r>
    </w:p>
  </w:footnote>
  <w:footnote w:id="1492">
    <w:p>
      <w:pPr>
        <w:pStyle w:val="Funote"/>
        <w:rPr/>
      </w:pPr>
      <w:r>
        <w:rPr/>
        <w:footnoteRef/>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493">
    <w:p>
      <w:pPr>
        <w:pStyle w:val="Funote"/>
        <w:rPr/>
      </w:pPr>
      <w:r>
        <w:rPr/>
        <w:footnoteRef/>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494">
    <w:p>
      <w:pPr>
        <w:pStyle w:val="Funote"/>
        <w:rPr/>
      </w:pPr>
      <w:r>
        <w:rPr/>
        <w:footnoteRef/>
        <w:tab/>
        <w:t>Nach den masoretischen Kantillationszeichen, die keine Constructus-Verbindung zwischen „Anordnung“ und „JHWH“ sehen: „...Anordnung berichten. JHWH hat...“ (vgl. Waltke 2010, S. 159; NET Ps 2,7, Fußnote 23)</w:t>
      </w:r>
    </w:p>
  </w:footnote>
  <w:footnote w:id="1495">
    <w:p>
      <w:pPr>
        <w:pStyle w:val="Funote"/>
        <w:rPr/>
      </w:pPr>
      <w:r>
        <w:rPr/>
        <w:footnoteRef/>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496">
    <w:p>
      <w:pPr>
        <w:pStyle w:val="Funote"/>
        <w:rPr/>
      </w:pPr>
      <w:r>
        <w:rPr/>
        <w:footnoteRef/>
        <w:tab/>
        <w:t xml:space="preserve">Eine Bitte passt besser in das dargestellte vertrauensvolle Verhältnis als eine Forderung. </w:t>
      </w:r>
    </w:p>
  </w:footnote>
  <w:footnote w:id="1497">
    <w:p>
      <w:pPr>
        <w:pStyle w:val="Funote"/>
        <w:rPr/>
      </w:pPr>
      <w:r>
        <w:rPr/>
        <w:footnoteRef/>
        <w:tab/>
        <w:t xml:space="preserve">D.h. Permanenter, erblicher Besitz (TWOT 1342a </w:t>
      </w:r>
      <w:r>
        <w:rPr>
          <w:rtl w:val="true"/>
          <w:lang w:bidi="he-IL"/>
        </w:rPr>
        <w:t>נַחֲלָה</w:t>
      </w:r>
      <w:r>
        <w:rPr/>
        <w:t xml:space="preserve">). </w:t>
      </w:r>
    </w:p>
  </w:footnote>
  <w:footnote w:id="1498">
    <w:p>
      <w:pPr>
        <w:pStyle w:val="Funote"/>
        <w:rPr/>
      </w:pPr>
      <w:r>
        <w:rPr/>
        <w:footnoteRef/>
        <w:tab/>
        <w:t>Es bleibt hier unklar, ob es sich um eine Prophezeiung oder um die Vollmacht zur Kriegführung handelt (Vgl. Wallace 2009, S. 18).</w:t>
      </w:r>
    </w:p>
  </w:footnote>
  <w:footnote w:id="1499">
    <w:p>
      <w:pPr>
        <w:pStyle w:val="Funote"/>
        <w:rPr/>
      </w:pPr>
      <w:r>
        <w:rPr/>
        <w:footnoteRef/>
        <w:tab/>
        <w:t xml:space="preserve">Kann auch einen Hirtenstab bezeichnen. Der Genitiv beschreibt eine Eigenschaft; wörtlich „Stab des Eisens“. Vgl. Fußnote V. 6. </w:t>
      </w:r>
    </w:p>
  </w:footnote>
  <w:footnote w:id="1500">
    <w:p>
      <w:pPr>
        <w:pStyle w:val="Funote"/>
        <w:rPr/>
      </w:pPr>
      <w:r>
        <w:rPr/>
        <w:footnoteRef/>
        <w:tab/>
        <w:t>So die LXX (vgl. NIV84), die durchaus die ursprüngliche Lesart bezeugen könnte (Vgl. Wilhelmi, Der Hirt mit dem eisernen Szepter, VT 27.2, 1977). Gründe für den Vorzug des MT bei Waltke 2010, S. 173.</w:t>
      </w:r>
    </w:p>
  </w:footnote>
  <w:footnote w:id="1501">
    <w:p>
      <w:pPr>
        <w:pStyle w:val="Funote"/>
        <w:rPr/>
      </w:pPr>
      <w:r>
        <w:rPr/>
        <w:footnoteRef/>
        <w:tab/>
        <w:t>Wörtlich: „Gefäß(e) eines Töpfers“</w:t>
      </w:r>
    </w:p>
  </w:footnote>
  <w:footnote w:id="1502">
    <w:p>
      <w:pPr>
        <w:pStyle w:val="Funote"/>
        <w:rPr/>
      </w:pPr>
      <w:r>
        <w:rPr/>
        <w:footnoteRef/>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Margulies 1884, S. 4)).</w:t>
      </w:r>
    </w:p>
  </w:footnote>
  <w:footnote w:id="1503">
    <w:p>
      <w:pPr>
        <w:pStyle w:val="Funote"/>
        <w:rPr/>
      </w:pPr>
      <w:r>
        <w:rPr/>
        <w:footnoteRef/>
        <w:tab/>
        <w:t>Gemeint ist keine Straße, sondern der im übertragenen Sinn eingeschlagene Weg, JHWH zu gehorchen – oder auch nicht (vgl. NET Ps 2,12, Fußnote 36; Anm. zu Ps 67,3).</w:t>
      </w:r>
    </w:p>
  </w:footnote>
  <w:footnote w:id="1504">
    <w:p>
      <w:pPr>
        <w:pStyle w:val="Funote"/>
        <w:rPr/>
      </w:pPr>
      <w:r>
        <w:rPr/>
        <w:footnoteRef/>
        <w:tab/>
        <w:t>JHWH</w:t>
      </w:r>
    </w:p>
  </w:footnote>
  <w:footnote w:id="1505">
    <w:p>
      <w:pPr>
        <w:pStyle w:val="Funote"/>
        <w:rPr/>
      </w:pPr>
      <w:r>
        <w:rPr/>
        <w:footnoteRef/>
        <w:tab/>
        <w:t>JHWH</w:t>
      </w:r>
    </w:p>
  </w:footnote>
  <w:footnote w:id="1506">
    <w:p>
      <w:pPr>
        <w:pStyle w:val="Funote"/>
        <w:rPr/>
      </w:pPr>
      <w:r>
        <w:rPr/>
        <w:footnoteRef/>
        <w:tab/>
        <w:t>JHWH</w:t>
      </w:r>
    </w:p>
  </w:footnote>
  <w:footnote w:id="1507">
    <w:p>
      <w:pPr>
        <w:pStyle w:val="Funote"/>
        <w:rPr/>
      </w:pPr>
      <w:r>
        <w:rPr/>
        <w:footnoteRef/>
        <w:tab/>
        <w:t>JHWH</w:t>
      </w:r>
    </w:p>
  </w:footnote>
  <w:footnote w:id="1508">
    <w:p>
      <w:pPr>
        <w:pStyle w:val="Funote"/>
        <w:rPr/>
      </w:pPr>
      <w:r>
        <w:rPr/>
        <w:footnoteRef/>
        <w:tab/>
        <w:t>JHWH</w:t>
      </w:r>
    </w:p>
  </w:footnote>
  <w:footnote w:id="1509">
    <w:p>
      <w:pPr>
        <w:pStyle w:val="Funote"/>
        <w:rPr/>
      </w:pPr>
      <w:r>
        <w:rPr/>
        <w:footnoteRef/>
        <w:tab/>
        <w:t>JHWH</w:t>
      </w:r>
    </w:p>
  </w:footnote>
  <w:footnote w:id="1510">
    <w:p>
      <w:pPr>
        <w:pStyle w:val="Funote"/>
        <w:rPr/>
      </w:pPr>
      <w:r>
        <w:rPr/>
        <w:footnoteRef/>
        <w:tab/>
        <w:t>[Status: Zuverlässig]</w:t>
      </w:r>
    </w:p>
  </w:footnote>
  <w:footnote w:id="1511">
    <w:p>
      <w:pPr>
        <w:pStyle w:val="Funote"/>
        <w:rPr/>
      </w:pPr>
      <w:r>
        <w:rPr>
          <w:i/>
        </w:rPr>
        <w:footnoteRef/>
        <w:tab/>
        <w:t>Während er floh vor Absalom, seinem Sohn</w:t>
      </w:r>
      <w:r>
        <w:rPr/>
        <w:t xml:space="preserve"> - Die Begebenheit, auf die hier angespielt wird, wird berichtet in </w:t>
      </w:r>
      <w:hyperlink r:id="rId48">
        <w:r>
          <w:rPr>
            <w:rStyle w:val="Internetverknpfung"/>
          </w:rPr>
          <w:t>2 Sam 16</w:t>
        </w:r>
      </w:hyperlink>
      <w:r>
        <w:rPr/>
        <w:t>.</w:t>
      </w:r>
    </w:p>
  </w:footnote>
  <w:footnote w:id="1512">
    <w:p>
      <w:pPr>
        <w:pStyle w:val="Funote"/>
        <w:rPr/>
      </w:pPr>
      <w:r>
        <w:rPr/>
        <w:footnoteRef/>
        <w:tab/>
        <w:t>tFN: [Wie] - Brachylogie aus V. 2a (so z.B. Craigie 1983; Dahood 1965, S. 15; Ehrlich 1905, S. 5; Kissane 1953, S. 10; Kselman 1987, S. 574; auch GRAIL; MÜN).</w:t>
      </w:r>
    </w:p>
  </w:footnote>
  <w:footnote w:id="1513">
    <w:p>
      <w:pPr>
        <w:pStyle w:val="Funote"/>
        <w:rPr/>
      </w:pPr>
      <w:r>
        <w:rPr/>
        <w:footnoteRef/>
        <w:tab/>
        <w:t>meine Gegner (die, die sich gegen mich erheben) - Der verwendete Begriff ist ein stehender Ausdruck für „Gegner“ (vgl. KBL3, S. 1016 und s. Ex 15,7; Dtn 28,7; 2 Sam 18,31; Ps 44,6). W. bedeutet er „die sich gegen mich erhebenden“, so deshalb wohl etwas zu wörtlich viele Üss.</w:t>
      </w:r>
    </w:p>
  </w:footnote>
  <w:footnote w:id="1514">
    <w:p>
      <w:pPr>
        <w:pStyle w:val="Funote"/>
        <w:rPr/>
      </w:pPr>
      <w:r>
        <w:rPr>
          <w:i/>
        </w:rPr>
        <w:footnoteRef/>
        <w:tab/>
        <w:t>über meine Seele (über mich)</w:t>
      </w:r>
      <w:r>
        <w:rPr/>
        <w:t xml:space="preserve"> - Heb. </w:t>
      </w:r>
      <w:r>
        <w:rPr>
          <w:i/>
        </w:rPr>
        <w:t>nephesch</w:t>
      </w:r>
      <w:r>
        <w:rPr/>
        <w:t xml:space="preserve">. Die häufige Übersetzung „Seele“ ist fast nie zu empfehlen, weil es im heb. Menschenbild einen Gegensatz von Körper und Seele so nicht gab; </w:t>
      </w:r>
      <w:r>
        <w:rPr>
          <w:i/>
        </w:rPr>
        <w:t>nephesch</w:t>
      </w:r>
      <w:r>
        <w:rPr/>
        <w:t xml:space="preserve"> meint hier wie meist den </w:t>
      </w:r>
      <w:r>
        <w:rPr>
          <w:i/>
        </w:rPr>
        <w:t>ganzen</w:t>
      </w:r>
      <w:r>
        <w:rPr/>
        <w:t xml:space="preserve"> Menschen und wird daher hier wie häufig als Wechselbegriff für „Ich“ verwendet.</w:t>
      </w:r>
    </w:p>
  </w:footnote>
  <w:footnote w:id="1515">
    <w:p>
      <w:pPr>
        <w:pStyle w:val="Funote"/>
        <w:rPr/>
      </w:pPr>
      <w:r>
        <w:rPr/>
        <w:footnoteRef/>
        <w:tab/>
        <w:t>Rettung (Hilfe, Sieg) - I.d.R. übersetzt mit dem etwas blassen »Hilfe«. Der Psalm stellt aber den Beter ganz deutlich als von Feinden bedrängt dar; kontextuell angemessener ist daher »Rettung«. So gut auch Alter 2007, MÜN u.a. Die ebenfalls häufiger Übersetzung mit »Heil« oder gar »Erlösung« ist kontextuell unpassend.</w:t>
      </w:r>
    </w:p>
  </w:footnote>
  <w:footnote w:id="1516">
    <w:p>
      <w:pPr>
        <w:pStyle w:val="Funote"/>
        <w:rPr/>
      </w:pPr>
      <w:r>
        <w:rPr/>
        <w:footnoteRef/>
        <w:tab/>
        <w:t xml:space="preserve">tFN: Das Suffix </w:t>
      </w:r>
      <w:r>
        <w:rPr>
          <w:rtl w:val="true"/>
          <w:lang w:bidi="he-IL"/>
        </w:rPr>
        <w:t>תְה</w:t>
      </w:r>
      <w:r>
        <w:rPr/>
        <w:t>- ist in der hebr. Poesie häufig bedeutungslos und dient nur der »poetischen Emphase«; vgl. GKC §90g; ad loc. auch Schmidt 1934, S. 6; Kraus 1961, S. 23.</w:t>
      </w:r>
    </w:p>
  </w:footnote>
  <w:footnote w:id="1517">
    <w:p>
      <w:pPr>
        <w:pStyle w:val="Funote"/>
        <w:rPr/>
      </w:pPr>
      <w:r>
        <w:rPr>
          <w:i/>
        </w:rPr>
        <w:footnoteRef/>
        <w:tab/>
        <w:t>{</w:t>
      </w:r>
      <w:r>
        <w:rPr>
          <w:i/>
          <w:strike/>
        </w:rPr>
        <w:t>Sela</w:t>
      </w:r>
      <w:r>
        <w:rPr>
          <w:i/>
        </w:rPr>
        <w:t>}</w:t>
      </w:r>
      <w:r>
        <w:rPr/>
        <w:t xml:space="preserve"> - Die Bedeutung von „Sela“ ist unklar; vgl. Lexikon/Lemma </w:t>
      </w:r>
      <w:hyperlink r:id="rId49">
        <w:r>
          <w:rPr>
            <w:rStyle w:val="Internetverknpfung"/>
            <w:rtl w:val="true"/>
            <w:lang w:bidi="he-IL"/>
          </w:rPr>
          <w:t>סֶלַה</w:t>
        </w:r>
      </w:hyperlink>
      <w:r>
        <w:rPr/>
        <w:t>. In der Lesefassung sollte es daher besser gestrichen werden, da es sonst nur ein unverständlicher Fremdkörper im dt. Text wäre.</w:t>
      </w:r>
    </w:p>
  </w:footnote>
  <w:footnote w:id="1518">
    <w:p>
      <w:pPr>
        <w:pStyle w:val="Funote"/>
        <w:rPr/>
      </w:pPr>
      <w:r>
        <w:rPr/>
        <w:footnoteRef/>
        <w:tab/>
        <w:t>ein Schild um mich (bist Schutz für mich, schützt mich) - W. ein Schild um mich. Weil ein Schild aber ja nicht rundherum schützt (vgl. z.B. Gunkel 1968, S. 14: „Ein gewöhnlicher Schild deckt nur von einer, Jahve aber von allen Seiten.“), besser so: Schild wird in der heb. Poesie des Öfteren auch rein metaphorisch für „Schutz“ verwendet (vgl. z.B. Creach 1996, S. 29f.; KBL3, S. 517) und das Heb. ba`ad (meist: „um...herum“) kann auch nur die Relation des Schutz-für-jmdn-Seins angeben (vgl. z.B. KBL3, S. 135): „JHWH ist ein Schild um mich“ = „JHWH ist Schutz für mich“. Der Sinn der beiden Teilverse ist daher: Viele sagen, es gäbe keine Rettung für den Beter von Gott - aber Gott schützt ihn eben doch.</w:t>
      </w:r>
    </w:p>
  </w:footnote>
  <w:footnote w:id="1519">
    <w:p>
      <w:pPr>
        <w:pStyle w:val="Funote"/>
        <w:rPr/>
      </w:pPr>
      <w:r>
        <w:rPr/>
        <w:footnoteRef/>
        <w:tab/>
        <w:t xml:space="preserve">mein Mächtiger (mein Herrlicher, mein Ansehen, meine Herrlichkeit) - W. auf den ersten Blick „meine Herrlichkeit“. Das macht aber nicht viel Sinn (=&gt; *Max ist Moritz' Herrlichkeit). Sinnvoller daher folgende Deutung: (1) kabod („Herrlichkeit“) ist hier wie öfter eine Bezeichnung für Gott, den „Herrlichen“, so dass alle drei aufeinanderfolgenden Aussagen Bezeichnungen für Gott enthalten: „mein Schild/Schutz“, „mein Herrlicher“, „der, der meinen Kopf erhebt“ (so z.B. Christensen 2005.3, S. 1; Dahood 1965, S. 15; Krašovec 1984, S. 60). (2) Brettler weist darauf hin, dass dies kabod im Heb. auch häufig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520">
    <w:p>
      <w:pPr>
        <w:pStyle w:val="Funote"/>
        <w:rPr/>
      </w:pPr>
      <w:r>
        <w:rPr/>
        <w:footnoteRef/>
        <w:tab/>
        <w:t>meinen Kopf (mich) erhebt (erhöht) - W.: „Der, der meinen Kopf erhöht“. „Mein Kopf“ ist im Heb. (ähnlich wie die „Seele“ in V. 3) ein Wechselbegriff für „Ich“ (vgl. z.B. Ryken 1998, S. 185.359f.; Schroer/Stäubli 2001, S. 83); „jmds Kopf erhöhen“ heißt daher hier „jemanden erhöhen“, „jemanden auszeichnen“ (vgl. KBL3, S. 1124).</w:t>
      </w:r>
    </w:p>
  </w:footnote>
  <w:footnote w:id="1521">
    <w:p>
      <w:pPr>
        <w:pStyle w:val="Funote"/>
        <w:rPr/>
      </w:pPr>
      <w:r>
        <w:rPr/>
        <w:footnoteRef/>
        <w:tab/>
        <w:t>tFN: ich [mit] meiner Stimme - Oft analysiert als adverbialer Akkusativ der Art und Weise (vgl. z.B. Ex 24,3); was dann aber zwingen würde, entweder „laut“ zu ergänzen oder gar „Mit meiner Stimme“ als Ausdruck für „laut“ zu lesen; beides ist recht gezwungen. Andere Analysen: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522">
    <w:p>
      <w:pPr>
        <w:pStyle w:val="Funote"/>
        <w:rPr/>
      </w:pPr>
      <w:r>
        <w:rPr>
          <w:i/>
        </w:rPr>
        <w:footnoteRef/>
        <w:tab/>
        <w:t>antwortet</w:t>
      </w:r>
      <w:r>
        <w:rPr/>
        <w:t xml:space="preserve"> - Das auf einen Flehruf folgende „Antworten“ Gottes steht in der Bibel fast ausnahmslos für eine Gebets</w:t>
      </w:r>
      <w:r>
        <w:rPr>
          <w:i/>
        </w:rPr>
        <w:t>erhörung</w:t>
      </w:r>
      <w:r>
        <w:rPr/>
        <w:t>; so auch hier.</w:t>
      </w:r>
    </w:p>
  </w:footnote>
  <w:footnote w:id="1523">
    <w:p>
      <w:pPr>
        <w:pStyle w:val="Funote"/>
        <w:rPr/>
      </w:pPr>
      <w:r>
        <w:rPr/>
        <w:footnoteRef/>
        <w:tab/>
        <w:t xml:space="preserve">tFN: Die folgenden Verbtempora sind schwierig zu deuten: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zur Stelle z.B. auch Beyerlin 1970, S. 79; Kissane 1953, S. 11). Das ist wohl nicht so, deswegen sollte das Wayyiqtol </w:t>
      </w:r>
      <w:r>
        <w:rPr>
          <w:rtl w:val="true"/>
          <w:lang w:bidi="he-IL"/>
        </w:rPr>
        <w:t>וַיַּנֵנִי</w:t>
      </w:r>
      <w:r>
        <w:rPr/>
        <w:t xml:space="preserve"> </w:t>
      </w:r>
      <w:r>
        <w:rPr/>
        <w:t xml:space="preserve">besser mit Craigie, Gunkel, Kraus, Kselman, Zuber u.a. umpunktiert werden zum WeYiqtol </w:t>
      </w:r>
      <w:r>
        <w:rPr>
          <w:rtl w:val="true"/>
          <w:lang w:bidi="he-IL"/>
        </w:rPr>
        <w:t>וְיַּנֵנִי</w:t>
      </w:r>
      <w:r>
        <w:rPr/>
        <w:t xml:space="preserve"> </w:t>
      </w:r>
      <w:r>
        <w:rPr/>
        <w:t>(=&gt; Textkritik).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(=&gt; unmarkierter Nebensatz): „Wenn ich mich hinlege und schlafe / erwache ich wieder: JHWH schützt mich (habituelles Yiqtol)“. Ein Weiteres: Im Hebräischen kann eine Handlung auch nach dem Muster von hinlegen und schlafen durch zwei Verben ausgedrückt werden, was häufig ausdrückt, dass mit einer Handlung begonnen wird. Zum Beispiel kann ein Mensch im Hebräischen „aufstehen und gehen“=„losgehen“; „anheben und sprechen“=„das Wort ergreifen“ etc. Entsprechend könnte man hier „sich hinlegen und schlafen“ auch nur als „einschlafen“ übersetzen.</w:t>
      </w:r>
    </w:p>
  </w:footnote>
  <w:footnote w:id="1524">
    <w:p>
      <w:pPr>
        <w:pStyle w:val="Funote"/>
        <w:rPr/>
      </w:pPr>
      <w:r>
        <w:rPr/>
        <w:footnoteRef/>
        <w:tab/>
        <w:t xml:space="preserve">Mit dem </w:t>
      </w:r>
      <w:r>
        <w:rPr>
          <w:i/>
        </w:rPr>
        <w:t>heiligen Berg (dem Berg seiner Heiligkeit)</w:t>
      </w:r>
      <w:r>
        <w:rPr/>
        <w:t xml:space="preserve"> ist der Jerusalemer Berg Zion gemeint, auf dem der Tempel Gottes erbaut war. Nach altheb. Vorstellung wohnte Gott (zumindest „teilweise“) in seinem Tempel auf dem Zion (s. näher z.B. </w:t>
      </w:r>
      <w:hyperlink r:id="rId50">
        <w:r>
          <w:rPr>
            <w:rStyle w:val="Internetverknpfung"/>
          </w:rPr>
          <w:t>Zion / Zionstheologie (WiBiLex)</w:t>
        </w:r>
      </w:hyperlink>
      <w:r>
        <w:rPr/>
        <w:t xml:space="preserve">); ein Gebet musste daher zuerst zum Tempel in Zion dringen (s. z.B. </w:t>
      </w:r>
      <w:r>
        <w:fldChar w:fldCharType="begin"/>
      </w:r>
      <w:r>
        <w:instrText> HYPERLINK "file:///wiki/Jona_2" \l "s8"</w:instrText>
      </w:r>
      <w:r>
        <w:fldChar w:fldCharType="separate"/>
      </w:r>
      <w:r>
        <w:rPr>
          <w:rStyle w:val="Internetverknpfung"/>
        </w:rPr>
        <w:t>Jon 2,8</w:t>
      </w:r>
      <w:r>
        <w:fldChar w:fldCharType="end"/>
      </w:r>
      <w:r>
        <w:rPr/>
        <w:t>), um dann vom Tempel in Zion aus erhört werden zu können.</w:t>
      </w:r>
    </w:p>
  </w:footnote>
  <w:footnote w:id="1525">
    <w:p>
      <w:pPr>
        <w:pStyle w:val="Funote"/>
        <w:rPr/>
      </w:pPr>
      <w:r>
        <w:rPr/>
        <w:footnoteRef/>
        <w:tab/>
        <w:t>tFN: [den] - Auch ohne Artikel determiniert durch Relativsatz.</w:t>
      </w:r>
    </w:p>
  </w:footnote>
  <w:footnote w:id="1526">
    <w:p>
      <w:pPr>
        <w:pStyle w:val="Funote"/>
        <w:rPr/>
      </w:pPr>
      <w:r>
        <w:rPr/>
        <w:footnoteRef/>
        <w:tab/>
        <w:t xml:space="preserve">tFN: {Ja!,} - Emphatisches </w:t>
      </w:r>
      <w:r>
        <w:rPr>
          <w:rtl w:val="true"/>
          <w:lang w:bidi="he-IL"/>
        </w:rPr>
        <w:t>כִּי</w:t>
      </w:r>
      <w:r>
        <w:rPr/>
        <w:t>; in der LF besser auszusparen.</w:t>
      </w:r>
    </w:p>
  </w:footnote>
  <w:footnote w:id="1527">
    <w:p>
      <w:pPr>
        <w:pStyle w:val="Funote"/>
        <w:rPr/>
      </w:pPr>
      <w:r>
        <w:rPr/>
        <w:footnoteRef/>
        <w:tab/>
        <w:t>tFN: Zerschlage - W. auf den ersten Blick „du zerschlägst/hast zerschlagen“, was aber dazu zwingen würde, zwischen der Äußerung von Vv. 8ab (der Bitte) und 8c (Der Erfüllung der Bitte) eine ganze Kriegshandlung vergehen lassen zu müssen (so aber dennoch z.B. Beyerlin 1970; Kraus 1961). Besser: Prekatives Qatal; das Qatal wird aus poetischen Gründen wie ein Imperativ verwendet (so z.B. Buttenwieser 1938, S. 397; Dahood 1965, S. 20; Houston/Waltke 2010, S. 193; Kselman 1987, S. 578).</w:t>
      </w:r>
    </w:p>
  </w:footnote>
  <w:footnote w:id="1528">
    <w:p>
      <w:pPr>
        <w:pStyle w:val="Funote"/>
        <w:rPr/>
      </w:pPr>
      <w:r>
        <w:rPr/>
        <w:footnoteRef/>
        <w:tab/>
        <w:t>Zerschlage (Schlage auf) - Die Parallelität von 8c zu 8d zeigt, dass wir hier durchaus nicht an Backpfeifen und Ohrfeigen zu denken haben, wie das die Mehrzahl der Exegeten und Üss.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Hackett/Huehnergard 1984).</w:t>
      </w:r>
    </w:p>
  </w:footnote>
  <w:footnote w:id="1529">
    <w:p>
      <w:pPr>
        <w:pStyle w:val="Funote"/>
        <w:rPr/>
      </w:pPr>
      <w:r>
        <w:rPr/>
        <w:footnoteRef/>
        <w:tab/>
        <w:t>Bei JHWH ist Rettung - d.h.: „JHWH ist es, der rettet“ (ein sog. „Lamed der Zuständigkeit“: „Für die Rettung ist JHWH zuständig“).</w:t>
      </w:r>
    </w:p>
  </w:footnote>
  <w:footnote w:id="1530">
    <w:p>
      <w:pPr>
        <w:pStyle w:val="Funote"/>
        <w:rPr/>
      </w:pPr>
      <w:r>
        <w:rPr/>
        <w:footnoteRef/>
        <w:tab/>
        <w:t>[Status: Zuverlässig]</w:t>
      </w:r>
    </w:p>
  </w:footnote>
  <w:footnote w:id="1531">
    <w:p>
      <w:pPr>
        <w:pStyle w:val="Funote"/>
        <w:rPr/>
      </w:pPr>
      <w:r>
        <w:rPr>
          <w:i/>
        </w:rPr>
        <w:footnoteRef/>
        <w:tab/>
        <w:t>Chorleiter (Dirigenten, Singenden, Musizierenden)</w:t>
      </w:r>
      <w:r>
        <w:rPr/>
        <w:t xml:space="preserve"> - Genaue Bedeutung unklar. Die gewählte Übersetzung ist mehr oder weniger Konvention, obwohl es nicht an alternativen Übersetzungsvorschlägen mangelt.</w:t>
      </w:r>
    </w:p>
  </w:footnote>
  <w:footnote w:id="1532">
    <w:p>
      <w:pPr>
        <w:pStyle w:val="Funote"/>
        <w:rPr/>
      </w:pPr>
      <w:r>
        <w:rPr/>
        <w:footnoteRef/>
        <w:tab/>
        <w:t>Saitenspiel (Flötenspiel) - Bed. unklar. Auch die Übersetzung „Saitenspiel“ ist mehr oder weniger bloß Konvention; daneben gibt es z.B. die alternative Übersetzungstradition „Flötenspiel“; so z.B. Houston/Waltke 2010, S. 223f.; Kissane 1953, S. 13.</w:t>
      </w:r>
    </w:p>
  </w:footnote>
  <w:footnote w:id="1533">
    <w:p>
      <w:pPr>
        <w:pStyle w:val="Funote"/>
        <w:rPr/>
      </w:pPr>
      <w:r>
        <w:rPr>
          <w:i/>
        </w:rPr>
        <w:footnoteRef/>
        <w:tab/>
        <w:t>antworte mir (erhöre mich)</w:t>
      </w:r>
      <w:r>
        <w:rPr/>
        <w:t xml:space="preserve"> - Die Rede vom „Antworten“ Gottes meint in den Psalmen häufig dessen Gebetserhörungen; so auch hier.</w:t>
      </w:r>
    </w:p>
  </w:footnote>
  <w:footnote w:id="1534">
    <w:p>
      <w:pPr>
        <w:pStyle w:val="Funote"/>
        <w:rPr/>
      </w:pPr>
      <w:r>
        <w:rPr>
          <w:i/>
        </w:rPr>
        <w:footnoteRef/>
        <w:tab/>
        <w:t>mein wahrer Gott (gerechter Gott, Gott meines Heils, Gott meiner Gerechtigkeit</w:t>
      </w:r>
      <w:r>
        <w:rPr/>
        <w:t xml:space="preserve"> - der heb. Text lässt sich entweder als Genitiv des Effekts deuten, also etwa als „du Gott, der für mich Gerechtigkeit/Heil verursacht“, oder als attributiver Genitiv, also etwa „du mein gerechter/wahrer Gott“. Da Gott in V. 3 mit anderen Götzen kontrastiert wird, haben wir der Üs. „du wahrer Gott“ den Vorzug gegeben.</w:t>
      </w:r>
    </w:p>
  </w:footnote>
  <w:footnote w:id="1535">
    <w:p>
      <w:pPr>
        <w:pStyle w:val="Funote"/>
        <w:rPr/>
      </w:pPr>
      <w:r>
        <w:rPr/>
        <w:footnoteRef/>
        <w:tab/>
        <w:t>tFN: schaff mir (hast geschaffen) - prekatives Qatal; so ad loc. auch Buttenwieser 1938; Craigie 1983; Ehrlich 1905; Eitan 1929, S. 25; Gerstenberger 1988; Goldingay 2006b; Houston/Waltke 2010; IBHS §30.5.4d.</w:t>
      </w:r>
    </w:p>
  </w:footnote>
  <w:footnote w:id="1536">
    <w:p>
      <w:pPr>
        <w:pStyle w:val="Funote"/>
        <w:rPr/>
      </w:pPr>
      <w:r>
        <w:rPr/>
        <w:footnoteRef/>
        <w:tab/>
        <w:t>schaff mir Weite (hilf mir in meiner Not) - „Raum schaffen, weit machen, weiten“ ist hier sicher metaphorisch zu verstehen; vgl. z.B. Zorell 1928, S. 6: „Die Hebräer sahen Gefahr als »Enge« und die Befreiung von der Gefahr als »Erweiterung«, »Zugeständnis von weiten Räumen« an.“ Die einzige wirkliche weitere Belegstelle, die man hierfür heranziehen kann, ist Ps 25,17; aber die Parallele ist so nah und die Stoßrichtung der beiden Verse so klar, dass dies in der Tat die zu wählende Übersetzung sein sollte. So auch ALB; CSB; ESV; GNT; GW; HER; HNV; Houston/Waltke 2010, S. 223; Kissane 1953, S. 13; LEB; NAS; NCV; NGÜ; NIV; NKJV; Ross 2011, S. 229; TNIV; van Ess; WEB.</w:t>
      </w:r>
    </w:p>
  </w:footnote>
  <w:footnote w:id="1537">
    <w:p>
      <w:pPr>
        <w:pStyle w:val="Funote"/>
        <w:rPr/>
      </w:pPr>
      <w:r>
        <w:rPr/>
        <w:footnoteRef/>
        <w:tab/>
        <w:t>höre(n) (erhöre(n)) - Das „Hören“ Gottes meint in den Psalmen oft ebenso wie sein „Antworten“ Gebetserhörungen; zumal in Kombination mit dem Begriff tefillah („Flehen, Bitten, Gebet“) wie in V. 2; vgl. z.B. Schökel 1980, S. 41.</w:t>
      </w:r>
    </w:p>
  </w:footnote>
  <w:footnote w:id="1538">
    <w:p>
      <w:pPr>
        <w:pStyle w:val="Funote"/>
        <w:rPr/>
      </w:pPr>
      <w:r>
        <w:rPr/>
        <w:footnoteRef/>
        <w:tab/>
        <w:t>{Männer} - Heb. bene ´isch („Söhne von Männern“). Häufig heißt es, dies meine entsprechend dem babylonischen mâr awilim und im Unterschied zum heb. bene ´adam („Söhne von Menschen“) höhergestellte Personen (daher z.B. Bonkamp 1949: „Söhne der Vornehmen“; Dahood 1965: „O men of rank“), aber an der einzigen Stelle, an der bene ´isch vorkommt und evt. diese Konnotation haben kann ( Ps 49,3), stammt diese Konnotation aus dem Kontext. Da hier der Kontext nicht in diese Richtung weist - und ebensowenig in Ps 62,10; Klg 3,33 - besser allgemein „Leute!/Männer!“. Ein solcher eine Rede einleitende Vokativ ist im Deutschen aber unüblich, weshalb man es für die Lesefassung besser streichen sollte.</w:t>
      </w:r>
    </w:p>
  </w:footnote>
  <w:footnote w:id="1539">
    <w:p>
      <w:pPr>
        <w:pStyle w:val="Funote"/>
        <w:rPr/>
      </w:pPr>
      <w:r>
        <w:rPr/>
        <w:footnoteRef/>
        <w:tab/>
        <w:t>Herrlicher (Gott, meine Ehre) - W. auf den ersten Blick „meine Herrlichkeit“; kabod („Herrlichkeit“) wird hier wohl wie oft appellativisch für JHWH verwendet, wohin z.B. die folgende Kontrastierung mit den „Lügen-gebilden und Nichtsen“ (=Götzen) in V. 3b weist. So z.B. Dahood 1965, S. 22; Goldingay 2006b, S. 171; NIV.</w:t>
      </w:r>
    </w:p>
  </w:footnote>
  <w:footnote w:id="1540">
    <w:p>
      <w:pPr>
        <w:pStyle w:val="Funote"/>
        <w:rPr/>
      </w:pPr>
      <w:r>
        <w:rPr/>
        <w:footnoteRef/>
        <w:tab/>
        <w:t>geschmäht (zum Schimpf) - W. „zum Schimpf“, Lamed des Zustands; vgl. z.B. KBL3, S. 484. Die Bedeutung ist schlicht „Wie lange soll das noch so gehen, dass ihr meinen Gott schmäht?“.</w:t>
      </w:r>
    </w:p>
  </w:footnote>
  <w:footnote w:id="1541">
    <w:p>
      <w:pPr>
        <w:pStyle w:val="Funote"/>
        <w:rPr/>
      </w:pPr>
      <w:r>
        <w:rPr/>
        <w:footnoteRef/>
        <w:tab/>
        <w:t>[Wie lange] - Brachylogie aus V. 3a; so auch Buttenwieser 1938; Craigie 1983; Dahood 1965; Deissler 1989; Goldingay 2006b; Kirkpatrick 1897; Ross 2011; Terrien 2003, S. 94.</w:t>
      </w:r>
    </w:p>
  </w:footnote>
  <w:footnote w:id="1542">
    <w:p>
      <w:pPr>
        <w:pStyle w:val="Funote"/>
        <w:rPr/>
      </w:pPr>
      <w:r>
        <w:rPr/>
        <w:footnoteRef/>
        <w:tab/>
        <w:t>Nichtiges, Leeres und andere ähnliche Substantive werden in der Bibel häufiger dysphemistisch für Götzen verwendet; so auch hier; vgl. ad loc. Dahood 1965, S. 23f.; Terrien 2003, S. 97.</w:t>
      </w:r>
    </w:p>
  </w:footnote>
  <w:footnote w:id="1543">
    <w:p>
      <w:pPr>
        <w:pStyle w:val="Funote"/>
        <w:rPr/>
      </w:pPr>
      <w:r>
        <w:rPr>
          <w:i/>
        </w:rPr>
        <w:footnoteRef/>
        <w:tab/>
        <w:t>{</w:t>
      </w:r>
      <w:r>
        <w:rPr>
          <w:i/>
          <w:strike/>
        </w:rPr>
        <w:t>Sela</w:t>
      </w:r>
      <w:r>
        <w:rPr>
          <w:i/>
        </w:rPr>
        <w:t>}</w:t>
      </w:r>
      <w:r>
        <w:rPr/>
        <w:t xml:space="preserve"> - Die Bedeutung von </w:t>
      </w:r>
      <w:r>
        <w:rPr>
          <w:i/>
        </w:rPr>
        <w:t>sela</w:t>
      </w:r>
      <w:r>
        <w:rPr/>
        <w:t xml:space="preserve"> ist unklar; vgl. Lexikon/Lemma </w:t>
      </w:r>
      <w:hyperlink r:id="rId51">
        <w:r>
          <w:rPr>
            <w:rStyle w:val="Internetverknpfung"/>
            <w:rtl w:val="true"/>
            <w:lang w:bidi="he-IL"/>
          </w:rPr>
          <w:t>סֶלַה</w:t>
        </w:r>
      </w:hyperlink>
      <w:r>
        <w:rPr/>
        <w:t>. In der Lesefassung sollte es daher besser gestrichen werden, da es sonst nur ein unverständlicher Fremdkörper im deutschen Text wäre.</w:t>
      </w:r>
    </w:p>
  </w:footnote>
  <w:footnote w:id="1544">
    <w:p>
      <w:pPr>
        <w:pStyle w:val="Funote"/>
        <w:rPr/>
      </w:pPr>
      <w:r>
        <w:rPr/>
        <w:footnoteRef/>
        <w:tab/>
        <w:t xml:space="preserve">Textkritik: Der Vers gibt, wie er steht, im Kontext des Psalms nicht sonderlich viel Sinn: „JHWH hat sich einen Frommen ge-/unterschieden“. Häufig wird er daher emendiert: # nach LXX, Hier und vielen Handschriften wird </w:t>
      </w:r>
      <w:r>
        <w:rPr>
          <w:rtl w:val="true"/>
          <w:lang w:bidi="he-IL"/>
        </w:rPr>
        <w:t>הִפְלָה</w:t>
      </w:r>
      <w:r>
        <w:rPr/>
        <w:t xml:space="preserve"> „</w:t>
      </w:r>
      <w:r>
        <w:rPr/>
        <w:t xml:space="preserve">er hat geschieden“ emendiert zu </w:t>
      </w:r>
      <w:r>
        <w:rPr>
          <w:rtl w:val="true"/>
          <w:lang w:bidi="he-IL"/>
        </w:rPr>
        <w:t>הִפְלָא</w:t>
      </w:r>
      <w:r>
        <w:rPr/>
        <w:t xml:space="preserve"> „</w:t>
      </w:r>
      <w:r>
        <w:rPr/>
        <w:t xml:space="preserve">er hat Wunder vollbracht/wundervoll gehandelt“; so z.B. BB; Briggs 1906; Buttenwieser 1938; Deissler 1989; EÜ; GN; GRAIL; HER; Kissane 1953; Kittel 1914; LUT; PAT; TAF; Terrien 2003; van Ess; Weinrich; Zink; Zuber 1986. Dem ist zuzustimmen; die Verschreibung von vokalischem Alef als vokalischem He ist recht häufig. Dahood 1965, S. 23 denkt sogar, dass es sich bloß um eine alternative Schreibung handelt; evt. ebenso Davidson 1873, S. 72. # Entsprechend dem Vorschlag von BHS wird zusätzlich öfters auch </w:t>
      </w:r>
      <w:r>
        <w:rPr>
          <w:rtl w:val="true"/>
          <w:lang w:bidi="he-IL"/>
        </w:rPr>
        <w:t>חַסִיד לוֹ</w:t>
      </w:r>
      <w:r>
        <w:rPr/>
        <w:t xml:space="preserve"> „</w:t>
      </w:r>
      <w:r>
        <w:rPr/>
        <w:t xml:space="preserve">sein Frommer“ emendiert zu </w:t>
      </w:r>
      <w:r>
        <w:rPr>
          <w:rtl w:val="true"/>
          <w:lang w:bidi="he-IL"/>
        </w:rPr>
        <w:t>חַסְדּוֹ לִי</w:t>
      </w:r>
      <w:r>
        <w:rPr/>
        <w:t xml:space="preserve"> „</w:t>
      </w:r>
      <w:r>
        <w:rPr/>
        <w:t>mir seine Gnade“; so z.B. Buttenwieser 1938; Kittel 1914; Schmidt 1934. Das ist unnötig.</w:t>
      </w:r>
    </w:p>
  </w:footnote>
  <w:footnote w:id="1545">
    <w:p>
      <w:pPr>
        <w:pStyle w:val="Funote"/>
        <w:rPr/>
      </w:pPr>
      <w:r>
        <w:rPr>
          <w:i/>
        </w:rPr>
        <w:footnoteRef/>
        <w:tab/>
        <w:t>den ihm Frommen (seinem Frommen)</w:t>
      </w:r>
      <w:r>
        <w:rPr/>
        <w:t xml:space="preserve"> - Heb. </w:t>
      </w:r>
      <w:r>
        <w:rPr>
          <w:i/>
        </w:rPr>
        <w:t>lo</w:t>
      </w:r>
      <w:r>
        <w:rPr/>
        <w:t xml:space="preserve"> („sein“/„den ihm“) lässt sich sowohl possessiv deuten („</w:t>
      </w:r>
      <w:r>
        <w:rPr>
          <w:i/>
        </w:rPr>
        <w:t>sein</w:t>
      </w:r>
      <w:r>
        <w:rPr/>
        <w:t xml:space="preserve"> Frommer“) als auch „direktional“ als Angabe, wem die Frömmigkeit des Frommen gilt („der </w:t>
      </w:r>
      <w:r>
        <w:rPr>
          <w:i/>
        </w:rPr>
        <w:t>ihm</w:t>
      </w:r>
      <w:r>
        <w:rPr/>
        <w:t xml:space="preserve"> Fromme“). Wg. dem Kontrast mit Götzenanbetern ist Letzteres vorzuziehen.</w:t>
      </w:r>
    </w:p>
  </w:footnote>
  <w:footnote w:id="1546">
    <w:p>
      <w:pPr>
        <w:pStyle w:val="Funote"/>
        <w:rPr/>
      </w:pPr>
      <w:r>
        <w:rPr/>
        <w:footnoteRef/>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Wir möchten daher folgende Lösung vorschlagen: Interpretiert man den jeweils ersten Imperativ der beiden Imperativketten als Pseudo-Imperativ, lässt sich die Sinnstruktur des Verses als hyperbatischer (=&gt; Hyperbaton) Merismus deuten; der Vers bedeutete dann etwa „Ob ihr erregt seid oder nachdenkt: Sündigt nicht und schweigt!“. V. 5 schließt sich damit eng an an V. 3a. Ähnlich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547">
    <w:p>
      <w:pPr>
        <w:pStyle w:val="Funote"/>
        <w:rPr/>
      </w:pPr>
      <w:r>
        <w:rPr/>
        <w:footnoteRef/>
        <w:tab/>
        <w:t>unruhig seid (seid unruhig!, Zittert!) - „Zittern“ steht häufig metonymisch für den Ausdruck eines starken Gefühls; um welches Gefühl es sich handelt, muss dabei aus dem Kontext erschlossen werden (vgl. ThWAT VII, S. 328). Indiz für die hierige Bedeutung ist der Gegensatz des Wortes zu „Geht in euch!“ (W.: „Sprecht mit euren Herzen“) im folgenden Sticho. Daher wohl am Besten „seid unruhig!“. Vgl. auch die letzte Fußnote.</w:t>
      </w:r>
    </w:p>
  </w:footnote>
  <w:footnote w:id="1548">
    <w:p>
      <w:pPr>
        <w:pStyle w:val="Funote"/>
        <w:rPr/>
      </w:pPr>
      <w:r>
        <w:rPr/>
        <w:footnoteRef/>
        <w:tab/>
        <w:t>[Wenn ihr] in euren Betten in euren Herzen sprecht - Im Herzen sprechen = häufiger Ausdruck für „reflektieren“ (vgl. z.B. Kselman 1987b, S. 104). Mit dem „Reflektieren im Bett“ zitiert der Psalmist ein häufiges Motiv: Die Nachruhe wird in der Bibel noch öfter dargestellt als die charakteristische Zeit für das Nachdenken über Gott; s. z.B. Ijob 35,10; Ps 42,9; Ps 77,7; Ps 119,55; Ps 119,62; Jes 26,9 u.ö. (vgl. auch Booij 2008, S. 107).</w:t>
      </w:r>
    </w:p>
  </w:footnote>
  <w:footnote w:id="1549">
    <w:p>
      <w:pPr>
        <w:pStyle w:val="Funote"/>
        <w:rPr/>
      </w:pPr>
      <w:r>
        <w:rPr/>
        <w:footnoteRef/>
        <w:tab/>
        <w:t>Opfer dem wahren [Gott] (Opfer der Gerechtigkeit, richtige Opfer) - Meist übersetzt als „Opfer der Gerechtigkeit“ oder „rechte Opfer“. Darüber, was das eigentlich sein soll, besteht keine Einigkeit in der Exegese. Besser daher: zsedeq ist zu verstehen als Appellativ für JHWH, wie er ja schon in V. 2 als der tsedeq Gott beannt wrude und die Entsprechungen von tsedeq im Arabischen, Phönizischen und Ugaritischen häufiger verwendet werden (vgl. KBL3, S. 943). W. dann „Opfer des Wahren“; das des Wahren ist dann als Genitiv des Zwecks zu verstehen (vgl. z.B. A-C §2.2.8): „Opfer für den Wahren“. Vgl. die parallelen Formulierungen „Opfer der Götter“=„Opfer für die Götter“ (z.B. Num 25,2; Ps 51,19) und „Opfer JHWHs“=„Opfer für JHWH“ (z.B. Zef 1,8).</w:t>
      </w:r>
    </w:p>
  </w:footnote>
  <w:footnote w:id="1550">
    <w:p>
      <w:pPr>
        <w:pStyle w:val="Funote"/>
        <w:rPr/>
      </w:pPr>
      <w:r>
        <w:rPr>
          <w:i/>
        </w:rPr>
        <w:footnoteRef/>
        <w:tab/>
        <w:t>[Während]</w:t>
      </w:r>
      <w:r>
        <w:rPr/>
        <w:t xml:space="preserve"> - 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551">
    <w:p>
      <w:pPr>
        <w:pStyle w:val="Funote"/>
        <w:rPr/>
      </w:pPr>
      <w:r>
        <w:rPr/>
        <w:footnoteRef/>
        <w:tab/>
        <w:t>Lass uns Gutes erfahren! - Theoretisch möglich: Deutung der rhetorischen Frage als Wunschsatz; so z.B. Goldingay 2006b, S. 167; Warren-Rothlin 2007, S. 66; Dav §135; HKL III §354g</w:t>
      </w:r>
    </w:p>
  </w:footnote>
  <w:footnote w:id="1552">
    <w:p>
      <w:pPr>
        <w:pStyle w:val="Funote"/>
        <w:rPr/>
      </w:pPr>
      <w:r>
        <w:rPr>
          <w:i/>
        </w:rPr>
        <w:footnoteRef/>
        <w:tab/>
        <w:t>[wo doch]</w:t>
      </w:r>
      <w:r>
        <w:rPr/>
        <w:t xml:space="preserve"> - V. 7b soll offenbar das Motiv hinter dem mangelnden Vertrauen in Gott der „Vielen“ in 7a nennen; übersetze daher „da...“, „wo doch...“ o.Ä.</w:t>
      </w:r>
    </w:p>
  </w:footnote>
  <w:footnote w:id="1553">
    <w:p>
      <w:pPr>
        <w:pStyle w:val="Funote"/>
        <w:rPr/>
      </w:pPr>
      <w:r>
        <w:rPr/>
        <w:footnoteRef/>
        <w:tab/>
        <w:t xml:space="preserve">Textkritik: </w:t>
      </w:r>
      <w:r>
        <w:rPr>
          <w:rtl w:val="true"/>
          <w:lang w:bidi="he-IL"/>
        </w:rPr>
        <w:t>נְסָה</w:t>
      </w:r>
      <w:r>
        <w:rPr/>
        <w:t xml:space="preserve"> </w:t>
      </w:r>
      <w:r>
        <w:rPr/>
        <w:t xml:space="preserve">muss emendiert werden. Meist wird es emendiert zu # </w:t>
      </w:r>
      <w:r>
        <w:rPr>
          <w:rtl w:val="true"/>
          <w:lang w:bidi="he-IL"/>
        </w:rPr>
        <w:t>נְשָה</w:t>
      </w:r>
      <w:r>
        <w:rPr/>
        <w:t xml:space="preserve"> </w:t>
      </w:r>
      <w:r>
        <w:rPr/>
        <w:t xml:space="preserve">erhebe! (so z.B. Duhm, Craigie, Houston/Waltke, Kittel, ...); vorzuziehen ist aber # entweder </w:t>
      </w:r>
      <w:r>
        <w:rPr>
          <w:rtl w:val="true"/>
          <w:lang w:bidi="he-IL"/>
        </w:rPr>
        <w:t>נַסָּה</w:t>
      </w:r>
      <w:r>
        <w:rPr/>
        <w:t xml:space="preserve"> </w:t>
      </w:r>
      <w:r>
        <w:rPr/>
        <w:t xml:space="preserve">oder </w:t>
      </w:r>
      <w:r>
        <w:rPr>
          <w:rtl w:val="true"/>
          <w:lang w:bidi="he-IL"/>
        </w:rPr>
        <w:t>נַסֵּה</w:t>
      </w:r>
      <w:r>
        <w:rPr/>
        <w:t xml:space="preserve"> </w:t>
      </w:r>
      <w:r>
        <w:rPr/>
        <w:t xml:space="preserve">erhebe! (von </w:t>
      </w:r>
      <w:r>
        <w:rPr>
          <w:rtl w:val="true"/>
          <w:lang w:bidi="he-IL"/>
        </w:rPr>
        <w:t>נסה</w:t>
      </w:r>
      <w:r>
        <w:rPr/>
        <w:t xml:space="preserve"> </w:t>
      </w:r>
      <w:r>
        <w:rPr/>
        <w:t xml:space="preserve">II, einer Nebenform von </w:t>
      </w:r>
      <w:r>
        <w:rPr>
          <w:rtl w:val="true"/>
          <w:lang w:bidi="he-IL"/>
        </w:rPr>
        <w:t>נשׁא</w:t>
      </w:r>
      <w:r>
        <w:rPr/>
        <w:t xml:space="preserve"> </w:t>
      </w:r>
      <w:r>
        <w:rPr/>
        <w:t xml:space="preserve">erheben - so Halévy 1894c, S. 216), # oder </w:t>
      </w:r>
      <w:r>
        <w:rPr>
          <w:rtl w:val="true"/>
          <w:lang w:bidi="he-IL"/>
        </w:rPr>
        <w:t>נָסָה</w:t>
      </w:r>
      <w:r>
        <w:rPr/>
        <w:t xml:space="preserve"> </w:t>
      </w:r>
      <w:r>
        <w:rPr/>
        <w:t xml:space="preserve">geflohen ist (so Dahood 1965, S. 26; Driver 1951, S. 247; Schökel 1980, S. 38), da dies den Konsonantenbestand nicht antastet (unsere Lösung). Andere Vorschläge: # </w:t>
      </w:r>
      <w:r>
        <w:rPr>
          <w:rtl w:val="true"/>
          <w:lang w:bidi="he-IL"/>
        </w:rPr>
        <w:t>נִשָּא</w:t>
      </w:r>
      <w:r>
        <w:rPr/>
        <w:t xml:space="preserve"> </w:t>
      </w:r>
      <w:r>
        <w:rPr/>
        <w:t xml:space="preserve">es schien (Kissane 1953, S. 14); # </w:t>
      </w:r>
      <w:r>
        <w:rPr>
          <w:rtl w:val="true"/>
          <w:lang w:bidi="he-IL"/>
        </w:rPr>
        <w:t>כִסָּה</w:t>
      </w:r>
      <w:r>
        <w:rPr/>
        <w:t xml:space="preserve"> </w:t>
      </w:r>
      <w:r>
        <w:rPr/>
        <w:t xml:space="preserve">er hat verhüllt (Schmidt 1934, S. 7); # </w:t>
      </w:r>
      <w:r>
        <w:rPr>
          <w:rtl w:val="true"/>
          <w:lang w:bidi="he-IL"/>
        </w:rPr>
        <w:t>נָסְעָה</w:t>
      </w:r>
      <w:r>
        <w:rPr/>
        <w:t xml:space="preserve"> </w:t>
      </w:r>
      <w:r>
        <w:rPr/>
        <w:t>gewichen ist (Kraus 1961, S. 31).</w:t>
      </w:r>
    </w:p>
  </w:footnote>
  <w:footnote w:id="1554">
    <w:p>
      <w:pPr>
        <w:pStyle w:val="Funote"/>
        <w:rPr/>
      </w:pPr>
      <w:r>
        <w:rPr/>
        <w:footnoteRef/>
        <w:tab/>
        <w:t>tFN: von über - Zu dieser Bed. von `al vgl. z.B. Driver 1951, S. 247.</w:t>
      </w:r>
    </w:p>
  </w:footnote>
  <w:footnote w:id="1555">
    <w:p>
      <w:pPr>
        <w:pStyle w:val="Funote"/>
        <w:rPr/>
      </w:pPr>
      <w:r>
        <w:rPr/>
        <w:footnoteRef/>
        <w:tab/>
        <w:t>Das »Licht des Angesichts« JHWHs ist eine häufige Metapher im AT. Sie geht wohl darauf zurück, dass man sich JHWH ursprünglich (auch) als einen Sonnengott vorstellte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556">
    <w:p>
      <w:pPr>
        <w:pStyle w:val="Funote"/>
        <w:rPr/>
      </w:pPr>
      <w:r>
        <w:rPr/>
        <w:footnoteRef/>
        <w:tab/>
        <w:t>tFN: gib! - Einige interpretieren auch hier als prekatives Qatal.</w:t>
      </w:r>
    </w:p>
  </w:footnote>
  <w:footnote w:id="1557">
    <w:p>
      <w:pPr>
        <w:pStyle w:val="Funote"/>
        <w:rPr/>
      </w:pPr>
      <w:r>
        <w:rPr>
          <w:i/>
        </w:rPr>
        <w:footnoteRef/>
        <w:tab/>
        <w:t>{</w:t>
      </w:r>
      <w:r>
        <w:rPr>
          <w:i/>
          <w:strike/>
        </w:rPr>
        <w:t>mehr als</w:t>
      </w:r>
      <w:r>
        <w:rPr>
          <w:i/>
        </w:rPr>
        <w:t>}</w:t>
      </w:r>
      <w:r>
        <w:rPr/>
        <w:t xml:space="preserve"> - heb. </w:t>
      </w:r>
      <w:r>
        <w:rPr>
          <w:i/>
        </w:rPr>
        <w:t>min</w:t>
      </w:r>
      <w:r>
        <w:rPr/>
        <w:t xml:space="preserve"> kann sowohl komparativisch („</w:t>
      </w:r>
      <w:r>
        <w:rPr>
          <w:i/>
        </w:rPr>
        <w:t>mehr als</w:t>
      </w:r>
      <w:r>
        <w:rPr/>
        <w:t xml:space="preserve"> zur Zeit“) als auch temporal verstanden werden. Da es sich hier an „Zeit“ anschließt, liegt eine andere Interpretation als die temporale ohnehin recht fern, und auch so will die komparativische keinen rechten Sinn ergeben: „mehr als zur Zeit“ würde eine verglichene Zeit erfordern; z.B. „[Heute] hast du mir mehr Freude bereitet als zur Zeit...“ Dennoch so viele Üss.</w:t>
      </w:r>
    </w:p>
  </w:footnote>
  <w:footnote w:id="1558">
    <w:p>
      <w:pPr>
        <w:pStyle w:val="Funote"/>
        <w:rPr/>
      </w:pPr>
      <w:r>
        <w:rPr/>
        <w:footnoteRef/>
        <w:tab/>
        <w:t>tFN: {ihr} - Vermeintliche Personalpronomen verstanden als enklitische Mems (vgl. z.B. IBHS §9.8).</w:t>
      </w:r>
    </w:p>
  </w:footnote>
  <w:footnote w:id="1559">
    <w:p>
      <w:pPr>
        <w:pStyle w:val="Funote"/>
        <w:rPr/>
      </w:pPr>
      <w:r>
        <w:rPr/>
        <w:footnoteRef/>
        <w:tab/>
        <w:t xml:space="preserve">sofort - Vgl. CDCH, S. 151: </w:t>
      </w:r>
      <w:r>
        <w:rPr>
          <w:rtl w:val="true"/>
          <w:lang w:bidi="he-IL"/>
        </w:rPr>
        <w:t>יַחְדָּו</w:t>
      </w:r>
      <w:r>
        <w:rPr/>
        <w:t>: „(almost) contemporaneous activity, modifying two verbs [...] I both lie down and sleep Ps 4,9.“</w:t>
      </w:r>
    </w:p>
  </w:footnote>
  <w:footnote w:id="1560">
    <w:p>
      <w:pPr>
        <w:pStyle w:val="Funote"/>
        <w:rPr/>
      </w:pPr>
      <w:r>
        <w:rPr/>
        <w:footnoteRef/>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Motivs des „abseits-Wohnens“, was - wie ja auch hier durch die Parallelität zu „sicher“ deutlich wird - häufig auch die Konnotation des sicheren Wohnens annimmt (vgl. z.B. Num 23,9; Dtn 33,28), daher ist Variante 3 vorzuziehen.</w:t>
      </w:r>
    </w:p>
  </w:footnote>
  <w:footnote w:id="1561">
    <w:p>
      <w:pPr>
        <w:pStyle w:val="Funote"/>
        <w:rPr/>
      </w:pPr>
      <w:r>
        <w:rPr/>
        <w:footnoteRef/>
        <w:tab/>
        <w:t>JHWH</w:t>
      </w:r>
    </w:p>
  </w:footnote>
  <w:footnote w:id="1562">
    <w:p>
      <w:pPr>
        <w:pStyle w:val="Funote"/>
        <w:rPr/>
      </w:pPr>
      <w:r>
        <w:rPr/>
        <w:footnoteRef/>
        <w:tab/>
        <w:t>[Status: Zuverlässig]</w:t>
      </w:r>
    </w:p>
  </w:footnote>
  <w:footnote w:id="1563">
    <w:p>
      <w:pPr>
        <w:pStyle w:val="Funote"/>
        <w:rPr/>
      </w:pPr>
      <w:r>
        <w:rPr>
          <w:i/>
        </w:rPr>
        <w:footnoteRef/>
        <w:tab/>
        <w:t>Chorleiter (Dirigenten, Singenden, Musizierenden)</w:t>
      </w:r>
      <w:r>
        <w:rPr/>
        <w:t xml:space="preserve"> - Genaue Bedeutung unklar; die gewählte Übersetzung ist mehr oder weniger Konvention, obwohl es nicht an alternativen Übersetzungsvorschlägen mangelt.</w:t>
      </w:r>
    </w:p>
  </w:footnote>
  <w:footnote w:id="1564">
    <w:p>
      <w:pPr>
        <w:pStyle w:val="Funote"/>
        <w:rPr/>
      </w:pPr>
      <w:r>
        <w:rPr/>
        <w:footnoteRef/>
        <w:tab/>
        <w:t xml:space="preserve">Zu Flötenspiel (nach „das Erbe“) - Bed. unklar. Heute wird der Begriff i.d.R. so verstanden, dass es sich sich um eine Angabe zur musikalischen Begleitung des Psalms handle („zum Flötenspiel“; vgl. z.B. Ges18, S. 800f.). Früher dagegen war die Deutung verbreitet, den Ausdruck als Angabe einer gebräuchlichen Melodie zu sehen, nach der der Psalm zu singen sei („nach ‚das Erbe‘“; so fast alle alten Üss. (LXX, VUL, Aq, Sym); auch König 1927; Schmidt 1934; LUT1912; auch zwei alte Handschriften ändern den Text nach </w:t>
      </w:r>
      <w:r>
        <w:rPr>
          <w:rtl w:val="true"/>
          <w:lang w:bidi="he-IL"/>
        </w:rPr>
        <w:t>הנחלות</w:t>
      </w:r>
      <w:r>
        <w:rPr/>
        <w:t xml:space="preserve"> </w:t>
      </w:r>
      <w:r>
        <w:rPr/>
        <w:t>und deuten damit ebenso). Mit der Entscheidung für „zum Flötenspiel“ folgen wir der Mehrheitsmeinung.</w:t>
      </w:r>
    </w:p>
  </w:footnote>
  <w:footnote w:id="1565">
    <w:p>
      <w:pPr>
        <w:pStyle w:val="Funote"/>
        <w:rPr/>
      </w:pPr>
      <w:r>
        <w:rPr>
          <w:i/>
        </w:rPr>
        <w:footnoteRef/>
        <w:tab/>
        <w:t>höre (erhöre mich)</w:t>
      </w:r>
      <w:r>
        <w:rPr/>
        <w:t xml:space="preserve"> + </w:t>
      </w:r>
      <w:r>
        <w:rPr>
          <w:i/>
        </w:rPr>
        <w:t>achte auf (erhöre)</w:t>
      </w:r>
      <w:r>
        <w:rPr/>
        <w:t xml:space="preserve"> + </w:t>
      </w:r>
      <w:r>
        <w:rPr>
          <w:i/>
        </w:rPr>
        <w:t>lausche auf (erhöre)</w:t>
      </w:r>
      <w:r>
        <w:rPr/>
        <w:t xml:space="preserve"> - Drei Verben, die hier wie oft als Bitten um Gebetserhörungen verwendet werden. Gleichzeitig verdichten sie eine erbetene Steigerung der Aufmerksamkeit JHWHs auf das Beten des Psalmisten: V. 2a: „höre“ =&gt; V. 2b „achte auf“ =&gt; V. 3a „lausche (aufmerksam)“.</w:t>
      </w:r>
    </w:p>
  </w:footnote>
  <w:footnote w:id="1566">
    <w:p>
      <w:pPr>
        <w:pStyle w:val="Funote"/>
        <w:rPr/>
      </w:pPr>
      <w:r>
        <w:rPr>
          <w:i/>
        </w:rPr>
        <w:footnoteRef/>
        <w:tab/>
        <w:t>Flehen (Grübeln, Murmeln)</w:t>
      </w:r>
      <w:r>
        <w:rPr/>
        <w:t xml:space="preserve"> - Heb. </w:t>
      </w:r>
      <w:r>
        <w:rPr>
          <w:i/>
        </w:rPr>
        <w:t>hagigi</w:t>
      </w:r>
      <w:r>
        <w:rPr/>
        <w:t xml:space="preserve">; Bed. unklar. Der Kontext macht aber offensichtlich, dass es sich hier um einen Ausdruck für ein flehendes Gebet handelt. Und da sich in Vv. 2ab.3a bei den Verben eine Steigerung findet (s. </w:t>
      </w:r>
      <w:r>
        <w:fldChar w:fldCharType="begin"/>
      </w:r>
      <w:r>
        <w:instrText> HYPERLINK "http://www.offene-bibel.de/wiki/index.php5?title=Psalm_5" \l "note_d"</w:instrText>
      </w:r>
      <w:r>
        <w:fldChar w:fldCharType="separate"/>
      </w:r>
      <w:r>
        <w:rPr>
          <w:rStyle w:val="Internetverknpfung"/>
        </w:rPr>
        <w:t>Fußnote c</w:t>
      </w:r>
      <w:r>
        <w:fldChar w:fldCharType="end"/>
      </w:r>
      <w:r>
        <w:rPr/>
        <w:t xml:space="preserve">) und auch bei den Substantiven „Geschrei“ in V. 3a stärker ist als „Stimme“ in V. 2a, macht es Sinn, anzunehmen, dass auch „Stimme“ =&gt; </w:t>
      </w:r>
      <w:r>
        <w:rPr>
          <w:i/>
        </w:rPr>
        <w:t>hagigi</w:t>
      </w:r>
      <w:r>
        <w:rPr/>
        <w:t xml:space="preserve"> =&gt; „Geschrei“ eine Steigerung verdichten sollen und also </w:t>
      </w:r>
      <w:r>
        <w:rPr>
          <w:i/>
        </w:rPr>
        <w:t>hagigi</w:t>
      </w:r>
      <w:r>
        <w:rPr/>
        <w:t xml:space="preserve"> irgendwo zwischen „Stimme“ und „Geschrei“ liegt, also etwa „Flehen“. Vv. 2.3a sind dann ein </w:t>
      </w:r>
      <w:r>
        <w:rPr>
          <w:i/>
        </w:rPr>
        <w:t>Trikolon mit Klimax</w:t>
      </w:r>
      <w:r>
        <w:rPr/>
        <w:t>: Eine dreifach geäußerte Bitte, die immer stärker vorgebracht wird.</w:t>
      </w:r>
    </w:p>
  </w:footnote>
  <w:footnote w:id="1567">
    <w:p>
      <w:pPr>
        <w:pStyle w:val="Funote"/>
        <w:rPr/>
      </w:pPr>
      <w:r>
        <w:rPr/>
        <w:footnoteRef/>
        <w:tab/>
        <w:t xml:space="preserve">zu dir beten (dir [Opfer/Gebete] bereiten, mich bereit machen für dich) - Heb. `arak (meist „bereiten“); auf den ersten Blick also: „Ich will dir bereiten.“ Weil nach dieser Bedeutung offensichtlich ein Objekt fehlt, das da „bereitet“ wird, sind folgende Deutungen vorgeschlagen worden: # `arak ist hier zu verstehen als „beten“ (so Seeligmann 1967, S. 278; auch Ges18, S. 1014; KBL3, S. 837). Dieser Deutung folgen auch wir. # U.U. kann `arak nicht nur „[X] bereitmachen“, sd. auch reflexiv „sich bereitmachen“ bedeuten (vgl. CDCH, S. 344; Terrien 2003, S. 104): „Am Morgen richte (ordne) ich mich an Dich“ (TAF; so wohl auch LUT1912, LUT, van Ess) # Das Objekt ist „ausgespart“ (Warum?) und muss ergänzt werden: „Ich will [X] bereiten“ (so die meisten Üss.) # Alternativ hat Joüon vorgeschlagen, den Text zu korrigieren nach </w:t>
      </w:r>
      <w:r>
        <w:rPr>
          <w:rtl w:val="true"/>
          <w:lang w:bidi="he-IL"/>
        </w:rPr>
        <w:t>עמד לך</w:t>
      </w:r>
      <w:r>
        <w:rPr/>
        <w:t xml:space="preserve"> „</w:t>
      </w:r>
      <w:r>
        <w:rPr/>
        <w:t>auf dich will ich warten“ (vgl. z.B. ZLH, S. 606); so offenbar auch R-S: „Ich harre“.</w:t>
      </w:r>
    </w:p>
  </w:footnote>
  <w:footnote w:id="1568">
    <w:p>
      <w:pPr>
        <w:pStyle w:val="Funote"/>
        <w:rPr/>
      </w:pPr>
      <w:r>
        <w:rPr/>
        <w:footnoteRef/>
        <w:tab/>
        <w:t>tFN: [auf dich] - Brachylogie aus dem vorigen Ausdruck („zu dir beten“).</w:t>
      </w:r>
    </w:p>
  </w:footnote>
  <w:footnote w:id="1569">
    <w:p>
      <w:pPr>
        <w:pStyle w:val="Funote"/>
        <w:rPr/>
      </w:pPr>
      <w:r>
        <w:rPr/>
        <w:footnoteRef/>
        <w:tab/>
        <w:t>tFN: {denn} - Emphatisches ki; im Deutschen nicht zu übersetzen. Diese Verwendung von ki ist recht häufig gerade am Beginn einer Strophe; vgl. z.B. Muilenburg 1961, S. 148f.</w:t>
      </w:r>
    </w:p>
  </w:footnote>
  <w:footnote w:id="1570">
    <w:p>
      <w:pPr>
        <w:pStyle w:val="Funote"/>
        <w:rPr/>
      </w:pPr>
      <w:r>
        <w:rPr>
          <w:i/>
        </w:rPr>
        <w:footnoteRef/>
        <w:tab/>
        <w:t>Böse (Böses)</w:t>
      </w:r>
      <w:r>
        <w:rPr/>
        <w:t xml:space="preserve"> + </w:t>
      </w:r>
      <w:r>
        <w:rPr>
          <w:i/>
        </w:rPr>
        <w:t>Schlechte (Schlechtes)</w:t>
      </w:r>
      <w:r>
        <w:rPr/>
        <w:t xml:space="preserve"> - Rein sprachlich sind beide Üss. möglich; spätestens V. 6 wird aber klar, dass hier von </w:t>
      </w:r>
      <w:r>
        <w:rPr>
          <w:i/>
        </w:rPr>
        <w:t>Menschen</w:t>
      </w:r>
      <w:r>
        <w:rPr/>
        <w:t xml:space="preserve"> die Rede ist; daher ist durchaus der Primärübersetzung der Vorzug zu geben.</w:t>
      </w:r>
    </w:p>
  </w:footnote>
  <w:footnote w:id="1571">
    <w:p>
      <w:pPr>
        <w:pStyle w:val="Funote"/>
        <w:rPr/>
      </w:pPr>
      <w:r>
        <w:rPr/>
        <w:footnoteRef/>
        <w:tab/>
        <w:t xml:space="preserve">Frevler (Angeber, Törichte) - Meist übersetzt als „Angeber, Lärmer“. Da das Wort aber hier im Parallelismus steht zu den „Bösen“, den „Schlechten“ und den „Übeltätern“, ist es überdeutlich, dass es hier ebenfalls als moralische Kategorie verwendet wird. Zur Üs. mit „Frevler“ vgl. ZLH, S. 193; vgl. auch LXX: „Gesetzesbrecher“; VUL: „Bösartige“; Buttenwieser 1938, S. 406: „Gottlose“; H-R: „Der Böse“; HER05: „Die Unrecht verüben“; NVul: „Ungerechte“; van Ess: „Frevler“. Anm. d. Üs. (S.W.): Was mir außerdem möglich scheint - was aber m.W. noch nicht in der Sekundärliteratur vorgeschlagen worden ist und daher hier bloß als theoretische Möglichkeit verzeichnet werden soll -, ist, dass </w:t>
      </w:r>
      <w:r>
        <w:rPr>
          <w:rtl w:val="true"/>
          <w:lang w:bidi="he-IL"/>
        </w:rPr>
        <w:t>הוללים</w:t>
      </w:r>
      <w:r>
        <w:rPr/>
        <w:t xml:space="preserve"> </w:t>
      </w:r>
      <w:r>
        <w:rPr/>
        <w:t xml:space="preserve">zusammenspielt mit den </w:t>
      </w:r>
      <w:r>
        <w:rPr>
          <w:rtl w:val="true"/>
          <w:lang w:bidi="he-IL"/>
        </w:rPr>
        <w:t>דּׁבְרֵי כָזָב</w:t>
      </w:r>
      <w:r>
        <w:rPr/>
        <w:t xml:space="preserve"> </w:t>
      </w:r>
      <w:r>
        <w:rPr/>
        <w:t xml:space="preserve">in V. 7a. Dies wird zwar meist gedeutet als „Sprecher von Lügen“, aber es könnte auch gedeutet werden als „Betende zu Götzen“ („Götzen“ nach ZLH, S. 351; syntaktisch gedeutet als Genitivus directionis, vgl. z.B. BHRG §25.4.5.vi). Die </w:t>
      </w:r>
      <w:r>
        <w:rPr>
          <w:rtl w:val="true"/>
          <w:lang w:bidi="he-IL"/>
        </w:rPr>
        <w:t>הוללים</w:t>
      </w:r>
      <w:r>
        <w:rPr/>
        <w:t xml:space="preserve"> </w:t>
      </w:r>
      <w:r>
        <w:rPr/>
        <w:t>wären dann die „Preisenden“, und auch dies könnte ein Ausdruck für Götzenanbeter sein. Vgl. dann noch den Vorschlag von Dahood 1965, S. 32 zu V. 7b, „Gewaltverbrecher und Betrüger“ sei zu deuten als „Männer von Götzen und Idolen“. Folgte man Dahood, könnte man dann die ganze Stelle deuten: „Vor deinen Augen dürfen Preiser (=Götzenanbeter) nicht stehen, / Du hasst alle Unholde. // Du wirst vernichten, die zu Götzen beten, / Männer von Götzen und Idolen verabscheust du, JHWH.“</w:t>
      </w:r>
    </w:p>
  </w:footnote>
  <w:footnote w:id="1572">
    <w:p>
      <w:pPr>
        <w:pStyle w:val="Funote"/>
        <w:rPr/>
      </w:pPr>
      <w:r>
        <w:rPr/>
        <w:footnoteRef/>
        <w:tab/>
        <w:t>es dürfen (werden) nicht stehen Frevler vor deinen Augen - raffiniert gedichtete Zeile. jatsab kann bedeuten: (1) „stehen“; (2) „stehen-bleiben“ i.S.v. „verweilen“; (3) „be-stehen“ (auch (4) i.S.v.: „am Leben bleiben“) und leneged `eneka (W. „vor deinen Augen“) kann sowohl (1) schlicht „vor dir“ meinen als auch (2) „in deinem Urteil“ (vgl. z.B. ZLH, S. 591). Grundeinheit der heb. Poesie ist der sog. „Parallelismus“, eine Art „Gedanken-reim“: Eine Zeile geht in irgendeiner Weise parallel mit einer weitere Zeile. Ein Sonderfall hiervon ist das Stilmittel des „Janusparallelismus“: Durch die Mehrdeutigkeit eines Wortes oder einer syntaktischen Konstruktion geht eine Zeile mit mindestens zwei Zeilen parallel; je nachdem, wie das Wort oder die Konstruktion gedeutet wird. V. 6a geht sogar mit drei Zeilen parallel; vielleicht könnte man dies entsprechend als „Cerberus-Parallelismus“ bezeichnen: * 5a + 6b: „Sie dürfen nicht wohnen bei dir / Sie dürfen nicht bleiben vor dir.“ * 6a + 6b: „Sie bestehen nicht vor deinem Urteil / Du hasst sie.“ * 6a + 7a: „Sie dürfen nach deinem Urteil nicht bestehen (=am Leben bleiben) / Du wirst vernichten Lügner.“</w:t>
      </w:r>
    </w:p>
  </w:footnote>
  <w:footnote w:id="1573">
    <w:p>
      <w:pPr>
        <w:pStyle w:val="Funote"/>
        <w:rPr/>
      </w:pPr>
      <w:r>
        <w:rPr/>
        <w:footnoteRef/>
        <w:tab/>
        <w:t>Tuer von Unheil (Unholde) - Häufiger Ausdruck für die Feinde eines Psalmisten. Das konkrete Unheil, das diese „Unholde“ tun, sind meist Wort-Sünden (vgl. ThWAT I, S. 155), was diesen Sticho gut zusammenstimmen lässt mit dem folgenden V. 7.</w:t>
      </w:r>
    </w:p>
  </w:footnote>
  <w:footnote w:id="1574">
    <w:p>
      <w:pPr>
        <w:pStyle w:val="Funote"/>
        <w:rPr/>
      </w:pPr>
      <w:r>
        <w:rPr>
          <w:i/>
        </w:rPr>
        <w:footnoteRef/>
        <w:tab/>
        <w:t>Vv. 6f</w:t>
      </w:r>
      <w:r>
        <w:rPr/>
        <w:t>: Oder:</w:t>
        <w:br/>
      </w:r>
      <w:r>
        <w:rPr>
          <w:i/>
        </w:rPr>
        <w:t>Weil du kein Gott bist, dem Böse gefallen, / dürfen nicht wohnen bei dir Schlechte;</w:t>
      </w:r>
      <w:r>
        <w:rPr/>
        <w:br/>
        <w:br/>
      </w:r>
      <w:r>
        <w:rPr>
          <w:i/>
        </w:rPr>
        <w:t>es dürfen nicht stehen Frevler vor deinen Augen, / weil du alle Unholde hasst</w:t>
      </w:r>
      <w:r>
        <w:rPr/>
        <w:t>.</w:t>
      </w:r>
    </w:p>
  </w:footnote>
  <w:footnote w:id="1575">
    <w:p>
      <w:pPr>
        <w:pStyle w:val="Funote"/>
        <w:rPr/>
      </w:pPr>
      <w:r>
        <w:rPr/>
        <w:footnoteRef/>
        <w:tab/>
        <w:t>verabscheut (verabscheust du,) - Ein sog. „P-Shift“: In der heb. Lyrik kann aus poetischen Gründen von einer Zeile auf die nächste von einer Person zu einer anderen gewechselt werden, ohne dass dies einen Bedeutungsunterschied macht - wie z.B. hier von der zweiten („du wirst vernichten“) zur dritten („er verabscheut“). Schon VUL übersetzt daher auch hier richtig mit 2. Pers.: „verabscheust du, JHWH“. Auch für die LF wäre das zu empfehlen, da Shifts im Deutschen anders als im Hebräischen kein geläufiges Stilmittel sind.</w:t>
      </w:r>
    </w:p>
  </w:footnote>
  <w:footnote w:id="1576">
    <w:p>
      <w:pPr>
        <w:pStyle w:val="Funote"/>
        <w:rPr/>
      </w:pPr>
      <w:r>
        <w:rPr>
          <w:i/>
        </w:rPr>
        <w:footnoteRef/>
        <w:tab/>
        <w:t>in deiner</w:t>
      </w:r>
      <w:r>
        <w:rPr/>
        <w:t xml:space="preserve"> - V. 8ab.9a haben je eine mit </w:t>
      </w:r>
      <w:r>
        <w:rPr>
          <w:rtl w:val="true"/>
          <w:lang w:bidi="he-IL"/>
        </w:rPr>
        <w:t>בְּ</w:t>
      </w:r>
      <w:r>
        <w:rPr/>
        <w:t xml:space="preserve"> </w:t>
      </w:r>
      <w:r>
        <w:rPr/>
        <w:t xml:space="preserve">(„in“) eingeleitete und mit </w:t>
      </w:r>
      <w:r>
        <w:rPr>
          <w:rtl w:val="true"/>
          <w:lang w:bidi="he-IL"/>
        </w:rPr>
        <w:t>ךָ</w:t>
      </w:r>
      <w:r>
        <w:rPr/>
        <w:t xml:space="preserve"> </w:t>
      </w:r>
      <w:r>
        <w:rPr/>
        <w:t>(„deine“) zugeordnete Angabe: 8a: „In deiner großen Gnade“, 8b: „In deiner Furcht“, 9a: „In deiner Gerechtigkeit“. Das parallelisiert die drei Stichen (=&gt; grammatischer Parallelismus), in keiner der Zeilen ist aber eine wörtl. Übertragung gut möglich:</w:t>
      </w:r>
    </w:p>
    <w:p>
      <w:pPr>
        <w:pStyle w:val="Textkrper"/>
        <w:numPr>
          <w:ilvl w:val="0"/>
          <w:numId w:val="1"/>
        </w:numPr>
        <w:tabs>
          <w:tab w:val="left" w:pos="0" w:leader="none"/>
        </w:tabs>
        <w:spacing w:before="0" w:after="0"/>
        <w:ind w:left="720" w:hanging="283"/>
        <w:rPr/>
      </w:pPr>
      <w:r>
        <w:rPr/>
        <w:tab/>
        <w:t xml:space="preserve">Das </w:t>
      </w:r>
      <w:r>
        <w:rPr>
          <w:rtl w:val="true"/>
          <w:lang w:bidi="he-IL"/>
        </w:rPr>
        <w:t>בְּ</w:t>
      </w:r>
      <w:r>
        <w:rPr/>
        <w:t xml:space="preserve"> </w:t>
      </w:r>
      <w:r>
        <w:rPr/>
        <w:t>in „</w:t>
      </w:r>
      <w:r>
        <w:rPr>
          <w:i/>
        </w:rPr>
        <w:t>in</w:t>
      </w:r>
      <w:r>
        <w:rPr/>
        <w:t xml:space="preserve"> der Menge deiner Gnade“ ist ein sog. „Beth rationis impellentis“, mit dem angegeben wird, dass etwas </w:t>
      </w:r>
      <w:r>
        <w:rPr>
          <w:i/>
        </w:rPr>
        <w:t>dank</w:t>
      </w:r>
      <w:r>
        <w:rPr/>
        <w:t xml:space="preserve"> etwas geschieht; hier also, dass Gottes Güte ihn zu besagter „Erlaubnis“ veranlasst; sinngemäßer also „</w:t>
      </w:r>
      <w:r>
        <w:rPr>
          <w:i/>
        </w:rPr>
        <w:t>dank</w:t>
      </w:r>
      <w:r>
        <w:rPr/>
        <w:t xml:space="preserve"> der Menge deiner Gnade“</w:t>
      </w:r>
    </w:p>
    <w:p>
      <w:pPr>
        <w:pStyle w:val="Textkrper"/>
        <w:numPr>
          <w:ilvl w:val="0"/>
          <w:numId w:val="2"/>
        </w:numPr>
        <w:tabs>
          <w:tab w:val="left" w:pos="0" w:leader="none"/>
        </w:tabs>
        <w:spacing w:before="0" w:after="0"/>
        <w:ind w:left="720" w:hanging="283"/>
        <w:rPr/>
      </w:pPr>
      <w:r>
        <w:rPr/>
        <w:tab/>
        <w:t>„</w:t>
      </w:r>
      <w:r>
        <w:rPr/>
        <w:t>In deiner Furcht“ meint „in Ehrfurcht vor dir“</w:t>
      </w:r>
    </w:p>
    <w:p>
      <w:pPr>
        <w:pStyle w:val="Textkrper"/>
        <w:numPr>
          <w:ilvl w:val="0"/>
          <w:numId w:val="3"/>
        </w:numPr>
        <w:tabs>
          <w:tab w:val="left" w:pos="0" w:leader="none"/>
        </w:tabs>
        <w:spacing w:before="0" w:after="283"/>
        <w:ind w:left="720" w:hanging="283"/>
        <w:rPr/>
      </w:pPr>
      <w:r>
        <w:rPr/>
        <w:tab/>
        <w:t>„</w:t>
      </w:r>
      <w:r>
        <w:rPr/>
        <w:t xml:space="preserve">In deiner Gerechtigkeit“ fungiert als Appell; s. genauer </w:t>
      </w:r>
      <w:r>
        <w:fldChar w:fldCharType="begin"/>
      </w:r>
      <w:r>
        <w:instrText> HYPERLINK "http://offene-bibel.de/mediawiki/index.php?title=Psalm_5" \l "note_q"</w:instrText>
      </w:r>
      <w:r>
        <w:fldChar w:fldCharType="separate"/>
      </w:r>
      <w:r>
        <w:rPr>
          <w:rStyle w:val="Internetverknpfung"/>
        </w:rPr>
        <w:t>FN q</w:t>
      </w:r>
      <w:r>
        <w:fldChar w:fldCharType="end"/>
      </w:r>
      <w:r>
        <w:rPr/>
        <w:t>.</w:t>
      </w:r>
    </w:p>
  </w:footnote>
  <w:footnote w:id="1577">
    <w:p>
      <w:pPr>
        <w:pStyle w:val="Funote"/>
        <w:rPr/>
      </w:pPr>
      <w:r>
        <w:rPr/>
        <w:footnoteRef/>
        <w:tab/>
        <w:t>tFN: in (zu) - ´él hat hier wie noch häufiger nicht direktionale, sd. lokative Bed. Hier sogar recht deutlich, da im vorangehenden Vers ja davon die Rede ist, dass der Beter den Tempel betreten darf. Vgl. auch Syr, Ehrlich 1905; NCV; Prinsloo 1998 ;TAF; van Ess: „in deinem Tempel“.</w:t>
      </w:r>
    </w:p>
  </w:footnote>
  <w:footnote w:id="1578">
    <w:p>
      <w:pPr>
        <w:pStyle w:val="Funote"/>
        <w:rPr/>
      </w:pPr>
      <w:r>
        <w:rPr>
          <w:i/>
        </w:rPr>
        <w:footnoteRef/>
        <w:tab/>
        <w:t>um meiner Feinde willen (wegen meiner Feinde)</w:t>
      </w:r>
      <w:r>
        <w:rPr/>
        <w:t xml:space="preserve"> - s. hierzu die nächste FN.</w:t>
      </w:r>
    </w:p>
  </w:footnote>
  <w:footnote w:id="1579">
    <w:p>
      <w:pPr>
        <w:pStyle w:val="Funote"/>
        <w:rPr/>
      </w:pPr>
      <w:r>
        <w:rPr/>
        <w:footnoteRef/>
        <w:tab/>
        <w:t>V. 9 - Etwas schwierige Stelle. Meist wird sie etwa so verstanden: Aufgrund seiner Rede von den nicht gottgemäß lebenden Feinden bricht aus Beter die Bitte hervor, Gott möge doch ihn - anders als die Feinde - auf den „rechten“ Weg leiten: Den Weg Gottes. Gott möge sicherstellen, dass der Beter so lebt, wie das Gott gefällt. Davon soll dann auch das die Bitte um „Führung“ in 9a handeln; s. z.B. Ps 143,10: „Führe mich auf rechter Bahn“ = „Lehre mich handeln, wie dir das gefällt“. Die „Gerechtigkeit“ in 9a wäre dann ebenfalls ein Ausdruck für die gottgemäße Lebensweise. Auch dies wäre zur Not noch eine gangbare Deutung, endgültig schwierig ist dann aber die Präzisierung „um meiner Feinde willen“: Was haben die Feinde des Psalmisten davon, wenn dieser von Gott auf dem rechten Weg gehalten wird? Und auch die Tatsache, dass in V. 8 von der Reise zu JHWHs Tempel die Rede ist, legt eher nahe, dass hier der Weg tatsächlich ein Weg ist und nicht in eine Metapher für eine Lebensweise. Versuchsweise sei daher folgende alternative Deutung vorgeschlagen: führen hat hier wie öfter die Bed. „jmdn schützend begleiten, jmdn sicher ans Ziel führen“ (vgl. ThWAT V, S. 335). In deiner Gerechtigkeit fungiert als Appell, wie sich das noch häufiger in den Psalmen findet (s. Ps 31,2; 71,2; 119,40; 143,1.11), sinngemäß also eher „JHWH, du Gerechter, behüte mich“. lema`an (meist: „um ... willen“) bezeichnet hier - wie auch in den verwandten Stellen Ps 27,11 und Ps 69,19 - nicht, um wessentwillen etwas geschieht, sondern das, was Motivation für Gottes Handeln sein soll (vgl. Ges18, S. 713) - also eher „wegen meiner Feinde“, d.h. „da mir auf meinem Weg Feinde auflauern“ (Ps 5,9 + Ps 27,11) bzw. „da ich von Feinden bedrängt werde“ (Ps 69,19). Und schließlich das „dein“ in „dein Weg“ ist syntaktisch zu analysieren als ein sog. Genitivus directionis, also „der Weg zu dir“, nämlich zum Tempel. Zur Konstruktion vgl. z.B. 1 Sam 6,9: „Der Weg ihrer Grenze“ = „Der Weg zu ihrer Grenze“; 1 Sam 13,17f: „Der Weg Ophras ... Der Weg Beth-Horons“ = „Der Weg nach Ophra ... der Weg nach Beth-Horon“; Spr 2,19: „ihre Gehenden“ = „die zu ihr Gehenden“. Zum Sinn d. Verses s. die Anmerkungen.</w:t>
      </w:r>
    </w:p>
  </w:footnote>
  <w:footnote w:id="1580">
    <w:p>
      <w:pPr>
        <w:pStyle w:val="Funote"/>
        <w:rPr/>
      </w:pPr>
      <w:r>
        <w:rPr/>
        <w:footnoteRef/>
        <w:tab/>
        <w:t>seinem (ihrem) - Ein sog. „N-Shift“: In der heb. Lyrik kann aus poetischen Gründen unvermittelt von einer Zeile auf die andere von einem Numerus zum anderen gewechselt werden, ohne dass dies einen Bedeutungsunterschied machen würde - hier etwa vom Plural („meine Feinde)“ zum Singular („in seinem Mund“). Weil im Dt. solche Shifts anders als im Heb. kein geläufiges Stilmittel sind, sollte man in der LF durchaus mit Pl. übersetzen.</w:t>
      </w:r>
    </w:p>
  </w:footnote>
  <w:footnote w:id="1581">
    <w:p>
      <w:pPr>
        <w:pStyle w:val="Funote"/>
        <w:rPr/>
      </w:pPr>
      <w:r>
        <w:rPr/>
        <w:footnoteRef/>
        <w:tab/>
        <w:t>ihr Inneres [ist] Verderben (Böses, sie sind verdorben/böse) - „Inneres, Eingeweide, Herz“ ist im Heb. häufiger ein Wechselbegriff für die Person selbst; so auch hier. Und Nomina wie „Verderben“ können im Hebräischen auch als prädikative Adjektive verwendet werden; so auch hier. Zur Bed. „böse“ vgl. CDCH, S. 87; Kön, S. 77. Das wörtliche „Ihr Inneres [ist] Verderben“ meint also sinngemäß: „Sie sind (durch und durch) böse“.</w:t>
      </w:r>
    </w:p>
  </w:footnote>
  <w:footnote w:id="1582">
    <w:p>
      <w:pPr>
        <w:pStyle w:val="Funote"/>
        <w:rPr/>
      </w:pPr>
      <w:r>
        <w:rPr/>
        <w:footnoteRef/>
        <w:tab/>
        <w:t>Grab - Lautspiel: qereb „Inneres“ (10b) - qeber „Grab“. Das „Grab“ ist im Hebräischen eine häufige Metapher für den Tod; vgl. z.B. Ryken 1998, S. 350.</w:t>
      </w:r>
    </w:p>
  </w:footnote>
  <w:footnote w:id="1583">
    <w:p>
      <w:pPr>
        <w:pStyle w:val="Funote"/>
        <w:rPr/>
      </w:pPr>
      <w:r>
        <w:rPr>
          <w:i/>
        </w:rPr>
        <w:footnoteRef/>
        <w:tab/>
        <w:t>ihre Zunge glätten sie</w:t>
      </w:r>
      <w:r>
        <w:rPr/>
        <w:t xml:space="preserve"> - Stehender Ausdruck für „sie sind Heuchler“; vgl. noch </w:t>
      </w:r>
      <w:r>
        <w:fldChar w:fldCharType="begin"/>
      </w:r>
      <w:r>
        <w:instrText> HYPERLINK "file:///wiki/Psalm_12" \l "s3"</w:instrText>
      </w:r>
      <w:r>
        <w:fldChar w:fldCharType="separate"/>
      </w:r>
      <w:r>
        <w:rPr>
          <w:rStyle w:val="Internetverknpfung"/>
        </w:rPr>
        <w:t>Ps 12,3</w:t>
      </w:r>
      <w:r>
        <w:fldChar w:fldCharType="end"/>
      </w:r>
      <w:r>
        <w:rPr/>
        <w:t xml:space="preserve">; </w:t>
      </w:r>
      <w:hyperlink r:id="rId52">
        <w:r>
          <w:rPr>
            <w:rStyle w:val="Internetverknpfung"/>
          </w:rPr>
          <w:t>55,22</w:t>
        </w:r>
      </w:hyperlink>
      <w:r>
        <w:rPr/>
        <w:t xml:space="preserve">; auch </w:t>
      </w:r>
      <w:r>
        <w:fldChar w:fldCharType="begin"/>
      </w:r>
      <w:r>
        <w:instrText> HYPERLINK "file:///wiki/Römer_3" \l "s13"</w:instrText>
      </w:r>
      <w:r>
        <w:fldChar w:fldCharType="separate"/>
      </w:r>
      <w:r>
        <w:rPr>
          <w:rStyle w:val="Internetverknpfung"/>
        </w:rPr>
        <w:t>Röm 3,13</w:t>
      </w:r>
      <w:r>
        <w:fldChar w:fldCharType="end"/>
      </w:r>
    </w:p>
  </w:footnote>
  <w:footnote w:id="1584">
    <w:p>
      <w:pPr>
        <w:pStyle w:val="Funote"/>
        <w:spacing w:before="0" w:after="283"/>
        <w:rPr/>
      </w:pPr>
      <w:r>
        <w:rPr>
          <w:i/>
        </w:rPr>
        <w:footnoteRef/>
        <w:tab/>
        <w:t>V. 10</w:t>
      </w:r>
      <w:r>
        <w:rPr/>
        <w:t>: Oder:</w:t>
      </w:r>
    </w:p>
    <w:p>
      <w:pPr>
        <w:pStyle w:val="Textkrper"/>
        <w:rPr/>
      </w:pPr>
      <w:r>
        <w:rPr/>
        <w:tab/>
        <w:t>„</w:t>
      </w:r>
      <w:r>
        <w:rPr>
          <w:i/>
        </w:rPr>
        <w:t>Weil in ihrem Reden nichts Aufrichtiges [ist], / [Sei] ihr Inneres [ihr] Verderben.</w:t>
      </w:r>
      <w:r>
        <w:rPr/>
        <w:br/>
        <w:br/>
      </w:r>
      <w:r>
        <w:rPr>
          <w:i/>
        </w:rPr>
        <w:t>Ihre Kehle [sei] [ihr] offenes Grab (i.e. Tod) / weil sie ihre Zunge glätten (i.e. da sie ja Heuchler sind).</w:t>
      </w:r>
      <w:r>
        <w:rPr/>
        <w:t>“</w:t>
      </w:r>
    </w:p>
    <w:p>
      <w:pPr>
        <w:pStyle w:val="Textkrper"/>
        <w:spacing w:before="0" w:after="283"/>
        <w:rPr/>
      </w:pPr>
      <w:r>
        <w:rPr/>
        <w:tab/>
        <w:t>Diese Interpretation ließe den Vers besser mit dem folgenden Vers zusammenstimmen; sie ist aber offenbar so noch nie vertreten worden; die LF sollte daher doch der Standardübersetzung folgen.</w:t>
      </w:r>
    </w:p>
  </w:footnote>
  <w:footnote w:id="1585">
    <w:p>
      <w:pPr>
        <w:pStyle w:val="Funote"/>
        <w:rPr/>
      </w:pPr>
      <w:r>
        <w:rPr/>
        <w:footnoteRef/>
        <w:tab/>
        <w:t>Textkritik: Die Metaphorik des hebräischen Textes von V. 13 ist sehr hart: „Du krönst sie mit Huld wie mit einem Schild“. Da man selten mit Schildern gekrönt wird, macht auch der Vergleich, mit Huld „wie mit einem Schild“ gekrönt zu werden, keinen Sinn. Mit BHS; Gunkel 1968, S. 20; Kissane 1953, S. 19f.; Kraus 1961, S. 36f. ist daher das „du schützt sie“ aus V. 12 nach V. 13 zu verschieben.</w:t>
      </w:r>
    </w:p>
  </w:footnote>
  <w:footnote w:id="1586">
    <w:p>
      <w:pPr>
        <w:pStyle w:val="Funote"/>
        <w:rPr/>
      </w:pPr>
      <w:r>
        <w:rPr/>
        <w:footnoteRef/>
        <w:tab/>
        <w:t>die deinen Namen lieben - Der „Name Gottes“ steht in der Bibel fast stets für Gott selbst; man bezeichnet damit „Gott im Menschenmund“. Jene, die den „Namen Gottes lieben“ sind deshalb die Verehrer Gottes - die JHWH-Gläubigen. Vgl. z.B. Grether 1934, S. 40.</w:t>
      </w:r>
    </w:p>
  </w:footnote>
  <w:footnote w:id="1587">
    <w:p>
      <w:pPr>
        <w:pStyle w:val="Funote"/>
        <w:rPr/>
      </w:pPr>
      <w:r>
        <w:rPr/>
        <w:footnoteRef/>
        <w:tab/>
        <w:t>du wirst segnen (bist es, der segnen wird) - Hier steht ein scheinbar „überflüssiges“ Personalpronomen („Denn du, du segnest“). Möglich wären die Deutungen: # Das Pronomen soll die Exklusivität der Segner-Rolle JHWHs markieren (vgl. BHRG §36.1.1.3i). Gut daher B-R: „Denn du bists, der segnet den Bewährten“; Terrien 2003, S. 103: „For it is thou, Lord, who blessest...“ # Das Pronomen dient lediglich der Unterstreichung des Fokuswechsels (vgl. JM §146.a.1+2): Im vorherigen Vers ging es um die bei JHWH Zuflucht Suchenden; nun dagegen geht es um JHWH selbst. In diesem Falle sollte es in der Übersetzung einfach ausgespart werden. Die beiden folgenden Stichen führen den Satz fort.</w:t>
      </w:r>
    </w:p>
  </w:footnote>
  <w:footnote w:id="1588">
    <w:p>
      <w:pPr>
        <w:pStyle w:val="Funote"/>
        <w:rPr/>
      </w:pPr>
      <w:r>
        <w:rPr>
          <w:i/>
        </w:rPr>
        <w:footnoteRef/>
        <w:tab/>
        <w:t>den Gerechten (die Gerechten)</w:t>
      </w:r>
      <w:r>
        <w:rPr/>
        <w:t xml:space="preserve"> - Ein sog. „generalisierender Singular“, der Pl.-Bed. hat, weshalb es dann auch heißen kann, dass Gott </w:t>
      </w:r>
      <w:r>
        <w:rPr>
          <w:i/>
        </w:rPr>
        <w:t>sie</w:t>
      </w:r>
      <w:r>
        <w:rPr/>
        <w:t xml:space="preserve"> schützen werde.</w:t>
      </w:r>
    </w:p>
  </w:footnote>
  <w:footnote w:id="1589">
    <w:p>
      <w:pPr>
        <w:pStyle w:val="Funote"/>
        <w:rPr/>
      </w:pPr>
      <w:r>
        <w:rPr/>
        <w:footnoteRef/>
        <w:tab/>
        <w:t>krönen wird (begünstigen wird) - Die Rede vom „Krönen“ wird in der Bibel häufiger metaphorisch als buchstäblich verwendet; dass JHWH jemanden mit etwas „krönt“ ist eine Metapher dafür, dass er ihn mit etwas „segnet“ (vgl. z.B. Ryken 1998, S. 185). S. Ps 8,6; Ps 65,12; Ps 103,4.</w:t>
      </w:r>
    </w:p>
  </w:footnote>
  <w:footnote w:id="1590">
    <w:p>
      <w:pPr>
        <w:pStyle w:val="Funote"/>
        <w:rPr/>
      </w:pPr>
      <w:r>
        <w:rPr/>
        <w:footnoteRef/>
        <w:tab/>
        <w:t>JHWH</w:t>
      </w:r>
    </w:p>
  </w:footnote>
  <w:footnote w:id="1591">
    <w:p>
      <w:pPr>
        <w:pStyle w:val="Funote"/>
        <w:rPr/>
      </w:pPr>
      <w:r>
        <w:rPr/>
        <w:footnoteRef/>
        <w:tab/>
        <w:t>JHWH</w:t>
      </w:r>
    </w:p>
  </w:footnote>
  <w:footnote w:id="1592">
    <w:p>
      <w:pPr>
        <w:pStyle w:val="Funote"/>
        <w:rPr/>
      </w:pPr>
      <w:r>
        <w:rPr/>
        <w:footnoteRef/>
        <w:tab/>
        <w:t>JHWH</w:t>
      </w:r>
    </w:p>
  </w:footnote>
  <w:footnote w:id="1593">
    <w:p>
      <w:pPr>
        <w:pStyle w:val="Funote"/>
        <w:rPr/>
      </w:pPr>
      <w:r>
        <w:rPr/>
        <w:footnoteRef/>
        <w:tab/>
        <w:t>JHWH</w:t>
      </w:r>
    </w:p>
  </w:footnote>
  <w:footnote w:id="1594">
    <w:p>
      <w:pPr>
        <w:pStyle w:val="Funote"/>
        <w:rPr/>
      </w:pPr>
      <w:r>
        <w:rPr/>
        <w:footnoteRef/>
        <w:tab/>
        <w:t>JHWH</w:t>
      </w:r>
    </w:p>
  </w:footnote>
  <w:footnote w:id="1595">
    <w:p>
      <w:pPr>
        <w:pStyle w:val="Funote"/>
        <w:rPr/>
      </w:pPr>
      <w:r>
        <w:rPr/>
        <w:footnoteRef/>
        <w:tab/>
        <w:t>JHWH</w:t>
      </w:r>
    </w:p>
  </w:footnote>
  <w:footnote w:id="1596">
    <w:p>
      <w:pPr>
        <w:pStyle w:val="Funote"/>
        <w:rPr/>
      </w:pPr>
      <w:r>
        <w:rPr/>
        <w:footnoteRef/>
        <w:tab/>
        <w:t>JHWH</w:t>
      </w:r>
    </w:p>
  </w:footnote>
  <w:footnote w:id="1597">
    <w:p>
      <w:pPr>
        <w:pStyle w:val="Funote"/>
        <w:rPr/>
      </w:pPr>
      <w:r>
        <w:rPr/>
        <w:footnoteRef/>
        <w:tab/>
        <w:t>[Status: Zuverlässig]</w:t>
      </w:r>
    </w:p>
  </w:footnote>
  <w:footnote w:id="1598">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599">
    <w:p>
      <w:pPr>
        <w:pStyle w:val="Funote"/>
        <w:rPr/>
      </w:pPr>
      <w:r>
        <w:rPr/>
        <w:footnoteRef/>
        <w:tab/>
        <w:t>`al-hascheminit ([Vorzutragen] von Basstimmen; Mit Saitenspiel [vorzutragen vom] Vorsteher über [das Ritual] „hascheminit“) - rätselhafter Begriff, der sich auch im Titel von Ps 12,1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zu Saitenspiel vorzuträgen wäre. Doch ist auch dies nur ein „educated guess“ und „Chorleiter“ und die Deutung von hascheminit als Angabe zur Vortragsweise des Psalms sind in dt. Üss. so etabliert, dass die LF doch besser dieser Deutung folgen sollte: „Für den Chorleiter. Mit Saitenspiel [vorzutragen] von Bassstimmen“.</w:t>
      </w:r>
    </w:p>
  </w:footnote>
  <w:footnote w:id="1600">
    <w:p>
      <w:pPr>
        <w:pStyle w:val="Funote"/>
        <w:rPr/>
      </w:pPr>
      <w:r>
        <w:rPr/>
        <w:footnoteRef/>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601">
    <w:p>
      <w:pPr>
        <w:pStyle w:val="Funote"/>
        <w:rPr/>
      </w:pPr>
      <w:r>
        <w:rPr>
          <w:i/>
        </w:rPr>
        <w:footnoteRef/>
        <w:tab/>
        <w:t>schwach</w:t>
      </w:r>
      <w:r>
        <w:rPr/>
        <w:t xml:space="preserve"> - Viele Üss. und Lexika: „welk“, aber das wäre überwörtlich (wenn denn „welken“ überhaupt wirklich die Primärbedeutung von </w:t>
      </w:r>
      <w:r>
        <w:rPr>
          <w:i/>
        </w:rPr>
        <w:t>amal</w:t>
      </w:r>
      <w:r>
        <w:rPr/>
        <w:t xml:space="preserve"> ist). Besser trifft die Bedeutung sinngemäß wohl ein wörtlich verstandenes „todtraurig“, „so traurig, dass ich dem Tode nahe bin“; s. z.B. </w:t>
      </w:r>
      <w:hyperlink r:id="rId53">
        <w:r>
          <w:rPr>
            <w:rStyle w:val="Internetverknpfung"/>
          </w:rPr>
          <w:t>Jes 24,4.7</w:t>
        </w:r>
      </w:hyperlink>
      <w:r>
        <w:rPr/>
        <w:t>: „</w:t>
      </w:r>
      <w:r>
        <w:rPr>
          <w:i/>
        </w:rPr>
        <w:t xml:space="preserve">Es trauert und verdorrt die Erde; es </w:t>
      </w:r>
      <w:r>
        <w:rPr/>
        <w:t xml:space="preserve">amal </w:t>
      </w:r>
      <w:r>
        <w:rPr>
          <w:i/>
        </w:rPr>
        <w:t xml:space="preserve">und verdorrt die Welt; es </w:t>
      </w:r>
      <w:r>
        <w:rPr/>
        <w:t xml:space="preserve">amal </w:t>
      </w:r>
      <w:r>
        <w:rPr>
          <w:i/>
        </w:rPr>
        <w:t xml:space="preserve">die Höhen der Erde. ... Es trauert die Rebe, es </w:t>
      </w:r>
      <w:r>
        <w:rPr/>
        <w:t xml:space="preserve">amal </w:t>
      </w:r>
      <w:r>
        <w:rPr>
          <w:i/>
        </w:rPr>
        <w:t>der Wein; es seufzen alle, die fröhlichen Herzens [waren].</w:t>
      </w:r>
      <w:r>
        <w:rPr/>
        <w:t xml:space="preserve">“; </w:t>
      </w:r>
      <w:hyperlink r:id="rId54">
        <w:r>
          <w:rPr>
            <w:rStyle w:val="Internetverknpfung"/>
          </w:rPr>
          <w:t>Hos 4,3</w:t>
        </w:r>
      </w:hyperlink>
      <w:r>
        <w:rPr/>
        <w:t>: „</w:t>
      </w:r>
      <w:r>
        <w:rPr>
          <w:i/>
        </w:rPr>
        <w:t xml:space="preserve">Deshalb wird trauern das Land und es </w:t>
      </w:r>
      <w:r>
        <w:rPr/>
        <w:t xml:space="preserve">amal </w:t>
      </w:r>
      <w:r>
        <w:rPr>
          <w:i/>
        </w:rPr>
        <w:t>alle, die darin wohnen. Die Tiere des Feldes, die Vögel des Himmels und die Fische des Meeres werden dahingerafft.</w:t>
      </w:r>
      <w:r>
        <w:rPr/>
        <w:t>“ u.ö.</w:t>
      </w:r>
    </w:p>
  </w:footnote>
  <w:footnote w:id="1602">
    <w:p>
      <w:pPr>
        <w:pStyle w:val="Funote"/>
        <w:rPr/>
      </w:pPr>
      <w:r>
        <w:rPr/>
        <w:footnoteRef/>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 Andere Deutungen: # In der Vergangenheit hat man oft die merkwürdige Formulierung mit „erschreckenden Knochen“ als fehlerhaft überlieferten Text korrigiert (-&gt; Textkritik); aus dem Verb machten einige Ausleger entweder „sie werden morsch“, „sie sind abgenutzt“ oder „sie sind verdorrt“ (beide Vorschläge finden sich noch heute in der BHS). # Alternativ wird oft von einer anderen Bedeutung des Verbs für „erschrecken“ ausgegangen. Dieses könnte nämlich auch ## „zittern“ bedeuten (s. Ez 7,27); dann müsste man von einer Antanaklasis ausgehen: „Meine Knochen zittern (=Ich zittere) / und meine Seele ist (=ich bin) sehr erschrocken“. So z.B. Alexander 1850; Goldingay 2006; Houston/Moore/Waltke 2014; Terrien 2003. ## „vergehen“, bedeuten; vgl. Ges18 und s. Ps 83,18; 90,7; 104,29; Zef 1,18; ws. auch Jes 13,8. Dann ### entweder ebenfalls Antanaklasis: „Meine Gebeine (=ich) vergehen / und meine Seele (=ich) ist sehr erschrocken“. So Airoldi 1968; wohl auch Buttenwieser 1938. ### oder beides als „vergehen“: „Meine Gebeine (=ich) vergehen / und meine Seele (=ich) vergeht sehr“. So Gowen 1929. Ein hebräischer Leser hätte den Vers vermutlich zumindest zunächst nach unserer Deutung verstanden: Für Alternative (1) müsste man den Text ändern, bei (2.1) und (2.2.1) müsste man eine Antanaklasis annehmen, was sich zwar gar nicht selten findet, aber immer heißt: Der Text muss „gegen den Strich gelesen werden“; bei (3.2) stört das „sehr“.</w:t>
      </w:r>
    </w:p>
  </w:footnote>
  <w:footnote w:id="1603">
    <w:p>
      <w:pPr>
        <w:pStyle w:val="Funote"/>
        <w:rPr/>
      </w:pPr>
      <w:r>
        <w:rPr/>
        <w:footnoteRef/>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604">
    <w:p>
      <w:pPr>
        <w:pStyle w:val="Funote"/>
        <w:rPr/>
      </w:pPr>
      <w:r>
        <w:rPr/>
        <w:footnoteRef/>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605">
    <w:p>
      <w:pPr>
        <w:pStyle w:val="Funote"/>
        <w:rPr/>
      </w:pPr>
      <w:r>
        <w:rPr/>
        <w:footnoteRef/>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606">
    <w:p>
      <w:pPr>
        <w:pStyle w:val="Funote"/>
        <w:rPr/>
      </w:pPr>
      <w:r>
        <w:rPr>
          <w:i/>
        </w:rPr>
        <w:footnoteRef/>
        <w:tab/>
        <w:t>meine Seele (mich)</w:t>
      </w:r>
      <w:r>
        <w:rPr/>
        <w:t xml:space="preserve"> - „Seele“ im Heb. fast stets Wechselbegriff für „Ich“; übersetze: „Rette </w:t>
      </w:r>
      <w:r>
        <w:rPr>
          <w:i/>
        </w:rPr>
        <w:t>mich</w:t>
      </w:r>
      <w:r>
        <w:rPr/>
        <w:t>!“</w:t>
      </w:r>
    </w:p>
  </w:footnote>
  <w:footnote w:id="1607">
    <w:p>
      <w:pPr>
        <w:pStyle w:val="Funote"/>
        <w:rPr/>
      </w:pPr>
      <w:r>
        <w:rPr/>
        <w:footnoteRef/>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608">
    <w:p>
      <w:pPr>
        <w:pStyle w:val="Funote"/>
        <w:rPr/>
      </w:pPr>
      <w:r>
        <w:rPr>
          <w:i/>
        </w:rPr>
        <w:footnoteRef/>
        <w:tab/>
        <w:t>Totenreich</w:t>
      </w:r>
      <w:r>
        <w:rPr/>
        <w:t xml:space="preserve"> + </w:t>
      </w:r>
      <w:r>
        <w:rPr>
          <w:i/>
        </w:rPr>
        <w:t>Scheol</w:t>
      </w:r>
      <w:r>
        <w:rPr/>
        <w:t>: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 Einige übersetzen gelegentlich auch „Hades“; vielleicht ist das eine verständlichere Alternative?</w:t>
      </w:r>
    </w:p>
  </w:footnote>
  <w:footnote w:id="1609">
    <w:p>
      <w:pPr>
        <w:pStyle w:val="Funote"/>
        <w:rPr/>
      </w:pPr>
      <w:r>
        <w:rPr/>
        <w:footnoteRef/>
        <w:tab/>
        <w:t>Der Sinn von V. 6 ist umstritten. # Die naheliegendste Deutung ist, dass mit dem Argument an JHWH appelliert wird, er möge doch den Psalmisten retten, denn mit dessen Tod verlöre er ja einen Anbeter. # Weil vielen Exegeten eine solch „egoistische“ Gottesvorstellung nicht angenehm ist, schlagen sie als Alternative vor, der Psalmist sehne sich zurück in die Gottesdienstgemeinde, in deren Reihen er sich sonst JHWHs erinnerte und ihn pries (so z.B. Achtemeier 1974, S. 84f; Podechard 1920, S. 46) oder dass er sich schlicht nach dem „grösste[n] Glück, das ein Frommer haben kann, das Glück, [s]eine Grossthaten zu preisen“ sehne (Duhm 1899, S. 21). Eine solche „Umdeutung“ ist unnötig - die näher liegende Deutung findet sich noch häufiger in der Bibel (s. z.B. Ps 30,10; 88,11-13; Jes 38,17f) und das Argument wird in Jes 48,9-11 sogar ähnlich von JHWH selbst angewandt.</w:t>
      </w:r>
    </w:p>
  </w:footnote>
  <w:footnote w:id="1610">
    <w:p>
      <w:pPr>
        <w:pStyle w:val="Funote"/>
        <w:rPr/>
      </w:pPr>
      <w:r>
        <w:rPr/>
        <w:footnoteRef/>
        <w:tab/>
        <w:t>tFN: Schluchzen trifft es besser als das häufig gefundene „Seufzen“. Sowohl beim Verb als auch beim Nomen passt diese Bedeutung an sämtlichen Stellen wesentlich besser. So ad loc. Dahood 1965; Houston/Moore/Waltke 2014; BBE, EVD, NCV, NLT.</w:t>
      </w:r>
    </w:p>
  </w:footnote>
  <w:footnote w:id="1611">
    <w:p>
      <w:pPr>
        <w:pStyle w:val="Funote"/>
        <w:rPr/>
      </w:pPr>
      <w:r>
        <w:rPr/>
        <w:footnoteRef/>
        <w:tab/>
        <w:t>tFN: überflute (lasse schwimmen) + weiche auf - zur Deutung der Bedeutung des ersten Verbs als „überfluten“ statt „schwimmen lassen“ vgl. Bosworth 2013, S. 39; von Soden 1991, S. 165f; zur Deutung des zweiten Verbs als „aufweichen“ von Soden 1991, S. 166.</w:t>
      </w:r>
    </w:p>
  </w:footnote>
  <w:footnote w:id="1612">
    <w:p>
      <w:pPr>
        <w:pStyle w:val="Funote"/>
        <w:rPr/>
      </w:pPr>
      <w:r>
        <w:rPr/>
        <w:footnoteRef/>
        <w:tab/>
        <w:t>tFN: jede Nacht statt „die ganze Nacht“; diese iterative Deutung fordert die Verbform (Yiqtol).</w:t>
      </w:r>
    </w:p>
  </w:footnote>
  <w:footnote w:id="1613">
    <w:p>
      <w:pPr>
        <w:pStyle w:val="Funote"/>
        <w:rPr/>
      </w:pPr>
      <w:r>
        <w:rPr/>
        <w:footnoteRef/>
        <w:tab/>
        <w:t>tFN: [mit meinen Tränen] - Brachylogie aus Zeile 3; vgl. auch Goldingay 2006, S. 138.</w:t>
      </w:r>
    </w:p>
  </w:footnote>
  <w:footnote w:id="1614">
    <w:p>
      <w:pPr>
        <w:pStyle w:val="Funote"/>
        <w:rPr/>
      </w:pPr>
      <w:r>
        <w:rPr/>
        <w:footnoteRef/>
        <w:tab/>
        <w:t>tFN: [jede Nacht] - Brachylogie aus Zeile 2; vgl. auch Goldingay 2006, S. 138.</w:t>
      </w:r>
    </w:p>
  </w:footnote>
  <w:footnote w:id="1615">
    <w:p>
      <w:pPr>
        <w:pStyle w:val="Funote"/>
        <w:rPr/>
      </w:pPr>
      <w:r>
        <w:rPr/>
        <w:footnoteRef/>
        <w:tab/>
        <w:t>Schwach geworden (dunkel geworden, geeitert, angeschwollen, hochmütig?) - Bed. unsicher (-&gt; Tris legomenon); sonst nur noch in Ps 31,10f. Für eine Übersicht über ältere Deutungen vgl. Zolli 1951. # Früher wurde es meist abgeleitet von `asch („Motte“), dann: „Mein Auge ist vor Kummer mottenzerfressen = zerstört“, aber richtig Ehrlich 1905, S. 12: „Es ist wahrlich Zeit, dass man jede Erklärung ohne weiteres als albern verwerfe, die in ausgewählten klassischen Gedichten [...] die Möglichkeit von Bildern, wie ein mottenstichiges und durch Feinde gealtertes Auge, voraussetzt.“ Auch heute noch gelegentlich vertreten. # Sinnvoller daher abzuleiten (-&gt; Etymologie) von arab. ghaththa („dünn/schwach werden; eitern“; vgl. z.B. Klein 1987, S. 489); dann: „Mein Auge ist schwach geworden (ZLH 635) / geeitert (Lambert 1899, S. 1899, S. 393)“. Zum Sinn vgl. FN j zu Ps 13,5. # Zu den Alternativen „dunkel werden“ vgl. Jacob 1902, S. 107 (so auch Tg); zu „anschwellen“ Delekat 1964; auch KBL3, S. 850; zu „hochmütig“ Zolli 1951, der außerdem zw. V. 7 und 8 einen neuen Abschnitt beginnen lassen, vermutlich das „durch Kummer“ als „nach dem Kummer“ und das folgende „alt werden“ als „frech/stolz [blicken]“ (?) deuten will.</w:t>
      </w:r>
    </w:p>
  </w:footnote>
  <w:footnote w:id="1616">
    <w:p>
      <w:pPr>
        <w:pStyle w:val="Funote"/>
        <w:rPr/>
      </w:pPr>
      <w:r>
        <w:rPr/>
        <w:footnoteRef/>
        <w:tab/>
        <w:t>tFN: meine Augen - W. „mein Auge“; kollektiver Singular, vgl. z.B. Houston/Moore/Waltke 2014, S. 51.</w:t>
      </w:r>
    </w:p>
  </w:footnote>
  <w:footnote w:id="1617">
    <w:p>
      <w:pPr>
        <w:pStyle w:val="Funote"/>
        <w:rPr/>
      </w:pPr>
      <w:r>
        <w:rPr/>
        <w:footnoteRef/>
        <w:tab/>
        <w:t>sie sind gealtert wegen (ich bin gealtert wegen, sie sind geheftet auf?, sie [blicken] stolz/frech auf?) - „altern“ ist recht schwierig - erstens als Deutung der Wortbedeutung, zweitens in diesem Kontext. # Sehr viele übersetzen daher freier als „sind schwach/matt geworden“, was aber wohl nicht in der Wortbedeutung liegen kann (als kommunikative Übersetzung aber sinnvoll ist; vgl. auch hier zum Sinn FN j zu Ps 13,5). # Textkritik: Deissler, Kissane, Nötscher, Schmidt und Zorell wollen mit LXX, Aq, Sym, Hier, Syr emendieren zu „ich bin gealtert“, aber dass Feinde „mich“ altern lassen haben sollten, ist ja genau so schwierig, wie dass sie „meine Augen“ altern lassen haben sollten. # Zu „geheftet auf“ vgl. Ehrlich 1905; ebenso schon Saadia; zu „[blicken] stolz/frech“ Zolli 1951 - doch keiner von beiden Vorschlägen hat Anklang in der Exegese gefunden. Man wird wohl bei den „gealterten Augen“ bleiben müssen.</w:t>
      </w:r>
    </w:p>
  </w:footnote>
  <w:footnote w:id="1618">
    <w:p>
      <w:pPr>
        <w:pStyle w:val="Funote"/>
        <w:rPr/>
      </w:pPr>
      <w:r>
        <w:rPr>
          <w:i/>
        </w:rPr>
        <w:footnoteRef/>
        <w:tab/>
        <w:t>Frevler</w:t>
      </w:r>
      <w:r>
        <w:rPr/>
        <w:t xml:space="preserve"> - stehende Wendung im Hebräischen; W.: „alle Tuenden von Frevel“.</w:t>
        <w:br/>
        <w:br/>
        <w:t>Erst in diesem Vers wird offenbar, was eigentlich genau das Leid ist, das der Beter die vorigen acht Verse hindurch beklagt hat: Er wird von frevlerischen Feinden bedrängt.</w:t>
      </w:r>
    </w:p>
  </w:footnote>
  <w:footnote w:id="1619">
    <w:p>
      <w:pPr>
        <w:pStyle w:val="Funote"/>
        <w:rPr/>
      </w:pPr>
      <w:r>
        <w:rPr/>
        <w:footnoteRef/>
        <w:tab/>
        <w:t>tFN: {Ja!,} (denn) - emphatisches ki, im Dt. nicht zu übersetzen.</w:t>
      </w:r>
    </w:p>
  </w:footnote>
  <w:footnote w:id="1620">
    <w:p>
      <w:pPr>
        <w:pStyle w:val="Funote"/>
        <w:rPr/>
      </w:pPr>
      <w:r>
        <w:rPr>
          <w:i/>
        </w:rPr>
        <w:footnoteRef/>
        <w:tab/>
        <w:t>Klang meines Weinens</w:t>
      </w:r>
      <w:r>
        <w:rPr/>
        <w:t xml:space="preserve"> + </w:t>
      </w:r>
      <w:r>
        <w:rPr>
          <w:i/>
        </w:rPr>
        <w:t>Bitten</w:t>
      </w:r>
      <w:r>
        <w:rPr/>
        <w:t xml:space="preserve"> + </w:t>
      </w:r>
      <w:r>
        <w:rPr>
          <w:i/>
        </w:rPr>
        <w:t>Gebet (Bittgebet)</w:t>
      </w:r>
      <w:r>
        <w:rPr/>
        <w:t xml:space="preserve"> - Die Aufeinanderfolge dieser drei Begriffe verdichtet eine Progression von unartikuliert nach artikuliert: </w:t>
      </w:r>
      <w:r>
        <w:rPr>
          <w:i/>
        </w:rPr>
        <w:t>qol</w:t>
      </w:r>
      <w:r>
        <w:rPr/>
        <w:t xml:space="preserve"> („Klang“) bezeichnet primär das rein Akustische (das „Geräusch“) - der „Klang des Weinens“ sind also die unartikulierten Klagelaute -; </w:t>
      </w:r>
      <w:r>
        <w:rPr>
          <w:i/>
        </w:rPr>
        <w:t>tähinna</w:t>
      </w:r>
      <w:r>
        <w:rPr/>
        <w:t xml:space="preserve"> („Bitten“) meint den Akt der flehenden Hinwendung im Gebet und </w:t>
      </w:r>
      <w:r>
        <w:rPr>
          <w:i/>
        </w:rPr>
        <w:t>täfilla</w:t>
      </w:r>
      <w:r>
        <w:rPr/>
        <w:t xml:space="preserve"> ist eine Psalm</w:t>
      </w:r>
      <w:r>
        <w:rPr>
          <w:i/>
        </w:rPr>
        <w:t>gattung</w:t>
      </w:r>
      <w:r>
        <w:rPr/>
        <w:t xml:space="preserve"> - das „Bitt-/Klagegebet“.</w:t>
      </w:r>
    </w:p>
  </w:footnote>
  <w:footnote w:id="1621">
    <w:p>
      <w:pPr>
        <w:pStyle w:val="Funote"/>
        <w:rPr/>
      </w:pPr>
      <w:r>
        <w:rPr/>
        <w:footnoteRef/>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622">
    <w:p>
      <w:pPr>
        <w:pStyle w:val="Funote"/>
        <w:rPr/>
      </w:pPr>
      <w:r>
        <w:rPr/>
        <w:footnoteRef/>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623">
    <w:p>
      <w:pPr>
        <w:pStyle w:val="Funote"/>
        <w:rPr/>
      </w:pPr>
      <w:r>
        <w:rPr/>
        <w:footnoteRef/>
        <w:tab/>
        <w:t>JHWH</w:t>
      </w:r>
    </w:p>
  </w:footnote>
  <w:footnote w:id="1624">
    <w:p>
      <w:pPr>
        <w:pStyle w:val="Funote"/>
        <w:rPr/>
      </w:pPr>
      <w:r>
        <w:rPr/>
        <w:footnoteRef/>
        <w:tab/>
        <w:t>[Beide Vorstellungen sind häufig miteinander verknüpft; vgl. z.B. Seybold 1984, S. 464f. und s. z.B. Ps 26,1; 35,22-25; Jer 11,16-20; 25,29-31; Ez 7,27; 18,30.]</w:t>
      </w:r>
    </w:p>
  </w:footnote>
  <w:footnote w:id="1625">
    <w:p>
      <w:pPr>
        <w:pStyle w:val="Funote"/>
        <w:rPr/>
      </w:pPr>
      <w:r>
        <w:rPr/>
        <w:footnoteRef/>
        <w:tab/>
        <w:t>JHWH</w:t>
      </w:r>
    </w:p>
  </w:footnote>
  <w:footnote w:id="1626">
    <w:p>
      <w:pPr>
        <w:pStyle w:val="Funote"/>
        <w:rPr/>
      </w:pPr>
      <w:r>
        <w:rPr/>
        <w:footnoteRef/>
        <w:tab/>
        <w:t>JHWH</w:t>
      </w:r>
    </w:p>
  </w:footnote>
  <w:footnote w:id="1627">
    <w:p>
      <w:pPr>
        <w:pStyle w:val="Funote"/>
        <w:rPr/>
      </w:pPr>
      <w:r>
        <w:rPr/>
        <w:footnoteRef/>
        <w:tab/>
        <w:t>[Status: Zuverlässig]</w:t>
      </w:r>
    </w:p>
  </w:footnote>
  <w:footnote w:id="1628">
    <w:p>
      <w:pPr>
        <w:pStyle w:val="Funote"/>
        <w:rPr/>
      </w:pPr>
      <w:r>
        <w:rPr>
          <w:i/>
        </w:rPr>
        <w:footnoteRef/>
        <w:tab/>
        <w:t>Shiggajon</w:t>
      </w:r>
      <w:r>
        <w:rPr/>
        <w:t xml:space="preserve"> - Bedeutung unbekannt. Das Wort findet sich sonst nur noch in </w:t>
      </w:r>
      <w:hyperlink r:id="rId55">
        <w:r>
          <w:rPr>
            <w:rStyle w:val="Internetverknpfung"/>
          </w:rPr>
          <w:t>Hab 3,1</w:t>
        </w:r>
      </w:hyperlink>
      <w:r>
        <w:rPr/>
        <w:t xml:space="preserve">. Viele leiten die Bedeutung vom akkadischen </w:t>
      </w:r>
      <w:r>
        <w:rPr>
          <w:i/>
        </w:rPr>
        <w:t>schigû</w:t>
      </w:r>
      <w:r>
        <w:rPr/>
        <w:t xml:space="preserve"> („Klageruf“) ab und übersetzen mit „Klagelied“, doch in Hab 3,1 passt diese Bedeutung nicht.</w:t>
      </w:r>
    </w:p>
  </w:footnote>
  <w:footnote w:id="1629">
    <w:p>
      <w:pPr>
        <w:pStyle w:val="Funote"/>
        <w:rPr/>
      </w:pPr>
      <w:r>
        <w:rPr>
          <w:i/>
        </w:rPr>
        <w:footnoteRef/>
        <w:tab/>
        <w:t>Kuschs, des Benjaminiten</w:t>
      </w:r>
      <w:r>
        <w:rPr/>
        <w:t xml:space="preserve"> - Ein Benjaminiter mit Namen Kusch ist in der Bibel unbekannt. Die Überschrift bezieht sich wohl auf eine nicht mehr erhaltene Davidslegende.</w:t>
      </w:r>
    </w:p>
  </w:footnote>
  <w:footnote w:id="1630">
    <w:p>
      <w:pPr>
        <w:pStyle w:val="Funote"/>
        <w:rPr/>
      </w:pPr>
      <w:r>
        <w:rPr/>
        <w:footnoteRef/>
        <w:tab/>
        <w:t>er - gemeint sind die Verfolger. Das Heb. kann v.a. in Poesie unvermittelt von einem Numerus zum anderen wechseln („N-Shift“), ohne dass dies einen Bedeutungsunterschied machen würde. Im Dt. muss mit Plural übertragen werden.</w:t>
      </w:r>
    </w:p>
  </w:footnote>
  <w:footnote w:id="1631">
    <w:p>
      <w:pPr>
        <w:pStyle w:val="Funote"/>
        <w:rPr/>
      </w:pPr>
      <w:r>
        <w:rPr>
          <w:i/>
        </w:rPr>
        <w:footnoteRef/>
        <w:tab/>
        <w:t>meine Seele (mich)</w:t>
      </w:r>
      <w:r>
        <w:rPr/>
        <w:t xml:space="preserve"> - „meine Seele“ ist im Heb. fast stets ein Wechselbegriff für „ich“; so auch hier.</w:t>
      </w:r>
    </w:p>
  </w:footnote>
  <w:footnote w:id="1632">
    <w:p>
      <w:pPr>
        <w:pStyle w:val="Funote"/>
        <w:rPr/>
      </w:pPr>
      <w:r>
        <w:rPr/>
        <w:footnoteRef/>
        <w:tab/>
        <w:t>Oder, sprachlich naheliegender, aber seltener in Üss. und Kommentaren zu finden: Damit er [mich] nicht zerreißt, wie ein Löwe meine Seele (=mich) zerfleischen würde, wenn niemand [da wäre, der] [mich] rettet. Ähnlich z.B. Houston/Moore/Waltke 2014, S. 79: „Otherwise he will tear me apart like a lion / that snatches me away with no one to rescue me.“ Bei der Primärübersetzung wäre eigentlich statt dem Partizip poreq eher das Yiqtol jiproq zu erwarten (so daher z.B. Ehrlich 1905, S. 13; Herkenne 1936, S. 61; Kraus 1961, S. 54); vermutlich sogar noch eher Weqatal.</w:t>
      </w:r>
    </w:p>
  </w:footnote>
  <w:footnote w:id="1633">
    <w:p>
      <w:pPr>
        <w:pStyle w:val="Funote"/>
        <w:rPr/>
      </w:pPr>
      <w:r>
        <w:rPr/>
        <w:footnoteRef/>
        <w:tab/>
        <w:t>Wenn ich dies getan habe - Umstrittene Stelle. Drei Deutungen sind gut möglich: (1) Entweder ist für zot („dies“) mit Leveen 1966, S. 440 und ws. Wellhausen 1898, S. 5 zimmot („Böses“) zu lesen („Wenn ich Böses getan habe“), (2) oder der Dichter / ein Schreiber hat zot („dies“) stellvertretend für eine Übeltat gesetzt, die er nicht auszusprechen / zu schreiben wagte („Wenn ich du-weißt-schon-was getan habe“ / „Wenn ich X getan habe“; letzteres z.B. bei Terrien 2003, S. 116), wie sich das häufiger in der Bibel findet (vgl. Schorch 2000, S. 244; s. z.B. ganz ähnlich Ijob 31,7), oder (3) zot („dies“) meint hier „Etwas“, „Irgendetwas“ („Wenn ich Irgendetwas getan habe“ so schon Saadia; ähnlich Halévy 1894, S. 2).Die häufigste Deutung - die nämlich, dass mit „dies“ zusammenfassend die folgenden Freveltaten angedeutet werden sollen, die dann in den nächsten drei Zeilen ausgeführt werden - ist wegen V. 4b nicht gut möglich, da diese Zeile auch nicht konkreter ist als 4a.</w:t>
      </w:r>
    </w:p>
  </w:footnote>
  <w:footnote w:id="1634">
    <w:p>
      <w:pPr>
        <w:pStyle w:val="Funote"/>
        <w:rPr/>
      </w:pPr>
      <w:r>
        <w:rPr/>
        <w:footnoteRef/>
        <w:tab/>
        <w:t>Unrecht an meinen Händen [ist] - Im Alten Israel hing die Vorstellung von Sünde eng mit der der Reinheit zusammen: Untaten beflecken die Hände (Jes 59,3), machen daher Reinigung (1 Joh 1,9) nötig (s. Jak 4,8: „Reinigt die Hände, Sünder!“). Der Unschuldige dagegen hat „reine Hände“ (Ijob 17,9). Sinnvoll daher z.B. STAD: „Wenn ich meine Hände mit Schuld befleckte“. Falls dies nicht mehr verständlich ist, wäre einfach eine Übersetzung à la NL zu empfehlen: „Wenn ich ungerecht war“.</w:t>
      </w:r>
    </w:p>
  </w:footnote>
  <w:footnote w:id="1635">
    <w:p>
      <w:pPr>
        <w:pStyle w:val="Funote"/>
        <w:rPr/>
      </w:pPr>
      <w:r>
        <w:rPr>
          <w:i/>
        </w:rPr>
        <w:footnoteRef/>
        <w:tab/>
        <w:t>dem, der</w:t>
      </w:r>
      <w:r>
        <w:rPr/>
        <w:t xml:space="preserve"> - gemeint sind mit dem Sg. wieder die vielen Verfolger, s. die nächste Zeile und vgl. </w:t>
      </w:r>
      <w:r>
        <w:fldChar w:fldCharType="begin"/>
      </w:r>
      <w:r>
        <w:instrText> HYPERLINK "http://offene-bibel.de/mediawiki/index.php?title=Psalm_7" \l "note_c"</w:instrText>
      </w:r>
      <w:r>
        <w:fldChar w:fldCharType="separate"/>
      </w:r>
      <w:r>
        <w:rPr>
          <w:rStyle w:val="Internetverknpfung"/>
        </w:rPr>
        <w:t>FN c</w:t>
      </w:r>
      <w:r>
        <w:fldChar w:fldCharType="end"/>
      </w:r>
    </w:p>
  </w:footnote>
  <w:footnote w:id="1636">
    <w:p>
      <w:pPr>
        <w:pStyle w:val="Funote"/>
        <w:rPr/>
      </w:pPr>
      <w:r>
        <w:rPr/>
        <w:footnoteRef/>
        <w:tab/>
        <w:t>Schwieriger Vers. Meist wird er gedeutet als Wenn ich meinem Freund mit Bösem vergalt / und [wenn] ich meine Gegner grundlos gerettet habe,.... Die Hauptschwierigkeiten bei dieser Deutung sind, (a) dass die Übersetzung „Freund“, „Verbündeter“ sich für das entsprechende heb. Wort nicht nachweisen lässt und (b) dass die Rettung eines Gegners schwerlich eine Schandtat ist. Schwierigkeit (a) wollen Beyerlin 1970 und Gunkel 1968 lösen, indem sie für scholmi (scheinbar: „mein Freund“) meschalmi („der, der mir's vergilt“) lesen, doch ist dies gar nicht nötig und schon scholmi kann „der, der mir's vergilt“ bedeuten (vgl. bes. Macholz 1979, S. 129; so schon Olshausen 1853, S. 49). Wg. Schwierigkeit (b) lies für ch-l-z („retten“) besser l-ch-z („bedrängen, bedrücken“); so z.B. schon Houbigant 1777, S. 4; heute z.B. BHS und Houston/Moore/Waltke 2014, S. 80.</w:t>
      </w:r>
    </w:p>
  </w:footnote>
  <w:footnote w:id="1637">
    <w:p>
      <w:pPr>
        <w:pStyle w:val="Funote"/>
        <w:rPr/>
      </w:pPr>
      <w:r>
        <w:rPr>
          <w:i/>
        </w:rPr>
        <w:footnoteRef/>
        <w:tab/>
        <w:t>mich</w:t>
      </w:r>
      <w:r>
        <w:rPr/>
        <w:t xml:space="preserve"> - „Seele“ und „Ehre“ sind in den Psalmen häufig nur Wechselbegriffe für „ich“; so auch hier.</w:t>
      </w:r>
    </w:p>
  </w:footnote>
  <w:footnote w:id="1638">
    <w:p>
      <w:pPr>
        <w:pStyle w:val="Funote"/>
        <w:rPr/>
      </w:pPr>
      <w:r>
        <w:rPr/>
        <w:footnoteRef/>
        <w:tab/>
        <w:t>Der Staub ist hier wie oft ein Synonym für die Unterwelt (vgl. z.B. Bratcher/Reyburn 1991, S. 69). Hier wirkt wohl noch das Bild des reißenden Löwen nach: Wie ein solcher soll der Feind den Sänger verfolgen und zu Boden reißen, so dass dieser fortan [tot] in der Unterwelt leben muss. Vom Sinn her daher richtig T4T: „Lass meine Feinde mich verfolgen, fangen, in den Boden trampeln und mich tot im Schmutz liegen lassen!“Vv. 4-6 insgesamt sind eine Unschuldsbeteuerung in Form einer Selbstverfluchung: „[Ich schwöre, ich habe X nicht getan!] Wenn ich X getan habe, soll mir Y widerfahren!“.</w:t>
      </w:r>
    </w:p>
  </w:footnote>
  <w:footnote w:id="1639">
    <w:p>
      <w:pPr>
        <w:pStyle w:val="Funote"/>
        <w:rPr/>
      </w:pPr>
      <w:r>
        <w:rPr/>
        <w:footnoteRef/>
        <w:tab/>
        <w:t xml:space="preserve">Die Bedeutung von </w:t>
      </w:r>
      <w:r>
        <w:rPr>
          <w:i/>
        </w:rPr>
        <w:t>Selah</w:t>
      </w:r>
      <w:r>
        <w:rPr/>
        <w:t xml:space="preserve"> ist unklar, s. Lexikon / Lemma </w:t>
      </w:r>
      <w:hyperlink r:id="rId56">
        <w:r>
          <w:rPr>
            <w:rStyle w:val="Internetverknpfung"/>
            <w:rtl w:val="true"/>
            <w:lang w:bidi="he-IL"/>
          </w:rPr>
          <w:t>סֶלַה</w:t>
        </w:r>
      </w:hyperlink>
      <w:r>
        <w:rPr/>
        <w:t>. In der LF sollte es daher besser ausgespart werden.</w:t>
      </w:r>
    </w:p>
  </w:footnote>
  <w:footnote w:id="1640">
    <w:p>
      <w:pPr>
        <w:pStyle w:val="Funote"/>
        <w:rPr/>
      </w:pPr>
      <w:r>
        <w:rPr>
          <w:i/>
        </w:rPr>
        <w:footnoteRef/>
        <w:tab/>
        <w:t>erwache</w:t>
      </w:r>
      <w:r>
        <w:rPr/>
        <w:t xml:space="preserve"> - Hinter diesem häufigen Aufruf steht die Vorstellung, dass - da einerseits ja Gott die ganze Welt lenkt und leitet, andererseits aber offensichtlich gerade ein Unrecht geschieht - Gott aktuell „inaktiv“ sein muss (vgl. näher z.B. </w:t>
      </w:r>
      <w:r>
        <w:fldChar w:fldCharType="begin"/>
      </w:r>
      <w:r>
        <w:instrText> HYPERLINK "http://www.bibelwissenschaft.de/stichwort/26737/" \l "h2"</w:instrText>
      </w:r>
      <w:r>
        <w:fldChar w:fldCharType="separate"/>
      </w:r>
      <w:r>
        <w:rPr>
          <w:rStyle w:val="Internetverknpfung"/>
        </w:rPr>
        <w:t>Schlaf (Wibilex)</w:t>
      </w:r>
      <w:r>
        <w:fldChar w:fldCharType="end"/>
      </w:r>
      <w:r>
        <w:rPr/>
        <w:t xml:space="preserve">). Ob dies „schlafen“ wirklich </w:t>
      </w:r>
      <w:r>
        <w:rPr>
          <w:i/>
        </w:rPr>
        <w:t>nur</w:t>
      </w:r>
      <w:r>
        <w:rPr/>
        <w:t xml:space="preserve"> eine Metapher für die Inaktivität Gottes ist, oder ob die Vorstellung tatsächlich wörtlich genommen werden muss, lässt sich heute nicht mehr sagen.</w:t>
      </w:r>
    </w:p>
  </w:footnote>
  <w:footnote w:id="1641">
    <w:p>
      <w:pPr>
        <w:pStyle w:val="Funote"/>
        <w:rPr/>
      </w:pPr>
      <w:r>
        <w:rPr/>
        <w:footnoteRef/>
        <w:tab/>
        <w:t>Textkritik: Und erwache, mein Gott (Und erwache zu mir hin?) - Die Alternativübersetzung ist der eigentliche Wortlaut des heb. Textes und macht offensichtlich nicht viel Sinn. Lies nach LXX für elaj („zu mir hin“) eli („mein Gott“), wofür nur die masoretische Vokalisierung geändert werden muss (so z.B. Brueggemann/Bellinger 2014; Houston/Moore/Waltke 2014, S. 80), oder deute sogar ohne Umvokalisierung - aber unwahrscheinlicher - elaj als Pluralis majestatis „meine Götter“ (=„mein Gott“, so z.B. Dahood 1965, S. 43; Goldingay 2006, S. 143).</w:t>
      </w:r>
    </w:p>
  </w:footnote>
  <w:footnote w:id="1642">
    <w:p>
      <w:pPr>
        <w:pStyle w:val="Funote"/>
        <w:rPr/>
      </w:pPr>
      <w:r>
        <w:rPr/>
        <w:footnoteRef/>
        <w:tab/>
        <w:t>[der] du das Recht eingesetzt hast! - Meist: „Berufe ein Gericht ein“ (gedeutet als prekatives Perfekt, so z.B. Buttenwieser 1938, S. 413; Houston/Moore/Waltke 2014, S. 80) oder „Du hast [ja schon] ein Gericht einberufen“. Das ist unwahrscheinlich; die Kombination der Wörter mischpat („Gebot, Gericht“) und tsawah („einsetzen, gebieten“) findet sich in der Bibel häufig und steht dann stets für den Akt der göttlichen Gesetzgebung (s. Num 27,11; 36,13; Dtn 4,5; 6,20; 8,11; 1 Kön 8,58; 2 Kön 17,34; 1Chr 22,13; 2 Chr 33,8; Neh 1,7; Mal 3,22) oder einmal auch der aaronitischen Gesetzgebung (1 Chr 24,19). Sehr wahrscheinlich wird hier also nicht nur an JHWH, den Weltenrichter appelliert, sondern in dieser Zeile auch noch an JHWH, die „Welt-Legislative“: „Du, von dem doch alle Gebote stammen: Halte Gericht!“</w:t>
      </w:r>
    </w:p>
  </w:footnote>
  <w:footnote w:id="1643">
    <w:p>
      <w:pPr>
        <w:pStyle w:val="Funote"/>
        <w:rPr/>
      </w:pPr>
      <w:r>
        <w:rPr>
          <w:i/>
        </w:rPr>
        <w:footnoteRef/>
        <w:tab/>
        <w:t>Und über sie kehre zur Höhe zurück</w:t>
      </w:r>
      <w:r>
        <w:rPr/>
        <w:t xml:space="preserve"> - nämlich, nachdem du erwacht bist, auf deinen himmlischen „Richterthron“ (4Esr 7,33), um dein Richtamt auszuüben; s. die Parallelstellen und vgl. zur Vorstellung z.B. </w:t>
      </w:r>
      <w:r>
        <w:fldChar w:fldCharType="begin"/>
      </w:r>
      <w:r>
        <w:instrText> HYPERLINK "http://www.bibelwissenschaft.de/stichwort/32258/" \l "h8"</w:instrText>
      </w:r>
      <w:r>
        <w:fldChar w:fldCharType="separate"/>
      </w:r>
      <w:r>
        <w:rPr>
          <w:rStyle w:val="Internetverknpfung"/>
        </w:rPr>
        <w:t>Tag Jahwes (AT) (Wibilex)</w:t>
      </w:r>
      <w:r>
        <w:fldChar w:fldCharType="end"/>
      </w:r>
      <w:r>
        <w:rPr/>
        <w:t>.</w:t>
      </w:r>
    </w:p>
  </w:footnote>
  <w:footnote w:id="1644">
    <w:p>
      <w:pPr>
        <w:pStyle w:val="Funote"/>
        <w:rPr/>
      </w:pPr>
      <w:r>
        <w:rPr/>
        <w:footnoteRef/>
        <w:tab/>
        <w:t>JHWH richte die Völker - ein sogenannter „P-Shift“: In der heb. Lyrik kann plötzlich die Rede zu Gott abwechseln mit der Rede über Gott, ohne, dass dies einen Bedeutungsunterschied machen würde (daher wird auch in der zweiten Zeile wieder fortgefahren mit der Rede zu Gott). Im Dt. würde man auch hier schreiben: „JHWH, du richtest die Völker“.</w:t>
      </w:r>
    </w:p>
  </w:footnote>
  <w:footnote w:id="1645">
    <w:p>
      <w:pPr>
        <w:pStyle w:val="Funote"/>
        <w:rPr/>
      </w:pPr>
      <w:r>
        <w:rPr/>
        <w:footnoteRef/>
        <w:tab/>
        <w:t>Zu Schaff mir Recht statt der häufigen Übersetzung „richte mich“ vgl. gut Liedke 1971, S. 66f: Die Bitte zielt darauf, dass die durch ein Unrecht gestörte kosmische Ordnung wieder hergestellt werden soll; nicht darauf, dass der Beter gerne als Angeklagter vor dem kosmischen Gericht stehen würde. Sinngemäß also meint die Bitte etwas wie: „JHWH, der du die Völker richtest: Richte mich her“.</w:t>
      </w:r>
    </w:p>
  </w:footnote>
  <w:footnote w:id="1646">
    <w:p>
      <w:pPr>
        <w:pStyle w:val="Funote"/>
        <w:rPr/>
      </w:pPr>
      <w:r>
        <w:rPr>
          <w:i/>
        </w:rPr>
        <w:footnoteRef/>
        <w:tab/>
        <w:t>gemäß meiner Gerechtigkeit</w:t>
      </w:r>
      <w:r>
        <w:rPr/>
        <w:t xml:space="preserve"> - d.h., wie dies meiner Gerechtigkeit angemessen wäre.</w:t>
      </w:r>
    </w:p>
  </w:footnote>
  <w:footnote w:id="1647">
    <w:p>
      <w:pPr>
        <w:pStyle w:val="Funote"/>
        <w:rPr/>
      </w:pPr>
      <w:r>
        <w:rPr>
          <w:i/>
        </w:rPr>
        <w:footnoteRef/>
        <w:tab/>
        <w:t>[die] auf mir [ist]</w:t>
      </w:r>
      <w:r>
        <w:rPr/>
        <w:t xml:space="preserve"> - vielleicht ein Wortspiel: Dass Unschuld „auf“ jemandem ist, ist auch im Heb. nicht idiomatisch. Vielleicht soll hier mit der Vorstellung von Sündigkeit und Ungerechtigkeit, die „auf“ (</w:t>
      </w:r>
      <w:hyperlink r:id="rId57">
        <w:r>
          <w:rPr>
            <w:rStyle w:val="Internetverknpfung"/>
          </w:rPr>
          <w:t>Ez 33,10</w:t>
        </w:r>
      </w:hyperlink>
      <w:r>
        <w:rPr/>
        <w:t xml:space="preserve">; auch </w:t>
      </w:r>
      <w:hyperlink r:id="rId58">
        <w:r>
          <w:rPr>
            <w:rStyle w:val="Internetverknpfung"/>
          </w:rPr>
          <w:t>Ez 18,31</w:t>
        </w:r>
      </w:hyperlink>
      <w:r>
        <w:rPr/>
        <w:t>: „Werft von auf euch alle Übertretungen...“) jemandem lastet (</w:t>
      </w:r>
      <w:hyperlink r:id="rId59">
        <w:r>
          <w:rPr>
            <w:rStyle w:val="Internetverknpfung"/>
          </w:rPr>
          <w:t>Jes 24,20</w:t>
        </w:r>
      </w:hyperlink>
      <w:r>
        <w:rPr/>
        <w:t>) wie ein Joch (</w:t>
      </w:r>
      <w:hyperlink r:id="rId60">
        <w:r>
          <w:rPr>
            <w:rStyle w:val="Internetverknpfung"/>
          </w:rPr>
          <w:t>Klg 1,14</w:t>
        </w:r>
      </w:hyperlink>
      <w:r>
        <w:rPr/>
        <w:t xml:space="preserve">), gespielt werden: </w:t>
      </w:r>
      <w:r>
        <w:rPr>
          <w:i/>
        </w:rPr>
        <w:t>Solche</w:t>
      </w:r>
      <w:r>
        <w:rPr/>
        <w:t xml:space="preserve"> lasten gerade nicht auf dem Beter; auf </w:t>
      </w:r>
      <w:r>
        <w:rPr>
          <w:i/>
        </w:rPr>
        <w:t>ihm</w:t>
      </w:r>
      <w:r>
        <w:rPr/>
        <w:t xml:space="preserve"> lastet nur </w:t>
      </w:r>
      <w:r>
        <w:rPr>
          <w:i/>
        </w:rPr>
        <w:t>Unschuld</w:t>
      </w:r>
      <w:r>
        <w:rPr/>
        <w:t>.</w:t>
      </w:r>
    </w:p>
  </w:footnote>
  <w:footnote w:id="1648">
    <w:p>
      <w:pPr>
        <w:pStyle w:val="Funote"/>
        <w:rPr/>
      </w:pPr>
      <w:r>
        <w:rPr>
          <w:i/>
        </w:rPr>
        <w:footnoteRef/>
        <w:tab/>
        <w:t>Böses von Frevlern (böse Frevler, Bosheit von Frevler?)</w:t>
      </w:r>
      <w:r>
        <w:rPr/>
        <w:t xml:space="preserve"> - Was auf den ersten Blick „Böses von Frevlern“ zu bedeuten scheint und daher häufig nach „Bosheit von Frevlern“ emendiert worden ist, heißt wohl einfach „böse Frevler“ (zur Konstruktion vgl. </w:t>
      </w:r>
      <w:r>
        <w:fldChar w:fldCharType="begin"/>
      </w:r>
      <w:r>
        <w:instrText> HYPERLINK "http://en.wikisource.org/wiki/Gesenius'_Hebrew_Grammar/132._Connexion_of_the_Substantive_with_the_Adjective" \l "GHGpar-132-c"</w:instrText>
      </w:r>
      <w:r>
        <w:fldChar w:fldCharType="separate"/>
      </w:r>
      <w:r>
        <w:rPr>
          <w:rStyle w:val="Internetverknpfung"/>
        </w:rPr>
        <w:t>GKC § 132c</w:t>
      </w:r>
      <w:r>
        <w:fldChar w:fldCharType="end"/>
      </w:r>
      <w:r>
        <w:rPr/>
        <w:t>).</w:t>
      </w:r>
    </w:p>
  </w:footnote>
  <w:footnote w:id="1649">
    <w:p>
      <w:pPr>
        <w:pStyle w:val="Funote"/>
        <w:rPr/>
      </w:pPr>
      <w:r>
        <w:rPr/>
        <w:footnoteRef/>
        <w:tab/>
        <w:t>sicher stehen lassen - häufige Metapher, vgl. näher FN r zu Ps 30,7: Das „Wanken“ steht in der Bibel für eine Gefährdung, aus der direkt Vernichtung und Tod folgt. Wer dagegen „sicher steht“, „nicht wankt“, ist sicher und geschützt und wird daher ewig bestehen - hier im Gegensatz zu den Frevlern, die ob ihrer Bosheit „enden“ sollen. Sehr schön BB: „Mach ein Ende mit der Bosheit dieser Frevler. / Doch den Gerechten lass bestehen.“, auch z.B. ZÜR: „doch dem Gerechten gib Bestand!“</w:t>
      </w:r>
    </w:p>
  </w:footnote>
  <w:footnote w:id="1650">
    <w:p>
      <w:pPr>
        <w:pStyle w:val="Funote"/>
        <w:rPr/>
      </w:pPr>
      <w:r>
        <w:rPr/>
        <w:footnoteRef/>
        <w:tab/>
        <w:t>Herz und Nieren - Das Herz ist im heb. Menschenbild Sitz der Gedanken, die Nieren Sitz der Emotionen. Dass Gott „Herz und Nieren prüft“, meint also, dass er das ganze „Innenleben“ des Menschen kennt - dass er ihm „in Herz und Hirn“ sehen kann. Vgl. z.B. ThWAT IV, S. 191 und s. z.B. Ps 26,2; Weish 1,6; Jer 11,20; 17,10.</w:t>
      </w:r>
    </w:p>
  </w:footnote>
  <w:footnote w:id="1651">
    <w:p>
      <w:pPr>
        <w:pStyle w:val="Funote"/>
        <w:rPr/>
      </w:pPr>
      <w:r>
        <w:rPr>
          <w:i/>
        </w:rPr>
        <w:footnoteRef/>
        <w:tab/>
        <w:t>Der gerechte Gott prüft Herz und Nieren...</w:t>
      </w:r>
      <w:r>
        <w:rPr/>
        <w:t xml:space="preserve"> - oder: „[Du], gerechter Gott, prüfst Herz und Nieren.“</w:t>
      </w:r>
    </w:p>
  </w:footnote>
  <w:footnote w:id="1652">
    <w:p>
      <w:pPr>
        <w:pStyle w:val="Funote"/>
        <w:rPr/>
      </w:pPr>
      <w:r>
        <w:rPr/>
        <w:footnoteRef/>
        <w:tab/>
        <w:t>Textkritik: Mein Schild auf mir (auf) - W. „Mein Schild [ist] auf Gott“; lies statt al („auf“) besser alaj („auf mir“); so z.B. BHS; Kraus 1961, S. 54; Terrien 2003, S. 121; Weiser 1959, S. 90. Erwägenswert auch Herkenne 1936, S. 63; Kissane 1953, S. 28: lies jo`il („hilfreich“), also „mein hilfreicher Schild“.</w:t>
      </w:r>
    </w:p>
  </w:footnote>
  <w:footnote w:id="1653">
    <w:p>
      <w:pPr>
        <w:pStyle w:val="Funote"/>
        <w:rPr/>
      </w:pPr>
      <w:r>
        <w:rPr/>
        <w:footnoteRef/>
        <w:tab/>
        <w:t>der jeden Tag zürnt - nämlich den Frevlern, wie das der Text sicher voraussetzt und wie das schon Tg und heute z.B. GN, NGÜ, NL, T4T ergänzen.</w:t>
      </w:r>
    </w:p>
  </w:footnote>
  <w:footnote w:id="1654">
    <w:p>
      <w:pPr>
        <w:pStyle w:val="Funote"/>
        <w:rPr/>
      </w:pPr>
      <w:r>
        <w:rPr/>
        <w:footnoteRef/>
        <w:tab/>
        <w:t>Wenn man sich nicht bekehrt, [sondern] sein Schwert wetzt... - Umstrittener Vers. Nach der obigen Deutung ist das Subjekt der Sätze ab 13a der Frevler und der ganze V. 13 ist die Protasis (=der „Wenn“-Satz) für die Apodosis (=der „Dann“-Satz) V. 14 (so z.B. auch Fokkelman 2000, S. 67; EÜ, wohl auch BB). Möglich sind aber auch viele andere Deutungen:Umstritten ist nämlich genauer (a), wie im lo jaschub (hier: „wenn man sich nicht bekehrt“) gedeutet werden muss, (b), wer Subjekt dieser Sätze ist und (c), wo „wenn man sich nicht bekehrt“ einzuordnen ist.Zu (a): (a1) Die natürlichste Deutung ist die obige als „Wenn man sich nicht bekehrt“. Möglich wären aber auch (a2) „Fürwahr, schon wieder [wetzt er (=der Frevler) sein Schwert]“ (so z.B. Kraus 1961, S. 53; schon Olshausen 1853, S. 52) und (a3) „Ach, wenn doch wieder [er sein Schwert schärfen würde]“ (so m.W. nur Dahood 1965, S. 41).Zu (b): (b1) Die natürlichste Deutung wäre, dass in Vv. 13f. Gott das Subjekt ist (so z.B. Hubbard 1982, S. 269; Macintosh 1982, S. 487). Aber dann ließe sich das „für sich [selbst]“ in V. 14 nicht gut erklären. (b2) Besser ist daher die Deutung, die den „Frevler“ als Subjekt dieser Verse sieht (so z.B. Gerstenberger 1991, S. 63; Nötscher 1959, S. 26). (b3) Daneben vertreten wurde auch, dass der Frevler das Subjekt des Nebensatzes und Gott das Subjekt der restlichen Sätze wäre: „Wenn er (=der Frevler) sich nicht bekehrt, wetzt er (=Gott) sein Schwert.“ (so z.B. Bratcher/Reyburn 1991, S. 73f.; viele Üss.). Aber das ist recht unwahrscheinlich.Zu (c): (c1) Nach der masoretischen Deutung müsste der Nebensatz zum Rest von V. 13 gezogen werden: „Wenn man sich nicht bekehrt, ...“ (so fast alle). Theoretisch möglich wäre aber auch eine Deutung nach dem Muster „er ist auch ein Gott, der jeden Tag zürnt, wenn man sich nicht bekehrt. / ...“ (so z.B. Macintosh 1982, S. 485; auch Craigie 1983; Deissler 1989 und schon Schegg 1845 z.St.)</w:t>
      </w:r>
    </w:p>
  </w:footnote>
  <w:footnote w:id="1655">
    <w:p>
      <w:pPr>
        <w:pStyle w:val="Funote"/>
        <w:rPr/>
      </w:pPr>
      <w:r>
        <w:rPr>
          <w:i/>
        </w:rPr>
        <w:footnoteRef/>
        <w:tab/>
        <w:t>ihn aufrichtet</w:t>
      </w:r>
      <w:r>
        <w:rPr/>
        <w:t xml:space="preserve"> - d.h. wohl: „mit ihm zielt“.</w:t>
      </w:r>
    </w:p>
  </w:footnote>
  <w:footnote w:id="1656">
    <w:p>
      <w:pPr>
        <w:pStyle w:val="Funote"/>
        <w:rPr/>
      </w:pPr>
      <w:r>
        <w:rPr>
          <w:i/>
        </w:rPr>
        <w:footnoteRef/>
        <w:tab/>
        <w:t>zu brennenden</w:t>
      </w:r>
      <w:r>
        <w:rPr/>
        <w:t xml:space="preserve"> - d.h., zu Brandpfeilen.</w:t>
      </w:r>
    </w:p>
  </w:footnote>
  <w:footnote w:id="1657">
    <w:p>
      <w:pPr>
        <w:pStyle w:val="Funote"/>
        <w:rPr/>
      </w:pPr>
      <w:r>
        <w:rPr/>
        <w:footnoteRef/>
        <w:tab/>
        <w:t>tFN: Wenn (siehe) - zu hinneh mit der Bedeutung „wenn“ vgl. KBL3, S. 242 und s. z.B. 1 Sam 9,7; 2 Sam 18,11; 2 Kön 7,2.</w:t>
      </w:r>
    </w:p>
  </w:footnote>
  <w:footnote w:id="1658">
    <w:p>
      <w:pPr>
        <w:pStyle w:val="Funote"/>
        <w:rPr/>
      </w:pPr>
      <w:r>
        <w:rPr/>
        <w:footnoteRef/>
        <w:tab/>
        <w:t>und gebiert - Trug (und gebiert Lügen) - umstrittener Satz. Entweder ist ist die Aussage eine ähnliche wie in Vv. 13f.16: Das Planen von Unheil bringt dem Planer selbst Unheil ein, also „ist man schwanger mit Unheil, hat man eine Fehlgeburt“ (so z.B. B-R; GN; Kissane 1953, S. 28; SLT; Terrien 2003, S. 117; Wellhausen 1898, S. 6; Zorell 1928, S. 9; s. Ijob 15,35; Jes 33,11). Möglich ist aber auch, dass „Trug“ hier den selben Status hat wie „Frevel“ und „Bosheit“ und dass der Beter sich in V. 15 also noch einmal über den Frevler, der Böses tut - nämlich z.B., indem er „Lügen gebiert“ (s. ähnlich Jes 59,4), beklagt. Wegen dem Kontext ist aber der ersten Deutung der Vorzug zu geben.</w:t>
      </w:r>
    </w:p>
  </w:footnote>
  <w:footnote w:id="1659">
    <w:p>
      <w:pPr>
        <w:pStyle w:val="Funote"/>
        <w:rPr/>
      </w:pPr>
      <w:r>
        <w:rPr/>
        <w:footnoteRef/>
        <w:tab/>
        <w:t>[Status: Zuverlässig]</w:t>
      </w:r>
    </w:p>
  </w:footnote>
  <w:footnote w:id="1660">
    <w:p>
      <w:pPr>
        <w:pStyle w:val="Funote"/>
        <w:rPr/>
      </w:pPr>
      <w:r>
        <w:rPr/>
        <w:footnoteRef/>
        <w:tab/>
        <w:t>Genaue Bedeutung unklar. Die gewählte Übersetzung entspricht der Mehrheitsmeinung.</w:t>
      </w:r>
    </w:p>
  </w:footnote>
  <w:footnote w:id="1661">
    <w:p>
      <w:pPr>
        <w:pStyle w:val="Funote"/>
        <w:rPr/>
      </w:pPr>
      <w:r>
        <w:rPr/>
        <w:footnoteRef/>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662">
    <w:p>
      <w:pPr>
        <w:pStyle w:val="Funote"/>
        <w:rPr/>
      </w:pPr>
      <w:r>
        <w:rPr/>
        <w:footnoteRef/>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663">
    <w:p>
      <w:pPr>
        <w:pStyle w:val="Funote"/>
        <w:rPr/>
      </w:pPr>
      <w:r>
        <w:rPr>
          <w:rtl w:val="true"/>
          <w:lang w:bidi="he-IL"/>
        </w:rPr>
        <w:footnoteRef/>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664">
    <w:p>
      <w:pPr>
        <w:pStyle w:val="Funote"/>
        <w:rPr/>
      </w:pPr>
      <w:r>
        <w:rPr/>
        <w:footnoteRef/>
        <w:tab/>
        <w:t xml:space="preserve">Textkritik: welche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665">
    <w:p>
      <w:pPr>
        <w:pStyle w:val="Funote"/>
        <w:rPr/>
      </w:pPr>
      <w:r>
        <w:rPr/>
        <w:footnoteRef/>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666">
    <w:p>
      <w:pPr>
        <w:pStyle w:val="Funote"/>
        <w:rPr/>
      </w:pPr>
      <w:r>
        <w:rPr/>
        <w:footnoteRef/>
        <w:tab/>
        <w:t>Sowohl das Wort für „Kleinkinder“ als auch das für „Säuglinge“ steht für Kinder bis maximal drei Jahren. Die übliche Übersetzung „</w:t>
      </w:r>
      <w:r>
        <w:rPr>
          <w:i/>
        </w:rPr>
        <w:t>Kinder</w:t>
      </w:r>
      <w:r>
        <w:rPr/>
        <w:t xml:space="preserve"> und Säuglinge“ ist also ungenau.</w:t>
      </w:r>
    </w:p>
  </w:footnote>
  <w:footnote w:id="1667">
    <w:p>
      <w:pPr>
        <w:pStyle w:val="Funote"/>
        <w:rPr/>
      </w:pPr>
      <w:r>
        <w:rPr/>
        <w:footnoteRef/>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668">
    <w:p>
      <w:pPr>
        <w:pStyle w:val="Funote"/>
        <w:rPr/>
      </w:pPr>
      <w:r>
        <w:rPr/>
        <w:footnoteRef/>
        <w:tab/>
        <w:t xml:space="preserve">zu „um deiner Gegner willen“ vgl. </w:t>
      </w:r>
      <w:r>
        <w:fldChar w:fldCharType="begin"/>
      </w:r>
      <w:r>
        <w:instrText> HYPERLINK "http://www.offene-bibel.de/wiki/index.php5?title=Psalm_5" \l "note_ad"</w:instrText>
      </w:r>
      <w:r>
        <w:fldChar w:fldCharType="separate"/>
      </w:r>
      <w:r>
        <w:rPr>
          <w:rStyle w:val="Internetverknpfung"/>
        </w:rPr>
        <w:t>FN ad</w:t>
      </w:r>
      <w:r>
        <w:fldChar w:fldCharType="end"/>
      </w:r>
      <w:r>
        <w:rPr/>
        <w:t xml:space="preserve"> zu </w:t>
      </w:r>
      <w:r>
        <w:fldChar w:fldCharType="begin"/>
      </w:r>
      <w:r>
        <w:instrText> HYPERLINK "file:///wiki/Psalm_5" \l "s9"</w:instrText>
      </w:r>
      <w:r>
        <w:fldChar w:fldCharType="separate"/>
      </w:r>
      <w:r>
        <w:rPr>
          <w:rStyle w:val="Internetverknpfung"/>
        </w:rPr>
        <w:t>Ps 5,9</w:t>
      </w:r>
      <w:r>
        <w:fldChar w:fldCharType="end"/>
      </w:r>
      <w:r>
        <w:rPr/>
        <w:t xml:space="preserve">: </w:t>
      </w:r>
      <w:r>
        <w:rPr>
          <w:rtl w:val="true"/>
          <w:lang w:bidi="he-IL"/>
        </w:rPr>
        <w:t>לְמַעַן</w:t>
      </w:r>
      <w:r>
        <w:rPr/>
        <w:t xml:space="preserve"> </w:t>
      </w:r>
      <w:r>
        <w:rPr/>
        <w:t>dient hier wohl zur Bezeichnung der Motivation, die Gott zu einer Handlung veranlassen soll, also wohl „wegen deiner = wider deine Feinde“</w:t>
      </w:r>
    </w:p>
  </w:footnote>
  <w:footnote w:id="1669">
    <w:p>
      <w:pPr>
        <w:pStyle w:val="Funote"/>
        <w:rPr/>
      </w:pPr>
      <w:r>
        <w:rPr/>
        <w:footnoteRef/>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„Deiner Finger Werk“.</w:t>
      </w:r>
    </w:p>
  </w:footnote>
  <w:footnote w:id="1670">
    <w:p>
      <w:pPr>
        <w:pStyle w:val="Funote"/>
        <w:rPr/>
      </w:pPr>
      <w:r>
        <w:rPr/>
        <w:footnoteRef/>
        <w:tab/>
        <w:t>In der biblischen Poesie werden Zitate häufig nicht durch verba dicendi eingeleitet; im Deutschen muss man diese Redeeinleitungen ergänzen. Vgl. dazu ad loc. z.B. GKC §159dd.</w:t>
      </w:r>
    </w:p>
  </w:footnote>
  <w:footnote w:id="1671">
    <w:p>
      <w:pPr>
        <w:pStyle w:val="Funote"/>
        <w:rPr/>
      </w:pPr>
      <w:r>
        <w:rPr/>
        <w:footnoteRef/>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672">
    <w:p>
      <w:pPr>
        <w:pStyle w:val="Funote"/>
        <w:rPr/>
      </w:pPr>
      <w:r>
        <w:rPr/>
        <w:footnoteRef/>
        <w:tab/>
        <w:t xml:space="preserve">Das „Erinnern“ und „Beachten“ Gottes ist nicht wörtlich zu verstehen, sondern beides sind geprägte Wendungen für ein Handeln Gottes an dem, dessen er sich „erinnert“ oder auf den er „achtet“. Ist es nicht näher bestimmt, meint es meist ein </w:t>
      </w:r>
      <w:r>
        <w:rPr>
          <w:i/>
        </w:rPr>
        <w:t>heilsames</w:t>
      </w:r>
      <w:r>
        <w:rPr/>
        <w:t xml:space="preserve"> Handeln; so auch hier. Vgl. zu „Erinnern“ </w:t>
      </w:r>
      <w:r>
        <w:fldChar w:fldCharType="begin"/>
      </w:r>
      <w:r>
        <w:instrText> HYPERLINK "file:///wiki/Genesis_8" \l "s1"</w:instrText>
      </w:r>
      <w:r>
        <w:fldChar w:fldCharType="separate"/>
      </w:r>
      <w:r>
        <w:rPr>
          <w:rStyle w:val="Internetverknpfung"/>
        </w:rPr>
        <w:t>Gen 8,1</w:t>
      </w:r>
      <w:r>
        <w:fldChar w:fldCharType="end"/>
      </w:r>
      <w:r>
        <w:rPr/>
        <w:t xml:space="preserve">; </w:t>
      </w:r>
      <w:r>
        <w:fldChar w:fldCharType="begin"/>
      </w:r>
      <w:r>
        <w:instrText> HYPERLINK "file:///wiki/Genesis_19" \l "s29"</w:instrText>
      </w:r>
      <w:r>
        <w:fldChar w:fldCharType="separate"/>
      </w:r>
      <w:r>
        <w:rPr>
          <w:rStyle w:val="Internetverknpfung"/>
        </w:rPr>
        <w:t>19,29</w:t>
      </w:r>
      <w:r>
        <w:fldChar w:fldCharType="end"/>
      </w:r>
      <w:r>
        <w:rPr/>
        <w:t xml:space="preserve">; </w:t>
      </w:r>
      <w:hyperlink r:id="rId61">
        <w:r>
          <w:rPr>
            <w:rStyle w:val="Internetverknpfung"/>
          </w:rPr>
          <w:t>30,22</w:t>
        </w:r>
      </w:hyperlink>
      <w:r>
        <w:rPr/>
        <w:t xml:space="preserve">; </w:t>
      </w:r>
      <w:hyperlink r:id="rId62">
        <w:r>
          <w:rPr>
            <w:rStyle w:val="Internetverknpfung"/>
          </w:rPr>
          <w:t>Ex 32,13</w:t>
        </w:r>
      </w:hyperlink>
      <w:r>
        <w:rPr/>
        <w:t xml:space="preserve">; </w:t>
      </w:r>
      <w:hyperlink r:id="rId63">
        <w:r>
          <w:rPr>
            <w:rStyle w:val="Internetverknpfung"/>
          </w:rPr>
          <w:t>Dtn 9,27</w:t>
        </w:r>
      </w:hyperlink>
      <w:r>
        <w:rPr/>
        <w:t xml:space="preserve"> u.ö.; zu „Beachten“ </w:t>
      </w:r>
      <w:r>
        <w:fldChar w:fldCharType="begin"/>
      </w:r>
      <w:r>
        <w:instrText> HYPERLINK "file:///wiki/Genesis_21" \l "s1"</w:instrText>
      </w:r>
      <w:r>
        <w:fldChar w:fldCharType="separate"/>
      </w:r>
      <w:r>
        <w:rPr>
          <w:rStyle w:val="Internetverknpfung"/>
        </w:rPr>
        <w:t>Gen 21,1</w:t>
      </w:r>
      <w:r>
        <w:fldChar w:fldCharType="end"/>
      </w:r>
      <w:r>
        <w:rPr/>
        <w:t xml:space="preserve">; </w:t>
      </w:r>
      <w:r>
        <w:fldChar w:fldCharType="begin"/>
      </w:r>
      <w:r>
        <w:instrText> HYPERLINK "file:///wiki/Genesis_50" \l "s24"</w:instrText>
      </w:r>
      <w:r>
        <w:fldChar w:fldCharType="separate"/>
      </w:r>
      <w:r>
        <w:rPr>
          <w:rStyle w:val="Internetverknpfung"/>
        </w:rPr>
        <w:t>50,24f</w:t>
      </w:r>
      <w:r>
        <w:fldChar w:fldCharType="end"/>
      </w:r>
      <w:r>
        <w:rPr/>
        <w:t xml:space="preserve">; </w:t>
      </w:r>
      <w:r>
        <w:fldChar w:fldCharType="begin"/>
      </w:r>
      <w:r>
        <w:instrText> HYPERLINK "file:///wiki/Exodus_3" \l "s16"</w:instrText>
      </w:r>
      <w:r>
        <w:fldChar w:fldCharType="separate"/>
      </w:r>
      <w:r>
        <w:rPr>
          <w:rStyle w:val="Internetverknpfung"/>
        </w:rPr>
        <w:t>Ex 3,16</w:t>
      </w:r>
      <w:r>
        <w:fldChar w:fldCharType="end"/>
      </w:r>
      <w:r>
        <w:rPr/>
        <w:t xml:space="preserve">; </w:t>
      </w:r>
      <w:r>
        <w:fldChar w:fldCharType="begin"/>
      </w:r>
      <w:r>
        <w:instrText> HYPERLINK "file:///wiki/Exodus_4" \l "s31"</w:instrText>
      </w:r>
      <w:r>
        <w:fldChar w:fldCharType="separate"/>
      </w:r>
      <w:r>
        <w:rPr>
          <w:rStyle w:val="Internetverknpfung"/>
        </w:rPr>
        <w:t>4,31</w:t>
      </w:r>
      <w:r>
        <w:fldChar w:fldCharType="end"/>
      </w:r>
      <w:r>
        <w:rPr/>
        <w:t xml:space="preserve">; </w:t>
      </w:r>
      <w:hyperlink r:id="rId64">
        <w:r>
          <w:rPr>
            <w:rStyle w:val="Internetverknpfung"/>
          </w:rPr>
          <w:t>1Sam 2,21</w:t>
        </w:r>
      </w:hyperlink>
      <w:r>
        <w:rPr/>
        <w:t xml:space="preserve"> u.ö.</w:t>
      </w:r>
    </w:p>
  </w:footnote>
  <w:footnote w:id="1673">
    <w:p>
      <w:pPr>
        <w:pStyle w:val="Funote"/>
        <w:rPr/>
      </w:pPr>
      <w:r>
        <w:rPr/>
        <w:footnoteRef/>
        <w:tab/>
        <w:t>„</w:t>
      </w:r>
      <w:r>
        <w:rPr/>
        <w:t>Menschenkind“ gut nach Ridderbos 1972, S. 136, da diese Übersetzung gut zum vorangehenden Halbvers passt.</w:t>
      </w:r>
    </w:p>
  </w:footnote>
  <w:footnote w:id="1674">
    <w:p>
      <w:pPr>
        <w:pStyle w:val="Funote"/>
        <w:rPr/>
      </w:pPr>
      <w:r>
        <w:rPr/>
        <w:footnoteRef/>
        <w:tab/>
        <w:t xml:space="preserve">Heb. </w:t>
      </w:r>
      <w:r>
        <w:rPr>
          <w:i/>
        </w:rPr>
        <w:t>ben adam</w:t>
      </w:r>
      <w:r>
        <w:rPr/>
        <w:t xml:space="preserve">, Sohn / Kind des </w:t>
      </w:r>
      <w:r>
        <w:rPr>
          <w:i/>
        </w:rPr>
        <w:t>adam</w:t>
      </w:r>
      <w:r>
        <w:rPr/>
        <w:t xml:space="preserve">. Dass Ps 8 vielfältige Bezüge zum Schöpfungsmythos hat, wurde häufig bemerkt (bis hin zur These, mit dem konsekutiven </w:t>
      </w:r>
      <w:r>
        <w:rPr>
          <w:i/>
        </w:rPr>
        <w:t>waw</w:t>
      </w:r>
      <w:r>
        <w:rPr/>
        <w:t xml:space="preserve"> schließe Ps 8 direkt an Gen 1 an); </w:t>
      </w:r>
      <w:r>
        <w:rPr>
          <w:i/>
        </w:rPr>
        <w:t>ben adam</w:t>
      </w:r>
      <w:r>
        <w:rPr/>
        <w:t xml:space="preserve"> ist daher ein besonders treffender Ausdruck.</w:t>
      </w:r>
    </w:p>
  </w:footnote>
  <w:footnote w:id="1675">
    <w:p>
      <w:pPr>
        <w:pStyle w:val="Funote"/>
        <w:rPr/>
      </w:pPr>
      <w:r>
        <w:rPr/>
        <w:footnoteRef/>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weswegen haben wir nicht diese unsere Welt auch im Besitz?“ (Üs. nach Rießler 1928, S. 271; meine Unterstreichung). - die menschliche Herrschaft ist also sowohl nach Gen 1,28 und 4Ezra 6,59 eben noch nicht eingetreten. Vgl. auch Guthrie / Quinn 2006, bes. S. 236f.; vgl. außerdem die eschatologische Wendung in Heb 2,5-8.</w:t>
      </w:r>
    </w:p>
  </w:footnote>
  <w:footnote w:id="1676">
    <w:p>
      <w:pPr>
        <w:pStyle w:val="Funote"/>
        <w:rPr/>
      </w:pPr>
      <w:r>
        <w:rPr/>
        <w:footnoteRef/>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677">
    <w:p>
      <w:pPr>
        <w:pStyle w:val="Funote"/>
        <w:rPr/>
      </w:pPr>
      <w:r>
        <w:rPr/>
        <w:footnoteRef/>
        <w:tab/>
        <w:t>„</w:t>
      </w:r>
      <w:r>
        <w:rPr/>
        <w:t xml:space="preserve">Herrlichkeit und Pracht“ sind eigentlich Prädikate, die typischerweise nur von Gott ausgesagt werden (vgl. </w:t>
      </w:r>
      <w:r>
        <w:fldChar w:fldCharType="begin"/>
      </w:r>
      <w:r>
        <w:instrText> HYPERLINK "file:///wiki/Psalm_145" \l "s5"</w:instrText>
      </w:r>
      <w:r>
        <w:fldChar w:fldCharType="separate"/>
      </w:r>
      <w:r>
        <w:rPr>
          <w:rStyle w:val="Internetverknpfung"/>
        </w:rPr>
        <w:t>Ps 145,5.12</w:t>
      </w:r>
      <w:r>
        <w:fldChar w:fldCharType="end"/>
      </w:r>
      <w:r>
        <w:rPr/>
        <w:t xml:space="preserve">; </w:t>
      </w:r>
      <w:r>
        <w:fldChar w:fldCharType="begin"/>
      </w:r>
      <w:r>
        <w:instrText> HYPERLINK "file:///wiki/Jesaja_35" \l "s2"</w:instrText>
      </w:r>
      <w:r>
        <w:fldChar w:fldCharType="separate"/>
      </w:r>
      <w:r>
        <w:rPr>
          <w:rStyle w:val="Internetverknpfung"/>
        </w:rPr>
        <w:t>Jes 35,2</w:t>
      </w:r>
      <w:r>
        <w:fldChar w:fldCharType="end"/>
      </w:r>
      <w:r>
        <w:rPr/>
        <w:t xml:space="preserve">). Ähnlich, wie sie </w:t>
      </w:r>
      <w:hyperlink r:id="rId65">
        <w:r>
          <w:rPr>
            <w:rStyle w:val="Internetverknpfung"/>
          </w:rPr>
          <w:t>Ps 21,5</w:t>
        </w:r>
      </w:hyperlink>
      <w:r>
        <w:rPr/>
        <w:t xml:space="preserve"> dann auf den König angewandt werden, werden sie hier auf den Menschen im Allgemeinen angewendet; dies unterstreicht noch die Aussage in 6a, dass dem Menschen nur wenig zu Gott fehlt.</w:t>
      </w:r>
    </w:p>
  </w:footnote>
  <w:footnote w:id="1678">
    <w:p>
      <w:pPr>
        <w:pStyle w:val="Funote"/>
        <w:rPr/>
      </w:pPr>
      <w:r>
        <w:rPr/>
        <w:footnoteRef/>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679">
    <w:p>
      <w:pPr>
        <w:pStyle w:val="Funote"/>
        <w:rPr/>
      </w:pPr>
      <w:r>
        <w:rPr/>
        <w:footnoteRef/>
        <w:tab/>
        <w:t>Zu „Schafe und Rinder“ als „Kleinvieh und Großvieh“ vgl. ad loc. Craigie 1983, S. 96; Whitekettle 2006, S. 752.</w:t>
      </w:r>
    </w:p>
  </w:footnote>
  <w:footnote w:id="1680">
    <w:p>
      <w:pPr>
        <w:pStyle w:val="Funote"/>
        <w:rPr/>
      </w:pPr>
      <w:r>
        <w:rPr/>
        <w:footnoteRef/>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681">
    <w:p>
      <w:pPr>
        <w:pStyle w:val="Funote"/>
        <w:rPr/>
      </w:pPr>
      <w:r>
        <w:rPr/>
        <w:footnoteRef/>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682">
    <w:p>
      <w:pPr>
        <w:pStyle w:val="Funote"/>
        <w:rPr/>
      </w:pPr>
      <w:r>
        <w:rPr/>
        <w:footnoteRef/>
        <w:tab/>
        <w:t>zu „seine Bahnen zieht“ vgl. Waltke 2010, S. 271: Die Pfade des Meeres steht für die Reiseroute des Leviathans.</w:t>
      </w:r>
    </w:p>
  </w:footnote>
  <w:footnote w:id="1683">
    <w:p>
      <w:pPr>
        <w:pStyle w:val="Funote"/>
        <w:rPr/>
      </w:pPr>
      <w:r>
        <w:rPr/>
        <w:footnoteRef/>
        <w:tab/>
        <w:t>JHWH</w:t>
      </w:r>
    </w:p>
  </w:footnote>
  <w:footnote w:id="1684">
    <w:p>
      <w:pPr>
        <w:pStyle w:val="Funote"/>
        <w:rPr/>
      </w:pPr>
      <w:r>
        <w:rPr/>
        <w:footnoteRef/>
        <w:tab/>
        <w:t>JHWH</w:t>
      </w:r>
    </w:p>
  </w:footnote>
  <w:footnote w:id="1685">
    <w:p>
      <w:pPr>
        <w:pStyle w:val="Funote"/>
        <w:rPr/>
      </w:pPr>
      <w:r>
        <w:rPr/>
        <w:footnoteRef/>
        <w:tab/>
        <w:t>[Status: Zuverlässig]</w:t>
      </w:r>
    </w:p>
  </w:footnote>
  <w:footnote w:id="1686">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687">
    <w:p>
      <w:pPr>
        <w:pStyle w:val="Funote"/>
        <w:rPr/>
      </w:pPr>
      <w:r>
        <w:rPr/>
        <w:footnoteRef/>
        <w:tab/>
        <w:t>`almut labben ([Vorzutragen vom] Vorsteher [über das Ritual] „`almut labben“) - rätselhafter Begriff. Auch in den alten Übersetzungen und Deutungen wird unterschiedlich damit umgegangen: Viele Handschriften korrigieren zu `al-mut labben, was auch Tg und Hieronymus vorlag; dies wird dann meist als die Angabe eines bekannten Liedes gesehen, nach dessen Melodie der Psalm zu singen sei: „[zu singen] nach [der Melodie des Liedes] ‚Sterben für den Sohn/Sterben des Sohnes‘“ (so auch viele Üss.). LXX und VUL dagegen interpretieren als tha`alumot labben („[über die] Geheimnisse des Sohnes“). Einige neuere Üss. schließlich korrigieren den Text (=&gt; Textkritik) von `almut nach `alamot (so wohl auch Aq), was sich auch im Titel von Ps 46,1 und auch in 1 Chr 15,20f. findet und ws. soviel wie „Jungfrauenweise“=„hohe Gesangsstimme“ bedeutet („Jungfrauenweise für den Sohn“ =&gt; GN: „für hohe Knabenstimmen“). Dass in den sog. „Psalmenüberschriften“ Angaben zur Melodie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`almut labben nicht die Melodie, sondern der menatseach wäre Vorsteher über das Ritual mit dem Namen `almut labben, bei dem der Psalm vorzuträgen wäre. Doch ist auch dies nur ein „educated guess“ und „Chorleiter“ und „[nach der Melodie]“ sind in dt. Üss. so etabliert, dass die LF doch besser dieser Deutung folgen sollte: „Für den Chorleiter. [Vorzutragen] nach [der Melodie des Liedes] ‚almut labben‘“.</w:t>
      </w:r>
    </w:p>
  </w:footnote>
  <w:footnote w:id="1688">
    <w:p>
      <w:pPr>
        <w:pStyle w:val="Funote"/>
        <w:rPr/>
      </w:pPr>
      <w:r>
        <w:rPr/>
        <w:footnoteRef/>
        <w:tab/>
        <w:t>Ps 9-10 sind das erste sog. „Akrostichon“ in der Bibel, die Anfangsbuchstaben einiger Zeilen folgen also dem heb. Alphabet (s. die Anmerkungen). Um das direkt sichtbar zu machen, haben wir die obigen Buchstaben gesetzt: Wo „A“ steht, findet sich im heb. Text der erste Buchstabe des heb. Alphabets, wo „B“ steht der zweite usw.</w:t>
      </w:r>
    </w:p>
  </w:footnote>
  <w:footnote w:id="1689">
    <w:p>
      <w:pPr>
        <w:pStyle w:val="Funote"/>
        <w:rPr/>
      </w:pPr>
      <w:r>
        <w:rPr/>
        <w:footnoteRef/>
        <w:tab/>
        <w:t>ich will JHWH preisen - Viele Üss. nach LXX, Aq und Sym: „Ich will [dich] preisen, JHWH“. Das ist richtig: Der Dichter verwendet hier ein Stilmittel, einen sog. „P-Shift“: In heb. Lyrik kann aus poetischen Gründen von einer Zeile auf die nächste von einer Person zur nächsten gewechselt werden (also z.B. hier: Zeile 1: Rede von Gott (3. Pers.) =&gt; Zeile 2: Rede zu Gott (2. Pers.)), ohne, dass dies einen Bedeutungsunterschied machen würde. Weil dieses Stilmittel im Dt. ungebräuchlich ist, sollte besser auch in der LF so übersetzt werden.</w:t>
      </w:r>
    </w:p>
  </w:footnote>
  <w:footnote w:id="1690">
    <w:p>
      <w:pPr>
        <w:pStyle w:val="Funote"/>
        <w:rPr/>
      </w:pPr>
      <w:r>
        <w:rPr/>
        <w:footnoteRef/>
        <w:tab/>
        <w:t>deinen Namen (dich) - der „Name“ Gottes steht hier wie meist in den Pss. für Gott selbst, genauer: für „Gott im Menschenmund“. Näher am Sinn wäre daher die Üs. „will dich besingen“ (so z.B. auch EÜ, GN, NeÜ).</w:t>
      </w:r>
    </w:p>
  </w:footnote>
  <w:footnote w:id="1691">
    <w:p>
      <w:pPr>
        <w:pStyle w:val="Funote"/>
        <w:rPr/>
      </w:pPr>
      <w:r>
        <w:rPr/>
        <w:footnoteRef/>
        <w:tab/>
        <w:t>[mit den Worten]: - Ps 9-10 haben eine interessante Struktur: Im ersten Teil überwiegt der Lobpreis und erst im zweiten Teil die Klage und Bitte. In der Regel ist es bei vergleichbaren Psalmen andersherum. Eshel/Strugnell 2000 z.B. haben aus diesem Grund sogar gemutmaßt, dass ursprünglich Ps 9 auf Ps 10 gefolgt sei. Eine weitere strukturelle Besonderheit: Die beiden längeren Lobpreisteile in Ps 9 folgen jeweils direkt auf eine Willensbekundung (formuliert im Kohortativ!), JHWH zu preisen: Vv. 2f.: Der Beter will JHWH preisen =&gt; Vv. 3-13: Lobpreis =&gt; Vv. 14f.: Bitte, damit der Beter JHWH peisen kann =&gt; Vv. 16-19: Lobpreis. Vorgeschlagen sei daher, dass es sich bei Vv. 3-13.16-19 um Proben des Lobpreises handelt, den der Beter im Falle seiner Errettung Gott darbringen will - wie sich das noch häufiger in den Klagepsalmen findet, s. z.B. schön deutlich Ps 22,24f.. Zu Vv. 16f. so auch Ehrlich 1905, S. 18. Das würde dann z.B. auch erklären, warum sich der Beter in V. 12 auf einmal an mehrere Hörer wenden und sie auffordern kann, in sein Lobpreis einzustimmen.</w:t>
      </w:r>
    </w:p>
  </w:footnote>
  <w:footnote w:id="1692">
    <w:p>
      <w:pPr>
        <w:pStyle w:val="Funote"/>
        <w:rPr/>
      </w:pPr>
      <w:r>
        <w:rPr/>
        <w:footnoteRef/>
        <w:tab/>
        <w:t xml:space="preserve">In </w:t>
      </w:r>
      <w:r>
        <w:rPr>
          <w:i/>
        </w:rPr>
        <w:t>Vv. 2-3</w:t>
      </w:r>
      <w:r>
        <w:rPr/>
        <w:t xml:space="preserve"> beginnt nicht nur das erste Wort mit Alef, dem ersten Buchstaben des heb. Alphabets - wie es das in den Anmerkungen beschriebene Muster erwarten lassen würde -, sondern jede Zeile und alle fünf verwendeten Verben beginnen mit diesem Buchstaben.</w:t>
      </w:r>
    </w:p>
  </w:footnote>
  <w:footnote w:id="1693">
    <w:p>
      <w:pPr>
        <w:pStyle w:val="Funote"/>
        <w:rPr/>
      </w:pPr>
      <w:r>
        <w:rPr>
          <w:i/>
        </w:rPr>
        <w:footnoteRef/>
        <w:tab/>
        <w:t>stolpern</w:t>
      </w:r>
      <w:r>
        <w:rPr/>
        <w:t xml:space="preserve"> - häufige Metapher u.a. für das Besiegt-werden; s. z.B. </w:t>
      </w:r>
      <w:hyperlink r:id="rId66">
        <w:r>
          <w:rPr>
            <w:rStyle w:val="Internetverknpfung"/>
          </w:rPr>
          <w:t>Lev 26,37</w:t>
        </w:r>
      </w:hyperlink>
      <w:r>
        <w:rPr/>
        <w:t xml:space="preserve">; </w:t>
      </w:r>
      <w:hyperlink r:id="rId67">
        <w:r>
          <w:rPr>
            <w:rStyle w:val="Internetverknpfung"/>
          </w:rPr>
          <w:t>2 Chr 25,8</w:t>
        </w:r>
      </w:hyperlink>
      <w:r>
        <w:rPr/>
        <w:t xml:space="preserve">; </w:t>
      </w:r>
      <w:r>
        <w:fldChar w:fldCharType="begin"/>
      </w:r>
      <w:r>
        <w:instrText> HYPERLINK "file:///wiki/Psalm_27" \l "s2"</w:instrText>
      </w:r>
      <w:r>
        <w:fldChar w:fldCharType="separate"/>
      </w:r>
      <w:r>
        <w:rPr>
          <w:rStyle w:val="Internetverknpfung"/>
        </w:rPr>
        <w:t>Ps 27,2</w:t>
      </w:r>
      <w:r>
        <w:fldChar w:fldCharType="end"/>
      </w:r>
      <w:r>
        <w:rPr/>
        <w:t xml:space="preserve"> (vgl. V. 3); </w:t>
      </w:r>
      <w:hyperlink r:id="rId68">
        <w:r>
          <w:rPr>
            <w:rStyle w:val="Internetverknpfung"/>
          </w:rPr>
          <w:t>64,8</w:t>
        </w:r>
      </w:hyperlink>
      <w:r>
        <w:rPr/>
        <w:t xml:space="preserve">; </w:t>
      </w:r>
      <w:hyperlink r:id="rId69">
        <w:r>
          <w:rPr>
            <w:rStyle w:val="Internetverknpfung"/>
          </w:rPr>
          <w:t>Jes 3,8</w:t>
        </w:r>
      </w:hyperlink>
      <w:r>
        <w:rPr/>
        <w:t xml:space="preserve">; </w:t>
      </w:r>
      <w:r>
        <w:fldChar w:fldCharType="begin"/>
      </w:r>
      <w:r>
        <w:instrText> HYPERLINK "file:///wiki/Jesaja_8" \l "s15"</w:instrText>
      </w:r>
      <w:r>
        <w:fldChar w:fldCharType="separate"/>
      </w:r>
      <w:r>
        <w:rPr>
          <w:rStyle w:val="Internetverknpfung"/>
        </w:rPr>
        <w:t>8,15</w:t>
      </w:r>
      <w:r>
        <w:fldChar w:fldCharType="end"/>
      </w:r>
      <w:r>
        <w:rPr/>
        <w:t xml:space="preserve"> u.ö.</w:t>
      </w:r>
    </w:p>
  </w:footnote>
  <w:footnote w:id="1694">
    <w:p>
      <w:pPr>
        <w:pStyle w:val="Funote"/>
        <w:rPr/>
      </w:pPr>
      <w:r>
        <w:rPr/>
        <w:footnoteRef/>
        <w:tab/>
        <w:t>vor dir - W. »von vor deinem Angesicht«. »Vor jmds Angesicht« darf nicht wörtlich verstanden werden, sondern wird in der Bibel in den meisten Fällen als bloße Präposition verwendet (»vor«; vgl. z.B. THAT II, Sp. 443). In vielen Fällen wird aber gerade dann speziell diese Präposition verwendet, wenn von der Niederlage von Feinden vor/durch ihre Gegner die Rede ist (vgl. ebd., Sp. 444); gemeint ist also hier, was der Kontext ohnehin klar macht: Die Feinde des Beters werden bei ihrer Rückkehr stolpern - d.h. »besiegt werden«, s. vorige FN -, und der, der sie besiegt, ist Gott. Das »Preislied« auf Gott setzt also ein mit der Beschreibung desselben als einem für den Beter kämpfenden Streiter.</w:t>
      </w:r>
    </w:p>
  </w:footnote>
  <w:footnote w:id="1695">
    <w:p>
      <w:pPr>
        <w:pStyle w:val="Funote"/>
        <w:rPr/>
      </w:pPr>
      <w:r>
        <w:rPr/>
        <w:footnoteRef/>
        <w:tab/>
        <w:t>tFN: Als ... mussten - W. auf den ersten Blick: »Wenn meine Feinde zurückweichen, werden/sollen sie stolpern und vor dir zugrunde gehen« (so z.B. Terrien 2003; Zuber 1986). Die folgenden Zeilen zeigen aber klar, dass die hier beschriebene Niederlage der Feinde in der Vergangenheit liegt. Vermutlich handelt es sich daher hier um sog. »prospektive Yiqtols« (dazu vgl. z.B. Joosten 2012, S. 281-283): »Als meine Feinde zurückwichen« setzt die Referenzzeit, und von dieser Referenzzeit aus gesehen liegt das »Stolpern und zugrunde gehen« in der Zukunft; daher wird für »stolpern« und »zugrunde gehen« die (futurische) Verbform Yiqtol verwendet. Wir haben versucht, dies durch eine Übersetzung mit »mussten« nachzubilden; die natürlichere dt. Übersetzung wäre aber die mit durchgehend Vergangenheit: »Als meine Feinde zurückwichen, da strauchelten sie und kamen um vor deinem Angesicht« (SLT).</w:t>
      </w:r>
    </w:p>
  </w:footnote>
  <w:footnote w:id="1696">
    <w:p>
      <w:pPr>
        <w:pStyle w:val="Funote"/>
        <w:rPr/>
      </w:pPr>
      <w:r>
        <w:rPr>
          <w:i/>
        </w:rPr>
        <w:footnoteRef/>
        <w:tab/>
        <w:t>auf dem Thron als gerechter Richter</w:t>
      </w:r>
      <w:r>
        <w:rPr/>
        <w:t xml:space="preserve"> - im Alten Israel galt der König als der „oberste Richter und Garant des Rechts“ (</w:t>
      </w:r>
      <w:hyperlink r:id="rId70">
        <w:r>
          <w:rPr>
            <w:rStyle w:val="Internetverknpfung"/>
          </w:rPr>
          <w:t>König / Königtum (AT) (WiBiLex)</w:t>
        </w:r>
      </w:hyperlink>
      <w:r>
        <w:rPr/>
        <w:t xml:space="preserve">); der Übergang von der Streitermetapher zur Metapher vom thronenden Richter ist im Heb. also nicht so hart wie im Dt. S. ähnlich den Übergang von </w:t>
      </w:r>
      <w:hyperlink r:id="rId71">
        <w:r>
          <w:rPr>
            <w:rStyle w:val="Internetverknpfung"/>
          </w:rPr>
          <w:t>Ps 89,9-11.14</w:t>
        </w:r>
      </w:hyperlink>
      <w:r>
        <w:rPr/>
        <w:t xml:space="preserve"> zu </w:t>
      </w:r>
      <w:hyperlink r:id="rId72">
        <w:r>
          <w:rPr>
            <w:rStyle w:val="Internetverknpfung"/>
          </w:rPr>
          <w:t>89,15</w:t>
        </w:r>
      </w:hyperlink>
      <w:r>
        <w:rPr/>
        <w:t xml:space="preserve"> und von </w:t>
      </w:r>
      <w:r>
        <w:fldChar w:fldCharType="begin"/>
      </w:r>
      <w:r>
        <w:instrText> HYPERLINK "file:///wiki/Psalm_97" \l "s1"</w:instrText>
      </w:r>
      <w:r>
        <w:fldChar w:fldCharType="separate"/>
      </w:r>
      <w:r>
        <w:rPr>
          <w:rStyle w:val="Internetverknpfung"/>
        </w:rPr>
        <w:t>Ps 97,1-2</w:t>
      </w:r>
      <w:r>
        <w:fldChar w:fldCharType="end"/>
      </w:r>
      <w:r>
        <w:rPr/>
        <w:t xml:space="preserve"> zu </w:t>
      </w:r>
      <w:r>
        <w:fldChar w:fldCharType="begin"/>
      </w:r>
      <w:r>
        <w:instrText> HYPERLINK "file:///wiki/Psalm_97" \l "s3"</w:instrText>
      </w:r>
      <w:r>
        <w:fldChar w:fldCharType="separate"/>
      </w:r>
      <w:r>
        <w:rPr>
          <w:rStyle w:val="Internetverknpfung"/>
        </w:rPr>
        <w:t>97,3-5</w:t>
      </w:r>
      <w:r>
        <w:fldChar w:fldCharType="end"/>
      </w:r>
      <w:r>
        <w:rPr/>
        <w:t>.</w:t>
      </w:r>
    </w:p>
  </w:footnote>
  <w:footnote w:id="1697">
    <w:p>
      <w:pPr>
        <w:pStyle w:val="Funote"/>
        <w:rPr/>
      </w:pPr>
      <w:r>
        <w:rPr/>
        <w:footnoteRef/>
        <w:tab/>
        <w:t>Nationen - Heb. gojim, oft verwendet für Nationen qua heidnische Nationen; sinngemäßer daher »Heidenvölker« (ähnlich z.B. Bonkamp 1949; Ehrlich 1905; Weber 2001: »Heiden«).</w:t>
      </w:r>
    </w:p>
  </w:footnote>
  <w:footnote w:id="1698">
    <w:p>
      <w:pPr>
        <w:pStyle w:val="Funote"/>
        <w:rPr/>
      </w:pPr>
      <w:r>
        <w:rPr/>
        <w:footnoteRef/>
        <w:tab/>
        <w:t>niedergemacht (gescholten) - meist übersetzt als »gescholten«. Das ist auch die w. Bed. des Wortes, von dieser Übersetzung ist dennoch entschieden abzuraten: Das »Schelten« mit Gott als Subjekt hat sehr häufig Zerstörung zur Folge: In Ps 80,17 folgt daaraus der Tod - wie es ja auch hier in Parallele zu »ließest zugrunde gehen« steht -; in Jes 17,13 und 30,17 werden Völker durch Gottes Schelte in die Flucht geschlagen, in Ps 76,7; Jes 51,20 werden Mensch und Tier durch die Schelte Gottes ohmächtig, in 2 Sam 22,16; Ps 104,7; 106,9; Jes 50,2 und Nah 1,4 trocknet das Meer aus, weil Gott es schilt. Dieses Schelten mit »zerstörender Wirkung« (THAT I, Sp. 429) kommt vielleicht am besten in der Übersetzung »niedermachen« zum Ausdruck.</w:t>
      </w:r>
    </w:p>
  </w:footnote>
  <w:footnote w:id="1699">
    <w:p>
      <w:pPr>
        <w:pStyle w:val="Funote"/>
        <w:rPr/>
      </w:pPr>
      <w:r>
        <w:rPr/>
        <w:footnoteRef/>
        <w:tab/>
        <w:t>einen Schlechten (Schlechte) - N-Shift: Aus poetischen Gründen wechselt das Heb. vom einen Satz zum nächsten vom Pl. (»Nationen«) zum Sg. (»einen Schlechten«). Tg fühlt sich wegen diesem Shift sogar zur Explikation veranlasst: »Du hast das Volk [der Philister] gescholten und [Goliath], den Schlechten, zerstört.« Gemeint sind wahrscheinlich in beiden Sätzen mehrere Feinde, daher z.B. Alexander 1850, S. 42: »many a wicked enemy«; auch viele Üss. und schon Saadja übersetzen daher mit Pl. Für einige Bspp. für Shifts innerhalb derselben Zeile vgl. z.B. Gevirtz 1961, S. 157.</w:t>
      </w:r>
    </w:p>
  </w:footnote>
  <w:footnote w:id="1700">
    <w:p>
      <w:pPr>
        <w:pStyle w:val="Funote"/>
        <w:rPr/>
      </w:pPr>
      <w:r>
        <w:rPr/>
        <w:footnoteRef/>
        <w:tab/>
        <w:t>Ihren Namen hast du ausgelöscht meint wohl: Du hast ihre ganze Linie ausgerottet (zu schem i.S.v. »Linie« vgl. z.B. Brichto 1973, S. 22). Die Aussage wird also immer stärker: »einen Schlechten« (6a) =&gt; »seine ganze Linie« (6b) =&gt; »ganze Städte« (7). Der N-Shift in 6a dient wohl dazu, diese Steigerung noch deutlicher zu machen.</w:t>
      </w:r>
    </w:p>
  </w:footnote>
  <w:footnote w:id="1701">
    <w:p>
      <w:pPr>
        <w:pStyle w:val="Funote"/>
        <w:rPr/>
      </w:pPr>
      <w:r>
        <w:rPr/>
        <w:footnoteRef/>
        <w:tab/>
        <w:t>Der Feind - [seine] Ruinen = »Die Ruinen des Feindes«. tFN: Die Syntax des Satzes ist nicht ganz einfach; vermutlich ist aber zu analysieren als Casus pendens ohne resumptives Pronomen: Im Heb. kann ein Satzglied von seiner »Stelle« im Satz an den Satzanfang gestellt werden, um es bes. hervorzuheben; meistens wird es dann an seiner »eigentlichen« Stelle durch ein Pronomen wie »seine« vertreten. Dieses kann aber auch entfallen (vgl. IBHS 4.7b; z.St. Gordis 1957, S. 110f.), und dies ist hier der Fall. Für eine weitere erwägenswerte Deutung vgl. Tsumura 1988, S. 235: »Der Feind ist vernichtet - [wie] Ruinen auf ewig / [wie (?)] Städte, die du zerstört hast - was an ihn erinnert...« Etwas schwierig ist dann nur die Zuordnung von »auf ewig«.</w:t>
      </w:r>
    </w:p>
  </w:footnote>
  <w:footnote w:id="1702">
    <w:p>
      <w:pPr>
        <w:pStyle w:val="Funote"/>
        <w:rPr/>
      </w:pPr>
      <w:r>
        <w:rPr/>
        <w:footnoteRef/>
        <w:tab/>
        <w:t>Gegner statt der häufigen Üs. »Städte« nach Gordis 1957, S. 11; Herkenne 1936, S. 68; s. 1 Sam 28,16; Sir 37,5; vgl. Ges18, S. 1007.</w:t>
      </w:r>
    </w:p>
  </w:footnote>
  <w:footnote w:id="1703">
    <w:p>
      <w:pPr>
        <w:pStyle w:val="Funote"/>
        <w:rPr/>
      </w:pPr>
      <w:r>
        <w:rPr/>
        <w:footnoteRef/>
        <w:tab/>
        <w:t>Sie (heb. hemmah) z.B. mit BHS, Goldingay 2006 und Kissane 1953 vom Ende von V. 7 an den Anfang von V. 8 verschoben, da es am Ende von V. 7 wenig Sinn macht und auf diese Weise mit V. 8 im Akrostichon (s. FN c) wenigstens eine He-Zeile existiert, nachdem schon die Dalet-Zeile ausgefallen ist. In der Üs. folgen wir Goldingay 2006. LXX und VUL verstehen die Konsonanten des urspr. Textes als hommeh (»lärmend«): »Was an sie erinnert, ist lärmend zugrunde gegangen«; auch im den alten Üss. vorliegenden heb. Text stand das Wort am Ende der beiden Gimel-Doppelzeilen.</w:t>
      </w:r>
    </w:p>
  </w:footnote>
  <w:footnote w:id="1704">
    <w:p>
      <w:pPr>
        <w:pStyle w:val="Funote"/>
        <w:rPr/>
      </w:pPr>
      <w:r>
        <w:rPr/>
        <w:footnoteRef/>
        <w:tab/>
        <w:t>[jene], die deinen Namen kennen - geläufiger Ausdruck für JHWH-Verehrer: jene, die dich verehren (vgl. z.B. Ehrlich 1905, S. 18; THAT I, Sp. 694f.).</w:t>
      </w:r>
    </w:p>
  </w:footnote>
  <w:footnote w:id="1705">
    <w:p>
      <w:pPr>
        <w:pStyle w:val="Funote"/>
        <w:rPr/>
      </w:pPr>
      <w:r>
        <w:rPr/>
        <w:footnoteRef/>
        <w:tab/>
        <w:t>Auch die dich suchen ist ein Ausdruck für JHWH-Verehrer: die, die sich zu dir halten (vgl. THAT I, Sp. 464-466).</w:t>
      </w:r>
    </w:p>
  </w:footnote>
  <w:footnote w:id="1706">
    <w:p>
      <w:pPr>
        <w:pStyle w:val="Funote"/>
        <w:rPr/>
      </w:pPr>
      <w:r>
        <w:rPr/>
        <w:footnoteRef/>
        <w:tab/>
        <w:t>Diese Verse sind ein schönes Beispiel dafür, wie zentral das Stilprinzip der Varianz in der heb. Lyrik ist. Z.B. werden in Vv. 6-8 drei verschiedene Ausdrücke für »ewig« verwendet (um »die Ewigkeit [Gottes] als Antithese zur Sterblichkeit der Menschen nennen« zu können (Eerdmans 1947, S. 122)); z.B. werden in Vv. 9-11 drei verschiedene grammatische Konstruktionen zum Ausdruck von finalen Nebensätzen verwendet (9a: Waw-X-Yiqtol - was in 9b dann noch mal variiert wird durch Yiqtol-X -, 10a Waw-Jussiv, 11a Waw-Yiqtol). In 9a und 9b werden zwei unterschiedliche, aber synonyme Wörter für »richten« und zwei unterschiedliche, aber synonyme Ausdrücke für »gerecht« verwendet. In V. 10 wird »Zuflucht« zweimal unterschiedlich spezifiziert: 10a: »Zuflucht für die Bedrückten«, 10b: »Zuflucht für Zeiten der Bedrängnis«. Von V. 10 auf 11 findet sich wieder ein P-Shift (dazu s. FN d). Und in V. 11 finden sich zwei unterschiedliche stehende Ausdrücke für JHWH-Verehrer.Eine weitere stilistische Besonderheit: JHWH steht drei Mal in Vv. 8-11: Als erstes Wort, als letztes Wort und genau in der Mitte (vgl. Benun 2006, S. 6).</w:t>
      </w:r>
    </w:p>
  </w:footnote>
  <w:footnote w:id="1707">
    <w:p>
      <w:pPr>
        <w:pStyle w:val="Funote"/>
        <w:rPr/>
      </w:pPr>
      <w:r>
        <w:rPr>
          <w:i/>
        </w:rPr>
        <w:footnoteRef/>
        <w:tab/>
        <w:t>der auf dem Zion thront</w:t>
      </w:r>
      <w:r>
        <w:rPr/>
        <w:t xml:space="preserve"> - Der Zion war der Tempelberg in Jerusalem; man stellte sich vor, dass Gott - zumindest „teilweise“ - dort im Tempel wohnte. S. näher z.B. </w:t>
      </w:r>
      <w:hyperlink r:id="rId73">
        <w:r>
          <w:rPr>
            <w:rStyle w:val="Internetverknpfung"/>
          </w:rPr>
          <w:t>Zion / Zionstheologie (WiBiLex)</w:t>
        </w:r>
      </w:hyperlink>
      <w:r>
        <w:rPr/>
        <w:t>.</w:t>
      </w:r>
    </w:p>
  </w:footnote>
  <w:footnote w:id="1708">
    <w:p>
      <w:pPr>
        <w:pStyle w:val="Funote"/>
        <w:rPr/>
      </w:pPr>
      <w:r>
        <w:rPr/>
        <w:footnoteRef/>
        <w:tab/>
        <w:t>Sucher von Blut = Bluträcher (vgl. Ges18, S. 261). Die »Blutrache« war im Alten Israel eigentlich die Aufgabe des nächsten Verwandten eines Ermordeten, der für diesen Mord dessen Mörder umzubringen hatte (s. z.B. Num 35,18f.; vgl. auch Dtn 19,5f.11f. u.ö. Gott wird als Bluträcher vorgestellt auch in Gen 9,5. Vgl. noch Blutrache (WiBiLex) und zur Stelle gut Herkenne 1936, S. 68).</w:t>
      </w:r>
    </w:p>
  </w:footnote>
  <w:footnote w:id="1709">
    <w:p>
      <w:pPr>
        <w:pStyle w:val="Funote"/>
        <w:rPr/>
      </w:pPr>
      <w:r>
        <w:rPr/>
        <w:footnoteRef/>
        <w:tab/>
        <w:t>denkt er an sie - Ist Gott Subjekt des »an-jmdn-Denkens«, meint der Ausdruck meist die helfende Zuwendung Gottes zu dem, an den er »denkt« (vgl. THAT I, Sp. 513f.). Das »sie« bezieht sich also wohl nicht zurück auf die »Völker« in V. 12, sondern auf die, die »JHWH suchen« in V. 11, für die das selbe Verb verwendet wird wie für den »Blutsucher« Gott, und die Bed. ist dann: Gott wird für seine Verehrer das sein, was ein Bluträcher für seinen nächsten Verwandten ist: Er wird an ihnen begangenes Unrecht rächen. Als Vergleichspunkt ist wahrscheinlich gedacht, dass Gott, der »wie ein Bluträcher ist«, (1) schlechte Taten rächt und sie rächt, (2) indem er die Gegner seiner Verehrer tötet.Nicht viel Sinn macht dagegen dann die häufige Übersetzung »als ein Bluträcher denkt er an sie« - denn wenn ein Bluträcher in Aktion treten muss, ist es für den Bedürftigen schon zu spät. Doch gerade dagegen richtet sich die nächste Zeile.</w:t>
      </w:r>
    </w:p>
  </w:footnote>
  <w:footnote w:id="1710">
    <w:p>
      <w:pPr>
        <w:pStyle w:val="Funote"/>
        <w:rPr/>
      </w:pPr>
      <w:r>
        <w:rPr>
          <w:i/>
        </w:rPr>
        <w:footnoteRef/>
        <w:tab/>
        <w:t>vergisst nicht</w:t>
      </w:r>
      <w:r>
        <w:rPr/>
        <w:t xml:space="preserve"> - ganz ähnlicher Ausdruck wie „denken an“ in der vorigen Zeile: Die Rede vom „Vergessen“ Gottes meint meist sein aktives sich-Abwenden von jmdn (s. z.B. </w:t>
      </w:r>
      <w:hyperlink r:id="rId74">
        <w:r>
          <w:rPr>
            <w:rStyle w:val="Internetverknpfung"/>
          </w:rPr>
          <w:t>1 Sam 1,11</w:t>
        </w:r>
      </w:hyperlink>
      <w:r>
        <w:rPr/>
        <w:t xml:space="preserve">; </w:t>
      </w:r>
      <w:r>
        <w:fldChar w:fldCharType="begin"/>
      </w:r>
      <w:r>
        <w:instrText> HYPERLINK "file:///wiki/Psalm_13" \l "s2"</w:instrText>
      </w:r>
      <w:r>
        <w:fldChar w:fldCharType="separate"/>
      </w:r>
      <w:r>
        <w:rPr>
          <w:rStyle w:val="Internetverknpfung"/>
        </w:rPr>
        <w:t>Ps 13,2</w:t>
      </w:r>
      <w:r>
        <w:fldChar w:fldCharType="end"/>
      </w:r>
      <w:r>
        <w:rPr/>
        <w:t xml:space="preserve">; </w:t>
      </w:r>
      <w:r>
        <w:fldChar w:fldCharType="begin"/>
      </w:r>
      <w:r>
        <w:instrText> HYPERLINK "file:///wiki/Psalm_42" \l "s10"</w:instrText>
      </w:r>
      <w:r>
        <w:fldChar w:fldCharType="separate"/>
      </w:r>
      <w:r>
        <w:rPr>
          <w:rStyle w:val="Internetverknpfung"/>
        </w:rPr>
        <w:t>42,10</w:t>
      </w:r>
      <w:r>
        <w:fldChar w:fldCharType="end"/>
      </w:r>
      <w:r>
        <w:rPr/>
        <w:t xml:space="preserve">; </w:t>
      </w:r>
      <w:hyperlink r:id="rId75">
        <w:r>
          <w:rPr>
            <w:rStyle w:val="Internetverknpfung"/>
          </w:rPr>
          <w:t>44,25</w:t>
        </w:r>
      </w:hyperlink>
      <w:r>
        <w:rPr/>
        <w:t xml:space="preserve">; </w:t>
      </w:r>
      <w:hyperlink r:id="rId76">
        <w:r>
          <w:rPr>
            <w:rStyle w:val="Internetverknpfung"/>
          </w:rPr>
          <w:t>Jes 49,14</w:t>
        </w:r>
      </w:hyperlink>
      <w:r>
        <w:rPr/>
        <w:t xml:space="preserve">; </w:t>
      </w:r>
      <w:hyperlink r:id="rId77">
        <w:r>
          <w:rPr>
            <w:rStyle w:val="Internetverknpfung"/>
          </w:rPr>
          <w:t>Klg 5,20</w:t>
        </w:r>
      </w:hyperlink>
      <w:r>
        <w:rPr/>
        <w:t>). Dass Gott die Armen „nicht vergisst“ meint also das gleiche wie dass Gott „an sie denkt“, nämlich, dass er ihnen helfend beisteht.</w:t>
      </w:r>
    </w:p>
  </w:footnote>
  <w:footnote w:id="1711">
    <w:p>
      <w:pPr>
        <w:pStyle w:val="Funote"/>
        <w:rPr/>
      </w:pPr>
      <w:r>
        <w:rPr/>
        <w:footnoteRef/>
        <w:tab/>
        <w:t>der Elenden (Armen) - häufiger Ausdruck für JHWH-Verehrer qua hilfsbedürftige, weil bedrängte, JHWH-Verehrer (vgl. z.B. THAT II, Sp. 345f.). Weil es hier im direkten Zhg. steht mit „denen, die Gott suchen“ und „denen, die seinen Namen kennen“, dürfte eine bloße Übersetzung mit „Arme“ oder „Elende“ zu wenig sein.</w:t>
      </w:r>
    </w:p>
  </w:footnote>
  <w:footnote w:id="1712">
    <w:p>
      <w:pPr>
        <w:pStyle w:val="Funote"/>
        <w:rPr/>
      </w:pPr>
      <w:r>
        <w:rPr/>
        <w:footnoteRef/>
        <w:tab/>
        <w:t>Sieh auf mein Elend - d.h. ignoriere mich in meinem Elend nicht, sd. hilf mir! Gut HfA: „Siehe doch, wie ich leide unter dem Hass meiner Feinde!“</w:t>
      </w:r>
    </w:p>
  </w:footnote>
  <w:footnote w:id="1713">
    <w:p>
      <w:pPr>
        <w:pStyle w:val="Funote"/>
        <w:rPr/>
      </w:pPr>
      <w:r>
        <w:rPr/>
        <w:footnoteRef/>
        <w:tab/>
        <w:t>indem du mich emporhebst von den Pforten des Todes - „indem“ gut nach ELB. Im altisraelitischen Weltbild lag die Unterwelt am Fuß des Meeres oder noch darunter; man stieg durch Tore mit großen Riegeln in sie hinab. Soviel zu den „Pforten des Todes“; zum Verständnis des Satzes ist außerdem Folgendes wichtig: In den biblischen Texten sind Leben und Tod nicht immer absolute Gegensätze, sondern die beiden Pole eines Kontinuums: Geht es einem gut, hält man sich auf im Bereich des Lebens; geht es einem dagegen „elend“, gerät man schon damit in die Nähe der „Pforten der Unterwelt“ und Gott muss aktiv werden, indem er den Elenden von dort „emporhebt“ (zum Vorstellungskomplex vgl. sehr gut Campbell 1971, S. 109). Darum bittet der Beter hier; „indem du mich emporhebst von den Pforten des Todes“ meint ungefähr: „indem du etwas gegen dieses mein Elend unternimmst“. Sehr gut daher HfA: „Ich stehe am Rand des Todes! Bring mich in Sicherheit!“ Die häufige Üs. mit Imperativ ist eine freie, aber sinnvolle Übersetzungsentscheidung. Die Üs. von PAT mit Vergangenheit ist darauf zurückzuführen, dass sie den Text nach Aq und Hieronymus vom Partizip zu Vergangenheit korrigieren (so auch BHS; Herkenne 1936; Zorell 1928), was aber klar als kontextuelle Anpassung dieser beiden Übersetzer anzusehen ist.</w:t>
      </w:r>
    </w:p>
  </w:footnote>
  <w:footnote w:id="1714">
    <w:p>
      <w:pPr>
        <w:pStyle w:val="Funote"/>
        <w:rPr/>
      </w:pPr>
      <w:r>
        <w:rPr/>
        <w:footnoteRef/>
        <w:tab/>
        <w:t>Tore der Tocher Zion - Der „Zion“ ist der Tempelberg in Jerusalem; „Zion“ steht daher oft pars pro toto für Jerusalem selbst. Auch „Tochter Zion“ ist ein häufiger Begriff für Jerusalem; über den Begriff wird zusätzlich die Beziehung Jerusalems zu „ihrem“ „Vater“ JHWH betont (s. näher Tochter Zion (WiBiLex)) - ganz ähnlich, wie auch die Rede vom „Bluträcher JHWH“ in V. 13 eine enge familiäre Beziehung zwischen JHWH und seinen notleidenden Verehrern implizierte (dazu s. dort). „‚An den Toren der Tochter Sion‘ ist Antithese zu den ‚Pforten des Todes‘ (14b) und bezeichnet den Versammlungsplatz an den Toren der altpalästinensischen Städte, hier Jerusalems, also = in aller Öffentlichkeit, wie bei uns ‚auf dem Markt‘.“ (Herkenne 1936, S. 69).</w:t>
      </w:r>
    </w:p>
  </w:footnote>
  <w:footnote w:id="1715">
    <w:p>
      <w:pPr>
        <w:pStyle w:val="Funote"/>
        <w:rPr/>
      </w:pPr>
      <w:r>
        <w:rPr/>
        <w:footnoteRef/>
        <w:tab/>
        <w:t>Textkritik: Der hebräische, ursprünglich vokallose Konsonantentext war sowohl lesbar als noqesch (»er - nämlich JHWH - hat verstrickt«) als auch als noqasch (»er - nämlich der Böse - hat sich [selbst] verstrickt«). MT vereindeutigt durch Vokalisierung und VUL und Saadja durch Übersetzung zur ersten Bedeutung, LXX, Syr, Aq durch Übersetzung zur zweiten Bedeutung. Fast alle Üss. und Kommentare wählen die zweite Interpretation, aber ob das so sinnvoll ist? Das Motiv des in-seine-eigene-Falle-gehenden Gegners findet sich oft in der Bibel. Auch in Ps 9, nämlich gleich zwei Mal in V. 16. Von 17b sollte man daher doch vielleicht eher nicht noch ein drittes Mal dieses Motiv erwarten, sondern eine Erklärung, inwiefern es auf JHWHs Gerichts-üben zurückzuführen sein soll (17a), dass die Gegner in ihre eigenen Falle gegangen sind - und nach der ersten Bedeutung würde das V. 17b leisten: Die Gegner sind in ihre eigene Falle getappt - so hat JHWH Gericht geübt - denn: Er war es, der sie in ihre eigene Falle tappen ließ. Aus diesem Grund folgen wir hier dem MT.</w:t>
      </w:r>
    </w:p>
  </w:footnote>
  <w:footnote w:id="1716">
    <w:p>
      <w:pPr>
        <w:pStyle w:val="Funote"/>
        <w:rPr/>
      </w:pPr>
      <w:r>
        <w:rPr>
          <w:i/>
        </w:rPr>
        <w:footnoteRef/>
        <w:tab/>
        <w:t>{</w:t>
      </w:r>
      <w:r>
        <w:rPr>
          <w:i/>
          <w:strike/>
        </w:rPr>
        <w:t>Higgaion Selah</w:t>
      </w:r>
      <w:r>
        <w:rPr>
          <w:i/>
        </w:rPr>
        <w:t>}</w:t>
      </w:r>
      <w:r>
        <w:rPr/>
        <w:t xml:space="preserve"> (V. 17) + </w:t>
      </w:r>
      <w:r>
        <w:rPr>
          <w:i/>
        </w:rPr>
        <w:t>{</w:t>
      </w:r>
      <w:r>
        <w:rPr>
          <w:i/>
          <w:strike/>
        </w:rPr>
        <w:t>Selah</w:t>
      </w:r>
      <w:r>
        <w:rPr>
          <w:i/>
        </w:rPr>
        <w:t>} (V. 21)</w:t>
      </w:r>
      <w:r>
        <w:rPr/>
        <w:t xml:space="preserve"> - Zwei Wörter mit unklarer Bedeutung. </w:t>
      </w:r>
      <w:r>
        <w:rPr>
          <w:i/>
        </w:rPr>
        <w:t>Higgaion</w:t>
      </w:r>
      <w:r>
        <w:rPr/>
        <w:t xml:space="preserve"> ist offenbar etwas Hörbares, s. </w:t>
      </w:r>
      <w:r>
        <w:fldChar w:fldCharType="begin"/>
      </w:r>
      <w:r>
        <w:instrText> HYPERLINK "file:///wiki/Psalm_19" \l "s15"</w:instrText>
      </w:r>
      <w:r>
        <w:fldChar w:fldCharType="separate"/>
      </w:r>
      <w:r>
        <w:rPr>
          <w:rStyle w:val="Internetverknpfung"/>
        </w:rPr>
        <w:t>Ps 19,15</w:t>
      </w:r>
      <w:r>
        <w:fldChar w:fldCharType="end"/>
      </w:r>
      <w:r>
        <w:rPr/>
        <w:t xml:space="preserve"> und </w:t>
      </w:r>
      <w:r>
        <w:fldChar w:fldCharType="begin"/>
      </w:r>
      <w:r>
        <w:instrText> HYPERLINK "file:///wiki/Klagelieder_3" \l "s62"</w:instrText>
      </w:r>
      <w:r>
        <w:fldChar w:fldCharType="separate"/>
      </w:r>
      <w:r>
        <w:rPr>
          <w:rStyle w:val="Internetverknpfung"/>
        </w:rPr>
        <w:t>Klg 3,62</w:t>
      </w:r>
      <w:r>
        <w:fldChar w:fldCharType="end"/>
      </w:r>
      <w:r>
        <w:rPr/>
        <w:t xml:space="preserve">, wo es in Parallele zu „Reden“ steht, und </w:t>
      </w:r>
      <w:hyperlink r:id="rId78">
        <w:r>
          <w:rPr>
            <w:rStyle w:val="Internetverknpfung"/>
          </w:rPr>
          <w:t>Ps 92,4</w:t>
        </w:r>
      </w:hyperlink>
      <w:r>
        <w:rPr/>
        <w:t xml:space="preserve">, wo es offenbar das bezeichnet, was eine Harfe von sich gibt. Hier in Ps 9,17 ist die Funktion von </w:t>
      </w:r>
      <w:r>
        <w:rPr>
          <w:i/>
        </w:rPr>
        <w:t>higgaion</w:t>
      </w:r>
      <w:r>
        <w:rPr/>
        <w:t xml:space="preserve"> wohl die selbe wie die von </w:t>
      </w:r>
      <w:r>
        <w:rPr>
          <w:i/>
        </w:rPr>
        <w:t>selah</w:t>
      </w:r>
      <w:r>
        <w:rPr/>
        <w:t xml:space="preserve"> - und welche das ist, ist ganz unklar, s. Lexikon / Lemma </w:t>
      </w:r>
      <w:hyperlink r:id="rId79">
        <w:r>
          <w:rPr>
            <w:rStyle w:val="Internetverknpfung"/>
            <w:rtl w:val="true"/>
            <w:lang w:bidi="he-IL"/>
          </w:rPr>
          <w:t>סֶלַה</w:t>
        </w:r>
      </w:hyperlink>
      <w:r>
        <w:rPr/>
        <w:t>. In der LF sollten beide Begriffe daher besser wie in vielen Üss. ausgespart werden.</w:t>
      </w:r>
    </w:p>
  </w:footnote>
  <w:footnote w:id="1717">
    <w:p>
      <w:pPr>
        <w:pStyle w:val="Funote"/>
        <w:rPr/>
      </w:pPr>
      <w:r>
        <w:rPr/>
        <w:footnoteRef/>
        <w:tab/>
        <w:t>tFN: {gen} - Die Richtung wird hier merkwürdigerweise sowohl durch le als auch durch direktionales He markiert. Wahrscheinlich ist das bedeutungslos, auffällig war es aber schon den alten Schriftgelehrten; im Midrasch etwa findet sich etwa folgende Deutung: „R. Nechemja hat gesagt: Jedes Wort, das am Anfang kein l hat, erhält am Ende ein h [...]. Da fragen sie ihn: ‚Hier heißt es doch aber: li-scheol-ah?‘ R. Abba ben Sabda hat gesagt: Damit soll ausgedrückt werden, dass die Frevler in die tiefste Tiefe der Hölle müssen.“ (Üs. nach Wünsche 1892, S. 92).</w:t>
      </w:r>
    </w:p>
  </w:footnote>
  <w:footnote w:id="1718">
    <w:p>
      <w:pPr>
        <w:pStyle w:val="Funote"/>
        <w:rPr/>
      </w:pPr>
      <w:r>
        <w:rPr>
          <w:i/>
        </w:rPr>
        <w:footnoteRef/>
        <w:tab/>
        <w:t>Scheol</w:t>
      </w:r>
      <w:r>
        <w:rPr/>
        <w:t xml:space="preserve"> - Heb. Name der Unterwelt. Mit der Hölle hat die Scheol-Vorstellung sehr wenig gemein. Vermutlich stellte man sie sich vor als eine unter der Erde gelegene Stadt, deren Bewohner in der Finsternis zur Passivität und Gottferne verdammt waren (s. näher </w:t>
      </w:r>
      <w:hyperlink r:id="rId80">
        <w:r>
          <w:rPr>
            <w:rStyle w:val="Internetverknpfung"/>
          </w:rPr>
          <w:t>Jenseitsvorstellungen (AT) (WiBiLex)</w:t>
        </w:r>
      </w:hyperlink>
      <w:r>
        <w:rPr/>
        <w:t>).</w:t>
      </w:r>
    </w:p>
  </w:footnote>
  <w:footnote w:id="1719">
    <w:p>
      <w:pPr>
        <w:pStyle w:val="Funote"/>
        <w:rPr/>
      </w:pPr>
      <w:r>
        <w:rPr/>
        <w:footnoteRef/>
        <w:tab/>
        <w:t>zurückkehren - Weil zumindest manchmal nach der Vorstellung im Alten Israel der Mensch in der Scheol entstand. S. z.B. IJob 1,21; 30,23; Ps 139,15; Sir 40,1; zur Vorstellung vgl. z.B. Balog 2012, S. 160-171; Tromp 1969, S. 122-124; zur Stelle Kissane 1953, S. 42. Die meisten Üss. übersetzen freier als „zur Scheol hinabfahren“; das ist hier wohl das Sinnvollste.</w:t>
      </w:r>
    </w:p>
  </w:footnote>
  <w:footnote w:id="1720">
    <w:p>
      <w:pPr>
        <w:pStyle w:val="Funote"/>
        <w:rPr/>
      </w:pPr>
      <w:r>
        <w:rPr/>
        <w:footnoteRef/>
        <w:tab/>
        <w:t>Gott vergessen [haben] = die keine JHWH-Verehrer sind (vgl THAT II, Sp. 902).</w:t>
      </w:r>
    </w:p>
  </w:footnote>
  <w:footnote w:id="1721">
    <w:p>
      <w:pPr>
        <w:pStyle w:val="Funote"/>
        <w:rPr/>
      </w:pPr>
      <w:r>
        <w:rPr/>
        <w:footnoteRef/>
        <w:tab/>
        <w:t>Zu vergessen vgl. FN y, zu der Elenden FN z. Der Beter bittet hier exakt um das, wofür er in V. 13 JHWH versprochen hat, ihn nach dessen Hilfe öffentlich zu preisen.</w:t>
      </w:r>
    </w:p>
  </w:footnote>
  <w:footnote w:id="1722">
    <w:p>
      <w:pPr>
        <w:pStyle w:val="Funote"/>
        <w:rPr/>
      </w:pPr>
      <w:r>
        <w:rPr/>
        <w:footnoteRef/>
        <w:tab/>
        <w:t>Menschlein (Menschen) - Der Dichter wählt bewusst das Wort ´enosch, mit dem oft der Mensch qua schwaches Wesen bezeichnet wird (vgl. z.B. TWOT 136a). Stark daher B-R in V. 20: „Nimmer trotze das Menschlein!“ Ähnlich übrigens schon der Midrasch: „Überall wo ´adam in der Schrift steht, bedeutet es ‚wirklicher Mensch‘, wo [...] ´enosch ´adam steht, ist ein ‚Tor‘ gemeint.“ (Üs. nach Wünsche 1892, S. 92).</w:t>
      </w:r>
    </w:p>
  </w:footnote>
  <w:footnote w:id="1723">
    <w:p>
      <w:pPr>
        <w:pStyle w:val="Funote"/>
        <w:rPr/>
      </w:pPr>
      <w:r>
        <w:rPr/>
        <w:footnoteRef/>
        <w:tab/>
        <w:t>nicht stark sein - etwas rätselhafter Ausdruck. „Nicht das Menschlein“ impliziert wohl: „sondern du, Gott!“; gedacht ist also wohl an Menschen, die glauben, sich JHWH widersetzen zu können. Sinnvoll daher GN: „Lass nicht zu, dass ein Mensch dir die Stirn bietet!“, NGÜ: „Lass nicht zu, dass Menschen sich dir widersetzen!“ Schön auch wieder WEIN: „der Mensch der Überhebung“.</w:t>
      </w:r>
    </w:p>
  </w:footnote>
  <w:footnote w:id="1724">
    <w:p>
      <w:pPr>
        <w:pStyle w:val="Funote"/>
        <w:rPr/>
      </w:pPr>
      <w:r>
        <w:rPr/>
        <w:footnoteRef/>
        <w:tab/>
        <w:t>Textkritik: Furcht in sie (ihnen einen Lehrer vor, gib ihnen eine Lehre) - die Konsonanten des ursprünglich vokallosen heb. Textes scheinen „Lehrer“ zu bedeuten (mrh, vokalisiert: moreh); so übersetzen auch LXX, Syr und VUL. MT aber vokalisiert als morah, will das Wort also wohl als mora´ („Furcht“) verstanden wissen, was im Kontext mehr Sinn machen würde. Auch Aq, Theod, Tg, Hieronymus, Saadja und der Midrasch verstehen als/übersetzen mit „Furcht“ und einige Handschriften korrigieren auch die Konsonanten zu mr´. Bei dieser Vielzahl an Zeugen wird man wohl am sinnvollsten davon auszugehen haben, dass morah eine alternative Schreibweise für mora´ ist und die Konsonanten mr´ also sowohl als „Furcht“ als auch als „Lehrer“ verstanden werden konnten (so schon Olshausen 1853, S. 59), wie sich das öfters bei auf -ah oder -a´ endenden Wörtern findet. „Furcht“ ist dann sicher vorzuziehen. R-S und TAF („Gib ihnen eine Lehre“) folgen der Deutung von Ehrlich 1905: morah ist nicht eine falsche Vokalisierung von moreh („Lehrer“), sondern ein feminines Nomen von der selben Wurzel mit der Bedeutung „Lehre“.</w:t>
      </w:r>
    </w:p>
  </w:footnote>
  <w:footnote w:id="1725">
    <w:p>
      <w:pPr>
        <w:pStyle w:val="Funote"/>
        <w:rPr/>
      </w:pPr>
      <w:r>
        <w:rPr/>
        <w:footnoteRef/>
        <w:tab/>
        <w:t>JHWH</w:t>
      </w:r>
    </w:p>
  </w:footnote>
  <w:footnote w:id="1726">
    <w:p>
      <w:pPr>
        <w:pStyle w:val="Funote"/>
        <w:rPr/>
      </w:pPr>
      <w:r>
        <w:rPr/>
        <w:footnoteRef/>
        <w:tab/>
        <w:t>JHWH</w:t>
      </w:r>
    </w:p>
  </w:footnote>
  <w:footnote w:id="1727">
    <w:p>
      <w:pPr>
        <w:pStyle w:val="Funote"/>
        <w:rPr/>
      </w:pPr>
      <w:r>
        <w:rPr/>
        <w:footnoteRef/>
        <w:tab/>
        <w:t>JHWH</w:t>
      </w:r>
    </w:p>
  </w:footnote>
  <w:footnote w:id="1728">
    <w:p>
      <w:pPr>
        <w:pStyle w:val="Funote"/>
        <w:rPr/>
      </w:pPr>
      <w:r>
        <w:rPr/>
        <w:footnoteRef/>
        <w:tab/>
        <w:t>[Status: Zuverlässig]</w:t>
      </w:r>
    </w:p>
  </w:footnote>
  <w:footnote w:id="1729">
    <w:p>
      <w:pPr>
        <w:pStyle w:val="Funote"/>
        <w:rPr/>
      </w:pPr>
      <w:r>
        <w:rPr/>
        <w:footnoteRef/>
        <w:tab/>
        <w:t xml:space="preserve">Ps 10 ist nicht eigentlich ein eigenständiger Psalm, sondern bildet zusammen mit Ps 9 das erste sog. „Akrostichon“ in der Bibel, die Anfangsbuchstaben einiger Zeilen folgen also dem heb. Alphabet (s. die Anmerkungen zu </w:t>
      </w:r>
      <w:hyperlink r:id="rId81">
        <w:r>
          <w:rPr>
            <w:rStyle w:val="Internetverknpfung"/>
          </w:rPr>
          <w:t>Psalm 9</w:t>
        </w:r>
      </w:hyperlink>
      <w:r>
        <w:rPr/>
        <w:t>). Um das direkt sichtbar zu machen, haben wir die obigen Buchstaben gesetzt: Wo „A“ steht, findet sich im heb. Text der erste Buchstabe des heb. Alphabets, wo „B“ steht der zweite usw.</w:t>
      </w:r>
    </w:p>
  </w:footnote>
  <w:footnote w:id="1730">
    <w:p>
      <w:pPr>
        <w:pStyle w:val="Funote"/>
        <w:rPr/>
      </w:pPr>
      <w:r>
        <w:rPr/>
        <w:footnoteRef/>
        <w:tab/>
        <w:t>fern stehen + dich verbergen - Zwei bib. Metaphern: Not wird erfahren als Abwesenheit Gottes; Gott hilft dem Notleidenden nicht, sondern „verbirgt sich“ und „hält sich fern“ von ihm. Zu „fern“ s. ähnlich Ps 10,1; 35,22; 38,22; 71,12; Jes 59,9.11 u.ö. und vgl. z.B. TWAT II, Sp. 770; dem entspricht die Rede vom „sich-Verbergen“ Gottes, s. noch Ps 55,2.</w:t>
      </w:r>
    </w:p>
  </w:footnote>
  <w:footnote w:id="1731">
    <w:p>
      <w:pPr>
        <w:pStyle w:val="Funote"/>
        <w:rPr/>
      </w:pPr>
      <w:r>
        <w:rPr/>
        <w:footnoteRef/>
        <w:tab/>
        <w:t>den Elenden (Armen) - häufiger Ausdruck für JHWH-Verehrer qua hilfsbedürftige, weil bedrängte, JHWH-Verehrer (vgl. z.B. THAT II, Sp. 345f.).</w:t>
      </w:r>
    </w:p>
  </w:footnote>
  <w:footnote w:id="1732">
    <w:p>
      <w:pPr>
        <w:pStyle w:val="Funote"/>
        <w:rPr/>
      </w:pPr>
      <w:r>
        <w:rPr/>
        <w:footnoteRef/>
        <w:tab/>
        <w:t>tFN: In [seinem] Hochmut (Stolz) verfolgt der Schlechte (im Hochmut des Schlechten verfolgt er, durch den Hochmut des Schlechten brennt) - Jede dieser drei Deutungen ist sprachlich gleichermaßen möglich. Die Konsonanten g´wt lassen sich entweder vokalisieren als ga´awath (wie das MT gemacht hat) oder als ge´ut; der Bedeutungsunterschied der beiden Wörter ist minimal. Und ga´awath lässt sich entweder deuten als das erste Glied in einer Genitivverbindung (also „im Hochmut des Schlechten“) oder das -at ist eine Variante der Endung -ah (so z.B. Gordis 1957, S. 112; Rendsburg 1991, S. 89) und also ist wie bei der Deutung als ge´ut aufzulösen: „Im Hochmut verfolgt der Schlechte“. Außerdem möglich ist die Deutung von jidlaq nicht als dalaq II („verfolgen“), sondern als dalaq I („brennen“), also „durch den Hochmut des Schlechten brennt der Elende“. Aber das wäre nicht idiomatisch, so daher fast kein Exeget - dafür aber einige Üss: H-R, HER05, MEN: „Des Frevlers Frechheit ängstigt den Armen“; B-R, NeÜ, Herkenne 1936: „Durch den Hochmt der Gottlosen fiebert der Arme“; EÜ, R-S, Alexander 1850: „Durch den Hochmut des Schlechten leidet der Arme“, dies wohl auch HfA, NL.</w:t>
      </w:r>
    </w:p>
  </w:footnote>
  <w:footnote w:id="1733">
    <w:p>
      <w:pPr>
        <w:pStyle w:val="Funote"/>
        <w:rPr/>
      </w:pPr>
      <w:r>
        <w:rPr/>
        <w:footnoteRef/>
        <w:tab/>
        <w:t>V. 2b lässt sich entweder verstehen als „die Schlechten fangen den Elenden durch die von ihnen erdachten Ränke“ oder wieder wie in Ps 9,16f. als „die Schlechten verfangen sich in den Ränken, die sie [selbst] erdacht haben“. In diesem Kontext - der Schilderung der Übeltaten schlechter Menschen - ist sicher erstere Deutung vorzuziehen. Der Wechsel vom Sg. („der Schlechte“ + „der Elende“) zum Pl. („sie werden gefangen“, „die sie erdacht haben“) ist als N-Shift zu erklären: aus poetischen Gründen kann in bib. Lyrik von einer Zeile auf die nächste von einem Numerus zum nächsten gewechselt werden, ohne, dass dies einen Bedeutungsunterschied machen würde. Hier ohnehin unproblematisch, da „der Schlechte“ und „der Elende“ sicher generalisierende Singularnomina mit Pluralbedeutung sind: Gemeint sind schon in der ersten Zeile mehrere Schlechte und Elende.</w:t>
      </w:r>
    </w:p>
  </w:footnote>
  <w:footnote w:id="1734">
    <w:p>
      <w:pPr>
        <w:pStyle w:val="Funote"/>
        <w:rPr/>
      </w:pPr>
      <w:r>
        <w:rPr/>
        <w:footnoteRef/>
        <w:tab/>
        <w:t>tFN: der Schlechte rühmt seine Seele für [ihre] Lust - schwieriger Satz. Das Verb halal fordert ein Objekt; auf den ersten Blick findet sich hier aber keines, denn was folgt, ist `al-ta´awath napscho. Die Präposition `al zeigt an, dass das Folgende nicht das Objekt des Rühmens ist, sondern das, wofür das Objekt gerühmt wird (so oft im Hitpael, für Piel s. Esra 3,11; Ps 119,164; so richtig schon Kissane 1953, S. 43). Wahrscheinlich muss man also den Satz analysieren wie folgt: `al-ta´awath ist das, wofür der Schlechte das Gerühmte rühmt, nämlich „für Lust“. ta´awath ist nicht das erste Glied in einer Genitivkonstruktion „die Lust seiner Seele“, sondern die Endung -at ist nur eine alternative Endung von ta´awah (dazu vgl. wieder Rendsburg 1991, S. 89f.), daher ist napscho nicht als Genitiv „seiner Seele“ zu analysieren, sondern als das gesuchte Objekt von halal: „Er rühmt für Lust seine Seele“. Alternativ sind viele verschiedene Textkorrekturvorschläge gemacht worden; am besten sicher Kissane 1953, S. 39: „Der Schlechte rühmt Bos[heit], / der Halsabschneider und segnet sein Verlangen.“</w:t>
      </w:r>
    </w:p>
  </w:footnote>
  <w:footnote w:id="1735">
    <w:p>
      <w:pPr>
        <w:pStyle w:val="Funote"/>
        <w:rPr/>
      </w:pPr>
      <w:r>
        <w:rPr/>
        <w:footnoteRef/>
        <w:tab/>
        <w:t>Abschneider = Erpresser; das Verb batsa` („abschneiden“) findet sich oft in der Bed. „erpressen“ in der Bibel. Schön Herkenne 1936: „Halsabschneider“.</w:t>
      </w:r>
    </w:p>
  </w:footnote>
  <w:footnote w:id="1736">
    <w:p>
      <w:pPr>
        <w:pStyle w:val="Funote"/>
        <w:rPr/>
      </w:pPr>
      <w:r>
        <w:rPr/>
        <w:footnoteRef/>
        <w:tab/>
        <w:t>flucht - barak hier wie oft nicht in der Bed. „segnet“, sd. „flucht“; vgl. z.B. Schorch 2000, S. 101f. So fast alle Üss.</w:t>
      </w:r>
    </w:p>
  </w:footnote>
  <w:footnote w:id="1737">
    <w:p>
      <w:pPr>
        <w:pStyle w:val="Funote"/>
        <w:rPr/>
      </w:pPr>
      <w:r>
        <w:rPr/>
        <w:footnoteRef/>
        <w:tab/>
        <w:t>flucht, verachtet (V. 3) + bricht zusammen, sinkt nieder (V. 10) - zur Konstruktion vgl. Müller 2013b, S. 62f.: Zwei Verben werden ohne Konjunktion aneinander angeschlossen, um den Ausdruck noch stärker zu machen (vgl. S. 68).</w:t>
      </w:r>
    </w:p>
  </w:footnote>
  <w:footnote w:id="1738">
    <w:p>
      <w:pPr>
        <w:pStyle w:val="Funote"/>
        <w:rPr/>
      </w:pPr>
      <w:r>
        <w:rPr/>
        <w:footnoteRef/>
        <w:tab/>
        <w:t>[denkt:] - Zu Einleitungen wörtl. Rede ohne ein verbum dicendi/sentiendi wie „sagt“ oder „denkt“ vgl. z.B. Gordis 1949, S. 174-176; zwei Bspp: Pred 8,2: „Ich [sage]:...“; Hos 14,8: „Ephraim [soll sagen:]...“</w:t>
      </w:r>
    </w:p>
  </w:footnote>
  <w:footnote w:id="1739">
    <w:p>
      <w:pPr>
        <w:pStyle w:val="Funote"/>
        <w:rPr/>
      </w:pPr>
      <w:r>
        <w:rPr/>
        <w:footnoteRef/>
        <w:tab/>
        <w:t>Er sucht nicht = kurz für „Gott rächt schlechte Taten nicht“, s. Ps 9,13 und dazu FN w. Gut daher Bonkamp 1949: „Er wird nicht rächen“; EÜ, Gordis 1957, S. 121, HER05: „Gott straft nicht“; H-R, Weber 2001: „Er wird nicht ahnden“. In V. 4 auch möglich: „Im Hochmut seiner Nase sucht der Frevler nicht“, nämlich Gott (zu „Gott suchen“ als Ausdruck für die Verehrung JHWHs vgl. FN t zu Ps 9,11). Das Zitat unseres Verses in 10,13 zeigt aber, dass „Er sucht nicht!“ hier die Gedanken des Schlechten sind (so richtig Gordis 1957, S. 113).</w:t>
      </w:r>
    </w:p>
  </w:footnote>
  <w:footnote w:id="1740">
    <w:p>
      <w:pPr>
        <w:pStyle w:val="Funote"/>
        <w:rPr/>
      </w:pPr>
      <w:r>
        <w:rPr/>
        <w:footnoteRef/>
        <w:tab/>
        <w:t>Es gibt keinen Gott ist keine theoretische Leugnung der Existenz Gottes an sich, die im Alten Israel schwer vorstellbar wäre, sondern eine praktische: Der Schlechte lebt, als gäbe es keinen (rächenden!) Gott. „Für den hochnäsigen Frevler ist Gott eine quantité négligeable, dem kein Recht etwas zu ahnden zusteht.“ (Herkenne 1936, S. 70).</w:t>
      </w:r>
    </w:p>
  </w:footnote>
  <w:footnote w:id="1741">
    <w:p>
      <w:pPr>
        <w:pStyle w:val="Funote"/>
        <w:rPr/>
      </w:pPr>
      <w:r>
        <w:rPr/>
        <w:footnoteRef/>
        <w:tab/>
        <w:t>Profan - „Die Wege sind profan“ = „seine Wege sind nicht Gottes Weg“, d.h. er lebt nicht so, wie dies Gottes Weisung entsprechen würde. Sinnvoll Kissane 1953: „His ways are impious at all times“. tFN: Für diese Deutung hat man entweder mit Goldingay 2006, S. 164 davon auszugehen, dass zu chalal („profanieren“) eine Nebenform chul existierte, von der das Wort gebildet ist, oder mit Kissane 1953, S. 41 zu emendieren nach jechallu von chalal. stark? - Sehr viele orientieren sich an Tg („seine Wege gedeihen“) und mutmaßen, Tg habe das heb. Wort auf die aram. Wurzel chjl („stärken“) zurückgeführt, die nur hier und in Ijob 20,21 auch für das Heb. anzunehmen sei. Das ist recht zweifelhaft. Erstens übersetzt auch Tg nicht mit chjl, was ein Indiz dafür ist, dass auch im Aramäischen „starke Wege“ nicht idiomatisch sind, zweitens bedeutet das aram. chajel nicht „stark sein“, sondern nur „stärken“, drittens muss das Wort in Ijob 20,21 dann auch noch in einer anderen Bed., nämlich „Bestand haben“, genommen werden, wo es sich auch dann nur schwer in den Kontext fügt (vgl. ähnlich Goldingay 2006, S. 164). Auch mit den anderen alten Üss. lässt sich diese Deutung nicht stützen: LXX, Syr, VUL verbinden wie wir mit chalal („entweihen“) („Profan sind seine Wege“), Hieronymus, Aq, Quinta und Saadja mit chjl („kreisen, sich winden“) (H: „Seine Wege kreisen alle Zeit“, Aq+Q: „Seine Wege schmerzen“, S: „Immer von Neuem beginnen seine Pläne“). Letzterer Deutung folgt übrigens auch Eerdmans 1947: „His ways are wavering“.</w:t>
      </w:r>
    </w:p>
  </w:footnote>
  <w:footnote w:id="1742">
    <w:p>
      <w:pPr>
        <w:pStyle w:val="Funote"/>
        <w:rPr/>
      </w:pPr>
      <w:r>
        <w:rPr/>
        <w:footnoteRef/>
        <w:tab/>
        <w:t>Hoch [sind] deine Gesetze, fern von ihm - d.h. wieder: Um Gott und seine Weisung schert sich der Schlechte nicht im Geringsten. Schön EÜ: „Hoch droben und fern von sich wähnt er deine Gerichte.“</w:t>
      </w:r>
    </w:p>
  </w:footnote>
  <w:footnote w:id="1743">
    <w:p>
      <w:pPr>
        <w:pStyle w:val="Funote"/>
        <w:rPr/>
      </w:pPr>
      <w:r>
        <w:rPr/>
        <w:footnoteRef/>
        <w:tab/>
        <w:t>schnauben nur hier in dieser Bed.; gemeint ist wohl das niedergemacht-Werden Gedrückter durch ihre Unterdrücker. Vgl. das ähnliche Wort scha´ap in Ps 56,2f.; 75,4; Ez 36,3. Am besten EÜ, ZÜR: „All seine Gegner faucht/fährt er an“; sinnvoll auch HER05, NL, PAT: „er verspottet seine Feinde“, H-R, MEN, R-S: „er höhnt seine Gegner aus“.</w:t>
      </w:r>
    </w:p>
  </w:footnote>
  <w:footnote w:id="1744">
    <w:p>
      <w:pPr>
        <w:pStyle w:val="Funote"/>
        <w:rPr/>
      </w:pPr>
      <w:r>
        <w:rPr>
          <w:i/>
        </w:rPr>
        <w:footnoteRef/>
        <w:tab/>
        <w:t>wanken</w:t>
      </w:r>
      <w:r>
        <w:rPr/>
        <w:t xml:space="preserve"> - Das „Wanken“ ist in der biblischen Poesie eine häufige Metapher für eine Gefährdung, aus der direkt Vernichtung und Tod folgt. Wer dagegen „nicht wankt“ ist sicher und geschützt und wird daher ewig bestehen; s. bes. gut </w:t>
      </w:r>
      <w:hyperlink r:id="rId82">
        <w:r>
          <w:rPr>
            <w:rStyle w:val="Internetverknpfung"/>
          </w:rPr>
          <w:t>Spr 10,30</w:t>
        </w:r>
      </w:hyperlink>
      <w:r>
        <w:rPr/>
        <w:t xml:space="preserve">; </w:t>
      </w:r>
      <w:r>
        <w:fldChar w:fldCharType="begin"/>
      </w:r>
      <w:r>
        <w:instrText> HYPERLINK "file:///wiki/Sprichwörter_12" \l "s3"</w:instrText>
      </w:r>
      <w:r>
        <w:fldChar w:fldCharType="separate"/>
      </w:r>
      <w:r>
        <w:rPr>
          <w:rStyle w:val="Internetverknpfung"/>
        </w:rPr>
        <w:t>12,3</w:t>
      </w:r>
      <w:r>
        <w:fldChar w:fldCharType="end"/>
      </w:r>
      <w:r>
        <w:rPr/>
        <w:t xml:space="preserve">; auch </w:t>
      </w:r>
      <w:r>
        <w:fldChar w:fldCharType="begin"/>
      </w:r>
      <w:r>
        <w:instrText> HYPERLINK "file:///wiki/Psalm_16" \l "s8"</w:instrText>
      </w:r>
      <w:r>
        <w:fldChar w:fldCharType="separate"/>
      </w:r>
      <w:r>
        <w:rPr>
          <w:rStyle w:val="Internetverknpfung"/>
        </w:rPr>
        <w:t>Ps 16,8</w:t>
      </w:r>
      <w:r>
        <w:fldChar w:fldCharType="end"/>
      </w:r>
      <w:r>
        <w:rPr/>
        <w:t xml:space="preserve">; </w:t>
      </w:r>
      <w:hyperlink r:id="rId83">
        <w:r>
          <w:rPr>
            <w:rStyle w:val="Internetverknpfung"/>
          </w:rPr>
          <w:t>46,6f</w:t>
        </w:r>
      </w:hyperlink>
      <w:r>
        <w:rPr/>
        <w:t xml:space="preserve">; </w:t>
      </w:r>
      <w:hyperlink r:id="rId84">
        <w:r>
          <w:rPr>
            <w:rStyle w:val="Internetverknpfung"/>
          </w:rPr>
          <w:t>62,3.7</w:t>
        </w:r>
      </w:hyperlink>
      <w:r>
        <w:rPr/>
        <w:t xml:space="preserve">; </w:t>
      </w:r>
      <w:hyperlink r:id="rId85">
        <w:r>
          <w:rPr>
            <w:rStyle w:val="Internetverknpfung"/>
          </w:rPr>
          <w:t>112,6</w:t>
        </w:r>
      </w:hyperlink>
      <w:r>
        <w:rPr/>
        <w:t xml:space="preserve">; </w:t>
      </w:r>
      <w:hyperlink r:id="rId86">
        <w:r>
          <w:rPr>
            <w:rStyle w:val="Internetverknpfung"/>
          </w:rPr>
          <w:t>125,1</w:t>
        </w:r>
      </w:hyperlink>
      <w:r>
        <w:rPr/>
        <w:t>. Wie an den Stellen zu sehen ist, handelt es sich bei diesem nicht-Wanken meist um eine Gnadengabe Gottes; hier dagegen wird es gerade auf die Nichtexistenz Gottes zurückgeführt.</w:t>
      </w:r>
    </w:p>
  </w:footnote>
  <w:footnote w:id="1745">
    <w:p>
      <w:pPr>
        <w:pStyle w:val="Funote"/>
        <w:rPr/>
      </w:pPr>
      <w:r>
        <w:rPr/>
        <w:footnoteRef/>
        <w:tab/>
        <w:t>So dass (weil; [ich], der) [ich] nicht (nie) [sein werde] im Unglück. - die Üs. folgt im Großen und Ganzen Alexander 1850, versteht aber ´ascher als Einleitung eines adverbialen Nebensatzes (vgl. Ges18, S. 111f.). Alternativ hat für diese Zeile fast jeder Exeget einen eigenen Textkorrekturvorschlag vorgelegt.</w:t>
      </w:r>
    </w:p>
  </w:footnote>
  <w:footnote w:id="1746">
    <w:p>
      <w:pPr>
        <w:pStyle w:val="Funote"/>
        <w:rPr/>
      </w:pPr>
      <w:r>
        <w:rPr/>
        <w:footnoteRef/>
        <w:tab/>
        <w:t>unter seiner Zunge - das „unter“ ist wohl nicht bedeutsam (anders Gordis 1957, S. 115: „Not ‚on his tongue,‘ but ‚under his tongue,‘ i.e., as a delicacy“): Unter seiner Zunge liegen „Mühsal und Unheil“ also gerade die (spürbaren) Effekte seiner List und Gewalttätigkeit (gut daher NGÜ: „Was sie von sich geben, bringt anderen Unheil und Schaden“). „Sein Mund ist voll von X“ und „Unter seiner Zunge ist X“ sind also wohl Synonyme: Was er auch von sich gibt, ist schlecht, gemein und schädlich.</w:t>
      </w:r>
    </w:p>
  </w:footnote>
  <w:footnote w:id="1747">
    <w:p>
      <w:pPr>
        <w:pStyle w:val="Funote"/>
        <w:rPr/>
      </w:pPr>
      <w:r>
        <w:rPr/>
        <w:footnoteRef/>
        <w:tab/>
        <w:t>Dörfer wird gern korrigiert, zum Sinn aber gut Gordis 1957, S. 116: „chtsrjm is an unwalled settlement (defined as such in Lev 25,31), a peaceful village where violence is not normally expected and hence not guarded against. nqj is its parallel, meaning ‚innocent‘ in its etymological sense, ‚doing no harm,‘ actually ‚unarmed.‘ [...] The passage emphasizes the enormity of the crime, against which no precautions have been taken.“</w:t>
      </w:r>
    </w:p>
  </w:footnote>
  <w:footnote w:id="1748">
    <w:p>
      <w:pPr>
        <w:pStyle w:val="Funote"/>
        <w:rPr/>
      </w:pPr>
      <w:r>
        <w:rPr/>
        <w:footnoteRef/>
        <w:tab/>
        <w:t>tFN: Verfolgten (V. 8) + Verfolger (V. 10) + Verfolgte (V. 14) - unsicheres Wort, in der Bibel nur in Ps 10 zu finden. Zusätzlich verkompliziert wird die Sache dadurch, dass es in zwei verschiedenen Formen vorliegt: im Sg. chelkah in Vv. 8.14 und im dann ungewöhnlichen Pl. chelka´im in V. 10. Und noch mal verkomplizierend kommt hinzu, dass sich dieser ungewöhnliche Plural mehrere Male in den Qumran-Texten findet (s. 1QH XI 25f.; XII 25.35; 4Q432 Frg 4 II,1) und dort offensichtlich eine Bezeichnung für Übeltäter ist, während hier in Vv. 8.14 offensichtlich mit dem Sg. der Elende gemeint ist. Wir folgen der Deutung von Komlós 1957: Weil das Wort in 1QH XI 26; hier und übrigens auch in 4Q432 Frg 4 II,1 im Zhg. mit Netzen genannt wird, leitet er ab vom heb. chkh („Haken“); die chelka´im sind dann die „Hakenden“, also die Verfolger; der chelkah dagegen der „Gehakte“, also der Verfolgte. Zu einem ähnlichen Ergebnis kommt Bonkamp 1949, S. 76 FN 16, der das Wort vom akkadischen hallku („Flüchtling“) ableiten will. Die übliche Deutung als „Unglücklicher“ nach einer Ableitung vom arabischen chalaka („schwarz sein“, so z.B. Wallenstein 1954, S. 214; Ges18, S. 355) ist vor dem Hintergrund der Qumran-Stellen nicht gut möglich, weil zwar noch einzusehen wäre, wie aus „schwarz“ die Bedeutung „Unglücklicher“ oder „Böser“ entstehen soll, aber nur schwerlich, wie daraus beide Bedeutungen gleichzeitig entstanden sein sollen. Zu einem weiteren, aber unwahrscheinlichen Vorschlag vgl. Simpson 1969.</w:t>
      </w:r>
    </w:p>
  </w:footnote>
  <w:footnote w:id="1749">
    <w:p>
      <w:pPr>
        <w:pStyle w:val="Funote"/>
        <w:rPr/>
      </w:pPr>
      <w:r>
        <w:rPr>
          <w:i/>
        </w:rPr>
        <w:footnoteRef/>
        <w:tab/>
        <w:t>in sein (mit seinem) Netz zieht</w:t>
      </w:r>
      <w:r>
        <w:rPr/>
        <w:t xml:space="preserve"> - ein plötzlicher Übergang von der Löwenmetapher zur Fischermetapher, nachdem von V. 8 auf V. 9 schon ebenso plötzlich von der Räubermetapher zur Löwenmetapher gewechselt wurde. Solche schnellen Metaphern-wechsel sind im Heb. normal und der Text also nicht problematisch, während sie im Dt. etwas kurios wirken - vgl. nur in Ps 9,4-13 die Darstellung Gottes als Streiter (V. 4), als königlicher Richter (Vv. 5f.), wieder als Streiter (V. 7), wieder als Richter (V. 9), als Zuflucht (Vv. 10f.) und als Bluträcher (V. 13). Auch hier wird im nächsten Vers wieder zur Löwenmetapher und in V. 11 wieder zur Fischermetapher zurückgewechselt. Zur Fischermetapher für Vernichtung s. noch </w:t>
      </w:r>
      <w:hyperlink r:id="rId87">
        <w:r>
          <w:rPr>
            <w:rStyle w:val="Internetverknpfung"/>
          </w:rPr>
          <w:t>Jer 16,16</w:t>
        </w:r>
      </w:hyperlink>
      <w:r>
        <w:rPr/>
        <w:t xml:space="preserve">; </w:t>
      </w:r>
      <w:r>
        <w:fldChar w:fldCharType="begin"/>
      </w:r>
      <w:r>
        <w:instrText> HYPERLINK "file:///wiki/Amos_4" \l "s2"</w:instrText>
      </w:r>
      <w:r>
        <w:fldChar w:fldCharType="separate"/>
      </w:r>
      <w:r>
        <w:rPr>
          <w:rStyle w:val="Internetverknpfung"/>
        </w:rPr>
        <w:t>Am 4,2</w:t>
      </w:r>
      <w:r>
        <w:fldChar w:fldCharType="end"/>
      </w:r>
      <w:r>
        <w:rPr/>
        <w:t xml:space="preserve">; </w:t>
      </w:r>
      <w:hyperlink r:id="rId88">
        <w:r>
          <w:rPr>
            <w:rStyle w:val="Internetverknpfung"/>
          </w:rPr>
          <w:t>Hab 1,15f.</w:t>
        </w:r>
      </w:hyperlink>
      <w:r>
        <w:rPr/>
        <w:t>; die Fischermetapher passt in der heb. „Metaphernwelt“ besser zur Löwenmetapher als im Dt.</w:t>
      </w:r>
    </w:p>
  </w:footnote>
  <w:footnote w:id="1750">
    <w:p>
      <w:pPr>
        <w:pStyle w:val="Funote"/>
        <w:rPr/>
      </w:pPr>
      <w:r>
        <w:rPr/>
        <w:footnoteRef/>
        <w:tab/>
        <w:t>V. 10 - Die meisten gehen davon aus, dass die chelka´im in V. 10 die selben sind wie der „Verfolgte“ in Vv. 8.14 (vgl. dazu FN u; aus diesem Grund muss dann anders übersetzt werden. Für unsere Deutung muss mit Komlós 1957, S. 246, der ursprünglich vokallose Konsonantentext ein wenig anders vokalisiert werden. Nach der anderen Deutung der chelka´im ist entweder zu übersetzen: „Der bricht zusammen, sinkt nieder / und es fallen die Unglücklichen/Verfolgten in seine (=des Schlechten) Klauen/durch seine Macht“, oder (schöner): „Er duckt sich und bückt sich [wie ein Löwe vor dem Sprung] / und der Unglückliche fällt in seine Klauen“ (so z.B. Olshausen 1853; Terrien 2003). Letzters auch schon bei Saadja: „Die[se] Worte [...] stellen das Verhalten des Löwen dar. Wenn sich derselbe nämlich zum Sprunge vorbereitet, so duckt er sich erst, um sich zu sammeln [...]. Ebenso der Frevler. Siehst du ihn sich vor dir erniedrigen und dich mit Sanftmuth anreden, so hüte dich vor ihm, denn dies ist Verstellung [...].“ (Üs. nach Margulies 1884).</w:t>
      </w:r>
    </w:p>
  </w:footnote>
  <w:footnote w:id="1751">
    <w:p>
      <w:pPr>
        <w:pStyle w:val="Funote"/>
        <w:rPr/>
      </w:pPr>
      <w:r>
        <w:rPr>
          <w:i/>
        </w:rPr>
        <w:footnoteRef/>
        <w:tab/>
        <w:t>Gott vergisst</w:t>
      </w:r>
      <w:r>
        <w:rPr/>
        <w:t xml:space="preserve"> (V. 11) + </w:t>
      </w:r>
      <w:r>
        <w:rPr>
          <w:i/>
        </w:rPr>
        <w:t>Vergiss</w:t>
      </w:r>
      <w:r>
        <w:rPr/>
        <w:t xml:space="preserve"> (V. 12) - Die Rede vom „Vergessen“ Gottes meint meist sein aktives sich-Abwenden von jmdn (s. z.B. </w:t>
      </w:r>
      <w:hyperlink r:id="rId89">
        <w:r>
          <w:rPr>
            <w:rStyle w:val="Internetverknpfung"/>
          </w:rPr>
          <w:t>1 Sam 1,11</w:t>
        </w:r>
      </w:hyperlink>
      <w:r>
        <w:rPr/>
        <w:t xml:space="preserve">; </w:t>
      </w:r>
      <w:r>
        <w:fldChar w:fldCharType="begin"/>
      </w:r>
      <w:r>
        <w:instrText> HYPERLINK "file:///wiki/Psalm_13" \l "s2"</w:instrText>
      </w:r>
      <w:r>
        <w:fldChar w:fldCharType="separate"/>
      </w:r>
      <w:r>
        <w:rPr>
          <w:rStyle w:val="Internetverknpfung"/>
        </w:rPr>
        <w:t>Ps 13,2</w:t>
      </w:r>
      <w:r>
        <w:fldChar w:fldCharType="end"/>
      </w:r>
      <w:r>
        <w:rPr/>
        <w:t xml:space="preserve">; </w:t>
      </w:r>
      <w:r>
        <w:fldChar w:fldCharType="begin"/>
      </w:r>
      <w:r>
        <w:instrText> HYPERLINK "file:///wiki/Psalm_42" \l "s10"</w:instrText>
      </w:r>
      <w:r>
        <w:fldChar w:fldCharType="separate"/>
      </w:r>
      <w:r>
        <w:rPr>
          <w:rStyle w:val="Internetverknpfung"/>
        </w:rPr>
        <w:t>42,10</w:t>
      </w:r>
      <w:r>
        <w:fldChar w:fldCharType="end"/>
      </w:r>
      <w:r>
        <w:rPr/>
        <w:t xml:space="preserve">; </w:t>
      </w:r>
      <w:hyperlink r:id="rId90">
        <w:r>
          <w:rPr>
            <w:rStyle w:val="Internetverknpfung"/>
          </w:rPr>
          <w:t>44,25</w:t>
        </w:r>
      </w:hyperlink>
      <w:r>
        <w:rPr/>
        <w:t xml:space="preserve">; </w:t>
      </w:r>
      <w:hyperlink r:id="rId91">
        <w:r>
          <w:rPr>
            <w:rStyle w:val="Internetverknpfung"/>
          </w:rPr>
          <w:t>Jes 49,14</w:t>
        </w:r>
      </w:hyperlink>
      <w:r>
        <w:rPr/>
        <w:t xml:space="preserve">; </w:t>
      </w:r>
      <w:hyperlink r:id="rId92">
        <w:r>
          <w:rPr>
            <w:rStyle w:val="Internetverknpfung"/>
          </w:rPr>
          <w:t>Klg 5,20</w:t>
        </w:r>
      </w:hyperlink>
      <w:r>
        <w:rPr/>
        <w:t xml:space="preserve">). In V. 11 schert sich der Schlechte also wieder überhaupt nicht um die Existenz Gottes und seiner Weisung; er lebt, als würde Gott seine Freveltaten einfach ignorieren. Darum ruft der Elende, weil von dem Schlechten gedrückte, Psalmist in V. 12 Gott auf, doch nun endlich einzuschreiten: </w:t>
      </w:r>
      <w:r>
        <w:rPr>
          <w:i/>
        </w:rPr>
        <w:t>Steh auf!</w:t>
      </w:r>
      <w:r>
        <w:rPr/>
        <w:t xml:space="preserve">, d.h., werde aktiv! </w:t>
      </w:r>
      <w:r>
        <w:rPr>
          <w:i/>
        </w:rPr>
        <w:t>Heb deine Hand</w:t>
      </w:r>
      <w:r>
        <w:rPr/>
        <w:t xml:space="preserve">, d.h. mach' jetzt was! </w:t>
      </w:r>
      <w:r>
        <w:rPr>
          <w:i/>
        </w:rPr>
        <w:t>Vergiss nicht!</w:t>
      </w:r>
      <w:r>
        <w:rPr/>
        <w:t>, d.h. wende dich dem Elenden gnädig zu!</w:t>
      </w:r>
    </w:p>
  </w:footnote>
  <w:footnote w:id="1752">
    <w:p>
      <w:pPr>
        <w:pStyle w:val="Funote"/>
        <w:rPr/>
      </w:pPr>
      <w:r>
        <w:rPr/>
        <w:footnoteRef/>
        <w:tab/>
        <w:t xml:space="preserve">Dass Gott </w:t>
      </w:r>
      <w:r>
        <w:rPr>
          <w:i/>
        </w:rPr>
        <w:t>sein Gesicht verbirgt</w:t>
      </w:r>
      <w:r>
        <w:rPr/>
        <w:t xml:space="preserve">, ist eine häufige Metapher für den Gnadenentzug JHWHs (s. </w:t>
      </w:r>
      <w:r>
        <w:fldChar w:fldCharType="begin"/>
      </w:r>
      <w:r>
        <w:instrText> HYPERLINK "http://offene-bibel.de/wiki/Psalm_30" \l "note_u"</w:instrText>
      </w:r>
      <w:r>
        <w:fldChar w:fldCharType="separate"/>
      </w:r>
      <w:r>
        <w:rPr>
          <w:rStyle w:val="Internetverknpfung"/>
        </w:rPr>
        <w:t>FN u</w:t>
      </w:r>
      <w:r>
        <w:fldChar w:fldCharType="end"/>
      </w:r>
      <w:r>
        <w:rPr/>
        <w:t xml:space="preserve"> zu </w:t>
      </w:r>
      <w:r>
        <w:fldChar w:fldCharType="begin"/>
      </w:r>
      <w:r>
        <w:instrText> HYPERLINK "file:///wiki/Psalm_30" \l "s8"</w:instrText>
      </w:r>
      <w:r>
        <w:fldChar w:fldCharType="separate"/>
      </w:r>
      <w:r>
        <w:rPr>
          <w:rStyle w:val="Internetverknpfung"/>
        </w:rPr>
        <w:t>Ps 30,8</w:t>
      </w:r>
      <w:r>
        <w:fldChar w:fldCharType="end"/>
      </w:r>
      <w:r>
        <w:rPr/>
        <w:t xml:space="preserve">); in unserem Kontext ist es aber besser nicht als Metapher zu nehmen, sondern als alternative Formulierung für den nächsten Satz: „Gott sieht nicht“. S. zu dieser Bedeutung z.B. </w:t>
      </w:r>
      <w:r>
        <w:fldChar w:fldCharType="begin"/>
      </w:r>
      <w:r>
        <w:instrText> HYPERLINK "file:///wiki/Exodus_3" \l "s6"</w:instrText>
      </w:r>
      <w:r>
        <w:fldChar w:fldCharType="separate"/>
      </w:r>
      <w:r>
        <w:rPr>
          <w:rStyle w:val="Internetverknpfung"/>
        </w:rPr>
        <w:t>Ex 3,6</w:t>
      </w:r>
      <w:r>
        <w:fldChar w:fldCharType="end"/>
      </w:r>
      <w:r>
        <w:rPr/>
        <w:t xml:space="preserve"> oder ganz ähnlich wie hier </w:t>
      </w:r>
      <w:r>
        <w:fldChar w:fldCharType="begin"/>
      </w:r>
      <w:r>
        <w:instrText> HYPERLINK "file:///wiki/Psalm_51" \l "s11"</w:instrText>
      </w:r>
      <w:r>
        <w:fldChar w:fldCharType="separate"/>
      </w:r>
      <w:r>
        <w:rPr>
          <w:rStyle w:val="Internetverknpfung"/>
        </w:rPr>
        <w:t>Ps 51,11</w:t>
      </w:r>
      <w:r>
        <w:fldChar w:fldCharType="end"/>
      </w:r>
      <w:r>
        <w:rPr/>
        <w:t>.</w:t>
      </w:r>
    </w:p>
  </w:footnote>
  <w:footnote w:id="1753">
    <w:p>
      <w:pPr>
        <w:pStyle w:val="Funote"/>
        <w:rPr/>
      </w:pPr>
      <w:r>
        <w:rPr>
          <w:i/>
        </w:rPr>
        <w:footnoteRef/>
        <w:tab/>
        <w:t>Sieht nicht auf immer</w:t>
      </w:r>
      <w:r>
        <w:rPr/>
        <w:t xml:space="preserve"> - d.h., schert sich nicht um das Geschehen auf der Welt, so dass man ihn in seinem Handeln getrost ignorieren kann.</w:t>
        <w:br/>
        <w:t xml:space="preserve">Man beachte die Häufung an Verben in </w:t>
      </w:r>
      <w:r>
        <w:rPr>
          <w:i/>
        </w:rPr>
        <w:t>Vv. 9b-11</w:t>
      </w:r>
      <w:r>
        <w:rPr/>
        <w:t>: Die Klage über das Verhalten der Schlechten kommt hier zu ihrer Klimax, die einzelnen Anklagen überstürzen sich regelrecht im Gebet des Psalmisten.</w:t>
      </w:r>
    </w:p>
  </w:footnote>
  <w:footnote w:id="1754">
    <w:p>
      <w:pPr>
        <w:pStyle w:val="Funote"/>
        <w:rPr/>
      </w:pPr>
      <w:r>
        <w:rPr/>
        <w:footnoteRef/>
        <w:tab/>
        <w:t>Textkritik: Mein Gott (Gott) - Der MT hat „Gott“; Aq, Sym, Syr und (nach einigen Handschriften) auch LXX lag aber offenbar ein heb. Text vor, in dem „mein Gott“ stand. Kissane 1953, S. 40 etwa hält das für ursprünglicher, und da MT nur von VUL und Hieronymus gestützt wird, während Tg auch „Gott“ streicht, sollte man sich dem wohl besser anschließen.</w:t>
      </w:r>
    </w:p>
  </w:footnote>
  <w:footnote w:id="1755">
    <w:p>
      <w:pPr>
        <w:pStyle w:val="Funote"/>
        <w:rPr/>
      </w:pPr>
      <w:r>
        <w:rPr/>
        <w:footnoteRef/>
        <w:tab/>
        <w:t>Sehr schwieriger Satz. Am sinnvollsten ist der Deutungsvorschlag von von Lengerke 1847, S. 48: Gott soll [es, nämlich Mühsal und Leid,] in seine Hände „geben“, d.h. sammeln. Vgl. Ps 56,9: „Sammle meine Tränen in deinem Schlauch. Stehen sie nicht in deinem Buch?“ - d.h.: Gott soll über das Leid des Elenden „Buch führen“. Und vgl. Jes 49,16: „In meine Hände habe ich dich geritzt“. Gott soll Mühsal und Leid also nicht ignorieren, sondern „untersuchen“, und dann im Kopf - oder hier: in der Hand - behalten. Zu übersetzen wäre dann: „indem du [es] in deiner Hand sammelst“ oder freier etwas wie „Schließlich beachtest du Leid und verzeichnest es gar.“ Genauer: Der Satz besteht nur aus zwei Worten: latet, dem Wort natan („geben“) in der Verbform Liqtol, und bejadecha, also „deine Hand“ plus die Präposition be („in, aus, mit, durch,...“). Ein Verb im Liqtol ist „sowohl atemporal als auch apersonal“ (A-C §3.4.1); jeweils aus dem Kontext muss daher erschlossen werden, wer das Subjekt des Verbs ist, wann die mit dem Verb bezeichnete Handlung stattfindet und welche Art von Nebensatz mit dem Verb gebildet werden soll (hier am wahrscheinlichsten: Final („damit“), konsekutiv („so dass“) oder spezifikativ („indem“)). Möglich ist daher neben der obigen jede der folgenden Deutungen des Nebensatzes: Gott soll Mühsal und Leid „untersuchen“ - d.h., darauf reagieren - * „indem er [es] [dem Leidenden ab- und] in seine Hand gibt“. So z.B. NGÜ: „du nimmst das Schicksal [der Leidenden] in deine Hände.“ * „indem er [sie] (nämlich die Schlechten) in seine Hand gibt“, nämlich um sie zu bestrafen. So LXX, Sym, Syr; heute niemand mehr. * „indem er mit seiner Hand gibt“, d.h. den Leidenden sozusagen als Entschädigung für die Mühsal mit Wohltaten segnet. So z.B. TAF: „um [besser: indem] mit Deiner Hand zu geben“; so wohl auch GN: „Du siehst all das Leiden und Unheil und du kannst helfen.“ So schon Tg, auch NKJV. * oder: „indem er mit seiner Hand gibt“, d.h. dem Schlechten seine Übeltaten vergilt. So wohl NL: „Du merkst es und du bestrafst sie.“ Beides kombiniert FREE: „Du schaust auf Mühsal und Gram, um zu vergelten durch deine Hand.“ * sehr interessant, aber auch sehr unwahrscheinlich B-R und R-S, die den Nebensatz nicht zum vorigen, sondern zum nächsten Satz ziehen: B-R: „es in deine Hand zu geben [besser: indem er es in deine Hand gibt, so YLT] überläßts der Elende dir“; R-S: „indem er sich in deine Hand gibt, verlässt sich auf dich der Verfolgte.“ * auch interessant, aber nicht sehr wahrscheinlich: latet bejadeka ist gleichbedeutend mit dem dt. und engl. Idiom „etwas selbst in die Hand nehmen“: „Du schaust auf Mühsal und Leid, um [dann die Sache selbst] in die Hand zu nehmen“. So BB, Weber 2001 und einige engl. Bibeln, z.B. CEB, CJB, HCSB, wohl auch NCV, NIRV. * Vielleicht könnte man auch an Sir 2,22 denken: „Wir wollen lieber in die Hände des Herrn fallen als in die Hände der Menschen“ - und dann davon ausgehen, dass V. 14 im Kontrast zu V. 10 stehen soll, wo der Elende in die Klauen der Schlechten gefallen ist: „indem du [sie (=die Elenden)] [aus den Klauen der Schlechten] in deine Hand gibst“. Aber dafür wäre das Objekt - die Elenden - wohl zu weit weg; zuletzt wurden sie in V. 12 genannt. Oder das Objekt ist der Verfolgte in der nächsten Zeile; solche rückwirkenden Brachylogien finden sich häufiger im Heb. Diese Deutung hätte den schönen Nebeneffekt, dass die viermalige Rede von den „Händen“ in Vv. 10-15 über Kreuz läuft: Der Elende ist in die Klauen der Verfolger gefallen (V. 10), Gott soll ihn stattdessen in seine Hand geben (V. 14). Gott soll seine Hand heben, also aktiv werden (V. 12), aber die Arme der Schlechten zerbrechen, also ihre Aktivität unterbinden (V. 15).</w:t>
      </w:r>
    </w:p>
  </w:footnote>
  <w:footnote w:id="1756">
    <w:p>
      <w:pPr>
        <w:pStyle w:val="Funote"/>
        <w:rPr/>
      </w:pPr>
      <w:r>
        <w:rPr/>
        <w:footnoteRef/>
        <w:tab/>
        <w:t>tFN - Die Verbformen in V. 14 (Qatal - Yiqtol - Yiqtol - Qatal) müssen nicht mit Zuber 1986 als (bedeutungsloser) T-Shift zu erklärt werden. V. 14a ist eine gnomische Aussage, 14b ein Wunsch. In 14c ist das Yiqtol ein abilitives Yiqtol und das Qatal in 14d mit der Wortstellung X-Qatal ist ein unmarkierter Nebensatz mit kausaler Sinnrichtung.</w:t>
      </w:r>
    </w:p>
  </w:footnote>
  <w:footnote w:id="1757">
    <w:p>
      <w:pPr>
        <w:pStyle w:val="Funote"/>
        <w:rPr/>
      </w:pPr>
      <w:r>
        <w:rPr/>
        <w:footnoteRef/>
        <w:tab/>
        <w:t>Suche wieder i.S.v. „räche“, vgl. wieder FN w zu Ps 9,13. Gut Bonkamp 1949: „Räche sein Unrecht!“; Terrien 2003: „Pursue his crime!“, Weber 2001: „Ahnde seinen Frevel!“</w:t>
      </w:r>
    </w:p>
  </w:footnote>
  <w:footnote w:id="1758">
    <w:p>
      <w:pPr>
        <w:pStyle w:val="Funote"/>
        <w:rPr/>
      </w:pPr>
      <w:r>
        <w:rPr>
          <w:i/>
        </w:rPr>
        <w:footnoteRef/>
        <w:tab/>
        <w:t>sein</w:t>
      </w:r>
      <w:r>
        <w:rPr/>
        <w:t xml:space="preserve"> = „ihr“, das des Schlechten und Bösen. Theoretisch könnte man alternativ auflösen: „Zerbrich den Arm des Bösen! / Und vom Schlechten suche sein Böses (=Und suche das Böse des Schlechten), bis...“. So wollten schon die Masoreten den Vers verstanden wissen, aber das ist von der Zahl der Worte, die dann auf die einzelnen Zeilen fallen würden, recht unwahrscheinlich.</w:t>
      </w:r>
    </w:p>
  </w:footnote>
  <w:footnote w:id="1759">
    <w:p>
      <w:pPr>
        <w:pStyle w:val="Funote"/>
        <w:rPr/>
      </w:pPr>
      <w:r>
        <w:rPr/>
        <w:footnoteRef/>
        <w:tab/>
        <w:t>V. 15b ist entweder so zu verstehen, dass „finden“ der Korrespondenzbegriff von „suchen“ ist („Räche so lange, bis nichts mehr zu rächen ist (weil die Übeltaten ausgegolten sind)!“). So z.B. BB: „Verfolge das Unrecht, das er begangen hat, bis du nichts mehr davon findest.“ Oder - wegen V. 16 in der Tat wahrscheinlicher -: „Räche dich so lange an den Schlechten, bis sie überhaupt nicht mehr existieren!“. So z.B. H-R: „Ahnde bis zur Vernichtung des Bösewichts Sünde!“, STAD: „Strafe den Bösen, damit er verschwinde“. Textkritik: LXX und Syr übersetzen impersonal (=erste Übersetzungsalternative). Entweder ändern sie dafür den Text oder lesen die 2. Pers. als impersonal, wie sich das bisweilen findet (vgl. GKC §144c; so z.B. Gordis 1957, S. 118). Dem folgt auch eine ganze Reihe Üss. Die zweite Übersetzungsalternative ist als Übersetzung auch ohne Textänderungen möglich und wird so von Ehrlich 1905 und R-S vertreten. Beides ist ganz unwahrscheinlich; darasch ist in Ps 9-10 ein Leitwort, mit dem das Rächen Gottes bezeichnet wird.</w:t>
      </w:r>
    </w:p>
  </w:footnote>
  <w:footnote w:id="1760">
    <w:p>
      <w:pPr>
        <w:pStyle w:val="Funote"/>
        <w:rPr/>
      </w:pPr>
      <w:r>
        <w:rPr/>
        <w:footnoteRef/>
        <w:tab/>
        <w:t>Nationen - Heb. gojim, oft verwendet für Nationen qua heidnische Nationen; sinngemäßer daher „Heidenvölker“ (ähnlich z.B. Bonkamp 1949; Ehrlich 1905; Weber 2001: „Heiden“).</w:t>
      </w:r>
    </w:p>
  </w:footnote>
  <w:footnote w:id="1761">
    <w:p>
      <w:pPr>
        <w:pStyle w:val="Funote"/>
        <w:rPr/>
      </w:pPr>
      <w:r>
        <w:rPr/>
        <w:footnoteRef/>
        <w:tab/>
        <w:t>die Bereitung ihres Herzens (bereite ihr Herz) meint wahrscheinlich das Gebet; die Zeile ist damit eine synonyme Formulierung der vorigen Zeile. S.u. So auch R-S: „ihres Herzens Sorgen neige hin Dein Ohr“. Textkritik: Heb. takin libam. takin ist ein Verb in der 2. Pers., das neben MT auch Tg, Aq und Hieronymus vorliegen hatten („du wirst/sollst bereiten/hast bereitet ihre Herzen“); LXX, Sym, Syr und VUL übersetzen aber mit einem Nomen, nämlich entweder „die Bereitung ihres Herzens“ (LXX, Syr), „die Aussage ihres Herzens“ (Sym) oder „das Begehren ihres Herzens“ (VUL). Alle vier lassen sich zurückführen auf hakin libam, „das Bereiten ihres Herzens“. Dem wird man besser folgen müssen: Fast alle Kommentare und Üss. übersetzen mit „stärke ihre Herzen“ oder „richte ihre Herzen auf“. Aber die Wendung „das Herz bereiten“ findet sich in der Bibel häufig und mit einer stabilen Bedeutung: kun meint entweder „zurichten“ oder „ausrichten“ und „das Herz zu-/ausrichten“ meint daher stets entweder, dass ein Herz zum Gebet „zugerichtet“, also vorbereitet ist (s. Ps 57,8; 108,2), oder dass ein Herz auf Gott oder seine Gebote „ausgerichtet“ ist (s. 1 Sam 7,3; 2 Chr 12,14; 19,3; 20,33; 30,19; Esra 7,10; Ps 78,8; 112,7; vom ausgerichtet-sein im Gebet: Ijob 11,13). Eine parallele Formulierung zum MT unserer Stelle findet sich in 1 Chr 29,18: „Richte ihr Herz zu dir!“. Diese Bedeutung hätte MT auch hier, es fügt sich aber in dieser Bedeutung nur schwerlich in den Kontext. Das tabin („nimm ihr Herz wahr“) in einigen Handschriften ist wohl darauf zurückzuführen, dass die Schreiber das schlecht passende Wort korrigieren wollten. Besser daher als hakin: Die „Ausrichtung ihres Herzens“ meint wie in Ijob 11,13 das Gebet; „Auf die Ausrichtung ihres Herzens lass dein Ohr horchen“ und „du hörst das Verlangen der Elenden“ sind also synonyme Formulierungen. So auch der Midrasch, wo unsere Stelle kommentiert wird wie folgt: „R. Josua (Samuel) bar Nachman hat gesagt: Wenn der Mensch sein Herz auf das Gebet richtet, so kann er versichert sein, dass sein Gebet erhört wird [...].“ (Üs. nach Wünsche 1892, S. 98). Auf anderem Wege zu einem ähnlichen Ergebnis kommt Gordis 1957, S. 119, der sehr unwahrscheinlich ein Substantiv takin mit der Bedeutung „Inhalt“ ansetzt („dem Inhalt ihres Herzens lausche“) und BHS und Kissane 1953, S. 41, die hegjon („Nachsinnen, Beten“) lesen wollen („dem Beten ihres Herzens lausche“), was aber die alten Übersetzungen nicht gut erklärt.</w:t>
      </w:r>
    </w:p>
  </w:footnote>
  <w:footnote w:id="1762">
    <w:p>
      <w:pPr>
        <w:pStyle w:val="Funote"/>
        <w:rPr/>
      </w:pPr>
      <w:r>
        <w:rPr>
          <w:i/>
        </w:rPr>
        <w:footnoteRef/>
        <w:tab/>
        <w:t>Menschlein aus Erde</w:t>
      </w:r>
      <w:r>
        <w:rPr/>
        <w:t xml:space="preserve"> - Die letzte Zeile ist sehr nahe an den </w:t>
      </w:r>
      <w:r>
        <w:fldChar w:fldCharType="begin"/>
      </w:r>
      <w:r>
        <w:instrText> HYPERLINK "file:///wiki/Psalm_9" \l "s20"</w:instrText>
      </w:r>
      <w:r>
        <w:fldChar w:fldCharType="separate"/>
      </w:r>
      <w:r>
        <w:rPr>
          <w:rStyle w:val="Internetverknpfung"/>
        </w:rPr>
        <w:t>den letzten beiden Zeilen von Ps 9</w:t>
      </w:r>
      <w:r>
        <w:fldChar w:fldCharType="end"/>
      </w:r>
      <w:r>
        <w:rPr/>
        <w:t xml:space="preserve">. Wieder wählt der Dichter bewusst das Wort </w:t>
      </w:r>
      <w:r>
        <w:rPr>
          <w:i/>
        </w:rPr>
        <w:t>´enosch</w:t>
      </w:r>
      <w:r>
        <w:rPr/>
        <w:t xml:space="preserve">, mit dem oft der Mensch qua </w:t>
      </w:r>
      <w:r>
        <w:rPr>
          <w:i/>
        </w:rPr>
        <w:t>schwaches</w:t>
      </w:r>
      <w:r>
        <w:rPr/>
        <w:t xml:space="preserve"> Wesen bezeichnet wird (vgl. z.B. TWOT 136a). Das „aus der Erde“ soll dies noch zusätzlich unterstreichen.</w:t>
      </w:r>
    </w:p>
  </w:footnote>
  <w:footnote w:id="1763">
    <w:p>
      <w:pPr>
        <w:pStyle w:val="Funote"/>
        <w:rPr/>
      </w:pPr>
      <w:r>
        <w:rPr/>
        <w:footnoteRef/>
        <w:tab/>
        <w:t>JHWH</w:t>
      </w:r>
    </w:p>
  </w:footnote>
  <w:footnote w:id="1764">
    <w:p>
      <w:pPr>
        <w:pStyle w:val="Funote"/>
        <w:rPr/>
      </w:pPr>
      <w:r>
        <w:rPr/>
        <w:footnoteRef/>
        <w:tab/>
        <w:t>JHWH</w:t>
      </w:r>
    </w:p>
  </w:footnote>
  <w:footnote w:id="1765">
    <w:p>
      <w:pPr>
        <w:pStyle w:val="Funote"/>
        <w:rPr/>
      </w:pPr>
      <w:r>
        <w:rPr/>
        <w:footnoteRef/>
        <w:tab/>
        <w:t>JHWH</w:t>
      </w:r>
    </w:p>
  </w:footnote>
  <w:footnote w:id="1766">
    <w:p>
      <w:pPr>
        <w:pStyle w:val="Funote"/>
        <w:rPr/>
      </w:pPr>
      <w:r>
        <w:rPr/>
        <w:footnoteRef/>
        <w:tab/>
        <w:t>JHWH</w:t>
      </w:r>
    </w:p>
  </w:footnote>
  <w:footnote w:id="1767">
    <w:p>
      <w:pPr>
        <w:pStyle w:val="Funote"/>
        <w:rPr/>
      </w:pPr>
      <w:r>
        <w:rPr/>
        <w:footnoteRef/>
        <w:tab/>
        <w:t>JHWH</w:t>
      </w:r>
    </w:p>
  </w:footnote>
  <w:footnote w:id="1768">
    <w:p>
      <w:pPr>
        <w:pStyle w:val="Funote"/>
        <w:rPr/>
      </w:pPr>
      <w:r>
        <w:rPr/>
        <w:footnoteRef/>
        <w:tab/>
        <w:t>[Status: Zuverlässig]</w:t>
      </w:r>
    </w:p>
  </w:footnote>
  <w:footnote w:id="1769">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Deutung folgen sollte.</w:t>
      </w:r>
    </w:p>
  </w:footnote>
  <w:footnote w:id="1770">
    <w:p>
      <w:pPr>
        <w:pStyle w:val="Funote"/>
        <w:rPr/>
      </w:pPr>
      <w:r>
        <w:rPr/>
        <w:footnoteRef/>
        <w:tab/>
        <w:t>ihr sind vermutlich nicht verängstigte Freunde des Psalmisten (so die meisten Kommentatoren), sondern eine Gruppe von Feinden der Gruppe, die durch den Psalmisten repräsentiert wird: „Ihr sagt zu mir: Flieht auf ‚euren Berg‘.“ Umstritten ist, ob das folgende Zitat dieser Gruppe von V. 1 bis V. 3 geht, oder ob in V. 2 wieder der Sprecher wechselt und ab hier wieder der Psalmist spricht (so z.B. Gerstenberger 1991, S. 77f.). Aber in der Wendung ki hinneh („denn siehe,...“) hat ki („denn“, „Oh!“, „Ach!“) nie die selbe Funktion wie hinneh (also die eines Fokuspartikels: „Oh! Siehe!, ...“) und muss also als „denn“ verstanden werden. Würde demnach in V. 2 wieder der Psalmist sprechen, würde er ja sein Vertrauen in Gott damit begründen, dass die Frevler schon ihre Bogen spannen. Das liegt sicher fern. Die Sprecher sind also immer noch die selben und sie begründen in V. 2 ihre Aufforderung von V. 1 (für ähnliche mit ki hinneh eingeleitete Begründungen s. z.B. schön deutlich Jer 50,9 auf V. 8; Ps 59,4 auf V. 3; 83,3 auf V. 2). Ab V. 4 dagegen beginnt offenbar die Erwiderung auf 3b: „Was tut JHWH?“ - „Richten.“ (so gut Mannati 1979, S. 225). Die beiden Abschnitte des Psalms sind also sehr wahrscheinlich: Vv. 1b-3 - Vv. 4-7.</w:t>
      </w:r>
    </w:p>
  </w:footnote>
  <w:footnote w:id="1771">
    <w:p>
      <w:pPr>
        <w:pStyle w:val="Funote"/>
        <w:rPr/>
      </w:pPr>
      <w:r>
        <w:rPr>
          <w:i/>
        </w:rPr>
        <w:footnoteRef/>
        <w:tab/>
        <w:t>zu mir (zu meiner Seele)</w:t>
      </w:r>
      <w:r>
        <w:rPr/>
        <w:t xml:space="preserve"> (V. 1) + </w:t>
      </w:r>
      <w:r>
        <w:rPr>
          <w:i/>
        </w:rPr>
        <w:t>hasst er (hasst seine Seele)</w:t>
      </w:r>
      <w:r>
        <w:rPr/>
        <w:t xml:space="preserve"> (V. 5) - Heb. „zu meiner </w:t>
      </w:r>
      <w:r>
        <w:rPr>
          <w:i/>
        </w:rPr>
        <w:t>nefesch</w:t>
      </w:r>
      <w:r>
        <w:rPr/>
        <w:t xml:space="preserve">“ bzw. „hasst seine </w:t>
      </w:r>
      <w:r>
        <w:rPr>
          <w:i/>
        </w:rPr>
        <w:t>nefesch</w:t>
      </w:r>
      <w:r>
        <w:rPr/>
        <w:t xml:space="preserve"> (‚Seele‘)“. Eine wörtl. Üs. von </w:t>
      </w:r>
      <w:r>
        <w:rPr>
          <w:i/>
        </w:rPr>
        <w:t>nefesch</w:t>
      </w:r>
      <w:r>
        <w:rPr/>
        <w:t xml:space="preserve"> ist fast nie zu empfehlen, weil es im heb. Menschenbild einen Gegensatz von Körper und Seele so nicht gab; </w:t>
      </w:r>
      <w:r>
        <w:rPr>
          <w:i/>
        </w:rPr>
        <w:t>nefesch</w:t>
      </w:r>
      <w:r>
        <w:rPr/>
        <w:t xml:space="preserve"> meint hier wie meist den </w:t>
      </w:r>
      <w:r>
        <w:rPr>
          <w:i/>
        </w:rPr>
        <w:t>ganzen</w:t>
      </w:r>
      <w:r>
        <w:rPr/>
        <w:t xml:space="preserve"> Menschen/Gott und wird daher hier wie häufig als Wechselbegriff für „Ich“/„Er“ verwendet.</w:t>
      </w:r>
    </w:p>
  </w:footnote>
  <w:footnote w:id="1772">
    <w:p>
      <w:pPr>
        <w:pStyle w:val="Funote"/>
        <w:rPr/>
      </w:pPr>
      <w:r>
        <w:rPr>
          <w:i/>
        </w:rPr>
        <w:footnoteRef/>
        <w:tab/>
        <w:t>Wie [könnt] ihr [da] zu mir sagen</w:t>
      </w:r>
      <w:r>
        <w:rPr/>
        <w:t xml:space="preserve"> - W. „Wie (</w:t>
      </w:r>
      <w:r>
        <w:rPr>
          <w:i/>
        </w:rPr>
        <w:t>´ek</w:t>
      </w:r>
      <w:r>
        <w:rPr/>
        <w:t xml:space="preserve">) sagt ihr zu mir...?“; das Fragewort </w:t>
      </w:r>
      <w:r>
        <w:rPr>
          <w:i/>
        </w:rPr>
        <w:t>´ek</w:t>
      </w:r>
      <w:r>
        <w:rPr/>
        <w:t xml:space="preserve"> dient hier wie häufig zur Einleitung eines ablehnenden Ausrufs: „Wie könnt ihr nur...!?“ (s. z.B. </w:t>
      </w:r>
      <w:r>
        <w:fldChar w:fldCharType="begin"/>
      </w:r>
      <w:r>
        <w:instrText> HYPERLINK "file:///wiki/Genesis_26" \l "s9"</w:instrText>
      </w:r>
      <w:r>
        <w:fldChar w:fldCharType="separate"/>
      </w:r>
      <w:r>
        <w:rPr>
          <w:rStyle w:val="Internetverknpfung"/>
        </w:rPr>
        <w:t>Gen 26,9</w:t>
      </w:r>
      <w:r>
        <w:fldChar w:fldCharType="end"/>
      </w:r>
      <w:r>
        <w:rPr/>
        <w:t xml:space="preserve">; </w:t>
      </w:r>
      <w:r>
        <w:fldChar w:fldCharType="begin"/>
      </w:r>
      <w:r>
        <w:instrText> HYPERLINK "file:///wiki/Genesis_39" \l "s9"</w:instrText>
      </w:r>
      <w:r>
        <w:fldChar w:fldCharType="separate"/>
      </w:r>
      <w:r>
        <w:rPr>
          <w:rStyle w:val="Internetverknpfung"/>
        </w:rPr>
        <w:t>39,9</w:t>
      </w:r>
      <w:r>
        <w:fldChar w:fldCharType="end"/>
      </w:r>
      <w:r>
        <w:rPr/>
        <w:t xml:space="preserve">; </w:t>
      </w:r>
      <w:hyperlink r:id="rId93">
        <w:r>
          <w:rPr>
            <w:rStyle w:val="Internetverknpfung"/>
          </w:rPr>
          <w:t>Ri 16,15</w:t>
        </w:r>
      </w:hyperlink>
      <w:r>
        <w:rPr/>
        <w:t xml:space="preserve"> u.ö). Die obige Übersetzung versucht, diesen Ton einzufangen. Ähnlich viele Üss.</w:t>
      </w:r>
    </w:p>
  </w:footnote>
  <w:footnote w:id="1773">
    <w:p>
      <w:pPr>
        <w:pStyle w:val="Funote"/>
        <w:rPr/>
      </w:pPr>
      <w:r>
        <w:rPr>
          <w:i/>
        </w:rPr>
        <w:footnoteRef/>
        <w:tab/>
        <w:t>auf euren Berg</w:t>
      </w:r>
      <w:r>
        <w:rPr/>
        <w:t xml:space="preserve"> - nämlich den Zion, den Berg, auf dem Gott in seinem Tempel wohnt und der daher eine sichere Zuflucht ist (vgl. z.B. </w:t>
      </w:r>
      <w:r>
        <w:fldChar w:fldCharType="begin"/>
      </w:r>
      <w:r>
        <w:instrText> HYPERLINK "https://www.bibelwissenschaft.de/de/stichwort/35418/" \l "h8"</w:instrText>
      </w:r>
      <w:r>
        <w:fldChar w:fldCharType="separate"/>
      </w:r>
      <w:r>
        <w:rPr>
          <w:rStyle w:val="Internetverknpfung"/>
        </w:rPr>
        <w:t>Zion/Zionstheologie (WiBiLex)</w:t>
      </w:r>
      <w:r>
        <w:fldChar w:fldCharType="end"/>
      </w:r>
      <w:r>
        <w:rPr/>
        <w:t xml:space="preserve"> und s. z.B. </w:t>
      </w:r>
      <w:hyperlink r:id="rId94">
        <w:r>
          <w:rPr>
            <w:rStyle w:val="Internetverknpfung"/>
          </w:rPr>
          <w:t>Ps 46,1-8</w:t>
        </w:r>
      </w:hyperlink>
      <w:r>
        <w:rPr/>
        <w:t xml:space="preserve">; </w:t>
      </w:r>
      <w:hyperlink r:id="rId95">
        <w:r>
          <w:rPr>
            <w:rStyle w:val="Internetverknpfung"/>
          </w:rPr>
          <w:t>48,13-15</w:t>
        </w:r>
      </w:hyperlink>
      <w:r>
        <w:rPr/>
        <w:t xml:space="preserve">; zum ähnlichen Motiv des Tempels als Zufluchtsort s. z.B. </w:t>
      </w:r>
      <w:r>
        <w:fldChar w:fldCharType="begin"/>
      </w:r>
      <w:r>
        <w:instrText> HYPERLINK "file:///wiki/Psalm_27" \l "s4"</w:instrText>
      </w:r>
      <w:r>
        <w:fldChar w:fldCharType="separate"/>
      </w:r>
      <w:r>
        <w:rPr>
          <w:rStyle w:val="Internetverknpfung"/>
        </w:rPr>
        <w:t>Ps 27,4f.</w:t>
      </w:r>
      <w:r>
        <w:fldChar w:fldCharType="end"/>
      </w:r>
      <w:r>
        <w:rPr/>
        <w:t xml:space="preserve">; </w:t>
      </w:r>
      <w:hyperlink r:id="rId96">
        <w:r>
          <w:rPr>
            <w:rStyle w:val="Internetverknpfung"/>
          </w:rPr>
          <w:t>61,4f.</w:t>
        </w:r>
      </w:hyperlink>
      <w:r>
        <w:rPr/>
        <w:t>).</w:t>
      </w:r>
    </w:p>
  </w:footnote>
  <w:footnote w:id="1774">
    <w:p>
      <w:pPr>
        <w:pStyle w:val="Funote"/>
        <w:rPr/>
      </w:pPr>
      <w:r>
        <w:rPr/>
        <w:footnoteRef/>
        <w:tab/>
        <w:t>[wie] ein Vogel, d.h. »wie ein Angsthase« (vgl. Spr 27,8; Hos 11,11). Sehr schön Delekat 1967, S. 154: »Flieh ins Gebirge wie ein Hasenfuss!«»Vogel« ist ein »generischer Singular« mit Pl.-Bed.; übersetze: »wie Vögel«.</w:t>
      </w:r>
    </w:p>
  </w:footnote>
  <w:footnote w:id="1775">
    <w:p>
      <w:pPr>
        <w:pStyle w:val="Funote"/>
        <w:rPr/>
      </w:pPr>
      <w:r>
        <w:rPr/>
        <w:footnoteRef/>
        <w:tab/>
        <w:t>Textkritik: Flieht auf euren Berg [wie] ein Vogel ([wie] Vögel; flieh auf euren Berg, Vogel!, flieh/flieht ins Gebirge wie ein Vogel/wie Vögel! - Der heb. Teil der Bibel wurde ursprünglich ohne Vokale geschrieben; jüdische Schriftgelehrte trugen diese Vokale im Mittelalter nach. An dieser Stelle liegt der heb. Text daher in zwei us. Versionen vor: Der Konsonantentext bedeutet »Flieht (mask. pl.)«, die Schriftgelehrten wollten das korrigieren und haben durch die Vokale angezeigt, dass sie den Text verstanden wissen wollen als »Flieh (fem. sg.)«. Darauf folgen im Heb. die Konsonanten hrkm (»auf euren Berg«) und zpwr, das sich entweder als Sg. oder als »generischer« Sg. mit Pl.-Bed. und entweder als Vokativ (»du Vogel / ihr Vögel«) oder als adverbialer Akkusativ des Vergleichs (»[wie] ein Vogel / [wie] Vögel«) verstehen lässt. Die alten Übersetzungen übersetzen fast einheitlich: »Flieh (sg.) ins Gebirge wie ein Vogel«. Auch hier findet sich also meist die Deutung des Verbs als Sg., außerdem fehlt stets das »euer« und stets steht ein »wie«. Das könnte bedeuten, dass den alten Versionen statt den Konsonanten hrkm zpwr (»auf euren Berg [wie] ein Vogel«) die Konsonanten hr kmw zpwr (»ins Gebirge wie ein Vogel«) vorlagen. Die Unterschiede lassen sich aber auch als eine freiere, kontextuelle Übertragung erkären: Die singularische Übertragung des Verbs wäre dem »zu meiner Seele« in V. 1 geschuldet; »auf euren Berg/auf euer Gebirge« wurde als alternativer Ausdruck für »ins Gebirge« gefasst, weil das Gebirge in der Bibel oft der Ort ist, an den in Notsituationen geflohen wird, und das »wie« soll nur den adverbialen Akkusativ des Vergleichs ausdrücklich machen. Ähnlich erklärt z.B. CTAT IV, S. 42f. die Unterschiede; dieser Deutung folgen auch wir und betrachten als ursprünglich: »FliehT auf EUREN Berg [WIE] ein Vogel«. So z.B. auch B-R, MEN, SLT, STAD, TAF, TUR.</w:t>
      </w:r>
    </w:p>
  </w:footnote>
  <w:footnote w:id="1776">
    <w:p>
      <w:pPr>
        <w:pStyle w:val="Funote"/>
        <w:rPr/>
      </w:pPr>
      <w:r>
        <w:rPr>
          <w:i/>
        </w:rPr>
        <w:footnoteRef/>
        <w:tab/>
        <w:t>Denn siehe</w:t>
      </w:r>
      <w:r>
        <w:rPr/>
        <w:t xml:space="preserve"> leitet hier die Begründung der vorangehenden Aufforderung ein (s. ähnlich z.B. </w:t>
      </w:r>
      <w:hyperlink r:id="rId97">
        <w:r>
          <w:rPr>
            <w:rStyle w:val="Internetverknpfung"/>
          </w:rPr>
          <w:t>Jer 50,9</w:t>
        </w:r>
      </w:hyperlink>
      <w:r>
        <w:rPr/>
        <w:t xml:space="preserve"> auf V. 8; </w:t>
      </w:r>
      <w:hyperlink r:id="rId98">
        <w:r>
          <w:rPr>
            <w:rStyle w:val="Internetverknpfung"/>
          </w:rPr>
          <w:t>Ps 59,4</w:t>
        </w:r>
      </w:hyperlink>
      <w:r>
        <w:rPr/>
        <w:t xml:space="preserve"> auf V. 3; </w:t>
      </w:r>
      <w:hyperlink r:id="rId99">
        <w:r>
          <w:rPr>
            <w:rStyle w:val="Internetverknpfung"/>
          </w:rPr>
          <w:t>83,3</w:t>
        </w:r>
      </w:hyperlink>
      <w:r>
        <w:rPr/>
        <w:t xml:space="preserve"> auf V. 2); sinngemäßer daher: „</w:t>
      </w:r>
      <w:r>
        <w:rPr>
          <w:i/>
        </w:rPr>
        <w:t>Denn</w:t>
      </w:r>
      <w:r>
        <w:rPr/>
        <w:t xml:space="preserve"> </w:t>
      </w:r>
      <w:r>
        <w:rPr>
          <w:strike/>
        </w:rPr>
        <w:t>siehe</w:t>
      </w:r>
      <w:r>
        <w:rPr/>
        <w:t xml:space="preserve"> die Bösen wollen </w:t>
      </w:r>
      <w:r>
        <w:rPr>
          <w:i/>
        </w:rPr>
        <w:t>[ja]</w:t>
      </w:r>
      <w:r>
        <w:rPr/>
        <w:t xml:space="preserve"> den Bogen spannen“.</w:t>
      </w:r>
    </w:p>
  </w:footnote>
  <w:footnote w:id="1777">
    <w:p>
      <w:pPr>
        <w:pStyle w:val="Funote"/>
        <w:rPr/>
      </w:pPr>
      <w:r>
        <w:rPr/>
        <w:footnoteRef/>
        <w:tab/>
        <w:t>tFN: wollen legen - W. »legen/haben gelegt.« Zeilen 1 und 2 von V. 2 verwenden unterschiedliche Verbformen. Nach der Logik muss man zuerst den Bogen spannen, bevor man den Pfeil auf die Sehne legen kann; laut den Verbformen von V. 2 ist es hier aber umgekehrt: »Sie werden/wollen den Bogen spannen, / sie haben den Pfeil auf die Sehne gelegt«. Das ist am besten zu erklären als T-Shift (so auch Zuber 1986, S. 26; schon von Lengerke 1847, S. 50): Aus poetischen Gründen kann in der bibl. Poesie von einer Zeile auf die nächste von einem Tempus zum nächsten gewechselt werden, ohne, dass das einen Bedeutungsunterschied machen würde (vgl. z.B. Berlin 1979, S. 23). Auch von den meisten Üss. wird daher richtig der Unterschied zwischen den beiden Verbformen eingeebnet.</w:t>
      </w:r>
    </w:p>
  </w:footnote>
  <w:footnote w:id="1778">
    <w:p>
      <w:pPr>
        <w:pStyle w:val="Funote"/>
        <w:rPr/>
      </w:pPr>
      <w:r>
        <w:rPr>
          <w:i/>
        </w:rPr>
        <w:footnoteRef/>
        <w:tab/>
        <w:t>im Dunkel</w:t>
      </w:r>
      <w:r>
        <w:rPr/>
        <w:t>, also feige im Schutz der Nacht.</w:t>
      </w:r>
    </w:p>
  </w:footnote>
  <w:footnote w:id="1779">
    <w:p>
      <w:pPr>
        <w:pStyle w:val="Funote"/>
        <w:rPr/>
      </w:pPr>
      <w:r>
        <w:rPr/>
        <w:footnoteRef/>
        <w:tab/>
        <w:t>Fundamente - gemeint ist wohl, »daß die Frevler sogar Fundamente und Siedlungen vernichten« (Loretz 2002, S. 112). Genauer: »Fundamente« wird von fast allen Exegeten und z.B. auch BB, GN, HfA, NeÜ, NGÜ, NL als Metapher für die »Grundlage der Gesellschaft«, nämlich die gesellschaftliche Ordnung oder die wichtigen Bürger als die »Stützen der Gesellschaft«, gedeutet; verwiesen wird dafür auf Ps 82,5; Jes 19,10; Ez 30,4. Das ist ganz unwahrscheinlich. In Jes 19,10 ist vermutlich schetiteha (»Weber«) zu vokalisieren (vgl. BHS; Eitan 1925; heute z.B. Smith 2007, S. 357). Ez 30,4 und Ps 82,5 verwenden andere Wörter als Ps 11. Auch unabhängig davon geht es in Ez 30,4 sicher nicht um »Fundamente der Gesellschaft«, sondern um Urbizid, die vollständige Schleifung einer Stadt (dazu vgl. kürzlich Wright 2015). In Ps 82,5 schließlich ist von den mosde ´arets (»Säulen der Erde«) die Rede, die hier sicher wie sonst auch die Fundamente, auf denen nach dem bib. Weltbild entweder die Erde über der Unterwelt oder der Himmel auf der Erde ruht, meinen (s. zu dieser und ähnlichen Wendungen Dtn 32,22; 2Sam 22,8.16 und Ps 18,7.15; Spr 8,29; Jes 28,18; Jer 31,37; Mi 6,2 und vgl. z.B. Muszyński 1975, S. 105f.). Damit wäre »Fundamente« als Bild für »wichtige Bürger« oder »staatliche Ordnung« also singulär und ist daher besser mit Loretz 2002, S. 112 wörtlich zu verstehen und ebenso wie Ez 30,4 auf den Brauch des Urbizids zu beziehen: Die Bösen wollen nicht nur die Gerechten niedermähen (V. 2), sondern auch ihre gesamte Stadt schleifen (V. 3a).</w:t>
      </w:r>
    </w:p>
  </w:footnote>
  <w:footnote w:id="1780">
    <w:p>
      <w:pPr>
        <w:pStyle w:val="Funote"/>
        <w:rPr/>
      </w:pPr>
      <w:r>
        <w:rPr/>
        <w:footnoteRef/>
        <w:tab/>
        <w:t>der Gerechte = JHWH (so schon Ehrlich 1905; z.B. auch Auffret 1981, S. 406; Mannati 1979, S. 225): V. 7 wird sicher JHWH als „der Gerechte“ bezeichnet und es ist unwahrscheinlich, dass innerhalb dieser nur sieben Verse JHWH mit einem Begriff charakterisiert wird, mit dem zuvor schon seine Verehrer charakterisiert wurden. Für Gottes Verehrer ist in Ps 11 der Begriff jaschar („aufrecht“) reserviert. Die Übersetzung „Was kann der Gerechte tun?“ ist wegen der Verbform nicht zulässig (so richtig Kissane 1953, S. 47); gefragt wird nach dem tatsächlichen Tun des „gerechten“ Gottes: Wo bleibt denn sein gerechtes Handeln?</w:t>
      </w:r>
    </w:p>
  </w:footnote>
  <w:footnote w:id="1781">
    <w:p>
      <w:pPr>
        <w:pStyle w:val="Funote"/>
        <w:rPr/>
      </w:pPr>
      <w:r>
        <w:rPr/>
        <w:footnoteRef/>
        <w:tab/>
        <w:t>der in seinem heiligen Tempel ist + der im Himmel seinen Thron hat - erklärlich durch einen faszinierenden Aspekt des altorientalischen Götterglaubens: JHWH und andere Götter hatten nach der Vorstellung ihrer alten Verehrer klar einen Körper, waren also nicht „reiner Geist“. Sie waren aber nicht an diesen ihren eigentlichen Körper gebunden, sondern konnten sich sozusagen „aufsplitten“ und zusätzlich auch andere Orte, Kultbilder, Gebäude etc. zu „Zweit-körpern“ erwählen. „Der Psalmist glaubt in Übereinstimmung mit einem Denkschema, das sich auch anderswo im Alten Orient findet, dass Gott physisch sowohl an einem Ort auf der Erde als auch im Himmel anwesend sein konnte.“ (Sommer 2009, S. 44 zu Ps 20; zu Ps 11,4 vgl. S. 235 FN 22).</w:t>
      </w:r>
    </w:p>
  </w:footnote>
  <w:footnote w:id="1782">
    <w:p>
      <w:pPr>
        <w:pStyle w:val="Funote"/>
        <w:rPr/>
      </w:pPr>
      <w:r>
        <w:rPr>
          <w:i/>
        </w:rPr>
        <w:footnoteRef/>
        <w:tab/>
        <w:t>Seine Augen blicken</w:t>
      </w:r>
      <w:r>
        <w:rPr/>
        <w:t xml:space="preserve"> - das Objekt auch dieses Satzes sind die „Menschenkinder“. Die Aneinanderreihung zweier alternativer Ausdrücke für dieses blickende Prüfen soll die Aussage noch steigern und emphatischer machen.</w:t>
      </w:r>
    </w:p>
  </w:footnote>
  <w:footnote w:id="1783">
    <w:p>
      <w:pPr>
        <w:pStyle w:val="Funote"/>
        <w:rPr/>
      </w:pPr>
      <w:r>
        <w:rPr/>
        <w:footnoteRef/>
        <w:tab/>
        <w:t>Augen - hier wird ein anderes Wort für „Augen“ verwendet als in Zeile c. Früher wurde es oft mit „Augenlider“ oder „Wimpern“ wiedergegeben, aber vgl. Dahood 1969, S. 351f. u.a.: Alternativer Begriff für „Auge“. Sinnvoll EÜ, LUT, MEN, PAT, R-S, SLT, TUR, van Ess, ZÜR: „Seine Blicke prüfen die Menschenkinder“.</w:t>
      </w:r>
    </w:p>
  </w:footnote>
  <w:footnote w:id="1784">
    <w:p>
      <w:pPr>
        <w:pStyle w:val="Funote"/>
        <w:rPr/>
      </w:pPr>
      <w:r>
        <w:rPr/>
        <w:footnoteRef/>
        <w:tab/>
        <w:t>V. 4 - Ein sog. „Casus pendens“ mit einem starken rhetorischen Effekt: Im Heb. kann ein Wort oder Satzglied (hier: die ganzen Zeilen a und b) von seiner „eigentlichen Stelle“ im Satz an den Satzanfang verschoben und dann an dieser seiner eigentlichen Stelle durch ein Pronomen vertreten werden (hier: das „seine“ vor „Augen“). Eigentlich also: „Die Augen JHWHs, der im Tempel ist, prüfen...“Auf diese Weise beginnen beide Strophen mit dem Wort „JHWH“, der Psalmist kann das Wort „JHWH“ seinen Gegenrednern in V. 4 zweimal wie einen Vorwurf entgegenschmettern, bevor er zu seiner eigentlichen Aussage kommt, und Gottes Gegenwart in seinem Tempel im Zion kann noch mal gesteigert werden mit seinem himmlischen Thronen, wie auch das „blicken“ noch mal durch „prüfen“ gesteigert wurde. „Ihr Würmer wagt es, JHWH die Stirn zu bieten? Dem auf dem Zion, dem im Himmel? Ihm, der die Menschenkinder sieht, der sie prüft!?“</w:t>
      </w:r>
    </w:p>
  </w:footnote>
  <w:footnote w:id="1785">
    <w:p>
      <w:pPr>
        <w:pStyle w:val="Funote"/>
        <w:rPr/>
      </w:pPr>
      <w:r>
        <w:rPr/>
        <w:footnoteRef/>
        <w:tab/>
        <w:t>V. 5 - Möglich auch: „JHWH prüft als ein Gerechter“, d.h. „er prüft gerecht“ (so B-R). Oder: „JHWH - den Gerechten und den Bösen prüft er, / und den Gewalt Liebenden hasst seine Seele.“ (so die meisten Kommentatoren und Übersetzer; bes. Michel 1997, S. 60-65). Oder: „JHWH - den Gerechten prüft er, und den Bösen und den Gewalt Liebenden hasst seine Seele.“ Unsere Üs. folgt Alexander 1850; ähnlich auch Delekat 1967, S. 156 und Eerdmans 1947. „Gerecht“ ist in V. 7 sicher auf JHWH zu beziehen und es ist unwahrscheinlich, dass in den nur sieben Versen dieses Psalms Gott mit dem selben Wort charakterisiert wird, mit dem zuvor auch seine Anhänger charakterisiert wurden. V. 5 führt also die Aussage in V. 4 weiter und macht sie zur Drohung: „JHWHs Augen blicken, sie prüfen die Menschenkinder. JHWH prüft - und wer sich dabei als Böser oder als Gewaltliebhaber ergibt, den hasst er.“</w:t>
      </w:r>
    </w:p>
  </w:footnote>
  <w:footnote w:id="1786">
    <w:p>
      <w:pPr>
        <w:pStyle w:val="Funote"/>
        <w:rPr/>
      </w:pPr>
      <w:r>
        <w:rPr>
          <w:i/>
        </w:rPr>
        <w:footnoteRef/>
        <w:tab/>
        <w:t>wird (soll)</w:t>
      </w:r>
      <w:r>
        <w:rPr/>
        <w:t xml:space="preserve"> - Ein Jussiv („soll“). Unzulässig daher: „Er lässt regnen“. Der Jussiv hat hier vermutlich kommissive Sinnrichtung und wird so als Drohung verwendet; im Dt. entspricht dem: „Er </w:t>
      </w:r>
      <w:r>
        <w:rPr>
          <w:i/>
        </w:rPr>
        <w:t>wird</w:t>
      </w:r>
      <w:r>
        <w:rPr/>
        <w:t xml:space="preserve"> regnen lassen.“</w:t>
      </w:r>
    </w:p>
  </w:footnote>
  <w:footnote w:id="1787">
    <w:p>
      <w:pPr>
        <w:pStyle w:val="Funote"/>
        <w:rPr/>
      </w:pPr>
      <w:r>
        <w:rPr/>
        <w:footnoteRef/>
        <w:tab/>
        <w:t>Textkritik: Schlingen (Kohle?) - Die „Schlingen“ werden von fast allen Kommentatoren nach Sym korrigiert zu „Kohle“; so schon der Midrasch. Alle anderen alten Übersetzungen hatten aber offensichtlich das selbe Wort vorliegen, das sich auch im heb. Text findet; das „Kohle“ von Sym. ist also sicher selbst eine Korrektur. Delitzsch 1894, S. 133 und Eerdmans 1947, S. 130 wollen daher diese „Schlingen“ als einen metaphorischen Ausdruck für „Blitze“ verstehen, aber das ist sicher abzulehnen (so richtig schon Olshausen 1853, S. 71). Und CTAT IV, S. 47 will dem Wort pachim („Schlingen“) die allgemeinere Bed. „Unglück, Leid“ geben, aber auch das ist abzulehnen. Vielleicht also so: „Schlingen“ sind in Ps 124,7; Spr 7,23; Pred 9,12; Am 3,5 speziell Fanggeräte für Vögel. Wir könnten also hier das häufige Motiv der „Umkehrung der Verhältnisse“ vor uns haben: Nicht die Israeliten sollen „wie Vögel fliehen“ (V. 1), sondern JHWH wird dafür sorgen, dass im Gegenteil ihre Feinde wie Vögel werden: Wie diese durch Vogelfallen „besiegt“ werden, wird JHWH die Feinde der Israeliten besiegen, nämlich durch Feuer, Schwefel und Sturmwind.</w:t>
      </w:r>
    </w:p>
  </w:footnote>
  <w:footnote w:id="1788">
    <w:p>
      <w:pPr>
        <w:pStyle w:val="Funote"/>
        <w:rPr/>
      </w:pPr>
      <w:r>
        <w:rPr/>
        <w:footnoteRef/>
        <w:tab/>
        <w:t xml:space="preserve">Zu </w:t>
      </w:r>
      <w:r>
        <w:rPr>
          <w:i/>
        </w:rPr>
        <w:t>Feuer</w:t>
      </w:r>
      <w:r>
        <w:rPr/>
        <w:t xml:space="preserve"> und </w:t>
      </w:r>
      <w:r>
        <w:rPr>
          <w:i/>
        </w:rPr>
        <w:t>Schwefel</w:t>
      </w:r>
      <w:r>
        <w:rPr/>
        <w:t xml:space="preserve"> vgl. </w:t>
      </w:r>
      <w:r>
        <w:fldChar w:fldCharType="begin"/>
      </w:r>
      <w:r>
        <w:instrText> HYPERLINK "file:///wiki/Genesis_19" \l "s24"</w:instrText>
      </w:r>
      <w:r>
        <w:fldChar w:fldCharType="separate"/>
      </w:r>
      <w:r>
        <w:rPr>
          <w:rStyle w:val="Internetverknpfung"/>
        </w:rPr>
        <w:t>Gen 19,24</w:t>
      </w:r>
      <w:r>
        <w:fldChar w:fldCharType="end"/>
      </w:r>
      <w:r>
        <w:rPr/>
        <w:t xml:space="preserve"> und </w:t>
      </w:r>
      <w:hyperlink r:id="rId100">
        <w:r>
          <w:rPr>
            <w:rStyle w:val="Internetverknpfung"/>
          </w:rPr>
          <w:t>Ez 38,22</w:t>
        </w:r>
      </w:hyperlink>
      <w:r>
        <w:rPr/>
        <w:t xml:space="preserve">, wo Gott seine Feinde vernichtet, indem er Feuer und Schwefel vom Himmel regnen lässt. Auch „Wind“ kommt nach bibl. Vorstellung oder nach bibl. Idiom vom Himmel herab; in </w:t>
      </w:r>
      <w:r>
        <w:fldChar w:fldCharType="begin"/>
      </w:r>
      <w:r>
        <w:instrText> HYPERLINK "file:///wiki/Jona_1" \l "s4"</w:instrText>
      </w:r>
      <w:r>
        <w:fldChar w:fldCharType="separate"/>
      </w:r>
      <w:r>
        <w:rPr>
          <w:rStyle w:val="Internetverknpfung"/>
        </w:rPr>
        <w:t>Jon 1,4</w:t>
      </w:r>
      <w:r>
        <w:fldChar w:fldCharType="end"/>
      </w:r>
      <w:r>
        <w:rPr/>
        <w:t xml:space="preserve"> z.B. kann daher Gott einen Wind auf das Meer „hinabwerfen“.</w:t>
      </w:r>
    </w:p>
  </w:footnote>
  <w:footnote w:id="1789">
    <w:p>
      <w:pPr>
        <w:pStyle w:val="Funote"/>
        <w:rPr/>
      </w:pPr>
      <w:r>
        <w:rPr/>
        <w:footnoteRef/>
        <w:tab/>
        <w:t>der Anteil ihres Bechers, d.h. ihr Los. S. ähnlich Ps 16,5; Jer 49,12; Ez 23,31-33; Hab 2,16. „Zugrunde liegt dabei die Vorstellung vom Hausvater, der seinen Gästen beim Mahle ihre Trinkportion in den Becher eingießt.“ (Herkenne 1936, S. 73). Bes. in späteren Schriften wird dieser Becher oft explizit näher bestimmt als „Zorneskelch“: Was den Empfängern dieses „Zorneskelches“ zukommt, ist der Zorn JHWHs. Das ist auch hier gemeint.</w:t>
      </w:r>
    </w:p>
  </w:footnote>
  <w:footnote w:id="1790">
    <w:p>
      <w:pPr>
        <w:pStyle w:val="Funote"/>
        <w:rPr/>
      </w:pPr>
      <w:r>
        <w:rPr>
          <w:i/>
        </w:rPr>
        <w:footnoteRef/>
        <w:tab/>
        <w:t>wird</w:t>
      </w:r>
      <w:r>
        <w:rPr/>
        <w:t xml:space="preserve"> - Eigentlich ein Plural-Verb, da „der Aufrechte“ ein „generischer Singular“ mit Pl.-Bed. ist. Sinngemäß also: „Werden Aufrechte sein Gesicht sehen“.</w:t>
      </w:r>
    </w:p>
  </w:footnote>
  <w:footnote w:id="1791">
    <w:p>
      <w:pPr>
        <w:pStyle w:val="Funote"/>
        <w:rPr/>
      </w:pPr>
      <w:r>
        <w:rPr/>
        <w:footnoteRef/>
        <w:tab/>
        <w:t>sein Gesicht sehen meint wohl: Von ihm gesegnet werden. Das „Sehen von Gottes Gesicht“ ist etwas innerweltlich Geschehendes (s. Ps 17,15), also nichts, was erst nach einer „Auferstehung“ o.Ä. geschehen würde. Wahrscheinlich handelt es sich also um den Korrespondenz-ausdruck von „JHWH lässt sein Gesicht über jmdn leuchten“, das gleichfalls für JHWHs Segen steht (s. z.B. Num 6,25; Ps 41,17; 67,2; 80,4.8.20; 119,135): JHWH lässt sein Angesicht über jmdm leuchten ≙ Jmd sieht das Angesicht JHWHs. Zum ersten Ausdruck vgl. bes. Smith 1988b, zum zweiten z.B. Aaronitischer Segen (WiBiLex). Gemeint ist sowohl: „Aufrechte werden sein Gesicht sehen“, d.h. „Er wird seinen Anhängern schon helfen“, als auch: „[Nur] Aufrechte werden sein Gesicht sehen“, d.h. „euch Bösen steht ein schlimmes Geschick bevor“.</w:t>
      </w:r>
    </w:p>
  </w:footnote>
  <w:footnote w:id="1792">
    <w:p>
      <w:pPr>
        <w:pStyle w:val="Funote"/>
        <w:rPr/>
      </w:pPr>
      <w:r>
        <w:rPr/>
        <w:footnoteRef/>
        <w:tab/>
        <w:t>JHWH</w:t>
      </w:r>
    </w:p>
  </w:footnote>
  <w:footnote w:id="1793">
    <w:p>
      <w:pPr>
        <w:pStyle w:val="Funote"/>
        <w:rPr/>
      </w:pPr>
      <w:r>
        <w:rPr/>
        <w:footnoteRef/>
        <w:tab/>
        <w:t>JHWH</w:t>
      </w:r>
    </w:p>
  </w:footnote>
  <w:footnote w:id="1794">
    <w:p>
      <w:pPr>
        <w:pStyle w:val="Funote"/>
        <w:rPr/>
      </w:pPr>
      <w:r>
        <w:rPr/>
        <w:footnoteRef/>
        <w:tab/>
        <w:t>JHWH</w:t>
      </w:r>
    </w:p>
  </w:footnote>
  <w:footnote w:id="1795">
    <w:p>
      <w:pPr>
        <w:pStyle w:val="Funote"/>
        <w:rPr/>
      </w:pPr>
      <w:r>
        <w:rPr/>
        <w:footnoteRef/>
        <w:tab/>
        <w:t>JHWH</w:t>
      </w:r>
    </w:p>
  </w:footnote>
  <w:footnote w:id="1796">
    <w:p>
      <w:pPr>
        <w:pStyle w:val="Funote"/>
        <w:rPr/>
      </w:pPr>
      <w:r>
        <w:rPr/>
        <w:footnoteRef/>
        <w:tab/>
        <w:t>JHWH</w:t>
      </w:r>
    </w:p>
  </w:footnote>
  <w:footnote w:id="1797">
    <w:p>
      <w:pPr>
        <w:pStyle w:val="Funote"/>
        <w:rPr/>
      </w:pPr>
      <w:r>
        <w:rPr/>
        <w:footnoteRef/>
        <w:tab/>
        <w:t>JHWH</w:t>
      </w:r>
    </w:p>
  </w:footnote>
  <w:footnote w:id="1798">
    <w:p>
      <w:pPr>
        <w:pStyle w:val="Funote"/>
        <w:rPr/>
      </w:pPr>
      <w:r>
        <w:rPr/>
        <w:footnoteRef/>
        <w:tab/>
        <w:t>[Status: Ungeprüft]</w:t>
      </w:r>
    </w:p>
  </w:footnote>
  <w:footnote w:id="1799">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800">
    <w:p>
      <w:pPr>
        <w:pStyle w:val="Funote"/>
        <w:rPr/>
      </w:pPr>
      <w:r>
        <w:rPr/>
        <w:footnoteRef/>
        <w:tab/>
        <w:t>`al-hascheminit ([vorzutragen] von Bassstimmen; [Vorzutragen vom] Vorsteher über [das Ritual] „hascheminit“) - rätselhafter Begriff, der sich auch im Titel von Ps 6,1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vorzuträgen wäre. Doch ist auch dies nur ein „educated guess“ und „Chorleiter“ und die Deutung von hascheminit als Angabe zur Vortragsweise des Psalms sind in dt. Üss. so etabliert, dass die LF doch besser dieser Deutung folgen sollte: „Für den Chorleiter. [Vorzutragen] von Bassstimmen“.</w:t>
      </w:r>
    </w:p>
  </w:footnote>
  <w:footnote w:id="1801">
    <w:p>
      <w:pPr>
        <w:pStyle w:val="Funote"/>
        <w:rPr/>
      </w:pPr>
      <w:r>
        <w:rPr/>
        <w:footnoteRef/>
        <w:tab/>
        <w:t>Hilf! - Kürzestmöglicher Hilferuf; selbst der Empfänger der Rettung Gottes wird hier nicht genannt, was so ungewöhnlich ist, dass LXX ergänzt: „Hilf mir!“. Gut daher der Vorschlag einer stiltreuen Übersetzung von Ruiz 2013, S. 129 FN 13: „Hilfe!“</w:t>
      </w:r>
    </w:p>
  </w:footnote>
  <w:footnote w:id="1802">
    <w:p>
      <w:pPr>
        <w:pStyle w:val="Funote"/>
        <w:rPr/>
      </w:pPr>
      <w:r>
        <w:rPr/>
        <w:footnoteRef/>
        <w:tab/>
        <w:t>Textkritik: gehen zugrunde - Heb. pasu; das Wort findet sich einzig hier in der Bibel; die Bed. ist daher unklar. Tg aber hat sapu und auch die Übersetzung von LXX legt nahe, dass in dem ihr vorliegenden Text sapu stand; ein recht häufiges Wort mit der Bed. „zugrunde gehen“. Weil außerdem einige Handschriften den Text korrigieren zu patsu, muss man davon ausgehen, dass im MT ein Schreibfehler vorliegt und der urspr. Text in der Tat sapu gelautet hat; so auch BHS; Ges18, S. 877; KBL3, S. 705.</w:t>
      </w:r>
    </w:p>
  </w:footnote>
  <w:footnote w:id="1803">
    <w:p>
      <w:pPr>
        <w:pStyle w:val="Funote"/>
        <w:rPr/>
      </w:pPr>
      <w:r>
        <w:rPr/>
        <w:footnoteRef/>
        <w:tab/>
        <w:t>jeder seinem Nächsten - d.h. „alle lügen einander an“; zur Konstruktion vgl. Bar-Asher Siegal 2012. Gut daher HfA, NGÜ: „Jeder belügt jeden.“</w:t>
      </w:r>
    </w:p>
  </w:footnote>
  <w:footnote w:id="1804">
    <w:p>
      <w:pPr>
        <w:pStyle w:val="Funote"/>
        <w:rPr/>
      </w:pPr>
      <w:r>
        <w:rPr/>
        <w:footnoteRef/>
        <w:tab/>
        <w:t>Mit glatter Lippe - stehender Ausdruck für „heuchlerisch“, s. noch Ps 5,10; 55,22; Röm 3,13 und vgl. z.B. ThWAT II, S. 1012.</w:t>
      </w:r>
    </w:p>
  </w:footnote>
  <w:footnote w:id="1805">
    <w:p>
      <w:pPr>
        <w:pStyle w:val="Funote"/>
        <w:rPr/>
      </w:pPr>
      <w:r>
        <w:rPr/>
        <w:footnoteRef/>
        <w:tab/>
        <w:t>mit Herz und Herz - Entweder zu erklären als „mit doppeltem Herzen, dem einen in der Brust und dem andern, davon verschiedenen und deshalb falschen, auf der Zunge“ (Olshausen 1853, S. 72) oder „mit doppelter, zweideutiger Gesinnung“ (Herkenne 1936, S. 74), also: „unaufrichtig“. Der Sinn ist also: „Jeder belügt jeden; spricht doppelzüngig, unaufrichtig!“</w:t>
      </w:r>
    </w:p>
  </w:footnote>
  <w:footnote w:id="1806">
    <w:p>
      <w:pPr>
        <w:pStyle w:val="Funote"/>
        <w:rPr/>
      </w:pPr>
      <w:r>
        <w:rPr>
          <w:i/>
        </w:rPr>
        <w:footnoteRef/>
        <w:tab/>
        <w:t>Ich werde ich mich erheben</w:t>
      </w:r>
      <w:r>
        <w:rPr/>
        <w:t>, d.h. werde aktiv, anstatt, wie bisher, nichts gegen die Sünden der Glattlippigen und Doppelzüngigen zu unternehmen.</w:t>
      </w:r>
    </w:p>
  </w:footnote>
  <w:footnote w:id="1807">
    <w:p>
      <w:pPr>
        <w:pStyle w:val="Funote"/>
        <w:rPr/>
      </w:pPr>
      <w:r>
        <w:rPr/>
        <w:footnoteRef/>
        <w:tab/>
        <w:t>möge (wird) JHWH sprechen (spricht JHWH?) - Wichtige Stelle; das Verb wird leider selten kommentiert. Das Verb „sprechen“ steht in der Verbform „Yiqtol“, nicht gesagt wird also, dass JHWH etwas gesagt habe oder aktuell etwas sagt, sondern dass er etwas sagen soll (Alexander 1850)/wird (Eerdmans 1947) oder immer wieder etwas sagt (am besten Kissane 1953, S. 51: „Hier wird wahrscheinlich keine wirkliche Prophezeiung zitiert, sondern nur der traditionelle Glaube an die Rache [Gottes] in der Form einer Prophetie ausgedrückt“). S. dazu die Anmerkungen. Vgl. allerdings auch Zuber 1985, S. 131-133, der mit Jes 1,11.18; 40,1.25; 41,21 fünf weitere Stellen mit einem ähnlich schwer erklärbaren „sagen“ im Yiqtol sammelt (evt. auch Jes 33,10, wo aber 1QJesa Qatal hat und also ein Schreibfehler im MT vorliegen könnte).</w:t>
      </w:r>
    </w:p>
  </w:footnote>
  <w:footnote w:id="1808">
    <w:p>
      <w:pPr>
        <w:pStyle w:val="Funote"/>
        <w:rPr/>
      </w:pPr>
      <w:r>
        <w:rPr/>
        <w:footnoteRef/>
        <w:tab/>
        <w:t>[den, der] danach seufzt (gegen den man schnaubt, will seinen Zeugen in Sicherheit bringen, will ihm zum Heil einen Zeugen stellen) - Die us. Alternativübersetzungen gehen alle auf Vorschläge zur Deutung derselben zwei Worte zurück. Die Primärübersetzung ist aber doch die wahrscheinlichste. Zu „gegen den man schnaubt“ s. Ps 10,5 und dazu FN o; so z.B. Koenen 1996, S. 6. In Ps 10,5 wird aber wird eine andere Präposition verwendet. Zu „seinen Zeugen in Sicherheit bringen“ vgl. v.a. Miller 1979, zu „ihm einen Zeugen stellen“ Janzen 2004; besagter „Zeuge“ würde aber in diesem Psalm auftauchen wie ein Deus ex machina. „Der danach seufzt“ dagegen lässt sich gut aus dem „ächzenden Armen“ in V. 6a erklären; vgl. dazu v.a. Hab 2,3.</w:t>
      </w:r>
    </w:p>
  </w:footnote>
  <w:footnote w:id="1809">
    <w:p>
      <w:pPr>
        <w:pStyle w:val="Funote"/>
        <w:rPr/>
      </w:pPr>
      <w:r>
        <w:rPr/>
        <w:footnoteRef/>
        <w:tab/>
        <w:t>??? - Heb. ba`alil; Bed. heute und schon den alten Üss. ganz unklar. In die LF sollte daher eine verbreitete und unauffällige Üs. übernommen werden; am besten: „Silber, das veredelt wurde im Schmelztiegel, / das mit Erde siebenfach geläutert wurde.“ (ähnlich z.B. ZÜR). Gemeint ist dann Folgendes: Silber wurde im Alten Israel v.a. aus Blei-Silbererz gewonnen, indem es vom Blei getrennt wurde. Geschmolzenes Blei hat eine geringere Oberflächenspannung als Silber; schmolz man daher die Blei-Silbermischung in einer sog. „Kupelle“ - einem mit Lehm, Knochenasche oder einer anderen porösen Substanz ausgekleideten Schmelztiegel -, wurde das Blei von dieser Auskleidung aufgesogen, während das Silber als eine kleine geschmolzene Kugel am Boden der Kupelle zurückblieb. Dieser Vorgang wird in unserem Vers sieben Mal wiederholt; was übrig bleibt, ist also denkbar reines Silber. Dass Gottes „Aussagen“ mit diesem Silber verglichen werden, bringt sie in einen starken Kontrast zu den anmaßenden Lügenreden, die in Vv. 2-5 beklagt werden.</w:t>
      </w:r>
    </w:p>
  </w:footnote>
  <w:footnote w:id="1810">
    <w:p>
      <w:pPr>
        <w:pStyle w:val="Funote"/>
        <w:rPr/>
      </w:pPr>
      <w:r>
        <w:rPr/>
        <w:footnoteRef/>
        <w:tab/>
        <w:t>Du, JHWH findet sich häufig zur Einleitung einer Bitte, nachdem zuvor in einem anderen „Modus“ gesprochen wurde (s. Ps 22,20; 40,12; 41,11; 59,6; 109,21), und ist daher wahrscheinlich eine Art „stärkerer Vokativ“, der Gott signalisieren soll, dass der Beter sich jetzt wieder mit einer Bitte an ihn richtet. Im Dt. entspräche dem eher ein „JHWH! Behüte...“</w:t>
      </w:r>
    </w:p>
  </w:footnote>
  <w:footnote w:id="1811">
    <w:p>
      <w:pPr>
        <w:pStyle w:val="Funote"/>
        <w:rPr/>
      </w:pPr>
      <w:r>
        <w:rPr/>
        <w:footnoteRef/>
        <w:tab/>
        <w:t>Sowohl sie als auch ihn in V. 8 bezieht sich am wahrscheinlichsten auf die Armen in V. 6. Wegen diesem Numerus-Wechsel wurde früher häufig der Text korrigiert, doch das ist unnötig: N-Shift: Aus poetischen Gründen kann in der heb. Lyrik von einer Zeile auf die andere von einem Numerus zum nächsten gewechselt werden, ohne, dass dies einen Bedeutungsunterschied machen würde. In Ps 12 findet sich noch häufiger: V. 2a: „der Fromme“ - 2b: „die Treuen“; V. 6a: „die Elenden und Armen“ - 6c: „der, der danach seufzt / auf den man schnaubt“ (vgl. gut Ruiz 2013, S. 129.130).</w:t>
      </w:r>
    </w:p>
  </w:footnote>
  <w:footnote w:id="1812">
    <w:p>
      <w:pPr>
        <w:pStyle w:val="Funote"/>
        <w:rPr/>
      </w:pPr>
      <w:r>
        <w:rPr>
          <w:i/>
        </w:rPr>
        <w:footnoteRef/>
        <w:tab/>
        <w:t>hoch ist (wird)</w:t>
      </w:r>
      <w:r>
        <w:rPr/>
        <w:t xml:space="preserve"> - d.h. „hoch im Kurs steht“ oder „immer schlimmer wird“. „Verachtenswertes“ findet sich nur hier in der Bibel; die Bed. ist also etwas unsicher, heute aber recht unumstritten.</w:t>
      </w:r>
    </w:p>
  </w:footnote>
  <w:footnote w:id="1813">
    <w:p>
      <w:pPr>
        <w:pStyle w:val="Funote"/>
        <w:rPr/>
      </w:pPr>
      <w:r>
        <w:rPr/>
        <w:footnoteRef/>
        <w:tab/>
        <w:t>V. 9 wird gern mit einem „auch, wenn“ an V. 8 angeschlossen: „Du, JHWH, mögest sie vor diesem Geschlecht beschützen, / auch, wenn ringsum die Bösen einherschreiten.“ Das hat keine Basis im Text und ist abzulehnen (so richtig Rong 2012, S. 158). Allenfalls vielleicht möglich, aber nicht sehr wahrscheinlich: „... vor diesem Geschlecht, / [die] sich ringsum als Böse ergehen.“ (so Scoralick 2013, S. 189). Ganz untypisch kehrt also der Psalm nach seiner Bitte an Gott noch einmal zur Schilderung der schlimmen Situation zurück, was durch die Wiederholung des Begriffs „Menschenkinder“ aus dem Beginn des Psalms zusätzlich unterstrichen wird. Früher hat das viele Textkorrektur-Vorschläge veranlasst; definitiv am sinnvollsten Zorell 1929, S. 100: kerum [kerom] zullut („Schneide ab/vernichte [die] Gemeinheit!“).</w:t>
      </w:r>
    </w:p>
  </w:footnote>
  <w:footnote w:id="1814">
    <w:p>
      <w:pPr>
        <w:pStyle w:val="Funote"/>
        <w:rPr/>
      </w:pPr>
      <w:r>
        <w:rPr/>
        <w:footnoteRef/>
        <w:tab/>
        <w:t>[Status: Zuverlässig]</w:t>
      </w:r>
    </w:p>
  </w:footnote>
  <w:footnote w:id="1815">
    <w:p>
      <w:pPr>
        <w:pStyle w:val="Funote"/>
        <w:rPr/>
      </w:pPr>
      <w:r>
        <w:rPr/>
        <w:footnoteRef/>
        <w:tab/>
        <w:t>Genaue Bedeutung unklar. Die gewählte Übersetzung ist mehr oder weniger Konvention, obwohl es nicht an alternativen Übersetzungsvorschlägen mangelt.</w:t>
      </w:r>
    </w:p>
  </w:footnote>
  <w:footnote w:id="1816">
    <w:p>
      <w:pPr>
        <w:pStyle w:val="Funote"/>
        <w:rPr/>
      </w:pPr>
      <w:r>
        <w:rPr/>
        <w:footnoteRef/>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817">
    <w:p>
      <w:pPr>
        <w:pStyle w:val="Funote"/>
        <w:rPr/>
      </w:pPr>
      <w:r>
        <w:rPr/>
        <w:footnoteRef/>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818">
    <w:p>
      <w:pPr>
        <w:pStyle w:val="Funote"/>
        <w:rPr/>
      </w:pPr>
      <w:r>
        <w:rPr/>
        <w:footnoteRef/>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819">
    <w:p>
      <w:pPr>
        <w:pStyle w:val="Funote"/>
        <w:rPr/>
      </w:pPr>
      <w:r>
        <w:rPr/>
        <w:footnoteRef/>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820">
    <w:p>
      <w:pPr>
        <w:pStyle w:val="Funote"/>
        <w:rPr/>
      </w:pPr>
      <w:r>
        <w:rPr/>
        <w:footnoteRef/>
        <w:tab/>
        <w:t>Pläne (Auflehnung?, Schmerzen?, Kummer?, Sorgen?) - Bedeutung umstritten; vgl. Anmerkung zum Text b. Am Besten ist die Zeile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821">
    <w:p>
      <w:pPr>
        <w:pStyle w:val="Funote"/>
        <w:rPr/>
      </w:pPr>
      <w:r>
        <w:rPr>
          <w:i/>
        </w:rPr>
        <w:footnoteRef/>
        <w:tab/>
        <w:t>in meine Seele</w:t>
      </w:r>
      <w:r>
        <w:rPr/>
        <w:t xml:space="preserve"> - dazu s. vorige FN.</w:t>
      </w:r>
    </w:p>
  </w:footnote>
  <w:footnote w:id="1822">
    <w:p>
      <w:pPr>
        <w:pStyle w:val="Funote"/>
        <w:rPr/>
      </w:pPr>
      <w:r>
        <w:rPr/>
        <w:footnoteRef/>
        <w:tab/>
        <w:t>Wobei Kummer in meinem Herzen ist (Wie lange wird sein/muss ich legen Kummer in meinem Herz) - Beide Auflösungen sind hier gleichermaßen möglich; die eingeklammerte erfordert allerdings die Ergänzung (-&gt;Brachylogie) von „wird sein“ und „muss ich legen“ aus der vorigen Zeile, was aber nicht problematisch ist. Dass diese Zeile die einzige in Vv. 2f ist, in der das einleitende „Bis wann“ fehlt, ist aber so auffällig, dass die primäre Übersetzung doch etwas wahrscheinlicher ist.</w:t>
      </w:r>
    </w:p>
  </w:footnote>
  <w:footnote w:id="1823">
    <w:p>
      <w:pPr>
        <w:pStyle w:val="Funote"/>
        <w:rPr/>
      </w:pPr>
      <w:r>
        <w:rPr/>
        <w:footnoteRef/>
        <w:tab/>
        <w:t>[sogar] am Tag (täglich?, den ganzen Tag?, Tag [und Nacht]?, am Tag?)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824">
    <w:p>
      <w:pPr>
        <w:pStyle w:val="Funote"/>
        <w:rPr/>
      </w:pPr>
      <w:r>
        <w:rPr/>
        <w:footnoteRef/>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825">
    <w:p>
      <w:pPr>
        <w:pStyle w:val="Funote"/>
        <w:rPr/>
      </w:pPr>
      <w:r>
        <w:rPr/>
        <w:footnoteRef/>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826">
    <w:p>
      <w:pPr>
        <w:pStyle w:val="Funote"/>
        <w:rPr/>
      </w:pPr>
      <w:r>
        <w:rPr/>
        <w:footnoteRef/>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„Sieh her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827">
    <w:p>
      <w:pPr>
        <w:pStyle w:val="Funote"/>
        <w:rPr/>
      </w:pPr>
      <w:r>
        <w:rPr/>
        <w:footnoteRef/>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828">
    <w:p>
      <w:pPr>
        <w:pStyle w:val="Funote"/>
        <w:rPr/>
      </w:pPr>
      <w:r>
        <w:rPr/>
        <w:footnoteRef/>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829">
    <w:p>
      <w:pPr>
        <w:pStyle w:val="Funote"/>
        <w:rPr/>
      </w:pPr>
      <w:r>
        <w:rPr>
          <w:i/>
        </w:rPr>
        <w:footnoteRef/>
        <w:tab/>
        <w:t>Ich habe ihn übermocht (Ich habe ihn ausgetilgt?, Ich habe es geschafft?)</w:t>
      </w:r>
      <w:r>
        <w:rPr/>
        <w:t xml:space="preserve"> - Bedeutung umstritten; s. </w:t>
      </w:r>
      <w:r>
        <w:fldChar w:fldCharType="begin"/>
      </w:r>
      <w:r>
        <w:instrText> HYPERLINK "http://www.offene-bibel.de/wiki/index.php5?title=Kommentar:Psalm_13" \l "note_h"</w:instrText>
      </w:r>
      <w:r>
        <w:fldChar w:fldCharType="separate"/>
      </w:r>
      <w:r>
        <w:rPr>
          <w:rStyle w:val="Internetverknpfung"/>
        </w:rPr>
        <w:t>Anmerkung zum Text h</w:t>
      </w:r>
      <w:r>
        <w:fldChar w:fldCharType="end"/>
      </w:r>
      <w:r>
        <w:rPr/>
        <w:t xml:space="preserve">. Nach unserer Deutung ist das Wort vom Hebräischen </w:t>
      </w:r>
      <w:r>
        <w:rPr>
          <w:i/>
        </w:rPr>
        <w:t>jakal</w:t>
      </w:r>
      <w:r>
        <w:rPr/>
        <w:t xml:space="preserve"> abzuleiten, das sowohl „überlegen sein“ als auch „siegen“ bedeuten kann; die Zeile greift damit gleichzeitig den Gedanken aus Zeile 3c („Bis wann wird mein Feind mir überlegen sein?“) und Zeile 4c („damit ich nicht sterbe“) wieder auf. Im Deutschen laufen beide Bedeutungen wohl am besten zusammen im Wort „übermögen“, doch ist das vielleicht schon zu alt für die LF (?) - in diesem Fall vielleicht besser: „Ich habe ihn überwältigt“.</w:t>
      </w:r>
    </w:p>
  </w:footnote>
  <w:footnote w:id="1830">
    <w:p>
      <w:pPr>
        <w:pStyle w:val="Funote"/>
        <w:rPr/>
      </w:pPr>
      <w:r>
        <w:rPr/>
        <w:footnoteRef/>
        <w:tab/>
        <w:t xml:space="preserve">Zum </w:t>
      </w:r>
      <w:r>
        <w:rPr>
          <w:i/>
        </w:rPr>
        <w:t>Wanken</w:t>
      </w:r>
      <w:r>
        <w:rPr/>
        <w:t xml:space="preserve"> vgl. </w:t>
      </w:r>
      <w:r>
        <w:fldChar w:fldCharType="begin"/>
      </w:r>
      <w:r>
        <w:instrText> HYPERLINK "http://www.offene-bibel.de/wiki/index.php5?title=Psalm_30" \l "note_r"</w:instrText>
      </w:r>
      <w:r>
        <w:fldChar w:fldCharType="separate"/>
      </w:r>
      <w:r>
        <w:rPr>
          <w:rStyle w:val="Internetverknpfung"/>
        </w:rPr>
        <w:t>FN r</w:t>
      </w:r>
      <w:r>
        <w:fldChar w:fldCharType="end"/>
      </w:r>
      <w:r>
        <w:rPr/>
        <w:t xml:space="preserve"> zu </w:t>
      </w:r>
      <w:r>
        <w:fldChar w:fldCharType="begin"/>
      </w:r>
      <w:r>
        <w:instrText> HYPERLINK "file:///wiki/Psalm_30" \l "s7"</w:instrText>
      </w:r>
      <w:r>
        <w:fldChar w:fldCharType="separate"/>
      </w:r>
      <w:r>
        <w:rPr>
          <w:rStyle w:val="Internetverknpfung"/>
        </w:rPr>
        <w:t>Ps 30,7</w:t>
      </w:r>
      <w:r>
        <w:fldChar w:fldCharType="end"/>
      </w:r>
      <w:r>
        <w:rPr/>
        <w:t xml:space="preserve">: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w:t>
      </w:r>
      <w:r>
        <w:fldChar w:fldCharType="begin"/>
      </w:r>
      <w:r>
        <w:instrText> HYPERLINK "file:///wiki/Psalm_30" \l "s7"</w:instrText>
      </w:r>
      <w:r>
        <w:fldChar w:fldCharType="separate"/>
      </w:r>
      <w:r>
        <w:rPr>
          <w:rStyle w:val="Internetverknpfung"/>
        </w:rPr>
        <w:t>Ps 30,7f</w:t>
      </w:r>
      <w:r>
        <w:fldChar w:fldCharType="end"/>
      </w:r>
      <w:r>
        <w:rPr/>
        <w:t>) Gottes.</w:t>
      </w:r>
    </w:p>
  </w:footnote>
  <w:footnote w:id="1831">
    <w:p>
      <w:pPr>
        <w:pStyle w:val="Funote"/>
        <w:rPr/>
      </w:pPr>
      <w:r>
        <w:rPr/>
        <w:footnoteRef/>
        <w:tab/>
        <w:t>Die Funktion der Verbformen in V. 6 (Jussiv + Kohortativ) und von V. 6 insgesamt ist umstritten; s. Anmerkung zum Text i. Nach unserer Deutung sind sie als Kommissive, also als Versprechen, zu verstehen: Wenn JHWH dem Beter hilft, wird er ihn dafür auch dereinst besingen. Das „Er hat an mir [Gutes] getan!“ ist dann ein Ausschnitt aus dem Gesang, den der Beter im Gegenzug für JHWHs Hilfe bieten wird. Solche Proben von im Falle der Erhörung abzuleistenden Dankgesängen sollen Gott zur Erhörung motivieren und finden sich häufiger in den Klagepsalmen, s. z.B. Ps 22,24f.; 59,17f.; wohl auch große Teile von Ps 9.</w:t>
      </w:r>
    </w:p>
  </w:footnote>
  <w:footnote w:id="1832">
    <w:p>
      <w:pPr>
        <w:pStyle w:val="Funote"/>
        <w:rPr/>
      </w:pPr>
      <w:r>
        <w:rPr>
          <w:i/>
        </w:rPr>
        <w:footnoteRef/>
        <w:tab/>
        <w:t>Mein Herz (Ich)</w:t>
      </w:r>
      <w:r>
        <w:rPr/>
        <w:t xml:space="preserve"> - Das „Herz“ - wie auch viele andere „Teile“ des Menschen, z.B. seine „Seele“, sein „Kopf“ etc. - werden im Hebräischen sehr häufig fast wie reine Personalpronomen verwendet. So sicher auch hier; „Mein Herz soll jubeln“ = „Ich will jubeln“.</w:t>
      </w:r>
    </w:p>
  </w:footnote>
  <w:footnote w:id="1833">
    <w:p>
      <w:pPr>
        <w:pStyle w:val="Funote"/>
        <w:rPr/>
      </w:pPr>
      <w:r>
        <w:rPr/>
        <w:footnoteRef/>
        <w:tab/>
        <w:t>JHWH (dich) + Er hat (Du hast) - Vor allem in der biblischen Poesie kann ein hebräischer Autor ohne erkennbare Gründe von einer Zeile auf die andere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834">
    <w:p>
      <w:pPr>
        <w:pStyle w:val="Funote"/>
        <w:rPr/>
      </w:pPr>
      <w:r>
        <w:rPr/>
        <w:footnoteRef/>
        <w:tab/>
        <w:t>JHWH</w:t>
      </w:r>
    </w:p>
  </w:footnote>
  <w:footnote w:id="1835">
    <w:p>
      <w:pPr>
        <w:pStyle w:val="Funote"/>
        <w:rPr/>
      </w:pPr>
      <w:r>
        <w:rPr/>
        <w:footnoteRef/>
        <w:tab/>
        <w:t>[Status: Ungeprüft]</w:t>
      </w:r>
    </w:p>
  </w:footnote>
  <w:footnote w:id="1836">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Konvention folgen sollte.</w:t>
      </w:r>
    </w:p>
  </w:footnote>
  <w:footnote w:id="1837">
    <w:p>
      <w:pPr>
        <w:pStyle w:val="Funote"/>
        <w:rPr/>
      </w:pPr>
      <w:r>
        <w:rPr>
          <w:i/>
        </w:rPr>
        <w:footnoteRef/>
        <w:tab/>
        <w:t>Es gibt keinen Gott</w:t>
      </w:r>
      <w:r>
        <w:rPr/>
        <w:t xml:space="preserve"> - Gemeint ist kein theoretischer Atheismus, der im Alten Israel schwerlich vorstellbar ist. Der „Narr“ vertritt einen </w:t>
      </w:r>
      <w:r>
        <w:rPr>
          <w:i/>
        </w:rPr>
        <w:t>praktischen</w:t>
      </w:r>
      <w:r>
        <w:rPr/>
        <w:t xml:space="preserve"> Atheismus: Er lebt und handelt so, als gäbe es keinen Gott, wie dann auch in den nächsten Zeilen näher ausgeführt wird.</w:t>
      </w:r>
    </w:p>
  </w:footnote>
  <w:footnote w:id="1838">
    <w:p>
      <w:pPr>
        <w:pStyle w:val="Funote"/>
        <w:rPr/>
      </w:pPr>
      <w:r>
        <w:rPr/>
        <w:footnoteRef/>
        <w:tab/>
        <w:t>begehen, verbrechen Übeltat - Die beiden Verben benötigen eigentlich kein Objekt; das erste bedeutet schon allein „verderblich handeln“, das zweite „abscheulich handeln“. Sowohl die Aneinanderreihung der beiden fast synonymen Verben als auch die eigentlich unnötige Hinzufügung des Substantivs (das zwar auch neutral als „Tat“ verwendet werden kann, oft aber speziell die Bedeutung „Übeltat“ hat. In Ps 53,2 ist dies noch zusätzlich vereindeutigt worden zu „Untat“) sollen den Ausdruck noch intensiver machen.Sinnvoll daher NL: „Sie sind durch und durch schlecht und ihre Taten sind böse“.</w:t>
      </w:r>
    </w:p>
  </w:footnote>
  <w:footnote w:id="1839">
    <w:p>
      <w:pPr>
        <w:pStyle w:val="Funote"/>
        <w:rPr/>
      </w:pPr>
      <w:r>
        <w:rPr/>
        <w:footnoteRef/>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1840">
    <w:p>
      <w:pPr>
        <w:pStyle w:val="Funote"/>
        <w:rPr/>
      </w:pPr>
      <w:r>
        <w:rPr/>
        <w:footnoteRef/>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1841">
    <w:p>
      <w:pPr>
        <w:pStyle w:val="Funote"/>
        <w:rPr/>
      </w:pPr>
      <w:r>
        <w:rPr>
          <w:i/>
        </w:rPr>
        <w:footnoteRef/>
        <w:tab/>
        <w:t>erschraken sie einen Schrecken</w:t>
      </w:r>
      <w:r>
        <w:rPr/>
        <w:t xml:space="preserve"> - Figura etymologica, die den ganzen Ausdruck noch intensiver macht: „Da erschraken sie sehr“.</w:t>
      </w:r>
    </w:p>
  </w:footnote>
  <w:footnote w:id="1842">
    <w:p>
      <w:pPr>
        <w:pStyle w:val="Funote"/>
        <w:rPr/>
      </w:pPr>
      <w:r>
        <w:rPr>
          <w:i/>
        </w:rPr>
        <w:footnoteRef/>
        <w:tab/>
        <w:t>:</w:t>
      </w:r>
      <w:r>
        <w:rPr/>
        <w:t xml:space="preserve"> - Auch V. 6 ist wahrscheinlich ein Zitat JHWHs. Erst aus diesem Vers kann ja abgeleitet werden, dass Gott mit den Armen ist, wohingegen es Vv. 3-4 noch hieß, dass die gesamte Menschheit bei Gottes Prüfung durchgefallen ist.</w:t>
      </w:r>
    </w:p>
  </w:footnote>
  <w:footnote w:id="1843">
    <w:p>
      <w:pPr>
        <w:pStyle w:val="Funote"/>
        <w:rPr/>
      </w:pPr>
      <w:r>
        <w:rPr>
          <w:i/>
        </w:rPr>
        <w:footnoteRef/>
        <w:tab/>
        <w:t>Zion</w:t>
      </w:r>
      <w:r>
        <w:rPr/>
        <w:t xml:space="preserve"> - Der Berg in Jerusalem, auf dem Gott in seinem Tempel wohnt. Hilfe von Gott kommt daher „vom Zion“ (vgl. z.B. </w:t>
      </w:r>
      <w:r>
        <w:fldChar w:fldCharType="begin"/>
      </w:r>
      <w:r>
        <w:instrText> HYPERLINK "https://www.bibelwissenschaft.de/de/stichwort/35418/" \l "h8"</w:instrText>
      </w:r>
      <w:r>
        <w:fldChar w:fldCharType="separate"/>
      </w:r>
      <w:r>
        <w:rPr>
          <w:rStyle w:val="Internetverknpfung"/>
        </w:rPr>
        <w:t>Zion/Zionstheologie (WiBiLex)</w:t>
      </w:r>
      <w:r>
        <w:fldChar w:fldCharType="end"/>
      </w:r>
      <w:r>
        <w:rPr/>
        <w:t>.</w:t>
      </w:r>
    </w:p>
  </w:footnote>
  <w:footnote w:id="1844">
    <w:p>
      <w:pPr>
        <w:pStyle w:val="Funote"/>
        <w:rPr/>
      </w:pPr>
      <w:r>
        <w:rPr/>
        <w:footnoteRef/>
        <w:tab/>
        <w:t>Möge es doch vom Zion Rettung für Israel geben! - W.: „Wer wird geben vom Zion Rettung für Israel!?“, die heb. Wendung „Wer wird geben X“ ist ein Idiom für „Es möge sein, dass... X“, „Oh dass doch X wäre!“ (vgl. Lande 1949, S. 90f.).</w:t>
      </w:r>
    </w:p>
  </w:footnote>
  <w:footnote w:id="1845">
    <w:p>
      <w:pPr>
        <w:pStyle w:val="Funote"/>
        <w:rPr/>
      </w:pPr>
      <w:r>
        <w:rPr>
          <w:i/>
        </w:rPr>
        <w:footnoteRef/>
        <w:tab/>
        <w:t>Jakob</w:t>
      </w:r>
      <w:r>
        <w:rPr/>
        <w:t xml:space="preserve"> - Alternativer Begriff für Israel, da Jakob nach </w:t>
      </w:r>
      <w:hyperlink r:id="rId101">
        <w:r>
          <w:rPr>
            <w:rStyle w:val="Internetverknpfung"/>
          </w:rPr>
          <w:t>Gen 25</w:t>
        </w:r>
      </w:hyperlink>
      <w:r>
        <w:rPr/>
        <w:t xml:space="preserve"> der Stammvater der Israeliten war.</w:t>
      </w:r>
    </w:p>
  </w:footnote>
  <w:footnote w:id="1846">
    <w:p>
      <w:pPr>
        <w:pStyle w:val="Funote"/>
        <w:rPr/>
      </w:pPr>
      <w:r>
        <w:rPr/>
        <w:footnoteRef/>
        <w:tab/>
        <w:t>wörtl.: „[...], du wirst nicht geben deinen Frommen, um zu sehen die Grube.“</w:t>
      </w:r>
    </w:p>
  </w:footnote>
  <w:footnote w:id="1847">
    <w:p>
      <w:pPr>
        <w:pStyle w:val="Funote"/>
        <w:rPr/>
      </w:pPr>
      <w:r>
        <w:rPr/>
        <w:footnoteRef/>
        <w:tab/>
        <w:t>Das hebräische Wort bedeutet hier soviel wie "Ewigkeit, Dauer". In diesem Vers m.E. am besten adverbiell widergegeben: stets, allezeit, immerdar.</w:t>
      </w:r>
    </w:p>
  </w:footnote>
  <w:footnote w:id="1848">
    <w:p>
      <w:pPr>
        <w:pStyle w:val="Funote"/>
        <w:rPr/>
      </w:pPr>
      <w:r>
        <w:rPr/>
        <w:footnoteRef/>
        <w:tab/>
        <w:t>JHWH</w:t>
      </w:r>
    </w:p>
  </w:footnote>
  <w:footnote w:id="1849">
    <w:p>
      <w:pPr>
        <w:pStyle w:val="Funote"/>
        <w:rPr/>
      </w:pPr>
      <w:r>
        <w:rPr/>
        <w:footnoteRef/>
        <w:tab/>
        <w:t>JHWH</w:t>
      </w:r>
    </w:p>
  </w:footnote>
  <w:footnote w:id="1850">
    <w:p>
      <w:pPr>
        <w:pStyle w:val="Funote"/>
        <w:rPr/>
      </w:pPr>
      <w:r>
        <w:rPr/>
        <w:footnoteRef/>
        <w:tab/>
        <w:t>JHWH</w:t>
      </w:r>
    </w:p>
  </w:footnote>
  <w:footnote w:id="1851">
    <w:p>
      <w:pPr>
        <w:pStyle w:val="Funote"/>
        <w:rPr/>
      </w:pPr>
      <w:r>
        <w:rPr/>
        <w:footnoteRef/>
        <w:tab/>
        <w:t>JHWH</w:t>
      </w:r>
    </w:p>
  </w:footnote>
  <w:footnote w:id="1852">
    <w:p>
      <w:pPr>
        <w:pStyle w:val="Funote"/>
        <w:rPr/>
      </w:pPr>
      <w:r>
        <w:rPr/>
        <w:footnoteRef/>
        <w:tab/>
        <w:t>JHWH</w:t>
      </w:r>
    </w:p>
  </w:footnote>
  <w:footnote w:id="1853">
    <w:p>
      <w:pPr>
        <w:pStyle w:val="Funote"/>
        <w:rPr/>
      </w:pPr>
      <w:r>
        <w:rPr/>
        <w:footnoteRef/>
        <w:tab/>
        <w:t>JHWH</w:t>
      </w:r>
    </w:p>
  </w:footnote>
  <w:footnote w:id="1854">
    <w:p>
      <w:pPr>
        <w:pStyle w:val="Funote"/>
        <w:rPr/>
      </w:pPr>
      <w:r>
        <w:rPr/>
        <w:footnoteRef/>
        <w:tab/>
        <w:t>JHWH</w:t>
      </w:r>
    </w:p>
  </w:footnote>
  <w:footnote w:id="1855">
    <w:p>
      <w:pPr>
        <w:pStyle w:val="Funote"/>
        <w:rPr/>
      </w:pPr>
      <w:r>
        <w:rPr/>
        <w:footnoteRef/>
        <w:tab/>
        <w:t>JHWH</w:t>
      </w:r>
    </w:p>
  </w:footnote>
  <w:footnote w:id="1856">
    <w:p>
      <w:pPr>
        <w:pStyle w:val="Funote"/>
        <w:rPr/>
      </w:pPr>
      <w:r>
        <w:rPr/>
        <w:footnoteRef/>
        <w:tab/>
        <w:t>JHWH</w:t>
      </w:r>
    </w:p>
  </w:footnote>
  <w:footnote w:id="1857">
    <w:p>
      <w:pPr>
        <w:pStyle w:val="Funote"/>
        <w:rPr/>
      </w:pPr>
      <w:r>
        <w:rPr/>
        <w:footnoteRef/>
        <w:tab/>
        <w:t>JHWH</w:t>
      </w:r>
    </w:p>
  </w:footnote>
  <w:footnote w:id="1858">
    <w:p>
      <w:pPr>
        <w:pStyle w:val="Funote"/>
        <w:rPr/>
      </w:pPr>
      <w:r>
        <w:rPr/>
        <w:footnoteRef/>
        <w:tab/>
        <w:t>JHWH</w:t>
      </w:r>
    </w:p>
  </w:footnote>
  <w:footnote w:id="1859">
    <w:p>
      <w:pPr>
        <w:pStyle w:val="Funote"/>
        <w:rPr/>
      </w:pPr>
      <w:r>
        <w:rPr/>
        <w:footnoteRef/>
        <w:tab/>
        <w:t>[Status: Zuverlässig]</w:t>
      </w:r>
    </w:p>
  </w:footnote>
  <w:footnote w:id="1860">
    <w:p>
      <w:pPr>
        <w:pStyle w:val="Funote"/>
        <w:rPr/>
      </w:pPr>
      <w:r>
        <w:rPr/>
        <w:footnoteRef/>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861">
    <w:p>
      <w:pPr>
        <w:pStyle w:val="Funote"/>
        <w:rPr/>
      </w:pPr>
      <w:r>
        <w:rPr/>
        <w:footnoteRef/>
        <w:tab/>
        <w:t>verkünden - heb. safar; v.a in den Psalmen wird dieses Verb bes. dann verwendet, wenn jemand von großen Taten Gottes berichtet (vgl. THAT II, S. 168): Der Himmel wird hier vorgestellt als ein Prediger.</w:t>
      </w:r>
    </w:p>
  </w:footnote>
  <w:footnote w:id="1862">
    <w:p>
      <w:pPr>
        <w:pStyle w:val="Funote"/>
        <w:rPr/>
      </w:pPr>
      <w:r>
        <w:rPr>
          <w:i/>
        </w:rPr>
        <w:footnoteRef/>
        <w:tab/>
        <w:t>Himmel</w:t>
      </w:r>
      <w:r>
        <w:rPr/>
        <w:t xml:space="preserve"> ist im Hebräischen ein Pluralwort; damit erklärt sich der Plural „Die Himmel“, der in vielen Übersetzungen zu finden ist. Ins Deutsche muss mit Singular übertragen werden.</w:t>
      </w:r>
    </w:p>
  </w:footnote>
  <w:footnote w:id="1863">
    <w:p>
      <w:pPr>
        <w:pStyle w:val="Funote"/>
        <w:rPr/>
      </w:pPr>
      <w:r>
        <w:rPr/>
        <w:footnoteRef/>
        <w:tab/>
        <w:t xml:space="preserve">Zur Vorstellung der „Herrlichkeit“ s. die </w:t>
      </w:r>
      <w:hyperlink w:anchor="Anliegen">
        <w:r>
          <w:rPr>
            <w:rStyle w:val="Internetverknpfung"/>
          </w:rPr>
          <w:t>Anmerkungen</w:t>
        </w:r>
      </w:hyperlink>
      <w:r>
        <w:rPr/>
        <w:t>.</w:t>
      </w:r>
    </w:p>
  </w:footnote>
  <w:footnote w:id="1864">
    <w:p>
      <w:pPr>
        <w:pStyle w:val="Funote"/>
        <w:rPr/>
      </w:pPr>
      <w:r>
        <w:rPr/>
        <w:footnoteRef/>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865">
    <w:p>
      <w:pPr>
        <w:pStyle w:val="Funote"/>
        <w:rPr/>
      </w:pPr>
      <w:r>
        <w:rPr>
          <w:i/>
        </w:rPr>
        <w:footnoteRef/>
        <w:tab/>
        <w:t>das Walten seiner Hände (sein Walten)</w:t>
      </w:r>
      <w:r>
        <w:rPr/>
        <w:t xml:space="preserve"> + </w:t>
      </w:r>
      <w:r>
        <w:rPr>
          <w:i/>
        </w:rPr>
        <w:t>die Reden meines Mundes (mein Reden)</w:t>
      </w:r>
      <w:r>
        <w:rPr/>
        <w:t xml:space="preserve"> + </w:t>
      </w:r>
      <w:r>
        <w:rPr>
          <w:i/>
        </w:rPr>
        <w:t>das sich-Äußern meines Herzens (mein sich-Äußern)</w:t>
      </w:r>
      <w:r>
        <w:rPr/>
        <w:t xml:space="preserve"> + </w:t>
      </w:r>
      <w:r>
        <w:rPr>
          <w:i/>
        </w:rPr>
        <w:t>vor deinem Gesicht (vor dir)</w:t>
      </w:r>
      <w:r>
        <w:rPr/>
        <w:t xml:space="preserve">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w:t>
      </w:r>
      <w:r>
        <w:rPr>
          <w:i/>
        </w:rPr>
        <w:t>Person</w:t>
      </w:r>
      <w:r>
        <w:rPr/>
        <w:t>.</w:t>
      </w:r>
    </w:p>
  </w:footnote>
  <w:footnote w:id="1866">
    <w:p>
      <w:pPr>
        <w:pStyle w:val="Funote"/>
        <w:rPr/>
      </w:pPr>
      <w:r>
        <w:rPr/>
        <w:footnoteRef/>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867">
    <w:p>
      <w:pPr>
        <w:pStyle w:val="Funote"/>
        <w:rPr/>
      </w:pPr>
      <w:r>
        <w:rPr/>
        <w:footnoteRef/>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868">
    <w:p>
      <w:pPr>
        <w:pStyle w:val="Funote"/>
        <w:rPr/>
      </w:pPr>
      <w:r>
        <w:rPr>
          <w:i/>
        </w:rPr>
        <w:footnoteRef/>
        <w:tab/>
        <w:t>Tag für Tag äußert es (Ein Tag äußert gegenüber dem nächsten Tag)</w:t>
      </w:r>
      <w:r>
        <w:rPr/>
        <w:t xml:space="preserve"> + </w:t>
      </w:r>
      <w:r>
        <w:rPr>
          <w:i/>
        </w:rPr>
        <w:t>Nacht für Nacht lehrt es (eine Nacht lehrt der nächsten Nacht)</w:t>
      </w:r>
      <w:r>
        <w:rPr/>
        <w:t xml:space="preserve">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w:t>
        <w:br/>
        <w:t>Theoretisch außerdem möglich: Verben in der 3. Pers. sing. mask. können im Hebräischen auch als impersonale Verben verwendet werden: „</w:t>
      </w:r>
      <w:r>
        <w:rPr>
          <w:i/>
        </w:rPr>
        <w:t>Man</w:t>
      </w:r>
      <w:r>
        <w:rPr/>
        <w:t xml:space="preserve"> äußert“ (vgl. </w:t>
      </w:r>
      <w:hyperlink r:id="rId102">
        <w:r>
          <w:rPr>
            <w:rStyle w:val="Internetverknpfung"/>
          </w:rPr>
          <w:t>GKC §144d</w:t>
        </w:r>
      </w:hyperlink>
      <w:r>
        <w:rPr/>
        <w:t xml:space="preserve">); die Struktur von Vv. 2-3 würde dann der z.B. von </w:t>
      </w:r>
      <w:r>
        <w:fldChar w:fldCharType="begin"/>
      </w:r>
      <w:r>
        <w:instrText> HYPERLINK "file:///wiki/Psalm_8" \l "s2"</w:instrText>
      </w:r>
      <w:r>
        <w:fldChar w:fldCharType="separate"/>
      </w:r>
      <w:r>
        <w:rPr>
          <w:rStyle w:val="Internetverknpfung"/>
        </w:rPr>
        <w:t>Ps 8,2</w:t>
      </w:r>
      <w:r>
        <w:fldChar w:fldCharType="end"/>
      </w:r>
      <w:r>
        <w:rPr/>
        <w:t xml:space="preserve"> entprechen: „Auf der ganzen Erde wirst du verehrt, / im Himmel, da wirst du besungen!“ &lt;-&gt; hier: V. 2: Die Himmel verkünden Gott, V. 3: Auch auf der ganzen Erde spricht man über ihn. So aber m.W. bisher kein Exeget.</w:t>
      </w:r>
    </w:p>
  </w:footnote>
  <w:footnote w:id="1869">
    <w:p>
      <w:pPr>
        <w:pStyle w:val="Funote"/>
        <w:rPr/>
      </w:pPr>
      <w:r>
        <w:rPr>
          <w:i/>
        </w:rPr>
        <w:footnoteRef/>
        <w:tab/>
        <w:t>eine Nacht lehrt [der nächsten] Nacht Kenntnis, Nacht für Nacht lehrt man Kenntnis?</w:t>
      </w:r>
      <w:r>
        <w:rPr/>
        <w:t xml:space="preserve"> - s. </w:t>
      </w:r>
      <w:r>
        <w:fldChar w:fldCharType="begin"/>
      </w:r>
      <w:r>
        <w:instrText> HYPERLINK "http://www.offene-bibel.de/wiki/index.php5?title=Psalm_19" \l "note_i"</w:instrText>
      </w:r>
      <w:r>
        <w:fldChar w:fldCharType="separate"/>
      </w:r>
      <w:r>
        <w:rPr>
          <w:rStyle w:val="Internetverknpfung"/>
        </w:rPr>
        <w:t>FN i</w:t>
      </w:r>
      <w:r>
        <w:fldChar w:fldCharType="end"/>
      </w:r>
      <w:r>
        <w:rPr/>
        <w:t>; diese beiden Alternativen sind unwahrscheinlich, aber möglich.</w:t>
      </w:r>
    </w:p>
  </w:footnote>
  <w:footnote w:id="1870">
    <w:p>
      <w:pPr>
        <w:pStyle w:val="Funote"/>
        <w:rPr/>
      </w:pPr>
      <w:r>
        <w:rPr/>
        <w:footnoteRef/>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1871">
    <w:p>
      <w:pPr>
        <w:pStyle w:val="Funote"/>
        <w:rPr/>
      </w:pPr>
      <w:r>
        <w:rPr/>
        <w:footnoteRef/>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1872">
    <w:p>
      <w:pPr>
        <w:pStyle w:val="Funote"/>
        <w:rPr/>
      </w:pPr>
      <w:r>
        <w:rPr/>
        <w:footnoteRef/>
        <w:tab/>
        <w:t>[geht aus] - Brachylogie aus V. 5a.</w:t>
      </w:r>
    </w:p>
  </w:footnote>
  <w:footnote w:id="1873">
    <w:p>
      <w:pPr>
        <w:pStyle w:val="Funote"/>
        <w:rPr/>
      </w:pPr>
      <w:r>
        <w:rPr/>
        <w:footnoteRef/>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1874">
    <w:p>
      <w:pPr>
        <w:pStyle w:val="Funote"/>
        <w:rPr/>
      </w:pPr>
      <w:r>
        <w:rPr/>
        <w:footnoteRef/>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1875">
    <w:p>
      <w:pPr>
        <w:pStyle w:val="Funote"/>
        <w:rPr/>
      </w:pPr>
      <w:r>
        <w:rPr/>
        <w:footnoteRef/>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dieser Sticho in die Reihe der Texte, die betonen, dass JHWH die Sonne geschaffen habe und ihr übergeordnet sei, um so die Sonne zu depotenzieren.</w:t>
      </w:r>
    </w:p>
  </w:footnote>
  <w:footnote w:id="1876">
    <w:p>
      <w:pPr>
        <w:pStyle w:val="Funote"/>
        <w:rPr/>
      </w:pPr>
      <w:r>
        <w:rPr/>
        <w:footnoteRef/>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den Sticho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1877">
    <w:p>
      <w:pPr>
        <w:pStyle w:val="Funote"/>
        <w:rPr/>
      </w:pPr>
      <w:r>
        <w:rPr>
          <w:i/>
        </w:rPr>
        <w:footnoteRef/>
        <w:tab/>
        <w:t>Brautzelt (Zelt)</w:t>
      </w:r>
      <w:r>
        <w:rPr/>
        <w:t xml:space="preserve"> - Hierzu s. letzte FN.</w:t>
      </w:r>
    </w:p>
  </w:footnote>
  <w:footnote w:id="1878">
    <w:p>
      <w:pPr>
        <w:pStyle w:val="Funote"/>
        <w:rPr/>
      </w:pPr>
      <w:r>
        <w:rPr/>
        <w:footnoteRef/>
        <w:tab/>
        <w:t>freut sich wie ein Held [darüber] (freut sich, wie ein Held [sich darüber freut]) - Wortspiel im Hebräischen: Ebenso, wie im vorigen Sticho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1879">
    <w:p>
      <w:pPr>
        <w:pStyle w:val="Funote"/>
        <w:rPr/>
      </w:pPr>
      <w:r>
        <w:rPr>
          <w:i/>
        </w:rPr>
        <w:footnoteRef/>
        <w:tab/>
        <w:t>Ende</w:t>
      </w:r>
      <w:r>
        <w:rPr/>
        <w:t xml:space="preserve"> - der äußerste Ort der Welt, an dem der Himmel auf den „Pfeilern des Himmels“ aufruht (für eine schöne grafische Darstellung des hebräischen Weltbildes s. </w:t>
      </w:r>
      <w:hyperlink r:id="rId103">
        <w:r>
          <w:rPr>
            <w:rStyle w:val="Internetverknpfung"/>
          </w:rPr>
          <w:t>hier</w:t>
        </w:r>
      </w:hyperlink>
      <w:r>
        <w:rPr/>
        <w:t>). Die Sonne beginnt ihre Reise entlang des Firmaments also am östlichen „Ende des Himmels“ und vollendet ihn am westlichen Ende.</w:t>
      </w:r>
    </w:p>
  </w:footnote>
  <w:footnote w:id="1880">
    <w:p>
      <w:pPr>
        <w:pStyle w:val="Funote"/>
        <w:rPr/>
      </w:pPr>
      <w:r>
        <w:rPr>
          <w:i/>
        </w:rPr>
        <w:footnoteRef/>
        <w:tab/>
        <w:t>der Himmel</w:t>
      </w:r>
      <w:r>
        <w:rPr/>
        <w:t xml:space="preserve"> - hierzu vgl. </w:t>
      </w:r>
      <w:r>
        <w:fldChar w:fldCharType="begin"/>
      </w:r>
      <w:r>
        <w:instrText> HYPERLINK "http://www.offene-bibel.de/wiki/index.php5?title=Psalm_19" \l "note_c"</w:instrText>
      </w:r>
      <w:r>
        <w:fldChar w:fldCharType="separate"/>
      </w:r>
      <w:r>
        <w:rPr>
          <w:rStyle w:val="Internetverknpfung"/>
        </w:rPr>
        <w:t>FN c</w:t>
      </w:r>
      <w:r>
        <w:fldChar w:fldCharType="end"/>
      </w:r>
      <w:r>
        <w:rPr/>
        <w:t>.</w:t>
      </w:r>
    </w:p>
  </w:footnote>
  <w:footnote w:id="1881">
    <w:p>
      <w:pPr>
        <w:pStyle w:val="Funote"/>
        <w:rPr/>
      </w:pPr>
      <w:r>
        <w:rPr/>
        <w:footnoteRef/>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1882">
    <w:p>
      <w:pPr>
        <w:pStyle w:val="Funote"/>
        <w:spacing w:before="0" w:after="283"/>
        <w:rPr/>
      </w:pPr>
      <w:r>
        <w:rPr>
          <w:i/>
        </w:rPr>
        <w:footnoteRef/>
        <w:tab/>
        <w:t>Gesetz</w:t>
      </w:r>
      <w:r>
        <w:rPr/>
        <w:t xml:space="preserve"> + </w:t>
      </w:r>
      <w:r>
        <w:rPr>
          <w:i/>
        </w:rPr>
        <w:t>Gebot</w:t>
      </w:r>
      <w:r>
        <w:rPr/>
        <w:t xml:space="preserve"> + </w:t>
      </w:r>
      <w:r>
        <w:rPr>
          <w:i/>
        </w:rPr>
        <w:t>Weisungen</w:t>
      </w:r>
      <w:r>
        <w:rPr/>
        <w:t xml:space="preserve"> + </w:t>
      </w:r>
      <w:r>
        <w:rPr>
          <w:i/>
        </w:rPr>
        <w:t>Satzung</w:t>
      </w:r>
      <w:r>
        <w:rPr/>
        <w:t xml:space="preserve"> + </w:t>
      </w:r>
      <w:r>
        <w:rPr>
          <w:i/>
        </w:rPr>
        <w:t>Wort</w:t>
      </w:r>
      <w:r>
        <w:rPr/>
        <w:t xml:space="preserve"> + </w:t>
      </w:r>
      <w:r>
        <w:rPr>
          <w:i/>
        </w:rPr>
        <w:t>Rechtssätze</w:t>
      </w:r>
      <w:r>
        <w:rPr/>
        <w:t xml:space="preserve"> - In den Vv. 8-10 stehen fünf Begriffe, die alle in etwa die selbe Bedeutung haben. Programmatisch beginnt die Begriffsreihe mit </w:t>
      </w:r>
      <w:r>
        <w:rPr>
          <w:i/>
        </w:rPr>
        <w:t>torah jhwh</w:t>
      </w:r>
      <w:r>
        <w:rPr/>
        <w:t>,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w:t>
      </w:r>
    </w:p>
    <w:p>
      <w:pPr>
        <w:pStyle w:val="Textkrper"/>
        <w:rPr/>
      </w:pPr>
      <w:r>
        <w:rPr/>
        <w:tab/>
        <w:t xml:space="preserve">V. 8b ist die Rede vom </w:t>
      </w:r>
      <w:r>
        <w:rPr>
          <w:i/>
        </w:rPr>
        <w:t>edut</w:t>
      </w:r>
      <w:r>
        <w:rPr/>
        <w:t xml:space="preserve"> JHWHs, was in der Bibel meist als </w:t>
      </w:r>
      <w:r>
        <w:rPr>
          <w:i/>
        </w:rPr>
        <w:t>terminus technicus</w:t>
      </w:r>
      <w:r>
        <w:rPr/>
        <w:t xml:space="preserve"> für die 10 Gebote fungiert - die Übersetzung „Zeugnisse“, die sich häufig in Üss. findet, ist zwar möglich, hier aber unpassend.</w:t>
        <w:br/>
      </w:r>
      <w:r>
        <w:rPr>
          <w:i/>
        </w:rPr>
        <w:t>piqudim</w:t>
      </w:r>
      <w:r>
        <w:rPr/>
        <w:t xml:space="preserve"> (V. 9a) als Ausdruck für die Anweisungen Gottes findet sich neben unserer Stelle nur in den späten Psalmen 103 (V. </w:t>
      </w:r>
      <w:hyperlink r:id="rId104">
        <w:r>
          <w:rPr>
            <w:rStyle w:val="Internetverknpfung"/>
          </w:rPr>
          <w:t>18</w:t>
        </w:r>
      </w:hyperlink>
      <w:r>
        <w:rPr/>
        <w:t xml:space="preserve">), Ps 111 (V. </w:t>
      </w:r>
      <w:hyperlink r:id="rId105">
        <w:r>
          <w:rPr>
            <w:rStyle w:val="Internetverknpfung"/>
          </w:rPr>
          <w:t>7</w:t>
        </w:r>
      </w:hyperlink>
      <w:r>
        <w:rPr/>
        <w:t xml:space="preserve">) und oft in </w:t>
      </w:r>
      <w:hyperlink r:id="rId106">
        <w:r>
          <w:rPr>
            <w:rStyle w:val="Internetverknpfung"/>
          </w:rPr>
          <w:t>Ps 119</w:t>
        </w:r>
      </w:hyperlink>
      <w:r>
        <w:rPr/>
        <w:t xml:space="preserve">. Auffällig ist, dass das Wort oft zusammen mit </w:t>
      </w:r>
      <w:r>
        <w:rPr>
          <w:i/>
        </w:rPr>
        <w:t>derek</w:t>
      </w:r>
      <w:r>
        <w:rPr/>
        <w:t xml:space="preserve"> („Weg“) steht und als etwas geschildert wird, dem man „folgen“ kann (s. </w:t>
      </w:r>
      <w:hyperlink r:id="rId107">
        <w:r>
          <w:rPr>
            <w:rStyle w:val="Internetverknpfung"/>
          </w:rPr>
          <w:t>Ps 119,15</w:t>
        </w:r>
      </w:hyperlink>
      <w:r>
        <w:rPr/>
        <w:t>.</w:t>
      </w:r>
      <w:hyperlink r:id="rId108">
        <w:r>
          <w:rPr>
            <w:rStyle w:val="Internetverknpfung"/>
          </w:rPr>
          <w:t>27</w:t>
        </w:r>
      </w:hyperlink>
      <w:r>
        <w:rPr/>
        <w:t>.</w:t>
      </w:r>
      <w:hyperlink r:id="rId109">
        <w:r>
          <w:rPr>
            <w:rStyle w:val="Internetverknpfung"/>
          </w:rPr>
          <w:t>45</w:t>
        </w:r>
      </w:hyperlink>
      <w:r>
        <w:rPr/>
        <w:t>.</w:t>
      </w:r>
      <w:hyperlink r:id="rId110">
        <w:r>
          <w:rPr>
            <w:rStyle w:val="Internetverknpfung"/>
          </w:rPr>
          <w:t>104</w:t>
        </w:r>
      </w:hyperlink>
      <w:r>
        <w:rPr/>
        <w:t>.</w:t>
      </w:r>
      <w:hyperlink r:id="rId111">
        <w:r>
          <w:rPr>
            <w:rStyle w:val="Internetverknpfung"/>
          </w:rPr>
          <w:t>110</w:t>
        </w:r>
      </w:hyperlink>
      <w:r>
        <w:rPr/>
        <w:t>.</w:t>
      </w:r>
      <w:hyperlink r:id="rId112">
        <w:r>
          <w:rPr>
            <w:rStyle w:val="Internetverknpfung"/>
          </w:rPr>
          <w:t>128</w:t>
        </w:r>
      </w:hyperlink>
      <w:r>
        <w:rPr/>
        <w:t>) und kontrastiert wird mit Lügen und Betrug (</w:t>
      </w:r>
      <w:hyperlink r:id="rId113">
        <w:r>
          <w:rPr>
            <w:rStyle w:val="Internetverknpfung"/>
          </w:rPr>
          <w:t>Ps 119,69</w:t>
        </w:r>
      </w:hyperlink>
      <w:r>
        <w:rPr/>
        <w:t>.</w:t>
      </w:r>
      <w:hyperlink r:id="rId114">
        <w:r>
          <w:rPr>
            <w:rStyle w:val="Internetverknpfung"/>
          </w:rPr>
          <w:t>78</w:t>
        </w:r>
      </w:hyperlink>
      <w:r>
        <w:rPr/>
        <w:t>.</w:t>
      </w:r>
      <w:hyperlink r:id="rId115">
        <w:r>
          <w:rPr>
            <w:rStyle w:val="Internetverknpfung"/>
          </w:rPr>
          <w:t>104</w:t>
        </w:r>
      </w:hyperlink>
      <w:r>
        <w:rPr/>
        <w:t xml:space="preserve">) - die </w:t>
      </w:r>
      <w:r>
        <w:rPr>
          <w:i/>
        </w:rPr>
        <w:t>piqudim</w:t>
      </w:r>
      <w:r>
        <w:rPr/>
        <w:t xml:space="preserve"> werden vorgestellt als eine Art „gute Wegbeschreibung“ (</w:t>
      </w:r>
      <w:hyperlink r:id="rId116">
        <w:r>
          <w:rPr>
            <w:rStyle w:val="Internetverknpfung"/>
          </w:rPr>
          <w:t>Ps 119,110</w:t>
        </w:r>
      </w:hyperlink>
      <w:r>
        <w:rPr/>
        <w:t>.</w:t>
      </w:r>
      <w:hyperlink r:id="rId117">
        <w:r>
          <w:rPr>
            <w:rStyle w:val="Internetverknpfung"/>
          </w:rPr>
          <w:t>128</w:t>
        </w:r>
      </w:hyperlink>
      <w:r>
        <w:rPr/>
        <w:t xml:space="preserve">!). Diese Vorstellung könnte auch hinter unserer Stelle stehen, denn die </w:t>
      </w:r>
      <w:r>
        <w:rPr>
          <w:i/>
        </w:rPr>
        <w:t>piqudim</w:t>
      </w:r>
      <w:r>
        <w:rPr/>
        <w:t xml:space="preserve"> JHWHs sind </w:t>
      </w:r>
      <w:r>
        <w:rPr>
          <w:i/>
        </w:rPr>
        <w:t>jescharim</w:t>
      </w:r>
      <w:r>
        <w:rPr/>
        <w:t>, „richtig, eben, angenehm zu befolgen“. Will man diese Vorstellung auch in der Übersetzung herauskommen lassen, empfähle sich die Übersetzung „Weisungen“.</w:t>
      </w:r>
    </w:p>
    <w:p>
      <w:pPr>
        <w:pStyle w:val="Textkrper"/>
        <w:spacing w:before="0" w:after="283"/>
        <w:rPr/>
      </w:pPr>
      <w:r>
        <w:rPr/>
        <w:tab/>
        <w:t xml:space="preserve">Die „Satzung“ (9b) und die „Rechtssätze“ (10b) dürften selbsterklärend sein; erwähnenswert ist, dass auch sie meist als satzhafte Vorgaben aufzufassen sind. Zum „Wort JHWHs“ s. </w:t>
      </w:r>
      <w:r>
        <w:rPr>
          <w:i/>
        </w:rPr>
        <w:t>ad loc</w:t>
      </w:r>
      <w:r>
        <w:rPr/>
        <w:t>.</w:t>
      </w:r>
    </w:p>
  </w:footnote>
  <w:footnote w:id="1883">
    <w:p>
      <w:pPr>
        <w:pStyle w:val="Funote"/>
        <w:rPr/>
      </w:pPr>
      <w:r>
        <w:rPr/>
        <w:footnoteRef/>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1884">
    <w:p>
      <w:pPr>
        <w:pStyle w:val="Funote"/>
        <w:rPr/>
      </w:pPr>
      <w:r>
        <w:rPr/>
        <w:footnoteRef/>
        <w:tab/>
        <w:t>bringt zurück Lebenskraft (gibt neue Lebenskraft, bekehrt {die Seele})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1885">
    <w:p>
      <w:pPr>
        <w:pStyle w:val="Funote"/>
        <w:rPr/>
      </w:pPr>
      <w:r>
        <w:rPr/>
        <w:footnoteRef/>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1886">
    <w:p>
      <w:pPr>
        <w:pStyle w:val="Funote"/>
        <w:rPr/>
      </w:pPr>
      <w:r>
        <w:rPr/>
        <w:footnoteRef/>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1887">
    <w:p>
      <w:pPr>
        <w:pStyle w:val="Funote"/>
        <w:rPr/>
      </w:pPr>
      <w:r>
        <w:rPr/>
        <w:footnoteRef/>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1888">
    <w:p>
      <w:pPr>
        <w:pStyle w:val="Funote"/>
        <w:rPr/>
      </w:pPr>
      <w:r>
        <w:rPr/>
        <w:footnoteRef/>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1889">
    <w:p>
      <w:pPr>
        <w:pStyle w:val="Funote"/>
        <w:rPr/>
      </w:pPr>
      <w:r>
        <w:rPr/>
        <w:footnoteRef/>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1890">
    <w:p>
      <w:pPr>
        <w:pStyle w:val="Funote"/>
        <w:rPr/>
      </w:pPr>
      <w:r>
        <w:rPr>
          <w:i/>
        </w:rPr>
        <w:footnoteRef/>
        <w:tab/>
        <w:t>Wahrheit (wahr)</w:t>
      </w:r>
      <w:r>
        <w:rPr/>
        <w:t xml:space="preserve"> - Subst. verwendet als Adj. (häufig im Heb.); übersetze: „wahr“.</w:t>
      </w:r>
    </w:p>
  </w:footnote>
  <w:footnote w:id="1891">
    <w:p>
      <w:pPr>
        <w:pStyle w:val="Funote"/>
        <w:rPr/>
      </w:pPr>
      <w:r>
        <w:rPr/>
        <w:footnoteRef/>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1892">
    <w:p>
      <w:pPr>
        <w:pStyle w:val="Funote"/>
        <w:rPr/>
      </w:pPr>
      <w:r>
        <w:rPr>
          <w:i/>
        </w:rPr>
        <w:footnoteRef/>
        <w:tab/>
        <w:t>Honig des Honigs</w:t>
      </w:r>
      <w:r>
        <w:rPr/>
        <w:t xml:space="preserve"> - Der Psalmist verwendet in Vv. 11cd drei verschiedene Wörter mit der Bedeutung „Honig“: „süßer als Honig 1, / ja, als Honig 2 des Honig 3´s“. Diese Konstruktion dient der Intensivierung der gesamten Aussage - ähnlich, wie im häufigen „der Himmel und der Himmel der Himmel“ (</w:t>
      </w:r>
      <w:hyperlink r:id="rId118">
        <w:r>
          <w:rPr>
            <w:rStyle w:val="Internetverknpfung"/>
          </w:rPr>
          <w:t>Dtn 10,14</w:t>
        </w:r>
      </w:hyperlink>
      <w:r>
        <w:rPr/>
        <w:t xml:space="preserve">; </w:t>
      </w:r>
      <w:hyperlink r:id="rId119">
        <w:r>
          <w:rPr>
            <w:rStyle w:val="Internetverknpfung"/>
          </w:rPr>
          <w:t>8,27</w:t>
        </w:r>
      </w:hyperlink>
      <w:r>
        <w:rPr/>
        <w:t xml:space="preserve">; </w:t>
      </w:r>
      <w:hyperlink r:id="rId120">
        <w:r>
          <w:rPr>
            <w:rStyle w:val="Internetverknpfung"/>
          </w:rPr>
          <w:t>2Chr 2,5</w:t>
        </w:r>
      </w:hyperlink>
      <w:r>
        <w:rPr/>
        <w:t xml:space="preserve">; </w:t>
      </w:r>
      <w:hyperlink r:id="rId121">
        <w:r>
          <w:rPr>
            <w:rStyle w:val="Internetverknpfung"/>
          </w:rPr>
          <w:t>6,18</w:t>
        </w:r>
      </w:hyperlink>
      <w:r>
        <w:rPr/>
        <w:t>)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1893">
    <w:p>
      <w:pPr>
        <w:pStyle w:val="Funote"/>
        <w:rPr/>
      </w:pPr>
      <w:r>
        <w:rPr/>
        <w:footnoteRef/>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1894">
    <w:p>
      <w:pPr>
        <w:pStyle w:val="Funote"/>
        <w:rPr/>
      </w:pPr>
      <w:r>
        <w:rPr/>
        <w:footnoteRef/>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1895">
    <w:p>
      <w:pPr>
        <w:pStyle w:val="Funote"/>
        <w:rPr/>
      </w:pPr>
      <w:r>
        <w:rPr/>
        <w:footnoteRef/>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1896">
    <w:p>
      <w:pPr>
        <w:pStyle w:val="Funote"/>
        <w:rPr/>
      </w:pPr>
      <w:r>
        <w:rPr/>
        <w:footnoteRef/>
        <w:tab/>
        <w:t>Oder: Der Sticho ist der wörtliche Inhalt der Warnung: „Durch sie ... wird auch dein Sklave gewarnt: ‚In ihrer Befolgung liegt reichlich Lohn!‘“.</w:t>
      </w:r>
    </w:p>
  </w:footnote>
  <w:footnote w:id="1897">
    <w:p>
      <w:pPr>
        <w:pStyle w:val="Funote"/>
        <w:rPr/>
      </w:pPr>
      <w:r>
        <w:rPr>
          <w:i/>
        </w:rPr>
        <w:footnoteRef/>
        <w:tab/>
        <w:t>[Doch]</w:t>
      </w:r>
      <w:r>
        <w:rPr/>
        <w:t xml:space="preserve"> - Der Zhg. von Vv. 12.13 ist sicher adversativ; das muss man in der LF wohl besser durch die Einfügung eines „Doch“ o.Ä. ausdrücklich machen.</w:t>
      </w:r>
    </w:p>
  </w:footnote>
  <w:footnote w:id="1898">
    <w:p>
      <w:pPr>
        <w:pStyle w:val="Funote"/>
        <w:rPr/>
      </w:pPr>
      <w:r>
        <w:rPr/>
        <w:footnoteRef/>
        <w:tab/>
        <w:t>Versehen (versehentliche Fehler) - Bedeutung unsicher (-&gt; Hapax legomenon); vermutlich meint es in etwa das selbe wie das folgende „Verborgene (ungewollte Sünden)“; vgl. z.B. König 1927, S. 104; Kittel 1914, S. 78; Wagner 1999, S. 258; Nel 2004, S. 113f.</w:t>
      </w:r>
    </w:p>
  </w:footnote>
  <w:footnote w:id="1899">
    <w:p>
      <w:pPr>
        <w:pStyle w:val="Funote"/>
        <w:rPr/>
      </w:pPr>
      <w:r>
        <w:rPr/>
        <w:footnoteRef/>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1900">
    <w:p>
      <w:pPr>
        <w:pStyle w:val="Funote"/>
        <w:rPr/>
      </w:pPr>
      <w:r>
        <w:rPr>
          <w:i/>
        </w:rPr>
        <w:footnoteRef/>
        <w:tab/>
        <w:t>Verborgenen (ungewollte Sünden)</w:t>
      </w:r>
      <w:r>
        <w:rPr/>
        <w:t xml:space="preserve"> ist ein Begriff aus der israelitischen Rechtsterminologie; man bezeichnet damit Vergehen und Sünden, die ein Sünder unwissentlich begangen hat. Vgl. z.B. </w:t>
      </w:r>
      <w:hyperlink r:id="rId122">
        <w:r>
          <w:rPr>
            <w:rStyle w:val="Internetverknpfung"/>
          </w:rPr>
          <w:t>Lev 4</w:t>
        </w:r>
      </w:hyperlink>
      <w:r>
        <w:rPr/>
        <w:t>-</w:t>
      </w:r>
      <w:hyperlink r:id="rId123">
        <w:r>
          <w:rPr>
            <w:rStyle w:val="Internetverknpfung"/>
          </w:rPr>
          <w:t>5</w:t>
        </w:r>
      </w:hyperlink>
      <w:r>
        <w:rPr/>
        <w:t>.</w:t>
      </w:r>
    </w:p>
  </w:footnote>
  <w:footnote w:id="1901">
    <w:p>
      <w:pPr>
        <w:pStyle w:val="Funote"/>
        <w:rPr/>
      </w:pPr>
      <w:r>
        <w:rPr/>
        <w:footnoteRef/>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1902">
    <w:p>
      <w:pPr>
        <w:pStyle w:val="Funote"/>
        <w:rPr/>
      </w:pPr>
      <w:r>
        <w:rPr/>
        <w:footnoteRef/>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1903">
    <w:p>
      <w:pPr>
        <w:pStyle w:val="Funote"/>
        <w:rPr/>
      </w:pPr>
      <w:r>
        <w:rPr/>
        <w:footnoteRef/>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1904">
    <w:p>
      <w:pPr>
        <w:pStyle w:val="Funote"/>
        <w:rPr/>
      </w:pPr>
      <w:r>
        <w:rPr/>
        <w:footnoteRef/>
        <w:tab/>
        <w:t>Es seien zum Wohlgefallen die Reden meines Mundes / und das sich-Äußern meines Herzens vor deinem Gesicht - Hyperbaton; natürliche Wortfolge: »Es seien zum Wohlgefallen vor deinem Gesicht die Reden meines Mundes und das sich-Äußern meines Herzens« (vgl. Ex 28,38). Das Hyperbaton dient hier nur dem Zweck, die beiden parallelen Phrasen »die Reden meines Mundes« und »das sich-Äußern meines Herzens« auf zwei Stichen verteilen zu können; die Ergänzung von »möge kommen« o.Ä. im zweiten Sticho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1905">
    <w:p>
      <w:pPr>
        <w:pStyle w:val="Funote"/>
        <w:rPr/>
      </w:pPr>
      <w:r>
        <w:rPr/>
        <w:footnoteRef/>
        <w:tab/>
        <w:t>[Status: Zuverlässig]</w:t>
      </w:r>
    </w:p>
  </w:footnote>
  <w:footnote w:id="1906">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907">
    <w:p>
      <w:pPr>
        <w:pStyle w:val="Funote"/>
        <w:rPr/>
      </w:pPr>
      <w:r>
        <w:rPr/>
        <w:footnoteRef/>
        <w:tab/>
        <w:t>Nach „Hirschkuh der Morgenröte“ ([Vorzutragen vom] Vorsteher [über das Ritual] „Hirschkuh der Morgenröte“) - Ein weiterer Begriff mit unbekannter Bedeutung. Für gewöhnlich werden diese und ähnliche Angaben in anderen Psalmen so verstanden, dass damit die Melodie eines bekannten Liedes genannt werde, nach der auch dieser Psalm zu singen sei, zu übersetzen wäre also etwa: „[vorzutragen] nach [der Melodie] ‚Hirschkuh der Morgenröte‘“. Einen wahrscheinlicheren Vorschlag zum Verständnis der sog. „Psalmenüberschriften“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die „Hirschkuh der Morgenröte“ nicht die Melodie, sondern der menatseach wäre Vorsteher über das Ritual mit dem Namen „Hirschkuh der Morgenröte“, bei dem der Psalm vorzuträgen wäre. Doch ist auch dies nur ein „educated guess“ und „Chorleiter“ und „[nach der Melodie]“ sind in dt. Üss. so etabliert, dass die LF doch besser den Primärüss. folgen sollte.</w:t>
      </w:r>
    </w:p>
  </w:footnote>
  <w:footnote w:id="1908">
    <w:p>
      <w:pPr>
        <w:pStyle w:val="Funote"/>
        <w:rPr/>
      </w:pPr>
      <w:r>
        <w:rPr/>
        <w:footnoteRef/>
        <w:tab/>
        <w:t>fern von meiner Rettung (von meinem Schreien) - Eine häufige biblische Metapher: Not wird erfahren als Abwesenheit Gottes; Gott hilft dem Notleidenden nicht, sondern „hat ihn verlassen“ und „hält sich fern“ von ihm - ist gar zu entfernt, um seine Klageworte zu empfangen und helfend darauf zu reagieren (s. ähnlich Ps 10,1; 35,22; 38,22; 71,12; Jes 59,9.11 u.ö.; vgl. z.B. TWAT II, Sp. 770).Textkritik: Die Worte „von meiner Rettung“ (Heb. mischu`ati) werden häufig korrigiert zu „von meinem Schreien“ (Heb. mischaw`ati) (so z.B. BHS; Deissler 1981, S. 102; Kselman 1982, S. 173-5); daher erklärt sich z.B. die Übersetzung „Warum bist du fern von meinem Flehen“ von EÜ und HER05. Doch das ist ganz unnötig. In der LF muss dieser Vers wohl freier übersetzt werden; gut z.B. GN: „Warum hilfst du nicht, wenn ich schreie, warum bist du so fern?“; ähnlich NL.</w:t>
      </w:r>
    </w:p>
  </w:footnote>
  <w:footnote w:id="1909">
    <w:p>
      <w:pPr>
        <w:pStyle w:val="Funote"/>
        <w:rPr/>
      </w:pPr>
      <w:r>
        <w:rPr>
          <w:i/>
        </w:rPr>
        <w:footnoteRef/>
        <w:tab/>
        <w:t>Antworten</w:t>
      </w:r>
      <w:r>
        <w:rPr/>
        <w:t xml:space="preserve"> ist in Zhgg. wie diesem fast stets ein stehender Begriff für die Gebetserhörungen Gottes.</w:t>
      </w:r>
    </w:p>
  </w:footnote>
  <w:footnote w:id="1910">
    <w:p>
      <w:pPr>
        <w:pStyle w:val="Funote"/>
        <w:rPr/>
      </w:pPr>
      <w:r>
        <w:rPr/>
        <w:footnoteRef/>
        <w:tab/>
        <w:t>doch [es gibt] nicht Ruhe für mich - dumijah („Schweigen“) bezieht sich hier wohl nicht auf das „Schweigen“ des Leids, sd. auf das Schweigen des Psalmisten: Im hierigen Sinne findet es sich nur noch in Ps 39,3, wo deutlich vom Verstummen des Psalmisten die Rede ist. S. auch R-S: „Stillschweigen ist mir nicht vergönnt“; Weiser 1959: „und ich kann doch nicht schweigen“ u.ö.Der Vers ist also als „meristisches Hyperbaton“ strukturiert (wie z.B. auch Ps 19,14 (dazu s. FN aq)): Ähnlich, wie deutlich „Ich rufe Tag“ und „und Nacht“ zusammengehören, gehören auch „du antwortest nicht“ und „es gibt keine Ruhe für mich“ zusammen, beide Paare sind aber aus poetischen Gründen in zwei Zeilen aufgeteilt worden. Die Bedeutung ist dann: „Ich rufe Tag und Nacht, aber du antwortest nicht und [also] ist es mir nicht vergönnt, mit dem Rufen aufhören zu können“. Textkritik: Syr und Äth hatten offenbar einen anderslautenden hebräischen Text vor sich, nämlich statt dumijah li („Ruhe für mich“) dimitha li („du denkst nicht an mich“); Zorell 1926, S. 311 und Kissane 1953, S. 98 wollen daher auch den hebräischen Text nach dimitha korrigieren (=&gt; Textkritik). Doch er macht Sinn, wie er steht, und wird von den anderen alten Üss. gestützt.</w:t>
      </w:r>
    </w:p>
  </w:footnote>
  <w:footnote w:id="1911">
    <w:p>
      <w:pPr>
        <w:pStyle w:val="Funote"/>
        <w:rPr/>
      </w:pPr>
      <w:r>
        <w:rPr/>
        <w:footnoteRef/>
        <w:tab/>
        <w:t>[Auf] - W. „Aber du, der Heilige, der du thronst über den Lobgesängen Israels - auf dich vertrauten...“. Ein sog. „Casus pendens“: Ein Satzglied (hier: „du, der Heilige, der du thronst über den Lobgesängen Israels“) wird aus seinem eigentlichen Zusammenhang im Satz herausgenommen, unverbunden vor den Satz gestellt und an seine „eigentliche“ Stelle im Satz wird als Platzhalter ein Pronomen gesetzt (hier: „auf dich“). Gut Eerdmans 1947, S. 172: „And thou, holy one, that inhabitest the praises of Israel, / our fathers trusted in thee.“</w:t>
      </w:r>
    </w:p>
  </w:footnote>
  <w:footnote w:id="1912">
    <w:p>
      <w:pPr>
        <w:pStyle w:val="Funote"/>
        <w:rPr/>
      </w:pPr>
      <w:r>
        <w:rPr/>
        <w:footnoteRef/>
        <w:tab/>
        <w:t>den Heiligen, der du thronst über den Lobgesängen Israels! - Mit dem Ausdruck der Heilige ist hier wie z.B. auch in Jes 5,16; 5,19 (vgl. V. 20); 41,20 (vgl. V. 21); 48,17 (vgl. V. 18) die übermenschliche Gerechtigkeit Gottes bezeichnet (so gut Herkenne 1936, S. 105), aufgrund der er als „der Heilige Israels“ auch stets auf der Seite seines Volkes steht. Vv. 4-6 sind sehr wahrscheinlich keine Vertrauensäußerung, wie das z.B. Gerstenberger 1991 und Janowski 2003 sehen. V. 7 zeigt deutlich, dass der Hinweis auf die früheren Rettungstaten Gottes der Kontrastierung dient: Ihnen hat Gott geholfen, ihm aber hilft er nicht - ihm, dem „Wurm“. Vv. 4-6 meinen also nicht: „[Warum hilfst du mir nicht?] Aber du bist ja der Heilige, [also wird schon alles gut werden -] du hast ja auch unseren Vorfahren geholfen.“, sondern sie dienen der Unterstreichung der in V. 2 ausgedrückten Verständnislosigkeit: „Warum hilfst du mir nicht? ... Du bist doch der Heilige, der schon unseren Vorfahren, die dich [wie ich] verehrten, geholfen hat!“ Die Argumentation in Vv. 2-6 geht damit ganz ähnlich wie die in Hab 1,12f.: „Bist du nicht von alters her mein Heiliger? Wir werden nicht sterben, JHWH - das hast du, oh Fels, als Gesetz festgesetzt und als Gebot bestimmt (≙ Vv. 4-6)... Warum aber schaust du dann Räubern zu und schweigst, wenn ein Gesetzloser den verschlingt, der gerechter ist als er? (≙ Vv. 2f.)“ Vgl. gut Charney 2013, S. 47; Davis 1992, S. 97; Kissane 1953, S. 99.</w:t>
      </w:r>
    </w:p>
  </w:footnote>
  <w:footnote w:id="1913">
    <w:p>
      <w:pPr>
        <w:pStyle w:val="Funote"/>
        <w:rPr/>
      </w:pPr>
      <w:r>
        <w:rPr>
          <w:i/>
        </w:rPr>
        <w:footnoteRef/>
        <w:tab/>
        <w:t>Reißen die Lippe[n] auf, schütteln den Kopf</w:t>
      </w:r>
      <w:r>
        <w:rPr/>
        <w:t xml:space="preserve"> - Zwei Gesten der Verachtung. Zur ersten Geste s. noch </w:t>
      </w:r>
      <w:hyperlink r:id="rId124">
        <w:r>
          <w:rPr>
            <w:rStyle w:val="Internetverknpfung"/>
          </w:rPr>
          <w:t>Ijob 16,10</w:t>
        </w:r>
      </w:hyperlink>
      <w:r>
        <w:rPr/>
        <w:t xml:space="preserve">; </w:t>
      </w:r>
      <w:hyperlink r:id="rId125">
        <w:r>
          <w:rPr>
            <w:rStyle w:val="Internetverknpfung"/>
          </w:rPr>
          <w:t>Ps 35,21</w:t>
        </w:r>
      </w:hyperlink>
      <w:r>
        <w:rPr/>
        <w:t xml:space="preserve">; zur zweiten </w:t>
      </w:r>
      <w:hyperlink r:id="rId126">
        <w:r>
          <w:rPr>
            <w:rStyle w:val="Internetverknpfung"/>
          </w:rPr>
          <w:t>Ps 44,14</w:t>
        </w:r>
      </w:hyperlink>
      <w:r>
        <w:rPr/>
        <w:t xml:space="preserve">; </w:t>
      </w:r>
      <w:hyperlink r:id="rId127">
        <w:r>
          <w:rPr>
            <w:rStyle w:val="Internetverknpfung"/>
          </w:rPr>
          <w:t>64,8</w:t>
        </w:r>
      </w:hyperlink>
      <w:r>
        <w:rPr/>
        <w:t>.</w:t>
      </w:r>
    </w:p>
  </w:footnote>
  <w:footnote w:id="1914">
    <w:p>
      <w:pPr>
        <w:pStyle w:val="Funote"/>
        <w:rPr/>
      </w:pPr>
      <w:r>
        <w:rPr/>
        <w:footnoteRef/>
        <w:tab/>
        <w:t>[und spotten:] - das Folgende ist eine Spottrede der der „Leute“, die dem Psalmisten absprechen, dass Gott Wohlgefallen an ihm habe. Vgl. z.B. Gordis 1949, S. 167f.</w:t>
      </w:r>
    </w:p>
  </w:footnote>
  <w:footnote w:id="1915">
    <w:p>
      <w:pPr>
        <w:pStyle w:val="Funote"/>
        <w:rPr/>
      </w:pPr>
      <w:r>
        <w:rPr/>
        <w:footnoteRef/>
        <w:tab/>
        <w:t>Wälze (Er hat gewälzt) [es (dich)] - Ausdruck dafür, etwas jmds. Fürsorge anzuvertrauen, auf dass der sich darum kümmere; s. Ps 37,5; Spr 16,3; 1 Pet 5,7. Weil »wälzen« im Dt. unverständlich ist, folgen viele der freieren Üs. von Mt 27,43: »Vertrau auf JHWH!« Erwägenswert vielleicht BB: »Soll er doch seine Last auf den HERRN abwälzen!«, ASTADLER: »Der soll seine Sorgen auf Gott abschieben!«Textkritik: LXX, Syr, Hieronymus und Mt 27,43 lasen statt gol (»Wälz«) gal (»Er hat gewälzt«). Der urspr. heb. Text bot beide Deutungsmöglichkeiten; viele Exegeten folgen daher dieser Lesart, weil nach ihr kein Perspektivwechsel (Sprechen zum Psalmisten =&gt; Spotten über den Psalmisten) in der Rede der Leute stattfinden muss. Angesichts der beiden obigen atl. Parallelen und Ps 55,23, die alle im Imp. formuliert sind, liegt aber auch hier die Lesung als Imperativ näher (so richtig Gordis 1949, S. 167, FN 21).</w:t>
      </w:r>
    </w:p>
  </w:footnote>
  <w:footnote w:id="1916">
    <w:p>
      <w:pPr>
        <w:pStyle w:val="Funote"/>
        <w:rPr/>
      </w:pPr>
      <w:r>
        <w:rPr/>
        <w:footnoteRef/>
        <w:tab/>
        <w:t>Er hat ja Gefallen an ihm (er ist ja so gläubig) - stark übersetzt von GN, HfA, R-S: „[Er ist] ja sein Liebling!“ Auch möglich: „Er ist ja so gläubig“, s. z.B. Ps 73,25, wo mit dem „Gefallen“ des Psalmisten an Gott seine Ganzhingabe ausgedrückt wird. Im Kontext macht das vielleicht sogar mehr Sinn, s. den dreimaligen Hinweis auf das „Vertrauen“ der Vorfahren in Vv. 5f. und die Rede vom Gottesverhältnis „von Geburt an“ des Psalmisten. Das ki („doch“) zu Beginn von V. 10 könnte dann mit „Ja!...“, „So ist es!...“ o.Ä. übersetzt werden: In der Tat ist der Psalmist schon von Geburt an tiefgläubig und ergo müsste Gott ihm daher hold sein (vgl. Ps 91,14!); völlig unverständlich ist daher jetzt Gottes plötzliche Abwesenheit. So aber nur wenige ältere Exegeten; erwogen noch z.B. von Olshausen 1853, S. 122f. Vv. 10f. sind daher besser für die LF zu verstehen wie Vv. 4-6: „Früher warst du mir doch gut - [warum also jetzt nicht mehr]?“</w:t>
      </w:r>
    </w:p>
  </w:footnote>
  <w:footnote w:id="1917">
    <w:p>
      <w:pPr>
        <w:pStyle w:val="Funote"/>
        <w:rPr/>
      </w:pPr>
      <w:r>
        <w:rPr>
          <w:i/>
        </w:rPr>
        <w:footnoteRef/>
        <w:tab/>
        <w:t>aus dem Schoß hervorbrechen ließ</w:t>
      </w:r>
      <w:r>
        <w:rPr/>
        <w:t xml:space="preserve"> - d.h. der bei meiner Geburt Hebammendienst leistete. V. 10 spricht davon, wie Gott sich schon von Geburt an um den Psalmisten kümmerte, V. 11 davon, wie der Psalmist dafür schon von Geburt an Gott tief verbunden war.</w:t>
      </w:r>
    </w:p>
  </w:footnote>
  <w:footnote w:id="1918">
    <w:p>
      <w:pPr>
        <w:pStyle w:val="Funote"/>
        <w:rPr/>
      </w:pPr>
      <w:r>
        <w:rPr/>
        <w:footnoteRef/>
        <w:tab/>
        <w:t>Textkritik: der mir Vertrauen einflößte (dem ich vertraute - LXX, Syr, VUL, Hieronymus und Tg hatten offenbar statt dem Text mabtichi („der mir Vertrauen einflößte“) mibtachi („der mein Vertrauen [war]“) vorliegen, der auch in einigen Handschriften zu finden ist. Das ist eine sehr starke Bezeugung; warum dem nur Ehrlich 1905, S. 44 und Kissane 1953, S. 98 folgen, ist nicht ganz verständlich. Wir folgen MT nur, weil dies eine starke Mehrheitsmeinung ist.</w:t>
      </w:r>
    </w:p>
  </w:footnote>
  <w:footnote w:id="1919">
    <w:p>
      <w:pPr>
        <w:pStyle w:val="Funote"/>
        <w:rPr/>
      </w:pPr>
      <w:r>
        <w:rPr/>
        <w:footnoteRef/>
        <w:tab/>
        <w:t>Auf dich bin ich geworfen - Vergleichbarer Ausdruck nur noch in Ps 55,23. Da diese Stelle wiederum stark an Ps 22,9; 37,5 und Spr 16,3 gemahnt, legt sich die Annahme nahe, dass „etwas auf JHWH werfen“ und „etwas auf JHWH wälzen“ gleichbedeutend sind und also bedeuten: „Etwas unter JHWHs Hut stellen.“ Hier aber wird nicht „etwas“ unter JHWHs Hut gestellt, sondern der Psalmist selbst. Sehr gut daher HER05: „Dir bin ich zu Eigen von Anbeginn“; HfA: „Du bist mein Gott, seitdem mein Leben im Mutterleib begann“. Glückliche Fügung übrigens, wie dieser Vers vor dem Hintergrund des Existentialismus gelesen werden kann, wo die „Geworfenheit“ die schutzlose Ausgeliefertheit des Menschen an die Welt meint. Nein, sagt Psalm 22: Von Geburt an ist der Mensch auf Gott geworfen und gerade daher der Welt eben nicht schutzlos ausgeliefert.</w:t>
      </w:r>
    </w:p>
  </w:footnote>
  <w:footnote w:id="1920">
    <w:p>
      <w:pPr>
        <w:pStyle w:val="Funote"/>
        <w:rPr/>
      </w:pPr>
      <w:r>
        <w:rPr>
          <w:i/>
        </w:rPr>
        <w:footnoteRef/>
        <w:tab/>
        <w:t>Enge (Bedrängnis) ist nahe</w:t>
      </w:r>
      <w:r>
        <w:rPr/>
        <w:t xml:space="preserve"> - dazu s. </w:t>
      </w:r>
      <w:r>
        <w:fldChar w:fldCharType="begin"/>
      </w:r>
      <w:r>
        <w:instrText> HYPERLINK "file:///wiki/Psalm_4" \l "s2"</w:instrText>
      </w:r>
      <w:r>
        <w:fldChar w:fldCharType="separate"/>
      </w:r>
      <w:r>
        <w:rPr>
          <w:rStyle w:val="Internetverknpfung"/>
        </w:rPr>
        <w:t>Ps 4,2</w:t>
      </w:r>
      <w:r>
        <w:fldChar w:fldCharType="end"/>
      </w:r>
      <w:r>
        <w:rPr/>
        <w:t xml:space="preserve"> (dazu </w:t>
      </w:r>
      <w:r>
        <w:fldChar w:fldCharType="begin"/>
      </w:r>
      <w:r>
        <w:instrText> HYPERLINK "http://offene-bibel.de/wiki/Psalm_4" \l "note_f"</w:instrText>
      </w:r>
      <w:r>
        <w:fldChar w:fldCharType="separate"/>
      </w:r>
      <w:r>
        <w:rPr>
          <w:rStyle w:val="Internetverknpfung"/>
        </w:rPr>
        <w:t>FN f</w:t>
      </w:r>
      <w:r>
        <w:fldChar w:fldCharType="end"/>
      </w:r>
      <w:r>
        <w:rPr/>
        <w:t xml:space="preserve">); </w:t>
      </w:r>
      <w:hyperlink r:id="rId128">
        <w:r>
          <w:rPr>
            <w:rStyle w:val="Internetverknpfung"/>
          </w:rPr>
          <w:t>25,17</w:t>
        </w:r>
      </w:hyperlink>
      <w:r>
        <w:rPr/>
        <w:t xml:space="preserve">: Not wird in der Bibel des Öfteren mit der Metapher des Beengt-seins ausgedrückt. Hier gleich doppelt: „die </w:t>
      </w:r>
      <w:r>
        <w:rPr>
          <w:i/>
        </w:rPr>
        <w:t>Enge</w:t>
      </w:r>
      <w:r>
        <w:rPr/>
        <w:t xml:space="preserve"> ist </w:t>
      </w:r>
      <w:r>
        <w:rPr>
          <w:i/>
        </w:rPr>
        <w:t>nahe</w:t>
      </w:r>
      <w:r>
        <w:rPr/>
        <w:t>“ - ganz im Gegensatz zum „fernen“ Gott, der den Psalmisten verlassen hat.</w:t>
      </w:r>
    </w:p>
  </w:footnote>
  <w:footnote w:id="1921">
    <w:p>
      <w:pPr>
        <w:pStyle w:val="Funote"/>
        <w:rPr/>
      </w:pPr>
      <w:r>
        <w:rPr>
          <w:i/>
        </w:rPr>
        <w:footnoteRef/>
        <w:tab/>
        <w:t>Baschan[stiere]</w:t>
      </w:r>
      <w:r>
        <w:rPr/>
        <w:t xml:space="preserve"> - Baschan war eine äußerst fruchtbare Region; die „</w:t>
      </w:r>
      <w:r>
        <w:rPr>
          <w:i/>
        </w:rPr>
        <w:t>Baschan</w:t>
      </w:r>
      <w:r>
        <w:rPr/>
        <w:t xml:space="preserve">stiere“ sind daher hier noch mal als Steigerung der bloßen „Stiere“ erwähnt: als besonders gut genährte und daher besonders gefährliche Vertreter ihrer Art. Vgl. </w:t>
      </w:r>
      <w:r>
        <w:fldChar w:fldCharType="begin"/>
      </w:r>
      <w:r>
        <w:instrText> HYPERLINK "file:///wiki/Deuteronomium_32" \l "s14"</w:instrText>
      </w:r>
      <w:r>
        <w:fldChar w:fldCharType="separate"/>
      </w:r>
      <w:r>
        <w:rPr>
          <w:rStyle w:val="Internetverknpfung"/>
        </w:rPr>
        <w:t>Dtn 32,14</w:t>
      </w:r>
      <w:r>
        <w:fldChar w:fldCharType="end"/>
      </w:r>
      <w:r>
        <w:rPr/>
        <w:t xml:space="preserve"> und </w:t>
      </w:r>
      <w:hyperlink r:id="rId129">
        <w:r>
          <w:rPr>
            <w:rStyle w:val="Internetverknpfung"/>
          </w:rPr>
          <w:t>Ez 39,18</w:t>
        </w:r>
      </w:hyperlink>
      <w:r>
        <w:rPr/>
        <w:t xml:space="preserve">, wo die „Baschanstiere“ als besonders nahrhafte Vertreter ihrer Art genannt werden, und </w:t>
      </w:r>
      <w:r>
        <w:fldChar w:fldCharType="begin"/>
      </w:r>
      <w:r>
        <w:instrText> HYPERLINK "file:///wiki/Amos_4" \l "s1"</w:instrText>
      </w:r>
      <w:r>
        <w:fldChar w:fldCharType="separate"/>
      </w:r>
      <w:r>
        <w:rPr>
          <w:rStyle w:val="Internetverknpfung"/>
        </w:rPr>
        <w:t>Am 4,1</w:t>
      </w:r>
      <w:r>
        <w:fldChar w:fldCharType="end"/>
      </w:r>
      <w:r>
        <w:rPr/>
        <w:t>, wo sie gar zur Metapher für trinkfreudige Bonzen werden.</w:t>
      </w:r>
    </w:p>
  </w:footnote>
  <w:footnote w:id="1922">
    <w:p>
      <w:pPr>
        <w:pStyle w:val="Funote"/>
        <w:rPr/>
      </w:pPr>
      <w:r>
        <w:rPr>
          <w:i/>
        </w:rPr>
        <w:footnoteRef/>
        <w:tab/>
        <w:t>reißende, brüllende Löwen ([wie] ein reißender, brüllender Löwe)</w:t>
      </w:r>
      <w:r>
        <w:rPr/>
        <w:t xml:space="preserve"> steht im heb. Text im Sg. Viele denken daher, dass Subjekt des „Maul-Aufsperrens“ die (selbst schon metaphorischen) Baschanstiere wären, die danach noch einmal mit dem Vergleich „[wie] ein Löwe“ näher spezifiziert würden. Wahrscheinlicher ist, dass </w:t>
      </w:r>
      <w:r>
        <w:rPr>
          <w:i/>
        </w:rPr>
        <w:t>Löwe</w:t>
      </w:r>
      <w:r>
        <w:rPr/>
        <w:t xml:space="preserve"> hier ein sog. „kollektiver Singular“ mit Pluralbedeutung ist und als ein solcher mit dem Pluralverb „</w:t>
      </w:r>
      <w:r>
        <w:rPr>
          <w:i/>
        </w:rPr>
        <w:t>sie</w:t>
      </w:r>
      <w:r>
        <w:rPr/>
        <w:t xml:space="preserve"> sperr</w:t>
      </w:r>
      <w:r>
        <w:rPr>
          <w:i/>
        </w:rPr>
        <w:t>en ihr</w:t>
      </w:r>
      <w:r>
        <w:rPr/>
        <w:t xml:space="preserve"> Maul gegen mich auf“ konstruiert wird.</w:t>
        <w:br/>
        <w:br/>
        <w:t>Das „Maul-aufsperren“ ist hier nicht wie in V. 8 als Spottgeste zu verstehen, sondern wörtlich als Bild für die von den Löwen ausgehende Gefahr.</w:t>
      </w:r>
    </w:p>
  </w:footnote>
  <w:footnote w:id="1923">
    <w:p>
      <w:pPr>
        <w:pStyle w:val="Funote"/>
        <w:rPr/>
      </w:pPr>
      <w:r>
        <w:rPr>
          <w:i/>
        </w:rPr>
        <w:footnoteRef/>
        <w:tab/>
        <w:t>{</w:t>
      </w:r>
      <w:r>
        <w:rPr>
          <w:i/>
          <w:strike/>
        </w:rPr>
        <w:t>das</w:t>
      </w:r>
      <w:r>
        <w:rPr>
          <w:i/>
        </w:rPr>
        <w:t>}</w:t>
      </w:r>
      <w:r>
        <w:rPr/>
        <w:t xml:space="preserve"> (V. 15); </w:t>
      </w:r>
      <w:r>
        <w:rPr>
          <w:i/>
        </w:rPr>
        <w:t>{</w:t>
      </w:r>
      <w:r>
        <w:rPr>
          <w:i/>
          <w:strike/>
        </w:rPr>
        <w:t>der</w:t>
      </w:r>
      <w:r>
        <w:rPr>
          <w:i/>
        </w:rPr>
        <w:t>} [ein]</w:t>
      </w:r>
      <w:r>
        <w:rPr/>
        <w:t xml:space="preserve"> (V. 17) - Vergleiche werden im Heb. häufig auch dort mit best. Artikel konstruiert, wo das Dt. einen unbest. Artikel verwenden würde.</w:t>
      </w:r>
    </w:p>
  </w:footnote>
  <w:footnote w:id="1924">
    <w:p>
      <w:pPr>
        <w:pStyle w:val="Funote"/>
        <w:rPr/>
      </w:pPr>
      <w:r>
        <w:rPr/>
        <w:footnoteRef/>
        <w:tab/>
        <w:t>Eine Reihe starker Metaphern zur Beschreibung der Not: Aus lauter Furcht verflüssigt sich der Psalmist regelrecht.</w:t>
      </w:r>
    </w:p>
  </w:footnote>
  <w:footnote w:id="1925">
    <w:p>
      <w:pPr>
        <w:pStyle w:val="Funote"/>
        <w:rPr/>
      </w:pPr>
      <w:r>
        <w:rPr/>
        <w:footnoteRef/>
        <w:tab/>
        <w:t>Textkritik: Kraft (Kehle) - Sehr viele Exegeten wollen den Text von kochi („meine Kraft“) nach chiki („mein Gaumen, meine Kehle“) korrigieren (z.B. auch BHS), aber vgl. Ijob 30,30; Ps 32,4; 102,4f.; 119,83; Klgl 4,8: das Verbrennen bis zum Ausgetrocknet-sein eines Menschen gehört zu den Standardmetaphern heb. Lyrik zur Beschreibung von Leid, was für die Lyrik eines so heißen Landes wie Israel eigentlich nicht überraschen sollte. Und man beachte, dass in V. 15 zunächst die Flüssigkeit von einem Ganzheitsbegriff („ich“) und dann einem Teilbegriff („mein Herz“) ausgesagt wird; Entsprechendes findet sich hier von der Trockenheit: zunächst der Ganzheitsbegriff („meine Kraft“) und dann der Teilbegriff („meine Zunge“).</w:t>
      </w:r>
    </w:p>
  </w:footnote>
  <w:footnote w:id="1926">
    <w:p>
      <w:pPr>
        <w:pStyle w:val="Funote"/>
        <w:rPr/>
      </w:pPr>
      <w:r>
        <w:rPr/>
        <w:footnoteRef/>
        <w:tab/>
        <w:t>Zwei weitere Metaphern. Man beachte, dass sie genau das Gegenteilige sagen: Fühlte der Dichter sich in V. 15 noch wie „ausgeschüttetes Wasser“ und sein Herz „zerschmolz“, ist seine Kraft in V. 16 „trocken wie eine Scherbe“ und „seine Zunge klebt ihm am Gaumen“ (W.: „an den beiden Kiefern“). Der Effekt ist der selbe wie im dt. „Vor Panik ist mir heiß und kalt zugleich“.</w:t>
      </w:r>
    </w:p>
  </w:footnote>
  <w:footnote w:id="1927">
    <w:p>
      <w:pPr>
        <w:pStyle w:val="Funote"/>
        <w:rPr/>
      </w:pPr>
      <w:r>
        <w:rPr/>
        <w:footnoteRef/>
        <w:tab/>
        <w:t>in den Staub des Todes legen - Heb. Idiom für „tot sein“, s. ähnlich Ijob 7,21; 17,16; 20,11; 21,26; Ps 22,30; Jes 26,19; Dan 12,2. Dass hier - anders als in den obigen Stellen - davon die Rede ist, dass JHWH den Beter in den Staub legen können wird, soll unterstreichen, dass es JHWHs Schuld sein wird, wenn er stirbt.</w:t>
      </w:r>
    </w:p>
  </w:footnote>
  <w:footnote w:id="1928">
    <w:p>
      <w:pPr>
        <w:pStyle w:val="Funote"/>
        <w:rPr/>
      </w:pPr>
      <w:r>
        <w:rPr>
          <w:i/>
        </w:rPr>
        <w:footnoteRef/>
        <w:tab/>
        <w:t>Aufgegraben sind ([wie] ein Löwe, gebunden sind)</w:t>
      </w:r>
      <w:r>
        <w:rPr/>
        <w:t xml:space="preserve"> - zu diesen Alternativen s. die nächste FN.</w:t>
      </w:r>
    </w:p>
  </w:footnote>
  <w:footnote w:id="1929">
    <w:p>
      <w:pPr>
        <w:pStyle w:val="Funote"/>
        <w:rPr/>
      </w:pPr>
      <w:r>
        <w:rPr/>
        <w:footnoteRef/>
        <w:tab/>
        <w:t>Vv. 17-18a: Eine der umstrittensten Stellen in der Bibel überhaupt; hier sind etwas ausführlichere Anmerkungen angebracht. Sie sind dennoch möglichst knapp gehalten; für eine sehr schön verständliche Zfsg. s. z.B. den kürzlich erschienenen Eintrag auf dem Blog Is that in the Bible von Paul Davidson. Das Wort „aufgegraben sind“ findet sich in den verschiedenen Handschriften hauptächlich in zwei Varianten: Als Substantiv ka´ari („wie ein Löwe“) im MT, als Verb ka´ru (s.u.) in anderen Handschriften, u.a. auch in der ältesten existenten Handschrift dieses Verses, XHev/Se4 (für eine Foto der entspr. Stelle s. Hopkin 2005, S. 167). Den Text von MT hatten offenbar auch Tg und Saadja vorliegen; LXX, Sym, Aq, Syr, VUL und Hieronymus dagegen ebenfalls ein Verb. Das ist Schwierigkeit (1). Schwierigkeit (2) ist, dass der Text der Variante ka´ari auf den ersten Blick keinen Sinn macht, gleichzeitig das Wort ka´ru in der zweiten Variante aber nicht zu existieren scheint und wir zu seinem Verständnis auf die alten Übersetzungen angewiesen sind. Schwierigkeit (3) ist dann aber, dass diese das Verb jeweils unterschiedlich verstanden; am wichtigsten: LXX, Syr, VUL: „Sie durchbohrten/gruben auf meine Hände und Füße“; Sym, Aq, Hieronymus: „Sie banden meine Hände und Füße“. Diese textkritische Unsicherheit wird v.a. deshalb so stark diskutiert, weil das „sie durchbohrten meine Hände und Füße“ noch heute sehr häufig als auf Jesus vorausweisender, prophetischer Vers aufgefasst wird. Die Übersetzung „sie durchbohrten/gruben auf“ lässt sich am leichtesten so erklären, dass LXX, Syr und VUL ebenfalls ka´ru vorliegen hatten und dies verstanden als karu mit einem sog. „intrusiven Alef“ (dazu vgl. z.B. Delitzsch 1920 §31; zur Stelle Barré 2004, S. 288) von der Wurzel karah I („graben, bohren“). Die Übersetzung „sie banden“ ist entweder ebenso zu erklären und auf eine sonst in der Bibel nicht verwendete, mit karah I gleichlautende Wurzel karah IV („zusammenbinden“) zurückzuführen (vgl. z.B. KBL3, S. 473; ZLH, S. 350) oder so, dass der ursprüngliche Text nicht ka´ru, sondern ´asru („sie haben gebunden“) gelautet hatte. Dies also sind die ersten drei möglichen Deutungen: * (1) „... wie ein Löwe meine Hände und Füße ...“ - auch durch eine alternative syntaktische Analyse nur schwer erklärlich, für einige Versuche s. aber Alexander 1850, S. 103; Eerdmans 1947, S. 172 nach Ross 1905 und König 1905; Rendsburg 2002b; Swenson 2004, S. 642; Weber 2001, S. 121. * (2) „... sie gruben meine Hände und Füße auf ...“ - so z.B. Gren 2005; Houston/Waltke 2010, S. 393f.; Patterson 2004, S. 223; auch schon Houbigant 1777, S. 14. * (3) „... sie banden meine Hände und Füße ...“ - nach obiger Erklärung (1) z.B. Deissler 1981, S. 103f.; Driver 1946, S. 139; Nõmmik 2014, S. 100; nach Erklärung (2) z.B. Halévy 1893b, S. 292; Vall 1997. Daneben haben einige weitere Vorschläge Schule gemacht und Eingang in dt. Üss. gefunden: * (4) „... meine Hände und Füße sind eingegangen / kurz geworden ...“: ka´ru sei abzuleiten von einer hypothetischen, sonst nicht verwendeten Wurzel karah V („eingehen, kurz werden“); so z.B. Roberts 1973; Kselman 1982, S. 178; zuletzt offenbar Brueggemann/Bellinger 2014. * (5) „... meine Hände und Füße sind aufgebraucht (=erschöpft) ...“: Im ursprünglichen Text habe weder ka´ari noch ka´ru gestanden, sondern ka´lu; so z.B. Craigie 1983, S. 196; Kissane 1953, S. 98.100f. * (6) „... meine Hände und Füße schmerzen ...“: Im ursprünglichen Text habe weder ka´ari noch ka´ru gestanden, sondern ka´abu; so z.B. Weiser 1959, S. 147. Für zwei weitere, zu Unrecht in Vergessenheit geratene Deutungsvorschläge s. Stuart 1852 und Barnes 1936, S. 386. Daneben gibt es weitere, z.T. ganz abwegige Vorschläge. Darüber, dass im ursprünglichen Text ein Verb stand, können wir uns recht sicher sein. Erstens fehlt in 17c nach der Version des MT offensichtlich ein Verb; die alten Ausleger Rashi, Ibn Ezra und Saadja etwa haben aus diesem Grund jeweils ein Verb ergänzen müssen. Zweitens würde nach der Version des MT hier für „Löwe“ eine andere Schreibweise verwendet als in Vv. 14.22, nämlich ´ari statt ´arjeh - was mindestens sehr selten wäre. Drittens werden die Gegner des Psalmisten im Verlauf des Psalms je zweimal mit dem selben Tier verglichen: a: Stiere (V. 13) =&gt; b: Löwen (V. 14) =&gt; c: Hunde (V. 17) =&gt; c': Hunde (V. 21) =&gt; b': Löwen (V. 22a) =&gt; a': Wildstiere (V. 22b). Stünde in V. 17c tatsächlich „Löwe“, wäre dieser Chiasmus zerstört und nur „Löwe“ würde dreimal genannt. Und viertens ist das Gewicht der Handschriften und vielen Übersetzungen, die hier ein Verb haben, sehr stark. Keines dieser Argumente ist zwingend; zusammen weisen sie aber doch recht deutlich darauf, dass im ursprünglichen Text ein Verb stand.Von den obigen Alternativen ist dann sicher (2) vorzuziehen, da (3) - (6) entweder keinen Rückhalt in den alten Übersetzungen und Handschriften haben oder von einem Wort ausgehen müssen, das sich nicht belegen lässt. Außerdem lässt sich nur nach dieser Variante 18a erklären: Gerade deshalb, weil die Gegner dem Psalmisten „Arme und Beine aufgegraben“ haben, kann er nun „all seine Knochen zählen“ - weil ihm das Fleisch von den Knochen gerissen wurde. Auch dieses Verb lässt sich aber nicht mit „durchbohren“ übersetzen, sondern bedeutet „graben“ und wirst meist vom Ausheben eines Brunnen oder eines Grabes verwendet; in diesem Kontext vielleicht am besten „aufreißen“. Sehr überzogen die Üs. von Houston/Waltke 2010, S. 393 („Sie haben Löcher in meine Hände und Füße gebohrt“), die damit spielt, dass man im Dt. und Eng. Brunnen auch „bohren“ kann. Eine eindeutige Parallele zur Kreuzigung Jesu liegt hier also nicht vor. Sie sind aber ja auch so deutlich genug.</w:t>
      </w:r>
    </w:p>
  </w:footnote>
  <w:footnote w:id="1930">
    <w:p>
      <w:pPr>
        <w:pStyle w:val="Funote"/>
        <w:rPr/>
      </w:pPr>
      <w:r>
        <w:rPr/>
        <w:footnoteRef/>
        <w:tab/>
        <w:t>Das Aufteilen der Kleidung ist wohl eine Anspielung auf eine Hinrichtungsszene, s. Mk 15,24 parr., Sanh 6,3; vgl. Deissler 1981, S. 111. Der Psalmist schwebt in unmittelbarer Todesgefahr.</w:t>
      </w:r>
    </w:p>
  </w:footnote>
  <w:footnote w:id="1931">
    <w:p>
      <w:pPr>
        <w:pStyle w:val="Funote"/>
        <w:rPr/>
      </w:pPr>
      <w:r>
        <w:rPr/>
        <w:footnoteRef/>
        <w:tab/>
        <w:t xml:space="preserve">Zu </w:t>
      </w:r>
      <w:r>
        <w:rPr>
          <w:i/>
        </w:rPr>
        <w:t>sei nicht fern</w:t>
      </w:r>
      <w:r>
        <w:rPr/>
        <w:t xml:space="preserve"> s.o. </w:t>
      </w:r>
      <w:r>
        <w:fldChar w:fldCharType="begin"/>
      </w:r>
      <w:r>
        <w:instrText> HYPERLINK "http://offene-bibel.de/wiki/Psalm_22" \l "note_c"</w:instrText>
      </w:r>
      <w:r>
        <w:fldChar w:fldCharType="separate"/>
      </w:r>
      <w:r>
        <w:rPr>
          <w:rStyle w:val="Internetverknpfung"/>
        </w:rPr>
        <w:t>FN c</w:t>
      </w:r>
      <w:r>
        <w:fldChar w:fldCharType="end"/>
      </w:r>
      <w:r>
        <w:rPr/>
        <w:t>.</w:t>
      </w:r>
    </w:p>
  </w:footnote>
  <w:footnote w:id="1932">
    <w:p>
      <w:pPr>
        <w:pStyle w:val="Funote"/>
        <w:rPr/>
      </w:pPr>
      <w:r>
        <w:rPr/>
        <w:footnoteRef/>
        <w:tab/>
        <w:t>Meine Hilfe, eile zu meiner Hilfe! - Wortspiel: Zwei us. Wörter mit der Bed. „Hilfe“ werden hier verwendet; das erste als Bezeichnung für Gott, das zweite zur Bezeichnung dessen, wozu Gott heraneilen soll. Ein Hilfeschrei in Potenz. Zum ersten Wort (´ejalut), das sich nur hier in der Bibel findet, vgl. das syr. ´ijaluta („Hilfe“). Vgl. auch das verwandte ´ejal in Ps 88,5, das dort auch von LXX, Syr und VUL mit „Hilfe“ übersetzt wird, und auch dazu das syr. Äquivalent (´ijala, „Hilfe“). LXX daher richtig: „meine Hilfe“; VUL kannte es offenbar nicht und übersetzt „meine Stärke“. Letzterem folgen leider die meisten Üss.</w:t>
      </w:r>
    </w:p>
  </w:footnote>
  <w:footnote w:id="1933">
    <w:p>
      <w:pPr>
        <w:pStyle w:val="Funote"/>
        <w:rPr/>
      </w:pPr>
      <w:r>
        <w:rPr>
          <w:i/>
        </w:rPr>
        <w:footnoteRef/>
        <w:tab/>
        <w:t>der Hunde</w:t>
      </w:r>
      <w:r>
        <w:rPr/>
        <w:t xml:space="preserve"> - W. „des Hundes“, kollektiver Sg. mit Pl.-Bed.</w:t>
      </w:r>
    </w:p>
  </w:footnote>
  <w:footnote w:id="1934">
    <w:p>
      <w:pPr>
        <w:pStyle w:val="Funote"/>
        <w:rPr/>
      </w:pPr>
      <w:r>
        <w:rPr>
          <w:i/>
        </w:rPr>
        <w:footnoteRef/>
        <w:tab/>
        <w:t>Einzige</w:t>
      </w:r>
      <w:r>
        <w:rPr/>
        <w:t xml:space="preserve"> - wohl poet. Wechselbegriff für „Leben“, s. ebenso </w:t>
      </w:r>
      <w:hyperlink r:id="rId130">
        <w:r>
          <w:rPr>
            <w:rStyle w:val="Internetverknpfung"/>
          </w:rPr>
          <w:t>Ps 35,17</w:t>
        </w:r>
      </w:hyperlink>
      <w:r>
        <w:rPr/>
        <w:t>.</w:t>
      </w:r>
    </w:p>
  </w:footnote>
  <w:footnote w:id="1935">
    <w:p>
      <w:pPr>
        <w:pStyle w:val="Funote"/>
        <w:rPr/>
      </w:pPr>
      <w:r>
        <w:rPr>
          <w:i/>
        </w:rPr>
        <w:footnoteRef/>
        <w:tab/>
        <w:t>der Löwen</w:t>
      </w:r>
      <w:r>
        <w:rPr/>
        <w:t xml:space="preserve"> - W. „des Löwen“, kollektiver Sg. mit Pl.-Bed.</w:t>
      </w:r>
    </w:p>
  </w:footnote>
  <w:footnote w:id="1936">
    <w:p>
      <w:pPr>
        <w:pStyle w:val="Funote"/>
        <w:rPr/>
      </w:pPr>
      <w:r>
        <w:rPr/>
        <w:footnoteRef/>
        <w:tab/>
        <w:t>Textkritik: mein Elendes (erhöre mich, du erhörst mich/hast mich erhört) - Laut MT „du erhörst mich/hast mich erhört“. Viele Üss. und Kommentare wollen das ernsthaft so verstehen, dass mitten in der Zeile ein Heilsorakel, ein Heilshandeln Gottes o.Ä. anzusetzen ist und der Beter also mitten in der Zeile aus einer ganz anderen Situation heraus zu reden beginnt: „Rette mich aus dem Rachen der Löwen / und von den Hörnern der Wildstiere! ... Du hast mir geantwortet.“ Das liegt sehr fern. Entweder haben wir hier einen T-Shift (ein sog. „prekatives Qatal“) vor uns und das Verb mit vermeintlicher Vergangenheits-/Präsensbedeutung wird hier aus poet. Gründen wie ein Imperativ verwendet („antworte mir!“, so Buttenwieser 1938, S. 606; Goldingay 2006, S. 335; Houston/Waltke 2010, S. 394; viele Üss.), oder: LXX, Syr, Sym hatten offenbar in dem ihnen vorliegenden Text nicht anithani („du antwortest mir/hast mir geantwortet“) stehen, sondern anijathi („mein Elendes“), einen weiteren poet. Wechselbegriff für „mein Leben“. Vermutlich ist eher dies der ursprüngliche Text, denn das natürlichste Verständnis des MT („Von den Hörnern der Wildstiere hast du mir geantwortet“) wäre das, dass Gott sich auf den Hörnern des Wildstieres befindet und von dort dem Schreien des Psalmisten antwortet. So auch Kissane 1953, S. 98; Spieckermann 1989, S. 241; Terrien 2003, S. 233 u.a., auch EÜ, GRAIL, HER05. Schön WEIN: „Hole mich aus dem Rachen des Löwen, / mich Armen vom Gehörn der Stiere...!“ Fun Fact: Bei den „Wildstieren“ handelt es sich laut LXX um „Einhörner“; in einigen Üss. hat sich das tatsächlich durchgehalten, z.B. TAF: „Von des Einhorns Hörnern antworte mir!“</w:t>
      </w:r>
    </w:p>
  </w:footnote>
  <w:footnote w:id="1937">
    <w:p>
      <w:pPr>
        <w:pStyle w:val="Funote"/>
        <w:rPr/>
      </w:pPr>
      <w:r>
        <w:rPr/>
        <w:footnoteRef/>
        <w:tab/>
        <w:t>deinen Namen - Der „Name“ Gottes steht in Kontexten wie diesem fast stets für „Gott im Menschenmund“: Der Psalmist verspricht, Gott vor seinen Glaubensbrüdern zu preisen, wenn er ihm hilft. Der Übergang von der Bitte zum Dankgelübde kommt hier wie oft sehr plötzlich; mitgedacht werden muss: „[Wenn du dies alles tust,] will ich dich vor meinen Brüdern preisen.“ Gut daher MEN, R-S: „Dann will ich deinen Namen meinen Brüdern kundtun“; vielleicht sogar etwas wie die Übersetzungsempfehlung der T4T: „If you save me from them, I will declare to my fellow Israelis...“</w:t>
      </w:r>
    </w:p>
  </w:footnote>
  <w:footnote w:id="1938">
    <w:p>
      <w:pPr>
        <w:pStyle w:val="Funote"/>
        <w:rPr/>
      </w:pPr>
      <w:r>
        <w:rPr/>
        <w:footnoteRef/>
        <w:tab/>
        <w:t>Es folgt eine „Probe der Rede, ... welche der Dichter nach V. 23 zum Ruhme JHVHes im Verein seiner Gesinnungsgenossen halten will, wenn er ihn aus seiner Not gerettet hat.“ (Ehrlich 1905, S. 47)</w:t>
      </w:r>
    </w:p>
  </w:footnote>
  <w:footnote w:id="1939">
    <w:p>
      <w:pPr>
        <w:pStyle w:val="Funote"/>
        <w:rPr/>
      </w:pPr>
      <w:r>
        <w:rPr>
          <w:i/>
        </w:rPr>
        <w:footnoteRef/>
        <w:tab/>
        <w:t>Nachkommen Jakobs</w:t>
      </w:r>
      <w:r>
        <w:rPr/>
        <w:t xml:space="preserve"> - Häufiger Wechselbegriff für die „Israeliten“, die Nachfahren ihres Stammvaters Jakob/Israel (vgl. </w:t>
      </w:r>
      <w:r>
        <w:fldChar w:fldCharType="begin"/>
      </w:r>
      <w:r>
        <w:instrText> HYPERLINK "https://www.bibelwissenschaft.de/stichwort/22151/" \l "h3"</w:instrText>
      </w:r>
      <w:r>
        <w:fldChar w:fldCharType="separate"/>
      </w:r>
      <w:r>
        <w:rPr>
          <w:rStyle w:val="Internetverknpfung"/>
        </w:rPr>
        <w:t>Jakob (WiBiLex)</w:t>
      </w:r>
      <w:r>
        <w:fldChar w:fldCharType="end"/>
      </w:r>
      <w:r>
        <w:rPr/>
        <w:t>). Der Psalmist verspricht, als Bindeglied zwischen der in Vv. 4-6 berichteten Verehrung der „Vorfahren“ und der Verehrung der aktuellen Kultgemeinde, den „Nachkommen Jakobs“, zu fungieren: Schon diese haben Gott verehrt und auch deren Nachkommen will nun der Psalmist zur Verehrung Gottes aufrufen.</w:t>
      </w:r>
    </w:p>
  </w:footnote>
  <w:footnote w:id="1940">
    <w:p>
      <w:pPr>
        <w:pStyle w:val="Funote"/>
        <w:rPr/>
      </w:pPr>
      <w:r>
        <w:rPr>
          <w:i/>
        </w:rPr>
        <w:footnoteRef/>
        <w:tab/>
        <w:t>Erschauert</w:t>
      </w:r>
      <w:r>
        <w:rPr/>
        <w:t>, nämlich in Ehrfurcht.</w:t>
      </w:r>
    </w:p>
  </w:footnote>
  <w:footnote w:id="1941">
    <w:p>
      <w:pPr>
        <w:pStyle w:val="Funote"/>
        <w:rPr/>
      </w:pPr>
      <w:r>
        <w:rPr/>
        <w:footnoteRef/>
        <w:tab/>
        <w:t>Er hat nicht sein Gesicht vor ihm verborgen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27,9; 30,8; 44,25; 69,18; 88,15; 102,3; 104,29; 143,7; Jes 8,17; 54,8; 59,2; 64,6; Jer 33,5; Ez 39,23f.29; Mic 3,4): JHWH verbirgt sein Gesicht vor jemandem = JHWH schaut jemanden nicht mehr gnädig an (und lässt so zu, dass Unheil über ihn hereinbricht). Der zur Probe gegebene Lobpreis ist suggestiv formuliert: Gott hat nicht verachtet, nicht verabscheut und nicht sein Gesicht verborgen; erst mit dem vierten Verb folgt eine positive Formulierung. Das macht Sinn: V. 25 ist immer noch Teil des Bittgebets, mit dem der Beter JHWH zur Umkehr bewegen will: Er soll doch bitte aufhören, sein Gesicht vor ihm zu verbergen.</w:t>
      </w:r>
    </w:p>
  </w:footnote>
  <w:footnote w:id="1942">
    <w:p>
      <w:pPr>
        <w:pStyle w:val="Funote"/>
        <w:rPr/>
      </w:pPr>
      <w:r>
        <w:rPr/>
        <w:footnoteRef/>
        <w:tab/>
        <w:t>Von dir [wird sein] mein Lobgesang in großer Kultgemeinde - d.h. Du wirst mir durch deine Hilfe Anlass zum Lobgesang geben (Driver 1898, S. 58 FN 2). Noch mal wird der Bestechungsversuch deutlich gemacht: JHWH muss helfen, dann wird der Psalmist im Gegenzug besagten Lobgesang anstimmen. Gut übersetzt NGÜ: „Du, Herr, gibst mir Grund dafür, dich zu loben inmitten der großen Gemeinde.“</w:t>
      </w:r>
    </w:p>
  </w:footnote>
  <w:footnote w:id="1943">
    <w:p>
      <w:pPr>
        <w:pStyle w:val="Funote"/>
        <w:rPr/>
      </w:pPr>
      <w:r>
        <w:rPr/>
        <w:footnoteRef/>
        <w:tab/>
        <w:t>V. 27c („euer Herz“) zeigt, dass auch V. 27 eine „Probe einer später zu haltenden Rede“ ist; worin also das Gelübde besteht, lässt sich aus V. 27 erschließen: Der Psalmist gelobt ein Todah-Mahl - ein Dankopfermahl, das der Dankende im Vorhof des Tempels für bis zu 200 andere JHWH-Gläubige spendierte. Vgl. z.B. Deissler 1981, S. 116. Gut wieder WEIN: „...und vor den Augen aller, die dich fürchten, / das Opfer bringen, das ich dir gelobt.“ Textkritik: LXX und Syr haben den Text offenbar nicht als „Rede-probe“ verstanden und daher „euer Herz“ geändert nach „ihr Herz“; dem folgen auch einige Üss.</w:t>
      </w:r>
    </w:p>
  </w:footnote>
  <w:footnote w:id="1944">
    <w:p>
      <w:pPr>
        <w:pStyle w:val="Funote"/>
        <w:rPr/>
      </w:pPr>
      <w:r>
        <w:rPr/>
        <w:footnoteRef/>
        <w:tab/>
        <w:t>Elende - urspr. Bed. d. Wortes: »elend, arm«; in späteren bib. Texten auch ein terminus technicus für JHWH-Verehrer. Diese beiden Bedd. lassen sich oft nicht völlig trennen; auch hier ist wohl beides gemeint.</w:t>
      </w:r>
    </w:p>
  </w:footnote>
  <w:footnote w:id="1945">
    <w:p>
      <w:pPr>
        <w:pStyle w:val="Funote"/>
        <w:rPr/>
      </w:pPr>
      <w:r>
        <w:rPr/>
        <w:footnoteRef/>
        <w:tab/>
        <w:t>die ihn verehren - W. »die ihn suchen«; in späteren Texten aber terminus technicus für den JHWH-Glauben (vgl. THAT I, Sp. 464: »sich zu Jahwe halten«). Hier auch i.S.v. »danken« (nämlich für die Teilhabe am Mahl), aber es ist auffällig, dass das selbe Verb wie in Vv. 23f. verwendet wird: Der Preis des Beters soll über den »Umweg« des Dankopfermahls an die anderen JHWH-Verehrer »überschwappen«.</w:t>
      </w:r>
    </w:p>
  </w:footnote>
  <w:footnote w:id="1946">
    <w:p>
      <w:pPr>
        <w:pStyle w:val="Funote"/>
        <w:rPr/>
      </w:pPr>
      <w:r>
        <w:rPr/>
        <w:footnoteRef/>
        <w:tab/>
        <w:t>Aufleben soll euer Herz für immer scheint eine Art „Banquet-Toast“ (Gordis 1949, S. 171) gewesen zu sein. Die ersten beiden Zeilen sind offen in die Runde gesprochen - wohl einleitend vor Beginn des Todah-Mahls, um das „Ziel“ des Mahl zum Ausdruck zu bringen -, die letzte Zeile als Toast zur Eröffnung des Mahls selbst.</w:t>
      </w:r>
    </w:p>
  </w:footnote>
  <w:footnote w:id="1947">
    <w:p>
      <w:pPr>
        <w:pStyle w:val="Funote"/>
        <w:rPr/>
      </w:pPr>
      <w:r>
        <w:rPr/>
        <w:footnoteRef/>
        <w:tab/>
        <w:t>[davon] - schwierige Stelle; der Zusammenhang von Vv. 28-32 mit vorigen Teil des Psalms ist nicht leicht zu erkennen. Häufig hält man diese Verse daher für eine spätere Hinzufügung. Wahrscheinlich lassen sie sich aber auch so erklären: So, wie der Psalmist laut Vv. 23-25 den JHWH-gläubigen Israeliten von JHWHs Heilshandeln berichtet hat, wird dieser Bericht auch an die andersgläubigen Nationen dringen und beeindruckt von Gottes Macht werden sie sich zu JHWH bekehren. S. zum Gedanken z.B. Ps 51,15f. und vgl. gut Kissane 1953, S. 102.</w:t>
      </w:r>
    </w:p>
  </w:footnote>
  <w:footnote w:id="1948">
    <w:p>
      <w:pPr>
        <w:pStyle w:val="Funote"/>
        <w:rPr/>
      </w:pPr>
      <w:r>
        <w:rPr>
          <w:i/>
        </w:rPr>
        <w:footnoteRef/>
        <w:tab/>
        <w:t>Alle Enden der Erde</w:t>
      </w:r>
      <w:r>
        <w:rPr/>
        <w:t xml:space="preserve"> = „die ganze Welt“.</w:t>
      </w:r>
    </w:p>
  </w:footnote>
  <w:footnote w:id="1949">
    <w:p>
      <w:pPr>
        <w:pStyle w:val="Funote"/>
        <w:rPr/>
      </w:pPr>
      <w:r>
        <w:rPr/>
        <w:footnoteRef/>
        <w:tab/>
        <w:t>Textkritik: vor dir (vor ihm) - „vor dir“ nach MT; vor ihm nach einigen Handschriften, LXX, Syr, Hieronymus. Häufig wird daher in Kommentaren und Üss. davon ausgegangen, dass Letzteres die ursprüngliche Version war, und der Text zu „vor ihm“ geändert. Wohl unnötig; der unvermittelte Wechsel von einer Person zur anderen ist in der bib. Poesie ein häufiges Stilmittel („P-Shift“); die Üs. von LXX, Syr und Hieronymus lassen sich auch damit erklären, dass sie das erkannt und idiomatscher in ihre Sprachen übertragen haben.</w:t>
      </w:r>
    </w:p>
  </w:footnote>
  <w:footnote w:id="1950">
    <w:p>
      <w:pPr>
        <w:pStyle w:val="Funote"/>
        <w:rPr/>
      </w:pPr>
      <w:r>
        <w:rPr>
          <w:i/>
        </w:rPr>
        <w:footnoteRef/>
        <w:tab/>
        <w:t>[mit den Worten]</w:t>
      </w:r>
      <w:r>
        <w:rPr/>
        <w:t xml:space="preserve"> - Auch V. 29 ist wahrscheinlich ein Zitat; hier das Zitat von „allen Sippen der Völker“, die damit Gott als rechtmäßigen Herrscher über die Völker anerkennen. Das </w:t>
      </w:r>
      <w:r>
        <w:rPr>
          <w:i/>
        </w:rPr>
        <w:t>ki</w:t>
      </w:r>
      <w:r>
        <w:rPr/>
        <w:t xml:space="preserve"> („Ja!“, „denn“) ist dann wohl ein sog. „</w:t>
      </w:r>
      <w:r>
        <w:rPr>
          <w:i/>
        </w:rPr>
        <w:t>ki</w:t>
      </w:r>
      <w:r>
        <w:rPr/>
        <w:t xml:space="preserve"> recitativum“ und dient genau dem Zweck, das folgende als wörtliche Rede zu markieren.</w:t>
      </w:r>
    </w:p>
  </w:footnote>
  <w:footnote w:id="1951">
    <w:p>
      <w:pPr>
        <w:pStyle w:val="Funote"/>
        <w:rPr/>
      </w:pPr>
      <w:r>
        <w:rPr/>
        <w:footnoteRef/>
        <w:tab/>
        <w:t>Textkritik: Die alternative Üs. ist die wörtliche Üs. des MT, der offensichtlich keinen Sinn macht. Beinahe allgemein anerkannt ist daher die Textkorrektur von ´aklu wajischtachawu („Es aßen und warfen sich nieder“; Konsonanten: ´klw wjschtchw) zu ´ak lo jischtachawu („Ja, vor ihm warfen sich nieder“; Konsonanten: ´k lw jschtchw). Für eine noch schonendere Textkorrektur s. die übernächste FN.</w:t>
      </w:r>
    </w:p>
  </w:footnote>
  <w:footnote w:id="1952">
    <w:p>
      <w:pPr>
        <w:pStyle w:val="Funote"/>
        <w:rPr/>
      </w:pPr>
      <w:r>
        <w:rPr>
          <w:i/>
        </w:rPr>
        <w:footnoteRef/>
        <w:tab/>
        <w:t>seinem Gesicht</w:t>
      </w:r>
      <w:r>
        <w:rPr/>
        <w:t xml:space="preserve"> - d.h. „vor ihm“.</w:t>
      </w:r>
    </w:p>
  </w:footnote>
  <w:footnote w:id="1953">
    <w:p>
      <w:pPr>
        <w:pStyle w:val="Funote"/>
        <w:rPr/>
      </w:pPr>
      <w:r>
        <w:rPr/>
        <w:footnoteRef/>
        <w:tab/>
        <w:t>Vv. 30f. - Wir folgen hier der Deutung von Keel-Leu 1970, der auch Kselman 1982, S. 189 und Davis 1992, S. 101, FN 2 folgen: Laut mehrfachem Zeugnis der Bibel können Gestorbene JHWH gar nicht preisen (s. Ps 6,6; 30,10; 88,11f.; 115,17; Jes 38,18; Sir 17,22f.). Vv. 30c darf daher nicht zu 30b gezogen werden („Es werden sich verbeugen alle Fetten der Erde vor seinem Gesicht / und der, der seine Seele nicht am Leben erhalten konnte.“), sondern muss als Nebensatz von V. 31a gedeutet werden: „[Von dem,] der seine Seele nicht am Leben erhalten konnte, / werden [seine] Nachkommen ihm dienen“. Die „Fetten“, die, die „in den Staub sinken“ (dazu s.o. FN v) und die, die „ihre Seele nicht am Leben erhalten konnten“ bilden einen dreifachen Merismus, mit dem die Gesamtheit der andersgläubigen Völker bezeichnet werden: Die „Fetten“ sind dabei die Gesunden und Reichen unter ihnen (sicher in Abgrenzung von den „elenden“ Israeliten in V. 27); die, die „in den Staub sinken“ die Sterbenden und die, die „ihre Seele nicht am Leben erhalten konnten“ die bereits Gestorbenen. Sogar sie werden über den „Umweg“ ihrer Nachfahren in die allgemeine JHWH-Verehrung eingegliedert. tFN: Diese Deutung ist übrigens vielleicht auch mit einer noch schonenderen Textkorrektur als der in 30a möglich: Das Wayyiqtol wajischtachawu ist umzupunktieren zum Weyiqtol wejischtachawu; das we fungiert dabei als „Waw apodoseos“. ´aklu ist ein independenter asyndetischer Relativsatz wie z.B. auch in Jes 41,24, dann: Wer aß, wird sich niederwerfen, (gemeint sind die zum Mahl geladenen Armen aus V. 27) : Alle Fetten der Erde (sc. die Reichen) werden sich vor seinem Gesicht verbeugen; Und von allen, die hinabgestiegen sind in den Staub - : Von dem, der seine Seele nicht am Leben erhalten konnte - : Werden [seine] Nachkommen ihm dienen.</w:t>
      </w:r>
    </w:p>
  </w:footnote>
  <w:footnote w:id="1954">
    <w:p>
      <w:pPr>
        <w:pStyle w:val="Funote"/>
        <w:rPr/>
      </w:pPr>
      <w:r>
        <w:rPr/>
        <w:footnoteRef/>
        <w:tab/>
        <w:t>Textkritik: W. „sie werden kommen“; das Wort gehört wie in der LXX noch zum letzten Vers („der Generation, [die noch kommen wird]“); so fast alle Exegeten; eine neuere Ausnahme z.B. Houston/Waltke 2010, S. 396.</w:t>
      </w:r>
    </w:p>
  </w:footnote>
  <w:footnote w:id="1955">
    <w:p>
      <w:pPr>
        <w:pStyle w:val="Funote"/>
        <w:rPr/>
      </w:pPr>
      <w:r>
        <w:rPr/>
        <w:footnoteRef/>
        <w:tab/>
        <w:t>[Status: Sehr gut]</w:t>
      </w:r>
    </w:p>
  </w:footnote>
  <w:footnote w:id="1956">
    <w:p>
      <w:pPr>
        <w:pStyle w:val="Funote"/>
        <w:rPr/>
      </w:pPr>
      <w:r>
        <w:rPr/>
        <w:footnoteRef/>
        <w:tab/>
        <w:t>E. Zenger übersetzt in seinem Kommentar: „»Mein Hirte ist der Herr« (und niemand sonst)“ (Hossfeld/Zenger 1993, 153). Psalm 23 vergleicht Gottes Fürsorge mit der eines Hirten für seine Schafe.</w:t>
      </w:r>
    </w:p>
  </w:footnote>
  <w:footnote w:id="1957">
    <w:p>
      <w:pPr>
        <w:pStyle w:val="Funote"/>
        <w:rPr/>
      </w:pPr>
      <w:r>
        <w:rPr/>
        <w:footnoteRef/>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1958">
    <w:p>
      <w:pPr>
        <w:pStyle w:val="Funote"/>
        <w:rPr/>
      </w:pPr>
      <w:r>
        <w:rPr/>
        <w:footnoteRef/>
        <w:tab/>
        <w:t>so Waltke 2010, S. 434</w:t>
      </w:r>
    </w:p>
  </w:footnote>
  <w:footnote w:id="1959">
    <w:p>
      <w:pPr>
        <w:pStyle w:val="Funote"/>
        <w:rPr/>
      </w:pPr>
      <w:r>
        <w:rPr/>
        <w:footnoteRef/>
        <w:tab/>
        <w:t>Die Constructus-Verbindung hier kann verschieden aufgelöst werden. Diese Übersetzung ist wörtlicher; s.a. NGÜ, GNB.</w:t>
      </w:r>
    </w:p>
  </w:footnote>
  <w:footnote w:id="1960">
    <w:p>
      <w:pPr>
        <w:pStyle w:val="Funote"/>
        <w:rPr/>
      </w:pPr>
      <w:r>
        <w:rPr/>
        <w:footnoteRef/>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1961">
    <w:p>
      <w:pPr>
        <w:pStyle w:val="Funote"/>
        <w:rPr/>
      </w:pPr>
      <w:r>
        <w:rPr/>
        <w:footnoteRef/>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1962">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t>
      </w:r>
      <w:hyperlink r:id="rId131">
        <w:r>
          <w:rPr>
            <w:rStyle w:val="Internetverknpfung"/>
          </w:rPr>
          <w:t>Wibilex.de, Art. „Leben“</w:t>
        </w:r>
      </w:hyperlink>
      <w:r>
        <w:rPr/>
        <w:t xml:space="preserve">,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1963">
    <w:p>
      <w:pPr>
        <w:pStyle w:val="Funote"/>
        <w:rPr/>
      </w:pPr>
      <w:r>
        <w:rPr/>
        <w:footnoteRef/>
        <w:tab/>
        <w:t>Die Einheitsübersetzung hat: „Er stillt mein Verlangen.“ E. Zenger schlägt in seinem Kommentar als Alternative hierzu vor: „Er stellt meine Lebenskraft wieder her.“ (Hossfeld/Zenger 1993, 153)</w:t>
      </w:r>
    </w:p>
  </w:footnote>
  <w:footnote w:id="1964">
    <w:p>
      <w:pPr>
        <w:pStyle w:val="Funote"/>
        <w:rPr/>
      </w:pPr>
      <w:r>
        <w:rPr/>
        <w:footnoteRef/>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1965">
    <w:p>
      <w:pPr>
        <w:pStyle w:val="Funote"/>
        <w:rPr/>
      </w:pPr>
      <w:r>
        <w:rPr/>
        <w:footnoteRef/>
        <w:tab/>
        <w:t>vgl. Ehrlich 1905, S. 60: „</w:t>
      </w:r>
      <w:r>
        <w:rPr>
          <w:rtl w:val="true"/>
          <w:lang w:bidi="he-IL"/>
        </w:rPr>
        <w:t>ילך</w:t>
      </w:r>
      <w:r>
        <w:rPr/>
        <w:t xml:space="preserve"> </w:t>
      </w:r>
      <w:r>
        <w:rPr/>
        <w:t>kann nur ein Hingehen oder Hineingehen, nicht aber eine Bewegung innerhalb gegebener Grenzen bezeichnen.“</w:t>
      </w:r>
    </w:p>
  </w:footnote>
  <w:footnote w:id="1966">
    <w:p>
      <w:pPr>
        <w:pStyle w:val="Funote"/>
        <w:rPr/>
      </w:pPr>
      <w:r>
        <w:rPr/>
        <w:footnoteRef/>
        <w:tab/>
        <w:t>vgl. Sabottka 1972, S. 129</w:t>
      </w:r>
    </w:p>
  </w:footnote>
  <w:footnote w:id="1967">
    <w:p>
      <w:pPr>
        <w:pStyle w:val="Funote"/>
        <w:rPr/>
      </w:pPr>
      <w:r>
        <w:rPr>
          <w:rtl w:val="true"/>
          <w:lang w:bidi="he-IL"/>
        </w:rPr>
        <w:footnoteRef/>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1968">
    <w:p>
      <w:pPr>
        <w:pStyle w:val="Funote"/>
        <w:rPr/>
      </w:pPr>
      <w:r>
        <w:rPr/>
        <w:footnoteRef/>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1969">
    <w:p>
      <w:pPr>
        <w:pStyle w:val="Funote"/>
        <w:rPr/>
      </w:pPr>
      <w:r>
        <w:rPr/>
        <w:footnoteRef/>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1970">
    <w:p>
      <w:pPr>
        <w:pStyle w:val="Funote"/>
        <w:rPr/>
      </w:pPr>
      <w:r>
        <w:rPr/>
        <w:footnoteRef/>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1971">
    <w:p>
      <w:pPr>
        <w:pStyle w:val="Funote"/>
        <w:rPr/>
      </w:pPr>
      <w:r>
        <w:rPr/>
        <w:footnoteRef/>
        <w:tab/>
        <w:t>pluralis maiestatis / intensitatis; so Sabottka 1972, S. 129</w:t>
      </w:r>
    </w:p>
  </w:footnote>
  <w:footnote w:id="1972">
    <w:p>
      <w:pPr>
        <w:pStyle w:val="Funote"/>
        <w:rPr/>
      </w:pPr>
      <w:r>
        <w:rPr/>
        <w:footnoteRef/>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1973">
    <w:p>
      <w:pPr>
        <w:pStyle w:val="Funote"/>
        <w:rPr/>
      </w:pPr>
      <w:r>
        <w:rPr/>
        <w:footnoteRef/>
        <w:tab/>
        <w:t>„</w:t>
      </w:r>
      <w:r>
        <w:rPr/>
        <w:t xml:space="preserve">randvoll (fließt über)“ ist wörtlich eigentlich ein Substantiv: „Mein Becher [ist] Überfluss“; der Einsatz von Substantiven als Adjektiven ist aber ganz gewöhnlich im Hebräischen; s. z.B. </w:t>
      </w:r>
      <w:r>
        <w:fldChar w:fldCharType="begin"/>
      </w:r>
      <w:r>
        <w:instrText> HYPERLINK "http://en.wikisource.org/wiki/Gesenius'_Hebrew_Grammar/141._The_Noun-clause" \l "GHGpar-141-c"</w:instrText>
      </w:r>
      <w:r>
        <w:fldChar w:fldCharType="separate"/>
      </w:r>
      <w:r>
        <w:rPr>
          <w:rStyle w:val="Internetverknpfung"/>
        </w:rPr>
        <w:t>GKC §141c</w:t>
      </w:r>
      <w:r>
        <w:fldChar w:fldCharType="end"/>
      </w:r>
      <w:r>
        <w:rPr/>
        <w:t>.</w:t>
      </w:r>
    </w:p>
  </w:footnote>
  <w:footnote w:id="1974">
    <w:p>
      <w:pPr>
        <w:pStyle w:val="Funote"/>
        <w:rPr/>
      </w:pPr>
      <w:r>
        <w:rPr/>
        <w:footnoteRef/>
        <w:tab/>
        <w:t>An dieser Stelle kann das Wort sowohl bekräftigend als auch einschränkend verstanden werden.</w:t>
      </w:r>
    </w:p>
  </w:footnote>
  <w:footnote w:id="1975">
    <w:p>
      <w:pPr>
        <w:pStyle w:val="Funote"/>
        <w:rPr/>
      </w:pPr>
      <w:r>
        <w:rPr/>
        <w:footnoteRef/>
        <w:tab/>
        <w:t>nach Knauf 2001, S. 556.</w:t>
      </w:r>
    </w:p>
  </w:footnote>
  <w:footnote w:id="1976">
    <w:p>
      <w:pPr>
        <w:pStyle w:val="Funote"/>
        <w:rPr/>
      </w:pPr>
      <w:r>
        <w:rPr/>
        <w:footnoteRef/>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1977">
    <w:p>
      <w:pPr>
        <w:pStyle w:val="Funote"/>
        <w:rPr/>
      </w:pPr>
      <w:r>
        <w:rPr/>
        <w:footnoteRef/>
        <w:tab/>
        <w:t>[Status: Ungeprüft]</w:t>
      </w:r>
    </w:p>
  </w:footnote>
  <w:footnote w:id="1978">
    <w:p>
      <w:pPr>
        <w:pStyle w:val="Funote"/>
        <w:rPr/>
      </w:pPr>
      <w:r>
        <w:rPr/>
        <w:footnoteRef/>
        <w:tab/>
        <w:t xml:space="preserve">Lexikon: </w:t>
      </w:r>
      <w:hyperlink r:id="rId132">
        <w:r>
          <w:rPr>
            <w:rStyle w:val="Internetverknpfung"/>
          </w:rPr>
          <w:t>Sela</w:t>
        </w:r>
      </w:hyperlink>
    </w:p>
  </w:footnote>
  <w:footnote w:id="1979">
    <w:p>
      <w:pPr>
        <w:pStyle w:val="Funote"/>
        <w:rPr/>
      </w:pPr>
      <w:r>
        <w:rPr/>
        <w:footnoteRef/>
        <w:tab/>
        <w:t>[Status: Ungeprüft]</w:t>
      </w:r>
    </w:p>
  </w:footnote>
  <w:footnote w:id="1980">
    <w:p>
      <w:pPr>
        <w:pStyle w:val="Funote"/>
        <w:rPr/>
      </w:pPr>
      <w:r>
        <w:rPr/>
        <w:footnoteRef/>
        <w:tab/>
        <w:t>Die Einheitsübersetzung übersetzt hier frei: denn ich habe ohne Schuld gelebt.</w:t>
      </w:r>
    </w:p>
  </w:footnote>
  <w:footnote w:id="1981">
    <w:p>
      <w:pPr>
        <w:pStyle w:val="Funote"/>
        <w:rPr/>
      </w:pPr>
      <w:r>
        <w:rPr/>
        <w:footnoteRef/>
        <w:tab/>
        <w:t xml:space="preserve">Alle drei Verben drücken das Prüfen, testen, versuchen,usw. aus, eine genauere Untersuchung wäre schön. Die Verben in der Reihenfolge: </w:t>
      </w:r>
      <w:r>
        <w:rPr>
          <w:rtl w:val="true"/>
          <w:lang w:bidi="he-IL"/>
        </w:rPr>
        <w:t>בחן</w:t>
      </w:r>
      <w:r>
        <w:rPr>
          <w:rtl w:val="true"/>
        </w:rPr>
        <w:t xml:space="preserve"> </w:t>
      </w:r>
      <w:r>
        <w:rPr>
          <w:rtl w:val="true"/>
        </w:rPr>
        <w:t xml:space="preserve">- </w:t>
      </w:r>
      <w:r>
        <w:rPr>
          <w:rtl w:val="true"/>
          <w:lang w:bidi="he-IL"/>
        </w:rPr>
        <w:t>נסה</w:t>
      </w:r>
      <w:r>
        <w:rPr>
          <w:rtl w:val="true"/>
        </w:rPr>
        <w:t xml:space="preserve"> </w:t>
      </w:r>
      <w:r>
        <w:rPr>
          <w:rtl w:val="true"/>
        </w:rPr>
        <w:t xml:space="preserve">- </w:t>
      </w:r>
      <w:r>
        <w:rPr>
          <w:rtl w:val="true"/>
          <w:lang w:bidi="he-IL"/>
        </w:rPr>
        <w:t>צרף</w:t>
      </w:r>
    </w:p>
  </w:footnote>
  <w:footnote w:id="1982">
    <w:p>
      <w:pPr>
        <w:pStyle w:val="Funote"/>
        <w:rPr/>
      </w:pPr>
      <w:r>
        <w:rPr/>
        <w:footnoteRef/>
        <w:tab/>
        <w:t>Part. nif. m.</w:t>
      </w:r>
    </w:p>
  </w:footnote>
  <w:footnote w:id="1983">
    <w:p>
      <w:pPr>
        <w:pStyle w:val="Funote"/>
        <w:rPr/>
      </w:pPr>
      <w:r>
        <w:rPr/>
        <w:footnoteRef/>
        <w:tab/>
        <w:t>Oder einfacher: um dir laut Danke zu sagen/singen.</w:t>
      </w:r>
    </w:p>
  </w:footnote>
  <w:footnote w:id="1984">
    <w:p>
      <w:pPr>
        <w:pStyle w:val="Funote"/>
        <w:rPr/>
      </w:pPr>
      <w:r>
        <w:rPr/>
        <w:footnoteRef/>
        <w:tab/>
        <w:t>ELB, LUT EIN u.a. Übersetzungen übersetzen hier präsentisch, obwohl hier ein Perfekt steht.</w:t>
      </w:r>
    </w:p>
  </w:footnote>
  <w:footnote w:id="1985">
    <w:p>
      <w:pPr>
        <w:pStyle w:val="Funote"/>
        <w:rPr/>
      </w:pPr>
      <w:r>
        <w:rPr/>
        <w:footnoteRef/>
        <w:tab/>
        <w:t>[Status: Ungeprüft]</w:t>
      </w:r>
    </w:p>
  </w:footnote>
  <w:footnote w:id="1986">
    <w:p>
      <w:pPr>
        <w:pStyle w:val="Funote"/>
        <w:rPr/>
      </w:pPr>
      <w:r>
        <w:rPr/>
        <w:footnoteRef/>
        <w:tab/>
        <w:t xml:space="preserve">baqer im AT wird als terminus technicus für die Opferschau benutzt; es ist nicht klar, wie dann in diesem Kontext zu übersetzen ist. Es wird zudem vermutet, dass es verwandt mit boqer (Morgen) sein könnte. </w:t>
      </w:r>
    </w:p>
  </w:footnote>
  <w:footnote w:id="1987">
    <w:p>
      <w:pPr>
        <w:pStyle w:val="Funote"/>
        <w:rPr/>
      </w:pPr>
      <w:r>
        <w:rPr/>
        <w:footnoteRef/>
        <w:tab/>
        <w:t xml:space="preserve">Laut Gesenius meint das etwa: „In einen Zufluchtsort wird er mich sicher stellen.“ </w:t>
      </w:r>
    </w:p>
  </w:footnote>
  <w:footnote w:id="1988">
    <w:p>
      <w:pPr>
        <w:pStyle w:val="Funote"/>
        <w:rPr/>
      </w:pPr>
      <w:r>
        <w:rPr/>
        <w:footnoteRef/>
        <w:tab/>
        <w:t>JHWH Zitat aus Amos 5,6.</w:t>
      </w:r>
    </w:p>
  </w:footnote>
  <w:footnote w:id="1989">
    <w:p>
      <w:pPr>
        <w:pStyle w:val="Funote"/>
        <w:rPr/>
      </w:pPr>
      <w:r>
        <w:rPr/>
        <w:footnoteRef/>
        <w:tab/>
        <w:t>[Status: Ungeprüft]</w:t>
      </w:r>
    </w:p>
  </w:footnote>
  <w:footnote w:id="1990">
    <w:p>
      <w:pPr>
        <w:pStyle w:val="Funote"/>
        <w:rPr/>
      </w:pPr>
      <w:r>
        <w:rPr/>
        <w:footnoteRef/>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1991">
    <w:p>
      <w:pPr>
        <w:pStyle w:val="Funote"/>
        <w:rPr/>
      </w:pPr>
      <w:r>
        <w:rPr/>
        <w:footnoteRef/>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1992">
    <w:p>
      <w:pPr>
        <w:pStyle w:val="Funote"/>
        <w:rPr/>
      </w:pPr>
      <w:r>
        <w:rPr/>
        <w:footnoteRef/>
        <w:tab/>
        <w:t>[Status: Zuverlässig]</w:t>
      </w:r>
    </w:p>
  </w:footnote>
  <w:footnote w:id="1993">
    <w:p>
      <w:pPr>
        <w:pStyle w:val="Funote"/>
        <w:rPr/>
      </w:pPr>
      <w:r>
        <w:rPr/>
        <w:footnoteRef/>
        <w:tab/>
        <w:t xml:space="preserve">Die „Tempelweihe“ ist das seit 165 v. Chr. begangene Fest der Wiederherstellung des Tempels (vgl. </w:t>
      </w:r>
      <w:hyperlink r:id="rId133">
        <w:r>
          <w:rPr>
            <w:rStyle w:val="Internetverknpfung"/>
          </w:rPr>
          <w:t>1Makk 4,52ff</w:t>
        </w:r>
      </w:hyperlink>
      <w:r>
        <w:rPr/>
        <w:t xml:space="preserve">; </w:t>
      </w:r>
      <w:hyperlink r:id="rId134">
        <w:r>
          <w:rPr>
            <w:rStyle w:val="Internetverknpfung"/>
          </w:rPr>
          <w:t>2Makk 10,5ff</w:t>
        </w:r>
      </w:hyperlink>
      <w:r>
        <w:rPr/>
        <w:t xml:space="preserve">; </w:t>
      </w:r>
      <w:r>
        <w:fldChar w:fldCharType="begin"/>
      </w:r>
      <w:r>
        <w:instrText> HYPERLINK "file:///wiki/Johannes_10" \l "s22"</w:instrText>
      </w:r>
      <w:r>
        <w:fldChar w:fldCharType="separate"/>
      </w:r>
      <w:r>
        <w:rPr>
          <w:rStyle w:val="Internetverknpfung"/>
        </w:rPr>
        <w:t>Joh 10,22</w:t>
      </w:r>
      <w:r>
        <w:fldChar w:fldCharType="end"/>
      </w:r>
      <w:r>
        <w:rPr/>
        <w:t>). Nach Sopherim 18,2 wurde der Psalm in der Tat zu dieser Gelegenheit gesungen.</w:t>
      </w:r>
    </w:p>
  </w:footnote>
  <w:footnote w:id="1994">
    <w:p>
      <w:pPr>
        <w:pStyle w:val="Funote"/>
        <w:rPr/>
      </w:pPr>
      <w:r>
        <w:rPr/>
        <w:footnoteRef/>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1995">
    <w:p>
      <w:pPr>
        <w:pStyle w:val="Funote"/>
        <w:rPr/>
      </w:pPr>
      <w:r>
        <w:rPr/>
        <w:footnoteRef/>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1996">
    <w:p>
      <w:pPr>
        <w:pStyle w:val="Funote"/>
        <w:rPr/>
      </w:pPr>
      <w:r>
        <w:rPr/>
        <w:footnoteRef/>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1997">
    <w:p>
      <w:pPr>
        <w:pStyle w:val="Funote"/>
        <w:rPr/>
      </w:pPr>
      <w:r>
        <w:rPr/>
        <w:footnoteRef/>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1998">
    <w:p>
      <w:pPr>
        <w:pStyle w:val="Funote"/>
        <w:rPr/>
      </w:pPr>
      <w:r>
        <w:rPr/>
        <w:footnoteRef/>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1999">
    <w:p>
      <w:pPr>
        <w:pStyle w:val="Funote"/>
        <w:rPr/>
      </w:pPr>
      <w:r>
        <w:rPr/>
        <w:footnoteRef/>
        <w:tab/>
        <w:t>W. „meine Seele“, doch im Hebräischen dient dies fast stets als Wechselbegriff für „mich“ (vgl. ad loc. Briggs 1906, S. 262; Terrien 2003, S. 282); übersetze durchaus wie vorgeschlagen.</w:t>
      </w:r>
    </w:p>
  </w:footnote>
  <w:footnote w:id="2000">
    <w:p>
      <w:pPr>
        <w:pStyle w:val="Funote"/>
        <w:rPr/>
      </w:pPr>
      <w:r>
        <w:rPr/>
        <w:footnoteRef/>
        <w:tab/>
        <w:t>gut verständlich ALB, HfA: „du hast mich dem Tode entrissen“</w:t>
      </w:r>
    </w:p>
  </w:footnote>
  <w:footnote w:id="2001">
    <w:p>
      <w:pPr>
        <w:pStyle w:val="Funote"/>
        <w:rPr/>
      </w:pPr>
      <w:r>
        <w:rPr/>
        <w:footnoteRef/>
        <w:tab/>
        <w:t xml:space="preserve">zu „Grube“ als Metapher für die Unterwelt vgl. </w:t>
      </w:r>
      <w:r>
        <w:fldChar w:fldCharType="begin"/>
      </w:r>
      <w:r>
        <w:instrText> HYPERLINK "http://www.offene-bibel.de/wiki/index.php5?title=Psalm_30" \l "note_c"</w:instrText>
      </w:r>
      <w:r>
        <w:fldChar w:fldCharType="separate"/>
      </w:r>
      <w:r>
        <w:rPr>
          <w:rStyle w:val="Internetverknpfung"/>
        </w:rPr>
        <w:t>FN c</w:t>
      </w:r>
      <w:r>
        <w:fldChar w:fldCharType="end"/>
      </w:r>
    </w:p>
  </w:footnote>
  <w:footnote w:id="2002">
    <w:p>
      <w:pPr>
        <w:pStyle w:val="Funote"/>
        <w:rPr/>
      </w:pPr>
      <w:r>
        <w:rPr/>
        <w:footnoteRef/>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2003">
    <w:p>
      <w:pPr>
        <w:pStyle w:val="Funote"/>
        <w:rPr/>
      </w:pPr>
      <w:r>
        <w:rPr/>
        <w:footnoteRef/>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2004">
    <w:p>
      <w:pPr>
        <w:pStyle w:val="Funote"/>
        <w:rPr/>
      </w:pPr>
      <w:r>
        <w:rPr/>
        <w:footnoteRef/>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2005">
    <w:p>
      <w:pPr>
        <w:pStyle w:val="Funote"/>
        <w:rPr/>
      </w:pPr>
      <w:r>
        <w:rPr/>
        <w:footnoteRef/>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2006">
    <w:p>
      <w:pPr>
        <w:pStyle w:val="Funote"/>
        <w:rPr/>
      </w:pPr>
      <w:r>
        <w:rPr/>
        <w:footnoteRef/>
        <w:tab/>
        <w:t xml:space="preserve">emphatisches </w:t>
      </w:r>
      <w:r>
        <w:rPr>
          <w:rtl w:val="true"/>
          <w:lang w:bidi="he-IL"/>
        </w:rPr>
        <w:t>כי</w:t>
      </w:r>
      <w:r>
        <w:rPr/>
        <w:t>, so auch Deissler 1989; Kraus 1961. Im Deutschen nicht zu übersetzen.</w:t>
      </w:r>
    </w:p>
  </w:footnote>
  <w:footnote w:id="2007">
    <w:p>
      <w:pPr>
        <w:pStyle w:val="Funote"/>
        <w:rPr/>
      </w:pPr>
      <w:r>
        <w:rPr/>
        <w:footnoteRef/>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 Es wird einfach ein Verb ergänzt, z.B.: „Nur kurz [handelt er] in seinem Zorn...“: Briggs 1906; Deissler 1989; Kraus 1961; Weber 2007</w:t>
      </w:r>
    </w:p>
  </w:footnote>
  <w:footnote w:id="2008">
    <w:p>
      <w:pPr>
        <w:pStyle w:val="Funote"/>
        <w:rPr/>
      </w:pPr>
      <w:r>
        <w:rPr/>
        <w:footnoteRef/>
        <w:tab/>
        <w:t>verbringt man die Nacht auch weinend - so sinnvoll Buttenwieser 1938. Wegen des Parallelismus ist aber doch die Standard-Deutung vorzuziehen.</w:t>
      </w:r>
    </w:p>
  </w:footnote>
  <w:footnote w:id="2009">
    <w:p>
      <w:pPr>
        <w:pStyle w:val="Funote"/>
        <w:rPr/>
      </w:pPr>
      <w:r>
        <w:rPr/>
        <w:footnoteRef/>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2010">
    <w:p>
      <w:pPr>
        <w:pStyle w:val="Funote"/>
        <w:rPr/>
      </w:pPr>
      <w:r>
        <w:rPr/>
        <w:footnoteRef/>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2011">
    <w:p>
      <w:pPr>
        <w:pStyle w:val="Funote"/>
        <w:rPr/>
      </w:pPr>
      <w:r>
        <w:rPr/>
        <w:footnoteRef/>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2012">
    <w:p>
      <w:pPr>
        <w:pStyle w:val="Funote"/>
        <w:rPr/>
      </w:pPr>
      <w:r>
        <w:rPr/>
        <w:footnoteRef/>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2013">
    <w:p>
      <w:pPr>
        <w:pStyle w:val="Funote"/>
        <w:rPr/>
      </w:pPr>
      <w:r>
        <w:rPr/>
        <w:footnoteRef/>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2014">
    <w:p>
      <w:pPr>
        <w:pStyle w:val="Funote"/>
        <w:rPr/>
      </w:pPr>
      <w:r>
        <w:rPr/>
        <w:footnoteRef/>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2015">
    <w:p>
      <w:pPr>
        <w:pStyle w:val="Funote"/>
        <w:rPr/>
      </w:pPr>
      <w:r>
        <w:rPr/>
        <w:footnoteRef/>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2016">
    <w:p>
      <w:pPr>
        <w:pStyle w:val="Funote"/>
        <w:rPr/>
      </w:pPr>
      <w:r>
        <w:rPr/>
        <w:footnoteRef/>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2017">
    <w:p>
      <w:pPr>
        <w:pStyle w:val="Funote"/>
        <w:rPr/>
      </w:pPr>
      <w:r>
        <w:rPr/>
        <w:footnoteRef/>
        <w:tab/>
        <w:t xml:space="preserve">zu „Schacht“ als Metapher für die Unterwelt vgl. </w:t>
      </w:r>
      <w:r>
        <w:fldChar w:fldCharType="begin"/>
      </w:r>
      <w:r>
        <w:instrText> HYPERLINK "http://www.offene-bibel.de/wiki/index.php5?title=Psalm_30" \l "note_c"</w:instrText>
      </w:r>
      <w:r>
        <w:fldChar w:fldCharType="separate"/>
      </w:r>
      <w:r>
        <w:rPr>
          <w:rStyle w:val="Internetverknpfung"/>
        </w:rPr>
        <w:t>FN c</w:t>
      </w:r>
      <w:r>
        <w:fldChar w:fldCharType="end"/>
      </w:r>
      <w:r>
        <w:rPr/>
        <w:t>.</w:t>
      </w:r>
    </w:p>
  </w:footnote>
  <w:footnote w:id="2018">
    <w:p>
      <w:pPr>
        <w:pStyle w:val="Funote"/>
        <w:rPr/>
      </w:pPr>
      <w:r>
        <w:rPr/>
        <w:footnoteRef/>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2019">
    <w:p>
      <w:pPr>
        <w:pStyle w:val="Funote"/>
        <w:rPr/>
      </w:pPr>
      <w:r>
        <w:rPr/>
        <w:footnoteRef/>
        <w:tab/>
        <w:t xml:space="preserve">W. </w:t>
      </w:r>
      <w:r>
        <w:rPr>
          <w:i/>
        </w:rPr>
        <w:t>hören</w:t>
      </w:r>
      <w:r>
        <w:rPr/>
        <w:t xml:space="preserve">, ein häufiger </w:t>
      </w:r>
      <w:r>
        <w:rPr>
          <w:i/>
        </w:rPr>
        <w:t>term. tech.</w:t>
      </w:r>
      <w:r>
        <w:rPr/>
        <w:t xml:space="preserve"> für die Gebetserhörung; so wohl auch hier.</w:t>
      </w:r>
    </w:p>
  </w:footnote>
  <w:footnote w:id="2020">
    <w:p>
      <w:pPr>
        <w:pStyle w:val="Funote"/>
        <w:rPr/>
      </w:pPr>
      <w:r>
        <w:rPr/>
        <w:footnoteRef/>
        <w:tab/>
        <w:t>Da hast du gut nach EÜ; Gerstenberger 1972; GUAR; Schmidt 1934; Zenger 1987; ZÜR: V. 12 schildert die Reaktion Gottes auf den Flehruf des Psalmisten.</w:t>
      </w:r>
    </w:p>
  </w:footnote>
  <w:footnote w:id="2021">
    <w:p>
      <w:pPr>
        <w:pStyle w:val="Funote"/>
        <w:rPr/>
      </w:pPr>
      <w:r>
        <w:rPr/>
        <w:footnoteRef/>
        <w:tab/>
        <w:t xml:space="preserve">meist: „gegürtet“, aber </w:t>
      </w:r>
      <w:r>
        <w:rPr>
          <w:rtl w:val="true"/>
          <w:lang w:bidi="he-IL"/>
        </w:rPr>
        <w:t>אור</w:t>
      </w:r>
      <w:r>
        <w:rPr/>
        <w:t xml:space="preserve"> </w:t>
      </w:r>
      <w:r>
        <w:rPr/>
        <w:t>kann auch allgemein „Kleiden“ bedeuten, was hier sehr viel besser passt.</w:t>
      </w:r>
    </w:p>
  </w:footnote>
  <w:footnote w:id="2022">
    <w:p>
      <w:pPr>
        <w:pStyle w:val="Funote"/>
        <w:rPr/>
      </w:pPr>
      <w:r>
        <w:rPr/>
        <w:footnoteRef/>
        <w:tab/>
        <w:t xml:space="preserve">zu kausalem </w:t>
      </w:r>
      <w:r>
        <w:rPr>
          <w:rtl w:val="true"/>
          <w:lang w:bidi="he-IL"/>
        </w:rPr>
        <w:t>לְמַעַן</w:t>
      </w:r>
      <w:r>
        <w:rPr/>
        <w:t xml:space="preserve"> </w:t>
      </w:r>
      <w:r>
        <w:rPr/>
        <w:t>vgl. Fürst 847; Ges18 713; Kön 237.</w:t>
      </w:r>
    </w:p>
  </w:footnote>
  <w:footnote w:id="2023">
    <w:p>
      <w:pPr>
        <w:pStyle w:val="Funote"/>
        <w:rPr/>
      </w:pPr>
      <w:r>
        <w:rPr/>
        <w:footnoteRef/>
        <w:tab/>
        <w:t xml:space="preserve">W.: „Darum will Herrlichkeit dich besingen“; wohl mit double duty-Suffix (-&gt;Brachylogie) aus V. 12: „[meine] Herrlichkeit“ (alternativ ergänzen fast alle Exegeten ein Suffix). Spieckermann 1989 entfaltet daraus und aus Ps 8,6 eine ganze Herrlichkeitstheologie: Die „Herrlichkeit“, die eigentlich ein Prädikat Gottes ist, würde quasi hypostatisch auch im Menschen anwesen, und diese göttlich-menschliche Herrlichkeit wäre es hier, die wiederum im Menschen Gott preist. Das ist recht sicher nicht so; in Ps 8,6 wird das Gottesprädikat „Herrlichkeit“ deshalb auf den Menschen angewandt, weil das Thema von Ps 8 gerade die Gottähnlichkeit des Menschen ist. Das ist hier nicht so; man hat also an etwas anderes als an „Herrlichkeit“ zu denken. Viele emendieren deshalb </w:t>
      </w:r>
      <w:r>
        <w:rPr>
          <w:rtl w:val="true"/>
          <w:lang w:bidi="he-IL"/>
        </w:rPr>
        <w:t>כָבוׂד</w:t>
      </w:r>
      <w:r>
        <w:rPr/>
        <w:t xml:space="preserve"> </w:t>
      </w:r>
      <w:r>
        <w:rPr/>
        <w:t xml:space="preserve">Herrlichkeit nach </w:t>
      </w:r>
      <w:r>
        <w:rPr>
          <w:rtl w:val="true"/>
          <w:lang w:bidi="he-IL"/>
        </w:rPr>
        <w:t>כְבֵדִי</w:t>
      </w:r>
      <w:r>
        <w:rPr/>
        <w:t xml:space="preserve"> </w:t>
      </w:r>
      <w:r>
        <w:rPr/>
        <w:t xml:space="preserve">meine Leber, mein Herz („Meine Leber/mein Herz will dich besingen“ - BHS; Alter 2007; Deissler 1989; Gunkel 1968; Halévy 1895a; Schmidt 1934; Terrien 2003), aber das ist unnötig: </w:t>
      </w:r>
      <w:r>
        <w:rPr>
          <w:rtl w:val="true"/>
          <w:lang w:bidi="he-IL"/>
        </w:rPr>
        <w:t>כָבוׂד</w:t>
      </w:r>
      <w:r>
        <w:rPr/>
        <w:t xml:space="preserve"> </w:t>
      </w:r>
      <w:r>
        <w:rPr/>
        <w:t xml:space="preserve">kann auch „Seele“ bedeuten (vgl. ad loc. Craigie 1983; Kittel 1914; Kraus 1961) und fungiert hier ähnlich wie </w:t>
      </w:r>
      <w:r>
        <w:rPr>
          <w:rtl w:val="true"/>
          <w:lang w:bidi="he-IL"/>
        </w:rPr>
        <w:t>נֶפֶש</w:t>
      </w:r>
      <w:r>
        <w:rPr/>
        <w:t xml:space="preserve"> </w:t>
      </w:r>
      <w:r>
        <w:rPr/>
        <w:t>Seele in V. 4 als Wechselbegriff für den Psalmisten selbst. Übersetze daher „Ich will dich besingen“.</w:t>
      </w:r>
    </w:p>
  </w:footnote>
  <w:footnote w:id="2024">
    <w:p>
      <w:pPr>
        <w:pStyle w:val="Funote"/>
        <w:rPr/>
      </w:pPr>
      <w:r>
        <w:rPr/>
        <w:footnoteRef/>
        <w:tab/>
        <w:t>[Status: Ungeprüft]</w:t>
      </w:r>
    </w:p>
  </w:footnote>
  <w:footnote w:id="2025">
    <w:p>
      <w:pPr>
        <w:pStyle w:val="Funote"/>
        <w:rPr/>
      </w:pPr>
      <w:r>
        <w:rPr/>
        <w:footnoteRef/>
        <w:tab/>
        <w:t>od. „eitle Nichtse“ = Götzen</w:t>
      </w:r>
    </w:p>
  </w:footnote>
  <w:footnote w:id="2026">
    <w:p>
      <w:pPr>
        <w:pStyle w:val="Funote"/>
        <w:rPr/>
      </w:pPr>
      <w:r>
        <w:rPr/>
        <w:footnoteRef/>
        <w:tab/>
        <w:t xml:space="preserve">Die inhaltliche Aussage der vorangestellten Überschrift ist unklar. Die Bezeichnung „Söhne des Korach“ stellt eine Verbindung zu den sprachlich verwandten Psalmen der „Korachitenpsalmengruppen“ 42–49 und 84–85.87–88 her (Hossfeld/Zenger </w:t>
      </w:r>
      <w:r>
        <w:rPr>
          <w:position w:val="7"/>
          <w:sz w:val="16"/>
        </w:rPr>
        <w:t>3</w:t>
      </w:r>
      <w:r>
        <w:rPr/>
        <w:t>2000, 520).</w:t>
      </w:r>
    </w:p>
  </w:footnote>
  <w:footnote w:id="2027">
    <w:p>
      <w:pPr>
        <w:pStyle w:val="Funote"/>
        <w:rPr/>
      </w:pPr>
      <w:r>
        <w:rPr/>
        <w:footnoteRef/>
        <w:tab/>
        <w:t>Im hebräischen Text steht eine weibliche Verbform, aber das Wort für einen männlichen Hirschen.</w:t>
      </w:r>
    </w:p>
  </w:footnote>
  <w:footnote w:id="2028">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t>
      </w:r>
      <w:hyperlink r:id="rId135">
        <w:r>
          <w:rPr>
            <w:rStyle w:val="Internetverknpfung"/>
          </w:rPr>
          <w:t>Wibilex.de, Art. „Leben“</w:t>
        </w:r>
      </w:hyperlink>
      <w:r>
        <w:rPr/>
        <w:t xml:space="preserve">, und Genesius, Art. </w:t>
      </w:r>
      <w:r>
        <w:rPr>
          <w:rtl w:val="true"/>
          <w:lang w:bidi="he-IL"/>
        </w:rPr>
        <w:t>נֶפֶשׁ</w:t>
      </w:r>
      <w:r>
        <w:rPr/>
        <w:t>)</w:t>
      </w:r>
    </w:p>
  </w:footnote>
  <w:footnote w:id="2029">
    <w:p>
      <w:pPr>
        <w:pStyle w:val="Funote"/>
        <w:rPr/>
      </w:pPr>
      <w:r>
        <w:rPr/>
        <w:footnoteRef/>
        <w:tab/>
        <w:t xml:space="preserve">Wörtlich: </w:t>
      </w:r>
      <w:r>
        <w:rPr>
          <w:i/>
        </w:rPr>
        <w:t>dass ich mich [vor] Gottes Angesicht sehen lasse</w:t>
      </w:r>
      <w:r>
        <w:rPr/>
        <w:t xml:space="preserve"> oder </w:t>
      </w:r>
      <w:r>
        <w:rPr>
          <w:i/>
        </w:rPr>
        <w:t>dass ich Gottes Angesicht sehe</w:t>
      </w:r>
      <w:r>
        <w:rPr/>
        <w:t xml:space="preserve"> (unterschiedliche Textüberlieferungen)</w:t>
      </w:r>
    </w:p>
  </w:footnote>
  <w:footnote w:id="2030">
    <w:p>
      <w:pPr>
        <w:pStyle w:val="Funote"/>
        <w:rPr/>
      </w:pPr>
      <w:r>
        <w:rPr/>
        <w:footnoteRef/>
        <w:tab/>
        <w:t xml:space="preserve">Wörtlich: </w:t>
      </w:r>
      <w:r>
        <w:rPr>
          <w:i/>
        </w:rPr>
        <w:t>ich will meine Lebenskraft (meine ganze Existenz, meine Seele) in mich ausschütten</w:t>
      </w:r>
      <w:r>
        <w:rPr/>
        <w:t xml:space="preserve"> (als Ausdruck der Trauer)</w:t>
      </w:r>
    </w:p>
  </w:footnote>
  <w:footnote w:id="2031">
    <w:p>
      <w:pPr>
        <w:pStyle w:val="Funote"/>
        <w:rPr/>
      </w:pPr>
      <w:r>
        <w:rPr/>
        <w:footnoteRef/>
        <w:tab/>
        <w:t xml:space="preserve">Nach Grammatik müsste </w:t>
      </w:r>
      <w:r>
        <w:rPr>
          <w:i/>
        </w:rPr>
        <w:t>ich werde gehen</w:t>
      </w:r>
      <w:r>
        <w:rPr/>
        <w:t xml:space="preserve"> oder </w:t>
      </w:r>
      <w:r>
        <w:rPr>
          <w:i/>
        </w:rPr>
        <w:t>ich will gehen</w:t>
      </w:r>
      <w:r>
        <w:rPr/>
        <w:t xml:space="preserve"> übersetzen werden, aber der Textzusammenhang legt eher </w:t>
      </w:r>
      <w:r>
        <w:rPr>
          <w:i/>
        </w:rPr>
        <w:t>ich ging</w:t>
      </w:r>
      <w:r>
        <w:rPr/>
        <w:t xml:space="preserve"> nahe. Die Übersetzung als Präsens soll diese Mehrdeutigkeit des poetischen Textes bewahren.</w:t>
      </w:r>
    </w:p>
  </w:footnote>
  <w:footnote w:id="2032">
    <w:p>
      <w:pPr>
        <w:pStyle w:val="Funote"/>
        <w:rPr/>
      </w:pPr>
      <w:r>
        <w:rPr/>
        <w:footnoteRef/>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2033">
    <w:p>
      <w:pPr>
        <w:pStyle w:val="Funote"/>
        <w:rPr/>
      </w:pPr>
      <w:r>
        <w:rPr/>
        <w:footnoteRef/>
        <w:tab/>
        <w:t>Wörtlich steht dort: „el elohim“; eine Übersetzung mit „Gott der Götter“ wäre jedoch nicht angemessen.</w:t>
      </w:r>
    </w:p>
  </w:footnote>
  <w:footnote w:id="2034">
    <w:p>
      <w:pPr>
        <w:pStyle w:val="Funote"/>
        <w:rPr/>
      </w:pPr>
      <w:r>
        <w:rPr/>
        <w:footnoteRef/>
        <w:tab/>
        <w:t>[Status: Ungeprüft]</w:t>
      </w:r>
    </w:p>
  </w:footnote>
  <w:footnote w:id="2035">
    <w:p>
      <w:pPr>
        <w:pStyle w:val="Funote"/>
        <w:rPr/>
      </w:pPr>
      <w:r>
        <w:rPr/>
        <w:footnoteRef/>
        <w:tab/>
        <w:t>JHWH</w:t>
      </w:r>
    </w:p>
  </w:footnote>
  <w:footnote w:id="2036">
    <w:p>
      <w:pPr>
        <w:pStyle w:val="Funote"/>
        <w:rPr/>
      </w:pPr>
      <w:r>
        <w:rPr/>
        <w:footnoteRef/>
        <w:tab/>
        <w:t>[Status: Ungeprüft]</w:t>
      </w:r>
    </w:p>
  </w:footnote>
  <w:footnote w:id="2037">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2038">
    <w:p>
      <w:pPr>
        <w:pStyle w:val="Funote"/>
        <w:rPr/>
      </w:pPr>
      <w:r>
        <w:rPr/>
        <w:footnoteRef/>
        <w:tab/>
        <w:t>`al-machalat - Unklarer Begriff. Für einen guten Vorschlag zur Deutung der ersten beiden Zeilen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„machalat“, bei dem der Psalm vorzuträgen war. Doch ist auch dies nur ein „educated guess“ und „Chorleiter“ ist in dt. Üss. so etabliert, dass die LF doch besser dieser Konvention folgen sollte.</w:t>
      </w:r>
    </w:p>
  </w:footnote>
  <w:footnote w:id="2039">
    <w:p>
      <w:pPr>
        <w:pStyle w:val="Funote"/>
        <w:rPr/>
      </w:pPr>
      <w:r>
        <w:rPr>
          <w:i/>
        </w:rPr>
        <w:footnoteRef/>
        <w:tab/>
        <w:t>Es gibt keinen Gott</w:t>
      </w:r>
      <w:r>
        <w:rPr/>
        <w:t xml:space="preserve"> - Gemeint ist kein theoretischer Atheismus, der im Alten Israel schwerlich vorstellbar ist. Der „Narr“ vertritt einen </w:t>
      </w:r>
      <w:r>
        <w:rPr>
          <w:i/>
        </w:rPr>
        <w:t>praktischen</w:t>
      </w:r>
      <w:r>
        <w:rPr/>
        <w:t xml:space="preserve"> Atheismus: Er lebt und handelt so, als gäbe es keinen Gott, wie dann auch in den nächsten Zeilen näher ausgeführt wird.</w:t>
      </w:r>
    </w:p>
  </w:footnote>
  <w:footnote w:id="2040">
    <w:p>
      <w:pPr>
        <w:pStyle w:val="Funote"/>
        <w:rPr/>
      </w:pPr>
      <w:r>
        <w:rPr/>
        <w:footnoteRef/>
        <w:tab/>
        <w:t>begehen und verbrechen Untat - Die beiden Verben benötigen eigentlich kein Objekt; das erste bedeutet schon allein „verderblich handeln“, das zweite „abscheulich handeln“. Die eigentlich unnötige Hinzufügung des Substantivs soll den Ausdruck noch intensiver machen.Sinnvoll daher NL: „Sie sind durch und durch schlecht, und ihre Taten sind böse“.</w:t>
      </w:r>
    </w:p>
  </w:footnote>
  <w:footnote w:id="2041">
    <w:p>
      <w:pPr>
        <w:pStyle w:val="Funote"/>
        <w:rPr/>
      </w:pPr>
      <w:r>
        <w:rPr/>
        <w:footnoteRef/>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2042">
    <w:p>
      <w:pPr>
        <w:pStyle w:val="Funote"/>
        <w:rPr/>
      </w:pPr>
      <w:r>
        <w:rPr/>
        <w:footnoteRef/>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2043">
    <w:p>
      <w:pPr>
        <w:pStyle w:val="Funote"/>
        <w:rPr/>
      </w:pPr>
      <w:r>
        <w:rPr/>
        <w:footnoteRef/>
        <w:tab/>
        <w:t>Vv. 6ab - W.: „Da erschraken sie einen Schrecken / nicht war Schrecken.“ Unsere Üs. folgt Buttenwieser 1938, S. 478 (so auch Brueggemann/Bellinger 2014, S. 244; deClaissé-Walford/Jacobson/Tanner 2014, S. 465). Alternativ könnte man den zweiten Satz mit einigen alten Exegeten (z.B. Hitzig und Ewald) als eine sog. „Epanorthosis“ auffassen: als emphatische Ersetzung eines Textstücks durch ein anderes (z.B.: „Wenn du das tust, gebe ich dir hundert Euro. Ach was, hundert - tausend Euro geb ich dir!“): Da erschraken sie einen Schrecken. Doch nein, nicht nur Schrecken wars, [sondern]...So und so wäre der Sinn der zweiten Zeilen die erste Zeile noch zusätzlich zu intensivieren.</w:t>
      </w:r>
    </w:p>
  </w:footnote>
  <w:footnote w:id="2044">
    <w:p>
      <w:pPr>
        <w:pStyle w:val="Funote"/>
        <w:rPr/>
      </w:pPr>
      <w:r>
        <w:rPr/>
        <w:footnoteRef/>
        <w:tab/>
        <w:t>des bei dir Lagernden - Sehr schwierige Stelle (Weiss 1968, S. 131: „completely meaningless“). Am besten wohl so zu verstehen: Der Psalmist wendet sich hier an die Israeliten und erinnert sie daran, wie sie mit Gottes Hilfe die Ausländer, die unrechtmäßig ihr Land okkupiert hatten (wie z.B. die Edomiter zur Zeit der babylonischen Gefangenschaft), zuschanden machen konnten. Der „bei dir Lagernde“ ist also „dein Okkupant“.</w:t>
      </w:r>
    </w:p>
  </w:footnote>
  <w:footnote w:id="2045">
    <w:p>
      <w:pPr>
        <w:pStyle w:val="Funote"/>
        <w:rPr/>
      </w:pPr>
      <w:r>
        <w:rPr>
          <w:i/>
        </w:rPr>
        <w:footnoteRef/>
        <w:tab/>
        <w:t>Zion</w:t>
      </w:r>
      <w:r>
        <w:rPr/>
        <w:t xml:space="preserve"> - Der Berg in Jerusalem, auf dem Gott in seinem Tempel wohnt. Hilfe von Gott kommt daher „vom Zion“ (vgl. z.B. </w:t>
      </w:r>
      <w:r>
        <w:fldChar w:fldCharType="begin"/>
      </w:r>
      <w:r>
        <w:instrText> HYPERLINK "https://www.bibelwissenschaft.de/de/stichwort/35418/" \l "h8"</w:instrText>
      </w:r>
      <w:r>
        <w:fldChar w:fldCharType="separate"/>
      </w:r>
      <w:r>
        <w:rPr>
          <w:rStyle w:val="Internetverknpfung"/>
        </w:rPr>
        <w:t>Zion/Zionstheologie (WiBiLex)</w:t>
      </w:r>
      <w:r>
        <w:fldChar w:fldCharType="end"/>
      </w:r>
      <w:r>
        <w:rPr/>
        <w:t>.</w:t>
      </w:r>
    </w:p>
  </w:footnote>
  <w:footnote w:id="2046">
    <w:p>
      <w:pPr>
        <w:pStyle w:val="Funote"/>
        <w:rPr/>
      </w:pPr>
      <w:r>
        <w:rPr>
          <w:i/>
        </w:rPr>
        <w:footnoteRef/>
        <w:tab/>
        <w:t>Möge es doch vom Zion Rettung für Israel geben!</w:t>
      </w:r>
      <w:r>
        <w:rPr/>
        <w:t xml:space="preserve"> - W.: „Wer wird geben vom Zion Rettung für Israel!?“, die heb. Wendung „Wer wird geben X“ ist ein Idiom für „Es möge sein, dass... X“.</w:t>
      </w:r>
    </w:p>
  </w:footnote>
  <w:footnote w:id="2047">
    <w:p>
      <w:pPr>
        <w:pStyle w:val="Funote"/>
        <w:rPr/>
      </w:pPr>
      <w:r>
        <w:rPr>
          <w:i/>
        </w:rPr>
        <w:footnoteRef/>
        <w:tab/>
        <w:t>Jakob</w:t>
      </w:r>
      <w:r>
        <w:rPr/>
        <w:t xml:space="preserve"> - Alternativer Begriff für Israel, da Jakob nach </w:t>
      </w:r>
      <w:hyperlink r:id="rId136">
        <w:r>
          <w:rPr>
            <w:rStyle w:val="Internetverknpfung"/>
          </w:rPr>
          <w:t>Gen 25</w:t>
        </w:r>
      </w:hyperlink>
      <w:r>
        <w:rPr/>
        <w:t xml:space="preserve"> der Stammvater der Israeliten war.</w:t>
      </w:r>
    </w:p>
  </w:footnote>
  <w:footnote w:id="2048">
    <w:p>
      <w:pPr>
        <w:pStyle w:val="Funote"/>
        <w:rPr/>
      </w:pPr>
      <w:r>
        <w:rPr/>
        <w:footnoteRef/>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2049">
    <w:p>
      <w:pPr>
        <w:pStyle w:val="Funote"/>
        <w:rPr/>
      </w:pPr>
      <w:r>
        <w:rPr/>
        <w:footnoteRef/>
        <w:tab/>
        <w:t>[Status: Sehr gut]</w:t>
      </w:r>
    </w:p>
  </w:footnote>
  <w:footnote w:id="2050">
    <w:p>
      <w:pPr>
        <w:pStyle w:val="Funote"/>
        <w:rPr/>
      </w:pPr>
      <w:r>
        <w:rPr/>
        <w:footnoteRef/>
        <w:tab/>
        <w:t>Für den obersten Musiker Manche Übersetzungen verstehen dieses Wort als Anweisung, den Psalm vorzusingen (LUT, GNB).</w:t>
      </w:r>
    </w:p>
  </w:footnote>
  <w:footnote w:id="2051">
    <w:p>
      <w:pPr>
        <w:pStyle w:val="Funote"/>
        <w:rPr/>
      </w:pPr>
      <w:r>
        <w:rPr>
          <w:i/>
        </w:rPr>
        <w:footnoteRef/>
        <w:tab/>
        <w:t>Mit Saiteninstrumenten (fröhlicher Musik, Zupfinstrumenten)</w:t>
      </w:r>
      <w:r>
        <w:rPr/>
        <w:t xml:space="preserve"> Das Wort heißt etwa „fröhliche (in anderen Kontexten: spottende) Musik, die auf zu zupfenden Saiteninstrumenten gespielt wird“, bezeichnet in Psalmentiteln aber die Instrumente an sich (BDB 618.3; TWOT 1292.1; DBLH 5593; Kraus </w:t>
      </w:r>
      <w:r>
        <w:rPr>
          <w:position w:val="7"/>
          <w:sz w:val="16"/>
        </w:rPr>
        <w:t>2</w:t>
      </w:r>
      <w:r>
        <w:rPr/>
        <w:t>1962, XXIV).</w:t>
      </w:r>
    </w:p>
  </w:footnote>
  <w:footnote w:id="2052">
    <w:p>
      <w:pPr>
        <w:pStyle w:val="Funote"/>
        <w:rPr/>
      </w:pPr>
      <w:r>
        <w:rPr/>
        <w:footnoteRef/>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2053">
    <w:p>
      <w:pPr>
        <w:pStyle w:val="Funote"/>
        <w:rPr/>
      </w:pPr>
      <w:r>
        <w:rPr/>
        <w:footnoteRef/>
        <w:tab/>
        <w:t xml:space="preserve">Vers 2 ist eine freie Wiedergabe des "aaronitischen Segens" aus </w:t>
      </w:r>
      <w:r>
        <w:fldChar w:fldCharType="begin"/>
      </w:r>
      <w:r>
        <w:instrText> HYPERLINK "file:///wiki/Numeri_6" \l "s24"</w:instrText>
      </w:r>
      <w:r>
        <w:fldChar w:fldCharType="separate"/>
      </w:r>
      <w:r>
        <w:rPr>
          <w:rStyle w:val="Internetverknpfung"/>
        </w:rPr>
        <w:t>Num 6,24-26</w:t>
      </w:r>
      <w:r>
        <w:fldChar w:fldCharType="end"/>
      </w:r>
      <w:r>
        <w:rPr/>
        <w:t xml:space="preserve">. Dieses bekannte Gebet wurde vermutlich beim Gottesdienst im Tempel häufig vorgetragen (Talstra/Bosma, </w:t>
      </w:r>
      <w:r>
        <w:rPr>
          <w:i/>
        </w:rPr>
        <w:t>Psalm 67. Blessing, Harvest and History</w:t>
      </w:r>
      <w:r>
        <w:rPr/>
        <w:t xml:space="preserve">, 311). Der Autor gibt hier nur die Teile des Gebets wieder, die Gottes Segen für den Betenden einfordern. </w:t>
      </w:r>
    </w:p>
  </w:footnote>
  <w:footnote w:id="2054">
    <w:p>
      <w:pPr>
        <w:pStyle w:val="Funote"/>
        <w:rPr/>
      </w:pPr>
      <w:r>
        <w:rPr/>
        <w:footnoteRef/>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2055">
    <w:p>
      <w:pPr>
        <w:pStyle w:val="Funote"/>
        <w:rPr/>
      </w:pPr>
      <w:r>
        <w:rPr/>
        <w:footnoteRef/>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2056">
    <w:p>
      <w:pPr>
        <w:pStyle w:val="Funote"/>
        <w:rPr/>
      </w:pPr>
      <w:r>
        <w:rPr>
          <w:i/>
        </w:rPr>
        <w:footnoteRef/>
        <w:tab/>
        <w:t>deine rettende Kraft (Hilfe, Rettung, dein Eingeifen, Heil)</w:t>
      </w:r>
      <w:r>
        <w:rPr/>
        <w:t xml:space="preserve"> So wie V. 5 Gottes „Weg“ (3a) genauer beschreibt, erklärt der Verfasser in V. 7-8 Aspekte von Gottes „rettender Kraft“. Sein Heilshandeln kommt einerseits in Form der ertragreichen Ernte zum Ausdruck. Sie war im Bund zwischen Gott und Israel ein konkretes Zeichen von Gottes Wohlwollen. In </w:t>
      </w:r>
      <w:r>
        <w:fldChar w:fldCharType="begin"/>
      </w:r>
      <w:r>
        <w:instrText> HYPERLINK "file:///wiki/Levitikus_26" \l "s4"</w:instrText>
      </w:r>
      <w:r>
        <w:fldChar w:fldCharType="separate"/>
      </w:r>
      <w:r>
        <w:rPr>
          <w:rStyle w:val="Internetverknpfung"/>
        </w:rPr>
        <w:t>Lev 26,4-5</w:t>
      </w:r>
      <w:r>
        <w:fldChar w:fldCharType="end"/>
      </w:r>
      <w:r>
        <w:rPr/>
        <w:t>.</w:t>
      </w:r>
      <w:r>
        <w:fldChar w:fldCharType="begin"/>
      </w:r>
      <w:r>
        <w:instrText> HYPERLINK "file:///wiki/Levitikus_26" \l "s10"</w:instrText>
      </w:r>
      <w:r>
        <w:fldChar w:fldCharType="separate"/>
      </w:r>
      <w:r>
        <w:rPr>
          <w:rStyle w:val="Internetverknpfung"/>
        </w:rPr>
        <w:t>10</w:t>
      </w:r>
      <w:r>
        <w:fldChar w:fldCharType="end"/>
      </w:r>
      <w:r>
        <w:rPr/>
        <w:t xml:space="preserve">; </w:t>
      </w:r>
      <w:hyperlink r:id="rId137">
        <w:r>
          <w:rPr>
            <w:rStyle w:val="Internetverknpfung"/>
          </w:rPr>
          <w:t>Dtn 28,4</w:t>
        </w:r>
      </w:hyperlink>
      <w:r>
        <w:rPr/>
        <w:t>.</w:t>
      </w:r>
      <w:hyperlink r:id="rId138">
        <w:r>
          <w:rPr>
            <w:rStyle w:val="Internetverknpfung"/>
          </w:rPr>
          <w:t>11-12</w:t>
        </w:r>
      </w:hyperlink>
      <w:r>
        <w:rPr/>
        <w:t xml:space="preserve"> ist sie Teil des Segens, den Gott für Israels Bundesgehorsam verspricht. Andererseits äußert sich Gottes Heilshandeln darin, dass auch die anderen Völker ihn erkennen werden. Israel </w:t>
      </w:r>
      <w:r>
        <w:rPr>
          <w:i/>
        </w:rPr>
        <w:t>als Folge</w:t>
      </w:r>
      <w:r>
        <w:rPr/>
        <w:t xml:space="preserve"> der Segnung Israels, als der höchsten Form des geistlichen Segens. </w:t>
      </w:r>
    </w:p>
  </w:footnote>
  <w:footnote w:id="2057">
    <w:p>
      <w:pPr>
        <w:pStyle w:val="Funote"/>
        <w:rPr/>
      </w:pPr>
      <w:r>
        <w:rPr/>
        <w:footnoteRef/>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2058">
    <w:p>
      <w:pPr>
        <w:pStyle w:val="Funote"/>
        <w:rPr/>
      </w:pPr>
      <w:r>
        <w:rPr/>
        <w:footnoteRef/>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2059">
    <w:p>
      <w:pPr>
        <w:pStyle w:val="Funote"/>
        <w:rPr/>
      </w:pPr>
      <w:r>
        <w:rPr/>
        <w:footnoteRef/>
        <w:tab/>
        <w:t>Die zweite und dritte Zeile des Verses (5bc) stellen zwei Aspekte von Gottes „Weg“ (</w:t>
      </w:r>
      <w:r>
        <w:fldChar w:fldCharType="begin"/>
      </w:r>
      <w:r>
        <w:instrText> HYPERLINK "file:///wiki/Psalm_67" \l "s3"</w:instrText>
      </w:r>
      <w:r>
        <w:fldChar w:fldCharType="separate"/>
      </w:r>
      <w:r>
        <w:rPr>
          <w:rStyle w:val="Internetverknpfung"/>
        </w:rPr>
        <w:t>3a</w:t>
      </w:r>
      <w:r>
        <w:fldChar w:fldCharType="end"/>
      </w:r>
      <w:r>
        <w:rPr/>
        <w:t xml:space="preserve">) dar – sie erklären also, warum Gott Lobpreis zusteht, nachdem die Völker seine Herrschaft erkannt haben. Dieses Anliegen durchzieht den ganzen Psalm. Vgl. </w:t>
      </w:r>
      <w:r>
        <w:fldChar w:fldCharType="begin"/>
      </w:r>
      <w:r>
        <w:instrText> HYPERLINK "file:///wiki/Psalm_67" \l "note_f"</w:instrText>
      </w:r>
      <w:r>
        <w:fldChar w:fldCharType="separate"/>
      </w:r>
      <w:r>
        <w:rPr>
          <w:rStyle w:val="Internetverknpfung"/>
        </w:rPr>
        <w:t>Fußnote f</w:t>
      </w:r>
      <w:r>
        <w:fldChar w:fldCharType="end"/>
      </w:r>
      <w:r>
        <w:rPr/>
        <w:t>.</w:t>
      </w:r>
    </w:p>
  </w:footnote>
  <w:footnote w:id="2060">
    <w:p>
      <w:pPr>
        <w:pStyle w:val="Funote"/>
        <w:rPr/>
      </w:pPr>
      <w:r>
        <w:rPr/>
        <w:footnoteRef/>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2061">
    <w:p>
      <w:pPr>
        <w:pStyle w:val="Funote"/>
        <w:rPr/>
      </w:pPr>
      <w:r>
        <w:rPr>
          <w:i/>
        </w:rPr>
        <w:footnoteRef/>
        <w:tab/>
        <w:t>fürchten</w:t>
      </w:r>
      <w:r>
        <w:rPr/>
        <w:t xml:space="preserve"> (Hebr. </w:t>
      </w:r>
      <w:r>
        <w:rPr>
          <w:rtl w:val="true"/>
          <w:lang w:bidi="he-IL"/>
        </w:rPr>
        <w:t>יָרֵא</w:t>
      </w:r>
      <w:r>
        <w:rPr/>
        <w:t xml:space="preserve"> </w:t>
      </w:r>
      <w:r>
        <w:rPr/>
        <w:t xml:space="preserve">steht hier für religiöse Verehrung (vgl. </w:t>
      </w:r>
      <w:r>
        <w:fldChar w:fldCharType="begin"/>
      </w:r>
      <w:r>
        <w:instrText> HYPERLINK "file:///wiki/Psalm_33" \l "s8"</w:instrText>
      </w:r>
      <w:r>
        <w:fldChar w:fldCharType="separate"/>
      </w:r>
      <w:r>
        <w:rPr>
          <w:rStyle w:val="Internetverknpfung"/>
        </w:rPr>
        <w:t>Ps 33,8</w:t>
      </w:r>
      <w:r>
        <w:fldChar w:fldCharType="end"/>
      </w:r>
      <w:r>
        <w:rPr/>
        <w:t xml:space="preserve">; </w:t>
      </w:r>
      <w:hyperlink r:id="rId139">
        <w:r>
          <w:rPr>
            <w:rStyle w:val="Internetverknpfung"/>
          </w:rPr>
          <w:t>34,10</w:t>
        </w:r>
      </w:hyperlink>
      <w:r>
        <w:rPr/>
        <w:t xml:space="preserve">; </w:t>
      </w:r>
      <w:hyperlink r:id="rId140">
        <w:r>
          <w:rPr>
            <w:rStyle w:val="Internetverknpfung"/>
          </w:rPr>
          <w:t>47,3</w:t>
        </w:r>
      </w:hyperlink>
      <w:r>
        <w:rPr/>
        <w:t xml:space="preserve">; </w:t>
      </w:r>
      <w:hyperlink r:id="rId141">
        <w:r>
          <w:rPr>
            <w:rStyle w:val="Internetverknpfung"/>
          </w:rPr>
          <w:t>64,10</w:t>
        </w:r>
      </w:hyperlink>
      <w:r>
        <w:rPr/>
        <w:t xml:space="preserve">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w:t>
        <w:br/>
        <w:br/>
        <w:t xml:space="preserve">Die zweite Zeile des Verses könnte man auch so übersetzen: „und alle Enden der Erde sollen (mögen, werden) ihn fürchten“ </w:t>
      </w:r>
    </w:p>
  </w:footnote>
  <w:footnote w:id="2062">
    <w:p>
      <w:pPr>
        <w:pStyle w:val="Funote"/>
        <w:rPr/>
      </w:pPr>
      <w:r>
        <w:rPr/>
        <w:footnoteRef/>
        <w:tab/>
        <w:t>Im Hebräischen: Plural!</w:t>
      </w:r>
    </w:p>
  </w:footnote>
  <w:footnote w:id="2063">
    <w:p>
      <w:pPr>
        <w:pStyle w:val="Funote"/>
        <w:rPr/>
      </w:pPr>
      <w:r>
        <w:rPr/>
        <w:footnoteRef/>
        <w:tab/>
        <w:t xml:space="preserve">Diese Form, das Nomen fem. pl. abs. des Verbums </w:t>
      </w:r>
      <w:r>
        <w:rPr>
          <w:rtl w:val="true"/>
          <w:lang w:bidi="he-IL"/>
        </w:rPr>
        <w:t>׳שׁע</w:t>
      </w:r>
      <w:r>
        <w:rPr/>
        <w:t xml:space="preserve"> </w:t>
      </w:r>
      <w:r>
        <w:rPr/>
        <w:t>ist im AT singulär und kommt nur an dieser Stelle vor.</w:t>
      </w:r>
    </w:p>
  </w:footnote>
  <w:footnote w:id="2064">
    <w:p>
      <w:pPr>
        <w:pStyle w:val="Funote"/>
        <w:rPr/>
      </w:pPr>
      <w:r>
        <w:rPr/>
        <w:footnoteRef/>
        <w:tab/>
        <w:t>Ganz wörtlich könnte man vllt. auch übersetzen: „[...] bei JHWH Adonai sind für den Tod die Endpunkte.“</w:t>
      </w:r>
    </w:p>
  </w:footnote>
  <w:footnote w:id="2065">
    <w:p>
      <w:pPr>
        <w:pStyle w:val="Funote"/>
        <w:rPr/>
      </w:pPr>
      <w:r>
        <w:rPr/>
        <w:footnoteRef/>
        <w:tab/>
        <w:t>[Status: Ungeprüft]</w:t>
      </w:r>
    </w:p>
  </w:footnote>
  <w:footnote w:id="2066">
    <w:p>
      <w:pPr>
        <w:pStyle w:val="Funote"/>
        <w:rPr/>
      </w:pPr>
      <w:r>
        <w:rPr/>
        <w:footnoteRef/>
        <w:tab/>
        <w:t>[Status: Ungeprüft]</w:t>
      </w:r>
    </w:p>
  </w:footnote>
  <w:footnote w:id="2067">
    <w:p>
      <w:pPr>
        <w:pStyle w:val="Funote"/>
        <w:rPr/>
      </w:pPr>
      <w:r>
        <w:rPr/>
        <w:footnoteRef/>
        <w:tab/>
        <w:t>Lexikon: Sela</w:t>
      </w:r>
    </w:p>
  </w:footnote>
  <w:footnote w:id="2068">
    <w:p>
      <w:pPr>
        <w:pStyle w:val="Funote"/>
        <w:rPr/>
      </w:pPr>
      <w:r>
        <w:rPr/>
        <w:footnoteRef/>
        <w:tab/>
        <w:t>[Status: Ungeprüft]</w:t>
      </w:r>
    </w:p>
  </w:footnote>
  <w:footnote w:id="2069">
    <w:p>
      <w:pPr>
        <w:pStyle w:val="Funote"/>
        <w:rPr/>
      </w:pPr>
      <w:r>
        <w:rPr/>
        <w:footnoteRef/>
        <w:tab/>
        <w:t>Bedeutung unklar. Vielleicht eine bestimmte Liedart oder ein Instrument.</w:t>
      </w:r>
    </w:p>
  </w:footnote>
  <w:footnote w:id="2070">
    <w:p>
      <w:pPr>
        <w:pStyle w:val="Funote"/>
        <w:rPr/>
      </w:pPr>
      <w:r>
        <w:rPr/>
        <w:footnoteRef/>
        <w:tab/>
        <w:t>Eine Psalmenart, genauere Bedeutung ist unbekannt.</w:t>
      </w:r>
    </w:p>
  </w:footnote>
  <w:footnote w:id="2071">
    <w:p>
      <w:pPr>
        <w:pStyle w:val="Funote"/>
        <w:rPr/>
      </w:pPr>
      <w:r>
        <w:rPr/>
        <w:footnoteRef/>
        <w:tab/>
        <w:t>Das hebräische Wort ist ein Plural.</w:t>
      </w:r>
    </w:p>
  </w:footnote>
  <w:footnote w:id="2072">
    <w:p>
      <w:pPr>
        <w:pStyle w:val="Funote"/>
        <w:rPr/>
      </w:pPr>
      <w:r>
        <w:rPr/>
        <w:footnoteRef/>
        <w:tab/>
        <w:t>Hier bewusst die Übersetzung „Grube“ gewählt, da in V. 6, anders als hier, explizit die Vokabel für Grab benutzt wird. Vgl. V. 7, dort ist es das gleiche Wort wie hier.</w:t>
      </w:r>
    </w:p>
  </w:footnote>
  <w:footnote w:id="2073">
    <w:p>
      <w:pPr>
        <w:pStyle w:val="Funote"/>
        <w:rPr/>
      </w:pPr>
      <w:r>
        <w:rPr/>
        <w:footnoteRef/>
        <w:tab/>
        <w:t>Das hebräische Wort hier ist singulär im Alten Testament, die Übersetzung deshalb nicht ganz eindeutig.</w:t>
      </w:r>
    </w:p>
  </w:footnote>
  <w:footnote w:id="2074">
    <w:p>
      <w:pPr>
        <w:pStyle w:val="Funote"/>
        <w:rPr/>
      </w:pPr>
      <w:r>
        <w:rPr/>
        <w:footnoteRef/>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2075">
    <w:p>
      <w:pPr>
        <w:pStyle w:val="Funote"/>
        <w:rPr/>
      </w:pPr>
      <w:r>
        <w:rPr/>
        <w:footnoteRef/>
        <w:tab/>
        <w:t>„</w:t>
      </w:r>
      <w:r>
        <w:rPr/>
        <w:t>Grube“, „Finsternisse“ (vgl. V. 19) und „Tiefen“ sind hier wohl als Metaphern für die Unterwelt gemeint.</w:t>
      </w:r>
    </w:p>
  </w:footnote>
  <w:footnote w:id="2076">
    <w:p>
      <w:pPr>
        <w:pStyle w:val="Funote"/>
        <w:rPr/>
      </w:pPr>
      <w:r>
        <w:rPr/>
        <w:footnoteRef/>
        <w:tab/>
        <w:t>Das hebräische Verb steht in im Part. Pass. m. Sg. abs.</w:t>
      </w:r>
    </w:p>
  </w:footnote>
  <w:footnote w:id="2077">
    <w:p>
      <w:pPr>
        <w:pStyle w:val="Funote"/>
        <w:rPr/>
      </w:pPr>
      <w:r>
        <w:rPr/>
        <w:footnoteRef/>
        <w:tab/>
        <w:t>Im Hebräischen wie auch im Griechischen gibt es kein eigenes Wort für die Auferstehung oder auferstehen, sondern es wird das selbe Verb wie für „vom Boden aufstehen“ verwendet.</w:t>
      </w:r>
    </w:p>
  </w:footnote>
  <w:footnote w:id="2078">
    <w:p>
      <w:pPr>
        <w:pStyle w:val="Funote"/>
        <w:rPr/>
      </w:pPr>
      <w:r>
        <w:rPr/>
        <w:footnoteRef/>
        <w:tab/>
        <w:t>wörtlich: „ersterbend, verscheidend“</w:t>
      </w:r>
    </w:p>
  </w:footnote>
  <w:footnote w:id="2079">
    <w:p>
      <w:pPr>
        <w:pStyle w:val="Funote"/>
        <w:rPr/>
      </w:pPr>
      <w:r>
        <w:rPr/>
        <w:footnoteRef/>
        <w:tab/>
        <w:t>Die hebräische Verbform im masoretischen Text ist hier fehlerhaft überliefert, da sie unmöglich gebildet werden kann. Übersetzung unter der Annahme, dass es sich um ein Piel Perf. 3. Pers. Pl. com. mit Suffix 1 Sg. com. handelt.</w:t>
      </w:r>
    </w:p>
  </w:footnote>
  <w:footnote w:id="2080">
    <w:p>
      <w:pPr>
        <w:pStyle w:val="Funote"/>
        <w:rPr/>
      </w:pPr>
      <w:r>
        <w:rPr/>
        <w:footnoteRef/>
        <w:tab/>
        <w:t>vgl. Vers 9.</w:t>
      </w:r>
    </w:p>
  </w:footnote>
  <w:footnote w:id="2081">
    <w:p>
      <w:pPr>
        <w:pStyle w:val="Funote"/>
        <w:rPr/>
      </w:pPr>
      <w:r>
        <w:rPr/>
        <w:footnoteRef/>
        <w:tab/>
        <w:t>vgl. auch hier Vers 9.</w:t>
      </w:r>
    </w:p>
  </w:footnote>
  <w:footnote w:id="2082">
    <w:p>
      <w:pPr>
        <w:pStyle w:val="Funote"/>
        <w:rPr/>
      </w:pPr>
      <w:r>
        <w:rPr/>
        <w:footnoteRef/>
        <w:tab/>
        <w:t>[Vgl. Hossfeld/Zenger 2000, S. 604 und 606]</w:t>
      </w:r>
    </w:p>
  </w:footnote>
  <w:footnote w:id="2083">
    <w:p>
      <w:pPr>
        <w:pStyle w:val="Funote"/>
        <w:rPr/>
      </w:pPr>
      <w:r>
        <w:rPr/>
        <w:footnoteRef/>
        <w:tab/>
        <w:t>[Vgl. Hossfeld/Zenger 2000, S. 609]</w:t>
      </w:r>
    </w:p>
  </w:footnote>
  <w:footnote w:id="2084">
    <w:p>
      <w:pPr>
        <w:pStyle w:val="Funote"/>
        <w:rPr/>
      </w:pPr>
      <w:r>
        <w:rPr/>
        <w:footnoteRef/>
        <w:tab/>
        <w:t>[Vgl. Hossfeld/Zenger 2000, S. 610f.]</w:t>
      </w:r>
    </w:p>
  </w:footnote>
  <w:footnote w:id="2085">
    <w:p>
      <w:pPr>
        <w:pStyle w:val="Funote"/>
        <w:rPr/>
      </w:pPr>
      <w:r>
        <w:rPr/>
        <w:footnoteRef/>
        <w:tab/>
        <w:t>[Vgl. Hossfeld/Zenger 2000, S. 612]</w:t>
      </w:r>
    </w:p>
  </w:footnote>
  <w:footnote w:id="2086">
    <w:p>
      <w:pPr>
        <w:pStyle w:val="Funote"/>
        <w:rPr/>
      </w:pPr>
      <w:r>
        <w:rPr/>
        <w:footnoteRef/>
        <w:tab/>
        <w:t>[Vgl. Hossfeld/Zenger 2000, S. 604]</w:t>
      </w:r>
    </w:p>
  </w:footnote>
  <w:footnote w:id="2087">
    <w:p>
      <w:pPr>
        <w:pStyle w:val="Funote"/>
        <w:rPr/>
      </w:pPr>
      <w:r>
        <w:rPr/>
        <w:footnoteRef/>
        <w:tab/>
        <w:t>[Status: Zuverlässig]</w:t>
      </w:r>
    </w:p>
  </w:footnote>
  <w:footnote w:id="2088">
    <w:p>
      <w:pPr>
        <w:pStyle w:val="Funote"/>
        <w:rPr/>
      </w:pPr>
      <w:r>
        <w:rPr/>
        <w:footnoteRef/>
        <w:tab/>
        <w:t>D.h. wahrscheinlich „in allen Generationen“</w:t>
      </w:r>
    </w:p>
  </w:footnote>
  <w:footnote w:id="2089">
    <w:p>
      <w:pPr>
        <w:pStyle w:val="Funote"/>
        <w:rPr/>
      </w:pPr>
      <w:r>
        <w:rPr/>
        <w:footnoteRef/>
        <w:tab/>
        <w:t xml:space="preserve">Dieses Wort hat keinen allumfassenden Sinn wie „Kosmos“, sondern ist i.d.R. mit „Erde“ Synonym – hier klar ein Hendiadyoin. </w:t>
      </w:r>
    </w:p>
  </w:footnote>
  <w:footnote w:id="2090">
    <w:p>
      <w:pPr>
        <w:pStyle w:val="Funote"/>
        <w:rPr/>
      </w:pPr>
      <w:r>
        <w:rPr/>
        <w:footnoteRef/>
        <w:tab/>
        <w:t xml:space="preserve">Das Verb heißt eigentlich „sich (in Schmerzen) winden“ und steht oft in Zusammenhang mit der Geburt. Hier wird es bildhaft verwendet. Die Grenzen der deutschen Sprache machen eine genauere Übersetzung nicht möglich. </w:t>
      </w:r>
    </w:p>
  </w:footnote>
  <w:footnote w:id="2091">
    <w:p>
      <w:pPr>
        <w:pStyle w:val="Funote"/>
        <w:rPr/>
      </w:pPr>
      <w:r>
        <w:rPr/>
        <w:footnoteRef/>
        <w:tab/>
        <w:t>Nach der LXX und anderen Zeugen kein Polel, sondern Polal → Passiv: „Bevor … die Erde und die Welt hervorgebracht waren“ (NET Ps 90,2 Fußnote 3)</w:t>
      </w:r>
    </w:p>
  </w:footnote>
  <w:footnote w:id="2092">
    <w:p>
      <w:pPr>
        <w:pStyle w:val="Funote"/>
        <w:rPr/>
      </w:pPr>
      <w:r>
        <w:rPr/>
        <w:footnoteRef/>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2093">
    <w:p>
      <w:pPr>
        <w:pStyle w:val="Funote"/>
        <w:rPr/>
      </w:pPr>
      <w:r>
        <w:rPr/>
        <w:footnoteRef/>
        <w:tab/>
        <w:t>LXX: „Du lässt nicht zurückkehren“ (vgl. letzte Fußnote V. 5)</w:t>
      </w:r>
    </w:p>
  </w:footnote>
  <w:footnote w:id="2094">
    <w:p>
      <w:pPr>
        <w:pStyle w:val="Funote"/>
        <w:rPr/>
      </w:pPr>
      <w:r>
        <w:rPr/>
        <w:footnoteRef/>
        <w:tab/>
        <w:t>Kehrt zurück wird meistens als Wiederholung und Verstärkung der ersten Vershälfte verstanden: Keht zurück [zu Staub]! = Werdet wieder zu Staub! (vgl. Hossfeld/Zenger 2000, S. 608). Denkbar ist aber auch die Deutung: Kehrt zurück ins Leben!</w:t>
      </w:r>
    </w:p>
  </w:footnote>
  <w:footnote w:id="2095">
    <w:p>
      <w:pPr>
        <w:pStyle w:val="Funote"/>
        <w:rPr/>
      </w:pPr>
      <w:r>
        <w:rPr/>
        <w:footnoteRef/>
        <w:tab/>
        <w:t xml:space="preserve">Eigentlich ein (zeitloses) Imperfekt. Im Kontext des gestrigen Tages als Vergangenheit übersetzt. </w:t>
      </w:r>
    </w:p>
  </w:footnote>
  <w:footnote w:id="2096">
    <w:p>
      <w:pPr>
        <w:pStyle w:val="Funote"/>
        <w:rPr/>
      </w:pPr>
      <w:r>
        <w:rPr/>
        <w:footnoteRef/>
        <w:tab/>
        <w:t>Kann sich auf die israelitische Nachtzeiteinheit „Nachtwache“ beziehen (NET Ps 90,4 Fußnote 8).</w:t>
      </w:r>
    </w:p>
  </w:footnote>
  <w:footnote w:id="2097">
    <w:p>
      <w:pPr>
        <w:pStyle w:val="Funote"/>
        <w:rPr/>
      </w:pPr>
      <w:r>
        <w:rPr/>
        <w:footnoteRef/>
        <w:tab/>
        <w:t>Die genaue Bedeutung des Verbs ist unklar. NET: „beendest ihr Leben“</w:t>
      </w:r>
    </w:p>
  </w:footnote>
  <w:footnote w:id="2098">
    <w:p>
      <w:pPr>
        <w:pStyle w:val="Funote"/>
        <w:rPr/>
      </w:pPr>
      <w:r>
        <w:rPr/>
        <w:footnoteRef/>
        <w:tab/>
        <w:t>Oder: „[wie] Schlaf am Morgen, wie Gras“</w:t>
      </w:r>
    </w:p>
  </w:footnote>
  <w:footnote w:id="2099">
    <w:p>
      <w:pPr>
        <w:pStyle w:val="Funote"/>
        <w:rPr/>
      </w:pPr>
      <w:r>
        <w:rPr/>
        <w:footnoteRef/>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2100">
    <w:p>
      <w:pPr>
        <w:pStyle w:val="Funote"/>
        <w:rPr/>
      </w:pPr>
      <w:r>
        <w:rPr/>
        <w:footnoteRef/>
        <w:tab/>
        <w:t>EÜ: „wird es geschnitten“</w:t>
      </w:r>
    </w:p>
  </w:footnote>
  <w:footnote w:id="2101">
    <w:p>
      <w:pPr>
        <w:pStyle w:val="Funote"/>
        <w:rPr/>
      </w:pPr>
      <w:r>
        <w:rPr/>
        <w:footnoteRef/>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2102">
    <w:p>
      <w:pPr>
        <w:pStyle w:val="Funote"/>
        <w:rPr/>
      </w:pPr>
      <w:r>
        <w:rPr/>
        <w:footnoteRef/>
        <w:tab/>
        <w:t>So Hossfeld/Zenger 2000, S. 602. Die meisten deutschen Übersetzungen halten es hier mit Luther: „wenn es hoch kommt“</w:t>
      </w:r>
    </w:p>
  </w:footnote>
  <w:footnote w:id="2103">
    <w:p>
      <w:pPr>
        <w:pStyle w:val="Funote"/>
        <w:rPr/>
      </w:pPr>
      <w:r>
        <w:rPr/>
        <w:footnoteRef/>
        <w:tab/>
        <w:t>D.h. der Stolz der Jahre → die Blüte des Lebens.</w:t>
      </w:r>
    </w:p>
  </w:footnote>
  <w:footnote w:id="2104">
    <w:p>
      <w:pPr>
        <w:pStyle w:val="Funote"/>
        <w:rPr/>
      </w:pPr>
      <w:r>
        <w:rPr/>
        <w:footnoteRef/>
        <w:tab/>
        <w:t>Die parallele Satzstruktur weist darauf hin, dass aus der einen vergleichenden Präposition (vor „Tage“) weitere ergänzt werden müssen. In hebräischer Dichtung ist das nicht ungewöhnlich (vgl. V. 5).</w:t>
      </w:r>
    </w:p>
  </w:footnote>
  <w:footnote w:id="2105">
    <w:p>
      <w:pPr>
        <w:pStyle w:val="Funote"/>
        <w:rPr/>
      </w:pPr>
      <w:r>
        <w:rPr/>
        <w:footnoteRef/>
        <w:tab/>
        <w:t>REB: „Lass an deinen Knechten sichtbar werden“</w:t>
      </w:r>
    </w:p>
  </w:footnote>
  <w:footnote w:id="2106">
    <w:p>
      <w:pPr>
        <w:pStyle w:val="Funote"/>
        <w:rPr/>
      </w:pPr>
      <w:r>
        <w:rPr/>
        <w:footnoteRef/>
        <w:tab/>
        <w:t>SLT: „fördere“, EÜ: „lass gedeihen“</w:t>
      </w:r>
    </w:p>
  </w:footnote>
  <w:footnote w:id="2107">
    <w:p>
      <w:pPr>
        <w:pStyle w:val="Funote"/>
        <w:rPr/>
      </w:pPr>
      <w:r>
        <w:rPr/>
        <w:footnoteRef/>
        <w:tab/>
        <w:t>[Status: Ungeprüft]</w:t>
      </w:r>
    </w:p>
  </w:footnote>
  <w:footnote w:id="2108">
    <w:p>
      <w:pPr>
        <w:pStyle w:val="Funote"/>
        <w:rPr/>
      </w:pPr>
      <w:r>
        <w:rPr/>
        <w:footnoteRef/>
        <w:tab/>
        <w:t xml:space="preserve">Aufgelöstes attr. </w:t>
      </w:r>
      <w:hyperlink r:id="rId142">
        <w:r>
          <w:rPr>
            <w:rStyle w:val="Internetverknpfung"/>
          </w:rPr>
          <w:t>Ptz.</w:t>
        </w:r>
      </w:hyperlink>
      <w:r>
        <w:rPr/>
        <w:t xml:space="preserve"> passiv.</w:t>
      </w:r>
    </w:p>
  </w:footnote>
  <w:footnote w:id="2109">
    <w:p>
      <w:pPr>
        <w:pStyle w:val="Funote"/>
        <w:rPr/>
      </w:pPr>
      <w:r>
        <w:rPr/>
        <w:footnoteRef/>
        <w:tab/>
        <w:t>{werden}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2110">
    <w:p>
      <w:pPr>
        <w:pStyle w:val="Funote"/>
        <w:rPr/>
      </w:pPr>
      <w:r>
        <w:rPr/>
        <w:footnoteRef/>
        <w:tab/>
        <w:t>Denkbar wäre auch: „Deinem Haus gebührt Heiligkeit“ o.ä.</w:t>
      </w:r>
    </w:p>
  </w:footnote>
  <w:footnote w:id="2111">
    <w:p>
      <w:pPr>
        <w:pStyle w:val="Funote"/>
        <w:rPr/>
      </w:pPr>
      <w:r>
        <w:rPr/>
        <w:footnoteRef/>
        <w:tab/>
        <w:t>Dieser Vers beschreibt durch den status constructus und das darus resultierende Gen. Obj. laut E. Zenger (Psalmen Auslegungen 4, S. 139) keinen Wesenzug Gottes, sondern die Wirkweise Gottes.</w:t>
      </w:r>
    </w:p>
  </w:footnote>
  <w:footnote w:id="2112">
    <w:p>
      <w:pPr>
        <w:pStyle w:val="Funote"/>
        <w:rPr/>
      </w:pPr>
      <w:r>
        <w:rPr/>
        <w:footnoteRef/>
        <w:tab/>
        <w:t>Das „Zurück“zahlen von Lohn entspringt dem israelitischen Vergeltungsprinzip (das positiv wie negativ greift).</w:t>
      </w:r>
    </w:p>
  </w:footnote>
  <w:footnote w:id="2113">
    <w:p>
      <w:pPr>
        <w:pStyle w:val="Funote"/>
        <w:rPr/>
      </w:pPr>
      <w:r>
        <w:rPr/>
        <w:footnoteRef/>
        <w:tab/>
        <w:t>[Status: Zuverlässig]</w:t>
      </w:r>
    </w:p>
  </w:footnote>
  <w:footnote w:id="2114">
    <w:p>
      <w:pPr>
        <w:pStyle w:val="Funote"/>
        <w:rPr/>
      </w:pPr>
      <w:r>
        <w:rPr/>
        <w:footnoteRef/>
        <w:tab/>
        <w:t>Wechselgesang - so kürzlich Amzallag 2014, doch ist das eher unwahrscheinlich.</w:t>
      </w:r>
    </w:p>
  </w:footnote>
  <w:footnote w:id="2115">
    <w:p>
      <w:pPr>
        <w:pStyle w:val="Funote"/>
        <w:rPr/>
      </w:pPr>
      <w:r>
        <w:rPr>
          <w:rtl w:val="true"/>
          <w:lang w:bidi="he-IL"/>
        </w:rPr>
        <w:footnoteRef/>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2116">
    <w:p>
      <w:pPr>
        <w:pStyle w:val="Funote"/>
        <w:rPr/>
      </w:pPr>
      <w:r>
        <w:rPr/>
        <w:footnoteRef/>
        <w:tab/>
        <w:t xml:space="preserve">Im Hebräischen Plural, da natürlich „ganze Erde“ - gleich, wie es genau zu deuten ist (s. nächste FN) - auf die </w:t>
      </w:r>
      <w:r>
        <w:rPr>
          <w:i/>
        </w:rPr>
        <w:t>Bewohner</w:t>
      </w:r>
      <w:r>
        <w:rPr/>
        <w:t xml:space="preserve"> dieser Erde zu beziehen ist.</w:t>
      </w:r>
    </w:p>
  </w:footnote>
  <w:footnote w:id="2117">
    <w:p>
      <w:pPr>
        <w:pStyle w:val="Funote"/>
        <w:rPr/>
      </w:pPr>
      <w:r>
        <w:rPr/>
        <w:footnoteRef/>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2118">
    <w:p>
      <w:pPr>
        <w:pStyle w:val="Funote"/>
        <w:rPr/>
      </w:pPr>
      <w:r>
        <w:rPr>
          <w:rtl w:val="true"/>
          <w:lang w:bidi="he-IL"/>
        </w:rPr>
        <w:footnoteRef/>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2119">
    <w:p>
      <w:pPr>
        <w:pStyle w:val="Funote"/>
        <w:rPr/>
      </w:pPr>
      <w:r>
        <w:rPr>
          <w:rtl w:val="true"/>
          <w:lang w:bidi="he-IL"/>
        </w:rPr>
        <w:footnoteRef/>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2120">
    <w:p>
      <w:pPr>
        <w:pStyle w:val="Funote"/>
        <w:rPr/>
      </w:pPr>
      <w:r>
        <w:rPr>
          <w:rtl w:val="true"/>
          <w:lang w:bidi="he-IL"/>
        </w:rPr>
        <w:footnoteRef/>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2121">
    <w:p>
      <w:pPr>
        <w:pStyle w:val="Funote"/>
        <w:rPr/>
      </w:pPr>
      <w:r>
        <w:rPr/>
        <w:footnoteRef/>
        <w:tab/>
        <w:t xml:space="preserve">Nicht: JHWH, er [ist] Gott - </w:t>
      </w:r>
      <w:r>
        <w:rPr>
          <w:rtl w:val="true"/>
          <w:lang w:bidi="he-IL"/>
        </w:rPr>
        <w:t>הוּא</w:t>
      </w:r>
      <w:r>
        <w:rPr/>
        <w:t xml:space="preserve"> </w:t>
      </w:r>
      <w:r>
        <w:rPr/>
        <w:t>verwendet als Pro-Kopula; vgl. dazu z.B. zuletzt wieder Holmstedt/Jones 2013.</w:t>
      </w:r>
    </w:p>
  </w:footnote>
  <w:footnote w:id="2122">
    <w:p>
      <w:pPr>
        <w:pStyle w:val="Funote"/>
        <w:rPr/>
      </w:pPr>
      <w:r>
        <w:rPr/>
        <w:footnoteRef/>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2123">
    <w:p>
      <w:pPr>
        <w:pStyle w:val="Funote"/>
        <w:rPr/>
      </w:pPr>
      <w:r>
        <w:rPr/>
        <w:footnoteRef/>
        <w:tab/>
        <w:t>Zu ergänzen aus Sticho 3b (-&gt;Brachylogie).</w:t>
      </w:r>
    </w:p>
  </w:footnote>
  <w:footnote w:id="2124">
    <w:p>
      <w:pPr>
        <w:pStyle w:val="Funote"/>
        <w:rPr/>
      </w:pPr>
      <w:r>
        <w:rPr/>
        <w:footnoteRef/>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2125">
    <w:p>
      <w:pPr>
        <w:pStyle w:val="Funote"/>
        <w:rPr/>
      </w:pPr>
      <w:r>
        <w:rPr/>
        <w:footnoteRef/>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2126">
    <w:p>
      <w:pPr>
        <w:pStyle w:val="Funote"/>
        <w:rPr/>
      </w:pPr>
      <w:r>
        <w:rPr/>
        <w:footnoteRef/>
        <w:tab/>
        <w:t xml:space="preserve">s. zur Alternative </w:t>
      </w:r>
      <w:r>
        <w:fldChar w:fldCharType="begin"/>
      </w:r>
      <w:r>
        <w:instrText> HYPERLINK "http://www.offene-bibel.de/wiki/index.php5?title=Psalm_100" \l "note_f"</w:instrText>
      </w:r>
      <w:r>
        <w:fldChar w:fldCharType="separate"/>
      </w:r>
      <w:r>
        <w:rPr>
          <w:rStyle w:val="Internetverknpfung"/>
        </w:rPr>
        <w:t>FN f</w:t>
      </w:r>
      <w:r>
        <w:fldChar w:fldCharType="end"/>
      </w:r>
    </w:p>
  </w:footnote>
  <w:footnote w:id="2127">
    <w:p>
      <w:pPr>
        <w:pStyle w:val="Funote"/>
        <w:rPr/>
      </w:pPr>
      <w:r>
        <w:rPr/>
        <w:footnoteRef/>
        <w:tab/>
        <w:t>Hier wird das selbe Wort wie in der Überschrift wiederholt; zu den Übersetzungsvarianten vgl. die erste FN.</w:t>
      </w:r>
    </w:p>
  </w:footnote>
  <w:footnote w:id="2128">
    <w:p>
      <w:pPr>
        <w:pStyle w:val="Funote"/>
        <w:rPr/>
      </w:pPr>
      <w:r>
        <w:rPr/>
        <w:footnoteRef/>
        <w:tab/>
        <w:t>Zu ergänzen aus Sticho 4a (-&gt;Brachylogie).</w:t>
      </w:r>
    </w:p>
  </w:footnote>
  <w:footnote w:id="2129">
    <w:p>
      <w:pPr>
        <w:pStyle w:val="Funote"/>
        <w:rPr/>
      </w:pPr>
      <w:r>
        <w:rPr/>
        <w:footnoteRef/>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2130">
    <w:p>
      <w:pPr>
        <w:pStyle w:val="Funote"/>
        <w:rPr/>
      </w:pPr>
      <w:r>
        <w:rPr/>
        <w:footnoteRef/>
        <w:tab/>
        <w:t>Besonders im Kontext von Aussagen über JHWH steht sein „Name“ meist metonymisch für JHWH selbst; man bezeichnet so JHWH „im Menschenmund“.</w:t>
      </w:r>
    </w:p>
  </w:footnote>
  <w:footnote w:id="2131">
    <w:p>
      <w:pPr>
        <w:pStyle w:val="Funote"/>
        <w:rPr/>
      </w:pPr>
      <w:r>
        <w:rPr/>
        <w:footnoteRef/>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2132">
    <w:p>
      <w:pPr>
        <w:pStyle w:val="Funote"/>
        <w:rPr/>
      </w:pPr>
      <w:r>
        <w:rPr/>
        <w:footnoteRef/>
        <w:tab/>
        <w:t>Textkritik: Die in Psalmen häufige, den angeblichen Verfasser angebende Überschrift „von David“ findet sich nicht in allen Überlieferungen des Textes – u.a. nicht Grundtext der BHS / BHQ –, dafür aber gerade in den sehr alten Textzeugen 11QPsa, LXX, Aq und evt. (vgl. Flint 1997, S. 96) in 4QPse. Das ist eine sehr starke Bezeugung; Goldingay 2008, S. 178 etwa sieht diese Überschrift daher als ursprünglich an. Die unterschiedliche Überlieferung lässt sich aber leichter erklären als Ergänzung (statt Streichung) zwecks einer Angleichung der sog. „anonymen“ Psalmen an die häufigeren Psalmen mit Autorenangabe. LXX allein hat wohl aus diesem Grund bei 13 anonymen Psalmen eine solche Angabe, wo der Codex Leningradensis sie nicht hat.</w:t>
      </w:r>
    </w:p>
  </w:footnote>
  <w:footnote w:id="2133">
    <w:p>
      <w:pPr>
        <w:pStyle w:val="Funote"/>
        <w:rPr/>
      </w:pPr>
      <w:r>
        <w:rPr/>
        <w:footnoteRef/>
        <w:tab/>
        <w:t>Preise, meine Seele, JHWH - Eine Selbtermunterung zum Gebet; ähnliches findet sich z.B. auch in Ps 34,2; Ps 42,5.11; 43,5; 103,1.22; 116,7; 145,21. Zur wohl dahinterstehenden Vorstellung vgl. am besten Ps 77,2 („Meine Seele weigerte sich, sich trösten zu lassen“); 131,2 („Ich habe meine Seele besänftigt und beruhigt“): Wie jeder Beter weiß, hat das Herz manchmal seine eigene Dynamik und ist nicht von vornherein dazu bereit(et), beten zu können - daher muss der Beter bewusst Einfluss auf die Stimmung seines Herzens nehmen. Das selbe Motiv findet sich übrigens auch in deutschen Kirchenliedern; man vergleiche etwa Paul Gerhards Lieder „Du meine Seele, singe“ und „Auf, auf, mein Herz, mit Freuden / nimm wahr, was heut geschieht“.</w:t>
      </w:r>
    </w:p>
  </w:footnote>
  <w:footnote w:id="2134">
    <w:p>
      <w:pPr>
        <w:pStyle w:val="Funote"/>
        <w:rPr/>
      </w:pPr>
      <w:r>
        <w:rPr/>
        <w:footnoteRef/>
        <w:tab/>
        <w:t>Textkritik - Die auffällige Aneinanderreihung dreier Gottesbezeichnungen (2x JHWH, 1x mein-Gott) hat in der Textüberlieferung für etwas Verwirrung gesorgt: In einigen heb. Handschriften fehlt eines der beiden JHWH, in einer Handschrift der LXX finden sich drei davon. 11QPsa hat statt „mein Gott“ die Variante „unser Gott“, 4QPsd die Variante „Gott“. Ursprünglich ist sicher die Variante im Fließtext.</w:t>
      </w:r>
    </w:p>
  </w:footnote>
  <w:footnote w:id="2135">
    <w:p>
      <w:pPr>
        <w:pStyle w:val="Funote"/>
        <w:rPr/>
      </w:pPr>
      <w:r>
        <w:rPr>
          <w:i/>
        </w:rPr>
        <w:footnoteRef/>
        <w:tab/>
        <w:t>Majestät und Herrlichkeit</w:t>
      </w:r>
      <w:r>
        <w:rPr/>
        <w:t xml:space="preserve"> - Zwei häufigere Züge bei der Beschreibung Gottes: „Bei ihm“ ist Majestät und Herrlichkeit und er selbst ist majestätisch und herrlich (vgl. </w:t>
      </w:r>
      <w:hyperlink r:id="rId143">
        <w:r>
          <w:rPr>
            <w:rStyle w:val="Internetverknpfung"/>
          </w:rPr>
          <w:t>1 Chr 16,27</w:t>
        </w:r>
      </w:hyperlink>
      <w:r>
        <w:rPr/>
        <w:t xml:space="preserve">; </w:t>
      </w:r>
      <w:hyperlink r:id="rId144">
        <w:r>
          <w:rPr>
            <w:rStyle w:val="Internetverknpfung"/>
          </w:rPr>
          <w:t>96,6</w:t>
        </w:r>
      </w:hyperlink>
      <w:r>
        <w:rPr/>
        <w:t xml:space="preserve">; </w:t>
      </w:r>
      <w:hyperlink r:id="rId145">
        <w:r>
          <w:rPr>
            <w:rStyle w:val="Internetverknpfung"/>
          </w:rPr>
          <w:t>111,3</w:t>
        </w:r>
      </w:hyperlink>
      <w:r>
        <w:rPr/>
        <w:t xml:space="preserve">; </w:t>
      </w:r>
      <w:r>
        <w:fldChar w:fldCharType="begin"/>
      </w:r>
      <w:r>
        <w:instrText> HYPERLINK "file:///wiki/Psalm_145" \l "s5"</w:instrText>
      </w:r>
      <w:r>
        <w:fldChar w:fldCharType="separate"/>
      </w:r>
      <w:r>
        <w:rPr>
          <w:rStyle w:val="Internetverknpfung"/>
        </w:rPr>
        <w:t>145,5</w:t>
      </w:r>
      <w:r>
        <w:fldChar w:fldCharType="end"/>
      </w:r>
      <w:r>
        <w:rPr/>
        <w:t xml:space="preserve">), daher kann auch einzig er einzelnen Menschen diese Eigenschaften gewähren (vgl. </w:t>
      </w:r>
      <w:hyperlink r:id="rId146">
        <w:r>
          <w:rPr>
            <w:rStyle w:val="Internetverknpfung"/>
          </w:rPr>
          <w:t>Ps 21,5</w:t>
        </w:r>
      </w:hyperlink>
      <w:r>
        <w:rPr/>
        <w:t xml:space="preserve">; </w:t>
      </w:r>
      <w:hyperlink r:id="rId147">
        <w:r>
          <w:rPr>
            <w:rStyle w:val="Internetverknpfung"/>
          </w:rPr>
          <w:t>45,2f.</w:t>
        </w:r>
      </w:hyperlink>
      <w:r>
        <w:rPr/>
        <w:t xml:space="preserve">; sarkastisch in </w:t>
      </w:r>
      <w:hyperlink r:id="rId148">
        <w:r>
          <w:rPr>
            <w:rStyle w:val="Internetverknpfung"/>
          </w:rPr>
          <w:t>Ijob 40,10</w:t>
        </w:r>
      </w:hyperlink>
      <w:r>
        <w:rPr/>
        <w:t xml:space="preserve">). Das zweite Wort, </w:t>
      </w:r>
      <w:r>
        <w:rPr>
          <w:i/>
        </w:rPr>
        <w:t>hadar</w:t>
      </w:r>
      <w:r>
        <w:rPr/>
        <w:t xml:space="preserve">, kann auch konkret den Schmuck bezeichnen; entsprechend ist es auch in </w:t>
      </w:r>
      <w:hyperlink r:id="rId149">
        <w:r>
          <w:rPr>
            <w:rStyle w:val="Internetverknpfung"/>
          </w:rPr>
          <w:t>Ijob 40,10</w:t>
        </w:r>
      </w:hyperlink>
      <w:r>
        <w:rPr/>
        <w:t xml:space="preserve">; </w:t>
      </w:r>
      <w:hyperlink r:id="rId150">
        <w:r>
          <w:rPr>
            <w:rStyle w:val="Internetverknpfung"/>
          </w:rPr>
          <w:t>Spr 31,25</w:t>
        </w:r>
      </w:hyperlink>
      <w:r>
        <w:rPr/>
        <w:t xml:space="preserve">; </w:t>
      </w:r>
      <w:hyperlink r:id="rId151">
        <w:r>
          <w:rPr>
            <w:rStyle w:val="Internetverknpfung"/>
          </w:rPr>
          <w:t>Jes 63,1</w:t>
        </w:r>
      </w:hyperlink>
      <w:r>
        <w:rPr/>
        <w:t xml:space="preserve">; </w:t>
      </w:r>
      <w:r>
        <w:fldChar w:fldCharType="begin"/>
      </w:r>
      <w:r>
        <w:instrText> HYPERLINK "file:///wiki/Ezechiel_16" \l "s14"</w:instrText>
      </w:r>
      <w:r>
        <w:fldChar w:fldCharType="separate"/>
      </w:r>
      <w:r>
        <w:rPr>
          <w:rStyle w:val="Internetverknpfung"/>
        </w:rPr>
        <w:t>Ez 16,14</w:t>
      </w:r>
      <w:r>
        <w:fldChar w:fldCharType="end"/>
      </w:r>
      <w:r>
        <w:rPr/>
        <w:t xml:space="preserve"> (vgl. ähnlich </w:t>
      </w:r>
      <w:r>
        <w:fldChar w:fldCharType="begin"/>
      </w:r>
      <w:r>
        <w:instrText> HYPERLINK "file:///wiki/Psalm_93" \l "s1"</w:instrText>
      </w:r>
      <w:r>
        <w:fldChar w:fldCharType="separate"/>
      </w:r>
      <w:r>
        <w:rPr>
          <w:rStyle w:val="Internetverknpfung"/>
        </w:rPr>
        <w:t>Ps 93,1</w:t>
      </w:r>
      <w:r>
        <w:fldChar w:fldCharType="end"/>
      </w:r>
      <w:r>
        <w:rPr/>
        <w:t>) etwas, womit man sich „kleiden“ kann.</w:t>
      </w:r>
    </w:p>
  </w:footnote>
  <w:footnote w:id="2136">
    <w:p>
      <w:pPr>
        <w:pStyle w:val="Funote"/>
        <w:rPr/>
      </w:pPr>
      <w:r>
        <w:rPr>
          <w:i/>
        </w:rPr>
        <w:footnoteRef/>
        <w:tab/>
        <w:t>Mit Licht umhüllt</w:t>
      </w:r>
      <w:r>
        <w:rPr/>
        <w:t xml:space="preserve"> + </w:t>
      </w:r>
      <w:r>
        <w:rPr>
          <w:i/>
        </w:rPr>
        <w:t>Himmel ausgespannt</w:t>
      </w:r>
      <w:r>
        <w:rPr/>
        <w:t xml:space="preserve"> - Binnenreim der beiden Partizipien: </w:t>
      </w:r>
      <w:r>
        <w:rPr>
          <w:b/>
          <w:i/>
        </w:rPr>
        <w:t>`oteh</w:t>
      </w:r>
      <w:r>
        <w:rPr>
          <w:i/>
        </w:rPr>
        <w:t>-´or</w:t>
      </w:r>
      <w:r>
        <w:rPr/>
        <w:t xml:space="preserve"> + </w:t>
      </w:r>
      <w:r>
        <w:rPr>
          <w:b/>
          <w:i/>
        </w:rPr>
        <w:t>noteh</w:t>
      </w:r>
      <w:r>
        <w:rPr>
          <w:i/>
        </w:rPr>
        <w:t xml:space="preserve"> schamajim</w:t>
      </w:r>
      <w:r>
        <w:rPr/>
        <w:t>.</w:t>
      </w:r>
    </w:p>
  </w:footnote>
  <w:footnote w:id="2137">
    <w:p>
      <w:pPr>
        <w:pStyle w:val="Funote"/>
        <w:rPr/>
      </w:pPr>
      <w:r>
        <w:rPr>
          <w:i/>
        </w:rPr>
        <w:footnoteRef/>
        <w:tab/>
        <w:t>mit Licht umhüllt</w:t>
      </w:r>
      <w:r>
        <w:rPr/>
        <w:t xml:space="preserve"> - Ps 104 hat viele Anklänge an die Schöpfungserzählung in </w:t>
      </w:r>
      <w:hyperlink r:id="rId152">
        <w:r>
          <w:rPr>
            <w:rStyle w:val="Internetverknpfung"/>
          </w:rPr>
          <w:t>Genesis 1</w:t>
        </w:r>
      </w:hyperlink>
      <w:r>
        <w:rPr/>
        <w:t>; die Rede vom „sich mit Licht umhüllen“ spielt daher wohl auf die auch dort geschilderte Schöpfung des Lichts an.</w:t>
      </w:r>
    </w:p>
  </w:footnote>
  <w:footnote w:id="2138">
    <w:p>
      <w:pPr>
        <w:pStyle w:val="Funote"/>
        <w:rPr/>
      </w:pPr>
      <w:r>
        <w:rPr/>
        <w:footnoteRef/>
        <w:tab/>
        <w:t>[Oh, du] - rein funktionale Übersetzung: Die folgenden Verben stehen im Partizip und es ist nicht einmal offensichtlich, dass Gott hier tatsächlich angesprochen ist. Derartige Aneinanderreihungen von Partizipien finden sich aber häufig in hymnischen Psalmen; ihre Funktion ist es, Wesenszüge Gottes aufzuzählen, um ihn damit zu preisen (vgl. z.B. Seybold 1990, S. 114).</w:t>
      </w:r>
    </w:p>
  </w:footnote>
  <w:footnote w:id="2139">
    <w:p>
      <w:pPr>
        <w:pStyle w:val="Funote"/>
        <w:rPr/>
      </w:pPr>
      <w:r>
        <w:rPr>
          <w:i/>
        </w:rPr>
        <w:footnoteRef/>
        <w:tab/>
        <w:t>Himmel wie eine Zeltdecke ausspannte</w:t>
      </w:r>
      <w:r>
        <w:rPr/>
        <w:t xml:space="preserve"> - Nach biblischer Vorstellung ist der Himmel ein festes Gebilde (vgl. z.B. </w:t>
      </w:r>
      <w:hyperlink r:id="rId153">
        <w:r>
          <w:rPr>
            <w:rStyle w:val="Internetverknpfung"/>
          </w:rPr>
          <w:t>Ijob 37,18</w:t>
        </w:r>
      </w:hyperlink>
      <w:r>
        <w:rPr/>
        <w:t xml:space="preserve">; </w:t>
      </w:r>
      <w:hyperlink r:id="rId154">
        <w:r>
          <w:rPr>
            <w:rStyle w:val="Internetverknpfung"/>
          </w:rPr>
          <w:t>Ez 1,22</w:t>
        </w:r>
      </w:hyperlink>
      <w:r>
        <w:rPr/>
        <w:t xml:space="preserve">), das „ausgebreitet“ oder „ausgespannt“ (vgl. </w:t>
      </w:r>
      <w:hyperlink r:id="rId155">
        <w:r>
          <w:rPr>
            <w:rStyle w:val="Internetverknpfung"/>
          </w:rPr>
          <w:t>Ijob 9,8</w:t>
        </w:r>
      </w:hyperlink>
      <w:r>
        <w:rPr/>
        <w:t xml:space="preserve">; </w:t>
      </w:r>
      <w:hyperlink r:id="rId156">
        <w:r>
          <w:rPr>
            <w:rStyle w:val="Internetverknpfung"/>
          </w:rPr>
          <w:t>42,5</w:t>
        </w:r>
      </w:hyperlink>
      <w:r>
        <w:rPr/>
        <w:t xml:space="preserve">; </w:t>
      </w:r>
      <w:r>
        <w:fldChar w:fldCharType="begin"/>
      </w:r>
      <w:r>
        <w:instrText> HYPERLINK "file:///wiki/Jesaja_44" \l "s24"</w:instrText>
      </w:r>
      <w:r>
        <w:fldChar w:fldCharType="separate"/>
      </w:r>
      <w:r>
        <w:rPr>
          <w:rStyle w:val="Internetverknpfung"/>
        </w:rPr>
        <w:t>44,24</w:t>
      </w:r>
      <w:r>
        <w:fldChar w:fldCharType="end"/>
      </w:r>
      <w:r>
        <w:rPr/>
        <w:t xml:space="preserve">) wurde, um die Wasser über der Erde vom Überfluten der Erde zurückzuhalten (vgl. z.B. </w:t>
      </w:r>
      <w:hyperlink r:id="rId157">
        <w:r>
          <w:rPr>
            <w:rStyle w:val="Internetverknpfung"/>
          </w:rPr>
          <w:t>Ijob 37,11</w:t>
        </w:r>
      </w:hyperlink>
      <w:r>
        <w:rPr/>
        <w:t>). Sehr häufig ist er außerdem vorgestellt als die „Wohnstatt Gottes“. Beides wird hier kombiniert zur Vorstellung des Himmels als dem „Zelt Gottes“, das nach seinem ausgespannt-Werden dann in V. 3 noch weiter ausgebaut wird.</w:t>
      </w:r>
    </w:p>
  </w:footnote>
  <w:footnote w:id="2140">
    <w:p>
      <w:pPr>
        <w:pStyle w:val="Funote"/>
        <w:rPr/>
      </w:pPr>
      <w:r>
        <w:rPr/>
        <w:footnoteRef/>
        <w:tab/>
        <w:t>im Wasser bälkte - D.h. JHWH hat im Himmel sein Obergemach errichtet, indem er im oder mit Wasser - nämlich dem, aus dem der Himmel besteht und das vom Firmament davon zurückgehalten wird, die Erde zu überfluten - seine Wohnung „zimmert“. Die Rede vom Himmel als „Obergemach“ ist schön und sehr treffend - impliziert sie doch, dass Gott zu diesem Obergemach auch ein „Erdgeschoss“ hat, was den Rest des Psalms vorbereitet.</w:t>
      </w:r>
    </w:p>
  </w:footnote>
  <w:footnote w:id="2141">
    <w:p>
      <w:pPr>
        <w:pStyle w:val="Funote"/>
        <w:rPr/>
      </w:pPr>
      <w:r>
        <w:rPr>
          <w:i/>
        </w:rPr>
        <w:footnoteRef/>
        <w:tab/>
        <w:t>Dort</w:t>
      </w:r>
      <w:r>
        <w:rPr/>
        <w:t xml:space="preserve"> - nämlich im himmlischen Obergemach.</w:t>
      </w:r>
    </w:p>
  </w:footnote>
  <w:footnote w:id="2142">
    <w:p>
      <w:pPr>
        <w:pStyle w:val="Funote"/>
        <w:rPr/>
      </w:pPr>
      <w:r>
        <w:rPr>
          <w:i/>
        </w:rPr>
        <w:footnoteRef/>
        <w:tab/>
        <w:t>Wolken [als] seinen Wagen</w:t>
      </w:r>
      <w:r>
        <w:rPr/>
        <w:t xml:space="preserve"> - Eine alte Vorstellung; auch der altorientalische Gott Baal wird häufig als „Wolkenreiter“ bezeichnet (vgl. z.B. DDD, S. 704).</w:t>
      </w:r>
    </w:p>
  </w:footnote>
  <w:footnote w:id="2143">
    <w:p>
      <w:pPr>
        <w:pStyle w:val="Funote"/>
        <w:rPr/>
      </w:pPr>
      <w:r>
        <w:rPr/>
        <w:footnoteRef/>
        <w:tab/>
        <w:t>Wind (Vv. 3f.); Feuer (V. 4); fliehendes Wasser (Vv. 6f.) - man beachte, wie hier der Wind als etwas Reitbares (s. nächste FN), das Feuer etwas Dienstbares und das Wasser etwas zur Flucht Fähiges ist - die Natur wird durchgehend personifiziert oder wenigens „semi-personal“ (Andersen 1972, S. 720) gedacht. Von einer „Entmythisierung der Natur“ kann ins Ps 104 nicht die Rede sein.</w:t>
      </w:r>
    </w:p>
  </w:footnote>
  <w:footnote w:id="2144">
    <w:p>
      <w:pPr>
        <w:pStyle w:val="Funote"/>
        <w:rPr/>
      </w:pPr>
      <w:r>
        <w:rPr/>
        <w:footnoteRef/>
        <w:tab/>
        <w:t>&lt;center&gt;miniatur&lt;/center&gt;Flügel des Windes - Die Winde werden in vielen alten Kulturen als geflügelte Gestalten vorgestellt. Im babylonischen Adapa-mythos etwa bricht der Held Adapa die Flügel des Südwindes Šûtu. Zusammen mit einem ihrer drei Brüdern ist sie oben links zu sehen; auf dem ganzen Siegel (s. Wiggermann 2007, S. 142; hier auch weitere Darstellung der personifizierten vier Winde im Alten Orient) sind auch die anderen beiden Brüder abgebildet. In der ägyptischen Bilderwelt sind die personifizierten Winde mal als geflügelte Humanoide, mal als geflügelte Tierwesen dargestellt; in den beiden unteren Bildausschnitten (zu finden an der Decke des Hathor-Tempels in Dendera; Foto: Olaf Tausch) etwa ist der Südwind ein geflügelter Widder und der Westwind ein widderköpfiger Sperber. Eine schöne Rekonstruktion einer weiteren ägyptischen Darstellung mit allen vier Winden lässt sich hier betrachten. Sehr bekannt sind auch die griechischen personifizierten Winde Boreas, Apheliotes, Notos und Zephyros; oben rechts z.B. ein Bronzerelief von Boreas (Grafik aus Richter 1915, S. 30).In der Bibel scheinen die Winde personifiziert durch die geflügelten Cheruben gedacht zu sein (vgl. Offb 7,1 („Danach sah ich vier Engel, die auf den vier Ecken der Erde standen und die vier Winde der Erde festhielten...“)), auf denen Gott gelegentlich auch reitet (vgl. Ps 18,11 („Er ritt auf einem Cherub und flog und schwebte auf den Flügeln des Windes“) und die anderen Parallelstellen). Die beiden Zeilen sprechen also von zwei unterschiedlichen Fortbewegungsmitteln: JHWH ist sowohl Wolken- als auch Wind-/Cherubenreiter.</w:t>
      </w:r>
    </w:p>
  </w:footnote>
  <w:footnote w:id="2145">
    <w:p>
      <w:pPr>
        <w:pStyle w:val="Funote"/>
        <w:rPr/>
      </w:pPr>
      <w:r>
        <w:rPr/>
        <w:footnoteRef/>
        <w:tab/>
        <w:t>Winde - Das selbe Wort findet sich in der Zeile zuvor im Sg., hier im Pl. Eine solche Sg-Pl-Variation ist ein häufigeres Stilmittel in der heb. Lyrik (ad loc. vgl. Yona 2005, S. 157).</w:t>
      </w:r>
    </w:p>
  </w:footnote>
  <w:footnote w:id="2146">
    <w:p>
      <w:pPr>
        <w:pStyle w:val="Funote"/>
        <w:rPr/>
      </w:pPr>
      <w:r>
        <w:rPr/>
        <w:footnoteRef/>
        <w:tab/>
        <w:t>Zu seinen Boten Winde (seine Boten zu Winden) - Diese und die nächste Zeile lässt sich auf vier verschiedene Weisen verstehen; wegen V. 3 ist die wahrscheinlichste Deutung die vierte. # „Er macht seine Boten zu Winden (und Flammen)“, d.h. er lässt seine Engel unter anderem in der Gestalt dieser Elementen erscheinen. Von der Wortstellung liegt diese Auflösung am nächsten; es ist dies auch die Deutung des Verses in Heb 1,7 und es finden sich dafür auch deutliche Parallelen in der frühjüdischen Literatur; s. etwa 4 Esr 8,21f.: „[...] das Heer der Engel [...], deren dienende Schar sich in Wind und Feuer wandelt [...]“. So ist unser Vers auch klar im Midrasch Exodus Rabba verstanden worden: „[JHWH heißt] ‚Der Gott der Heerschaaren,‘ denn er thut den Willen an seinen Engeln. Wenn er will, lässt er sie sitzen, s. Ri 7,11 [...] und zuweilen lässt er sie stehen, s. Jes 6,2 [...], zuweilen lässt er sie in weiblicher Gestalt erscheinen, s. [Sach] 5,9 [...], zuweilen aber in männlicher Gestalt s. Gen 18,2 [...], zuweilen macht er sie zu Winden, wie es heisst Ps 104,4 [...], zuweilen aber auch zu Feuer, s. das. [...].“ (ExR 25,2; Üs.: Wünsche 1882, S. 188f.). So heute noch z.B. Loretz 1979, S. 105: „Der seine Boten zu Winden macht...“ # „Er macht seine Boten zu Winden (und Flammen)“ als Metapher für „schnell wie Wind“ und „gefährlich (?) wie Feuer“. So übersetzt den Vers z.B. der Targum; es ist auch die Deutung des Kirchenvaters Athanasius in seinen Expositiones in Psalmos und noch Edel 1966, S. 139 schlägt diese Deutung vor. # „Er macht zu seinen Boten Winde (und Flammen)“, d.h. er erschafft sie aus Wind und Feuer (entsprechend den arabischen Dschinn, die ebenfalls aus Feuer erschaffen sind; ähnlich vgl. z.B. ApkAbr 19,6, wo die „Feuerengel“ die höchste und über die „geistigen Engel“ gebietende Engelgattung ist.). Auch hierfür gibt es Parallelen in der frühjüdischen Literatur; vgl. z.B. 2 Hen 29,3: „Aus dem Fels schnitt ich [= Gott] ein großes Feuer, und aus dem Feuer schuf ich die Reihen der körperlosen Armeen - zehn Myriaden Engel - und ihre Waffen sind feuerig und ihre Kleider brennende Flammen.“ (Üs. nach Kaduri 2015, S. 140; ähnlich versteht unseren Vers z.B. noch Delitzsch 1894: „Machend seine Boten aus Winden...“). # „Er macht zu seinen Boten Winde (und Flammen)“, d.h.: Gott ist Herr auch über Wind und Feuer, die er daher „in seinen Dienst“ nehmen und über die er gebieten kann: Winde sind seine „Dienstboten“, Feuerflammen seine „Diener“. Das ist hier durchaus die wahrscheinlichste Deutung, denn inwiefern Gott z.B. die (Personifikationen der) Winde „in Dienst nehmen“ kann, sieht man ja exemplarisch im vorigen Vers: Als Reittiere.</w:t>
      </w:r>
    </w:p>
  </w:footnote>
  <w:footnote w:id="2147">
    <w:p>
      <w:pPr>
        <w:pStyle w:val="Funote"/>
        <w:rPr/>
      </w:pPr>
      <w:r>
        <w:rPr/>
        <w:footnoteRef/>
        <w:tab/>
        <w:t>tFN: zu Dienern flammendes Feuer (Flamme [und] Feuer) - Etwas schwierige Stelle. Der heb. Text wirkt auf den ersten Blick so, als müsste er klar wie im Fließtext übersetzt werden. Im Heb. wäre dann aber zu erwarten, dass Diener, flammend und Feuer alle im selben Numerus und Genus stünden. Hier allerdings ist „Diener“ Maskulin Plural, „Feuer“ Feminin Singular und „flammend“ Maskulin Singular (4QPsa verändert daher das letzte Wort nach Feminin). Gunkel 1926, S. 454; Herkenne 1936, S. 334 und Kraus 1966, S. 708 wollen daher korrigieren von „flammendes Feuer“ zu „Flamme und Feuer“, so dass das vorangehende Pluralpartizip „Diener“ sich auf beide beziehen würde und damit Plural und auch Maskulin sein könnte.Vermutlich ist dies aber gar nicht nötig: ´esch findet sich bisweilen auch als maskulines Nomen und gehört damit zu jenen, die beide Genera haben können. Es könnte also auch hier als maskulines Nomen aufgefasst werden, womit sich das „flammend“ problemlos auf es beziehen könnte. In der heb. Grammatik findet sich außerdem häufig der Fall, dass ein „kollektives“ Nomen (wie z.B. „Menschenmasse“, in dessen Wortsinn es liegt, dass mehrere Menschen damit bezeichnet werden) trotz grammatischem Singular ein Pluralprädikat erhält (vgl. z.B. JM §148a), was dann hier das Plural von „Diener“ erklären würde.</w:t>
      </w:r>
    </w:p>
  </w:footnote>
  <w:footnote w:id="2148">
    <w:p>
      <w:pPr>
        <w:pStyle w:val="Funote"/>
        <w:rPr/>
      </w:pPr>
      <w:r>
        <w:rPr/>
        <w:footnoteRef/>
        <w:tab/>
        <w:t>Textkritik: [Bists,] der gründete (er gründete) - Im MT und ähnlich bei 4QPsI&lt;span style="color:#FFFFFF"&gt;_&lt;/span&gt;jasad („Er gründete“) in der Verbform Qatal; in 4QPsd, nach einigen LXX-Handschriften, Hier, Tg und einigen MT-Handschriften aber als Partizip jo(w)sed („[bists,] der gründete“). Im ursprünglichen Text wären beide Varianten gleich geschrieben worden; 4QPsI hätte dann durch nicht-Einfügung des w und MT durch die Vokalisierung vereindeutigt zur Variante 1, die anderen Versionen durch Einfügung des w, durch Vokalisierung oder durch Übersetzung zu Variante 2. Der Wechsel von der zweiten Pers. in V. 2 zur dritten hier (und dann in V. 7 wieder zurück zur zweiten Pers.) ist so schwer erklärlich und so überflüssig , dass die zweite Deutung des ursprünglichen Textes viel besser passt. So auch viele Exegeten (z.B. Clifford 1981, S. 87; deClaissé-Walford/Jacobson/Tanner 2014, S. 771; Kraus 1966, S. 225; anders aber z.B. Hossfeld/Zenger 2008, S. 70 und Krüger 2010, S. 33).</w:t>
      </w:r>
    </w:p>
  </w:footnote>
  <w:footnote w:id="2149">
    <w:p>
      <w:pPr>
        <w:pStyle w:val="Funote"/>
        <w:rPr/>
      </w:pPr>
      <w:r>
        <w:rPr/>
        <w:footnoteRef/>
        <w:tab/>
        <w:t>miniatur|Das biblische Weltbild (Grafik von www.religionsunterricht-pfalz.de)Fundamente - Gemeint sind die Säulen, auf denen nach biblischer Vorstellung die Erde über dem Urmeer aufruht; s. die Grafik rechts und vgl. z.B. noch Ijob 38,6; Ps 24,2. Dass die Erde „wankt“, ist ein häufigeres Motiv in der Bibel; vgl. z.B. Ps 46,2; 60,2; 82,5; Jes 24,19</w:t>
      </w:r>
    </w:p>
  </w:footnote>
  <w:footnote w:id="2150">
    <w:p>
      <w:pPr>
        <w:pStyle w:val="Funote"/>
        <w:rPr/>
      </w:pPr>
      <w:r>
        <w:rPr>
          <w:i/>
        </w:rPr>
        <w:footnoteRef/>
        <w:tab/>
        <w:t>wie mit einem</w:t>
      </w:r>
      <w:r>
        <w:rPr/>
        <w:t xml:space="preserve"> - W. „wie mit dem“; Vergliche sind im Heb. oft determiniert, wo sie das im Dt. nicht wären. Vgl. ähnlich z.B. </w:t>
      </w:r>
      <w:r>
        <w:fldChar w:fldCharType="begin"/>
      </w:r>
      <w:r>
        <w:instrText> HYPERLINK "file:///wiki/Psalm_33" \l "s7"</w:instrText>
      </w:r>
      <w:r>
        <w:fldChar w:fldCharType="separate"/>
      </w:r>
      <w:r>
        <w:rPr>
          <w:rStyle w:val="Internetverknpfung"/>
        </w:rPr>
        <w:t>Ps 33,7</w:t>
      </w:r>
      <w:r>
        <w:fldChar w:fldCharType="end"/>
      </w:r>
      <w:r>
        <w:rPr/>
        <w:t xml:space="preserve">; </w:t>
      </w:r>
      <w:r>
        <w:fldChar w:fldCharType="begin"/>
      </w:r>
      <w:r>
        <w:instrText> HYPERLINK "file:///wiki/Obadja" \l "s4"</w:instrText>
      </w:r>
      <w:r>
        <w:fldChar w:fldCharType="separate"/>
      </w:r>
      <w:r>
        <w:rPr>
          <w:rStyle w:val="Internetverknpfung"/>
        </w:rPr>
        <w:t>Ob 4</w:t>
      </w:r>
      <w:r>
        <w:fldChar w:fldCharType="end"/>
      </w:r>
      <w:r>
        <w:rPr/>
        <w:t>.</w:t>
      </w:r>
    </w:p>
  </w:footnote>
  <w:footnote w:id="2151">
    <w:p>
      <w:pPr>
        <w:pStyle w:val="Funote"/>
        <w:rPr/>
      </w:pPr>
      <w:r>
        <w:rPr/>
        <w:footnoteRef/>
        <w:tab/>
        <w:t>Das Urmeer bedecktest du wie mit einem Gewand - nämlich eben mit dem Himmel, der wie ein Zelttuch über die Welt gebreitet ist (vgl. Ijob 38,9: „Als ich Wolken zu seinem (=des Meeres) Gewand machte...“). Ganz recht B-R: „Der Urwirbel, wie mit einem Kleid bedecktest du ihn“.Textkritik: Die verschiedenen alternativen Übersetzungsvarianten, die sich in fast allen Übersetzungen und Kommentaren finden, basieren sämtlich auf Korrekturen des heb. Textes, die aber nicht nötig sind (nämlich statt kisito („du bedecktest es“) meist kisita(h) („du bedecktest sie“, also die Erde; vgl. hierzu am besten Seidl 1984, S. 46f.), kisata(h) („es (=das Urmeer) bedeckte sie (=die Erde)“) oder kesuto („es (= das Urmeer) war seine (=JHWHs) Bedeckung“). Wie in Gen 1 ist also auch hier das Urmeer anders als Himmel und Erde keine der Schöpfungen Gottes, sondern seinem Schaffen schon vorgegeben (vgl. 2 Pet 3,5).</w:t>
      </w:r>
    </w:p>
  </w:footnote>
  <w:footnote w:id="2152">
    <w:p>
      <w:pPr>
        <w:pStyle w:val="Funote"/>
        <w:rPr/>
      </w:pPr>
      <w:r>
        <w:rPr/>
        <w:footnoteRef/>
        <w:tab/>
        <w:t>tFN: V. 6. Unsere Aufteilung von V. 6 und die Übersetzung des ersten Wortes von 6b mit „auf“ statt „über“ ist ungewöhnlich. Für gewöhnlich zieht man 6a und 6b zu einer Doppelzeile zusammen und übersetzt: „Mit dem Urmeer bedecktest du [die Erde] wie mit einem Gewand / Über den Bergen standen die Wasser“, die beiden Zeilen würden dann beide aussagen, dass Gott zu Beginn der Schöpfung die Erde und selbst die Berge komplett von Wasser bedeckt sein lassen habe. Dagegen spricht aber, dass dafür erstens eine Korrektur des heb. Textes in 6a nötig ist (s. vorige FN), dass zweitens 6a klar zu 2b-5 zu ziehen ist, da 5a.6a eine sehr deutliche Inclusio mit 2b.3a bilden: Gott spannt den Himmel wie eine Zeltdecke aus (2b) und bedeckt das Urmeer wie mit einem Gewand (6a); er bälkt den Himmel im (oberen) Wasser als sein Obergemach (3a) und gründet die Erde auf ihren Fundamenten (gemeint sind die Säulen der Erde im unteren Wasser, s. die Grafik oben). Drittens ist die nätürlichste Bedeutung von V. 8, dass die Wasser auf die Berge hinaufziehen sollen (s. dort), also in V. 6 eher nicht schon über den Bergen stehen. Viertens verwenden 6a und 6b unterschiedliche Verbformen, berichten also offenbar von unterschiedlichen zeitlichen Abschnitten im Handeln Gottes.V. 6 ist dann besser so aufzulösen: 6a ist wegen der Inclusio zu 1b-5 zu ziehen; 1b-6a berichten dann von der Errichtung der kosmischen Grundarchitektur. 6b-8 leiten dann mit Yiqtol-Verben ein, zu beschreiben, wie die Wasser, mit denen Strophe 1 schloss, dem Willen Gottes gemäß zu handeln hatten (vgl. Weber 2003, S. 182): Sie sollten auf den Bergen stehen (6b), darum sollten sie vor seinem Befehl (7) unter anderem auch dort hin (8a) fliehen, um von dort aus dann als Gebirgsbäche in die Täler fließen zu können (10).</w:t>
      </w:r>
    </w:p>
  </w:footnote>
  <w:footnote w:id="2153">
    <w:p>
      <w:pPr>
        <w:pStyle w:val="Funote"/>
        <w:rPr/>
      </w:pPr>
      <w:r>
        <w:rPr/>
        <w:footnoteRef/>
        <w:tab/>
        <w:t>hinaufziehen [auf] Berge, hinabsteigen [in] Täler - Gott verlagert also die Wasser von der „ganzen Erde“ an zwei Orte, nämlich auf die Berge, von wo sie dann als Gebirtsbäche wieder hinabfließen, und ins in „den Tälern“ gelegene Meer (vgl. Ehrlich 1905, S. 247; Sutcliffe 1952). Dass hier von zwei verschiedenen Zielorten die Rede ist, macht die alte Handschrift 2QPs deutlich, indem sie einfügt: „zu[ jede]m Ort“.tFN: Die häufige Übersetzung „Es hoben sich Berge, es senkten sich Täler“ ist klar falsch. „Täler“ ist im Heb. feminin, das Verb „sie stiegen hinab“ / „es senkten sich“ aber maskulin. Subjekt sind also sicher die Wasser (vgl. Spieckermann 1989, S. 22 FN 5).</w:t>
      </w:r>
    </w:p>
  </w:footnote>
  <w:footnote w:id="2154">
    <w:p>
      <w:pPr>
        <w:pStyle w:val="Funote"/>
        <w:rPr/>
      </w:pPr>
      <w:r>
        <w:rPr/>
        <w:footnoteRef/>
        <w:tab/>
        <w:t xml:space="preserve">Sie - Gemeint sind die „Quellen“, wobei das Wort wie in Joel 4,18 sowohl die Quelle der Bäche als auch ihren Verlauf bezeichnet (so richtig Alexander 1856, S. 35).Textkritik: LXX hält für das Subjekt immer noch die „Wasser“ aus V. 6b (da das Wort i.d.R. eben nur die tatsächliche Quelle bezeichnet) und erwähnt daher diese Wasser (heb.: </w:t>
      </w:r>
      <w:r>
        <w:rPr>
          <w:rtl w:val="true"/>
          <w:lang w:bidi="he-IL"/>
        </w:rPr>
        <w:t>מים</w:t>
      </w:r>
      <w:r>
        <w:rPr/>
        <w:t xml:space="preserve">) hier noch einmal explizit. Ursprünglich ist eher die Version ohne „Wasser“ (anders Kissane 1954 und Loretz 1979); ein Schreibfehler ließe sich auch grafisch leicht erlären (Haplographie wg. der Doppelung von </w:t>
      </w:r>
      <w:r>
        <w:rPr>
          <w:rtl w:val="true"/>
          <w:lang w:bidi="he-IL"/>
        </w:rPr>
        <w:t>ים</w:t>
      </w:r>
      <w:r>
        <w:rPr/>
        <w:t xml:space="preserve"> </w:t>
      </w:r>
      <w:r>
        <w:rPr/>
        <w:t xml:space="preserve">(jm) in </w:t>
      </w:r>
      <w:r>
        <w:rPr>
          <w:rtl w:val="true"/>
          <w:lang w:bidi="he-IL"/>
        </w:rPr>
        <w:t>הרים מים</w:t>
      </w:r>
      <w:r>
        <w:rPr/>
        <w:t xml:space="preserve"> </w:t>
      </w:r>
      <w:r>
        <w:rPr/>
        <w:t>(hrjm mjm).</w:t>
      </w:r>
    </w:p>
  </w:footnote>
  <w:footnote w:id="2155">
    <w:p>
      <w:pPr>
        <w:pStyle w:val="Funote"/>
        <w:rPr/>
      </w:pPr>
      <w:r>
        <w:rPr/>
        <w:footnoteRef/>
        <w:tab/>
        <w:t>Textkritik: + [den] nach 4QPsd, LXX: Die Rede ist von den Bergen aus V. 8.</w:t>
      </w:r>
    </w:p>
  </w:footnote>
  <w:footnote w:id="2156">
    <w:p>
      <w:pPr>
        <w:pStyle w:val="Funote"/>
        <w:rPr/>
      </w:pPr>
      <w:r>
        <w:rPr/>
        <w:footnoteRef/>
        <w:tab/>
        <w:t xml:space="preserve">Textkritik / tFN: alle wilden Tiere ist w. „alles Getier des Feldes“; das letzte Wort ist geschrieben mit der selteneren Schreibweise </w:t>
      </w:r>
      <w:r>
        <w:rPr>
          <w:rtl w:val="true"/>
          <w:lang w:bidi="he-IL"/>
        </w:rPr>
        <w:t>שדי</w:t>
      </w:r>
      <w:r>
        <w:rPr/>
        <w:t xml:space="preserve"> </w:t>
      </w:r>
      <w:r>
        <w:rPr/>
        <w:t xml:space="preserve">statt </w:t>
      </w:r>
      <w:r>
        <w:rPr>
          <w:rtl w:val="true"/>
          <w:lang w:bidi="he-IL"/>
        </w:rPr>
        <w:t>השדה</w:t>
      </w:r>
      <w:r>
        <w:rPr/>
        <w:t xml:space="preserve"> </w:t>
      </w:r>
      <w:r>
        <w:rPr/>
        <w:t>(wie in Jes 56,9; s. auch Dtn 32,13; Ps 8,8; 50,11; 80,14; 96,12; Jer 4,17; 18,14; Klg 4,9; Hos 10,4; 12,12; Joel 2,22). In der alten Handschrift 4QPsd findet sich stattdessen „alles Getier Ws (=JHWHs)“; statt „Feldes“ haben die Schreiber dieser Handschrift das Wort also wohl wegen der selteneren Schreibweise offenbar für die ebenso geschriebene Bezeichnung Gottes schaddaj („der vom Berge“) gehalten und durch den Gottesnamen JHWH ersetzt (vgl. Nebe 1981). Angezielt war sicher die Bedeutung „alles Getier des Feldes“.</w:t>
      </w:r>
    </w:p>
  </w:footnote>
  <w:footnote w:id="2157">
    <w:p>
      <w:pPr>
        <w:pStyle w:val="Funote"/>
        <w:rPr/>
      </w:pPr>
      <w:r>
        <w:rPr>
          <w:i/>
        </w:rPr>
        <w:footnoteRef/>
        <w:tab/>
        <w:t>sollen</w:t>
      </w:r>
      <w:r>
        <w:rPr/>
        <w:t xml:space="preserve"> - Assonanz der beiden ersten Worte in 11a und 11b: </w:t>
      </w:r>
      <w:r>
        <w:rPr>
          <w:i/>
        </w:rPr>
        <w:t>jischqu</w:t>
      </w:r>
      <w:r>
        <w:rPr/>
        <w:t xml:space="preserve"> und </w:t>
      </w:r>
      <w:r>
        <w:rPr>
          <w:i/>
        </w:rPr>
        <w:t>jischb</w:t>
      </w:r>
      <w:r>
        <w:rPr>
          <w:i/>
          <w:position w:val="7"/>
          <w:sz w:val="16"/>
        </w:rPr>
        <w:t>e</w:t>
      </w:r>
      <w:r>
        <w:rPr>
          <w:i/>
        </w:rPr>
        <w:t>ru</w:t>
      </w:r>
      <w:r>
        <w:rPr/>
        <w:t>.</w:t>
      </w:r>
    </w:p>
  </w:footnote>
  <w:footnote w:id="2158">
    <w:p>
      <w:pPr>
        <w:pStyle w:val="Funote"/>
        <w:rPr/>
      </w:pPr>
      <w:r>
        <w:rPr/>
        <w:footnoteRef/>
        <w:tab/>
        <w:t>[Selbst] - Fokuspartikel wie „nur“, „selbst“ usw. werden im Heb. oft nicht gesetzt, wo das Dt. sie setzen würde; im Dt. muss man sie sich daher dazudenken. Ähnlich z.B. Rut 1,17; Ps 9,21; Ps 13,3; Ob 5.Ob 6. Die Wildesel sind deshalb ein Sonderfall, weil diese in den 30er Jahren ausgestorbenen Tiere Einzelgänger in der israelitischen Wüste waren (s. Ijob 24,5; Jes 32,14; Jer 2,24; Hos 8,9) und im Alten Orient daher für ungezügelte Freiheit stehen konnten (Mustafa 1983, S. 64 und vgl. Krüger 2010, S. 168-70).</w:t>
      </w:r>
    </w:p>
  </w:footnote>
  <w:footnote w:id="2159">
    <w:p>
      <w:pPr>
        <w:pStyle w:val="Funote"/>
        <w:rPr/>
      </w:pPr>
      <w:r>
        <w:rPr/>
        <w:footnoteRef/>
        <w:tab/>
        <w:t>brechen - d.h. „stillen“; das Idiom „den Durst brechen“ als „dem Durst seinen Stachel nehmen“, d.h. „ihn stillen“ findet sich auch im Lateinischen (frangere sitim) und im Arabischen (vgl. Driver 1943, S. 19). Der in der Bibel einmalige Ausdruck wird gestützt durch die Handschrift 2QPs; 4QPsd allerdings hat statt jšbrw die Konsonanten jškjrw („sie betranken sich“); Syr setzt voraus: jßb`w („sie wurden satt“; dem folgen deClaissé-Walford/Jacobson/Tanner 2014, S. 771).</w:t>
      </w:r>
    </w:p>
  </w:footnote>
  <w:footnote w:id="2160">
    <w:p>
      <w:pPr>
        <w:pStyle w:val="Funote"/>
        <w:rPr/>
      </w:pPr>
      <w:r>
        <w:rPr/>
        <w:footnoteRef/>
        <w:tab/>
        <w:t>miniatur|Felsenbrütende Tauben in einem sog. "Columbarium"Textkritik: Felsen (Zweigen) - Heb. `opha´im (</w:t>
      </w:r>
      <w:r>
        <w:rPr>
          <w:rtl w:val="true"/>
          <w:lang w:bidi="he-IL"/>
        </w:rPr>
        <w:t>עפאים</w:t>
      </w:r>
      <w:r>
        <w:rPr/>
        <w:t>). Ursprünglich wäre dies geschrieben worden als `ophaim (</w:t>
      </w:r>
      <w:r>
        <w:rPr>
          <w:rtl w:val="true"/>
          <w:lang w:bidi="he-IL"/>
        </w:rPr>
        <w:t>עפים</w:t>
      </w:r>
      <w:r>
        <w:rPr/>
        <w:t>); Qere punktiert auch so, als stünden im Ketiv nur diese Buchstaben. LXX, Syr und VUL übersetzen alle mit „Felsen“, setzen also für den ursprünglichen Text das grafisch sehr ähnlliche kephim (</w:t>
      </w:r>
      <w:r>
        <w:rPr>
          <w:rtl w:val="true"/>
          <w:lang w:bidi="he-IL"/>
        </w:rPr>
        <w:t>כפים</w:t>
      </w:r>
      <w:r>
        <w:rPr/>
        <w:t>; s. in der Bibel noch in Ijob 30,6; Jer 4,29. Das Wort im MT dagegen findet sich in der Bibel nur noch dreimal in Dan 4 und ist damit aramäisch, nicht hebräisch, vgl. Wagner 1966, s. 92f.) voraus. Viele Vögel in Israel bauen ihre Nester nicht in Bäume, sondern sind Felsenbrüter. Rechts etwa ein Bild von Tauben, für die wegen ihres „Felsenbrütertums“ eigene Niststationen namens „Columbarien“ erbaut wurden. Die vorgestellte Szenerie ist also die, dass Gebirgsbäche auf Bergen entspringen und zwischen Felsen, in deren Klüften Vögel brüten, in die Täler hinabfließen.</w:t>
      </w:r>
    </w:p>
  </w:footnote>
  <w:footnote w:id="2161">
    <w:p>
      <w:pPr>
        <w:pStyle w:val="Funote"/>
        <w:rPr/>
      </w:pPr>
      <w:r>
        <w:rPr/>
        <w:footnoteRef/>
        <w:tab/>
        <w:t>geben sie - Plural, da das Kollektivnomen `oph („Gevögel“) in Zeile 1 Sg. ist, aber als Kollektivnomen auch mehrere Tiere bezeichnen kann. Die Variation von Sg. mit Pl. in zwei aufeinanderfolgenden Zeilen ist ein häufiges Stilmittel in heb. Texten („N-Shift“).</w:t>
      </w:r>
    </w:p>
  </w:footnote>
  <w:footnote w:id="2162">
    <w:p>
      <w:pPr>
        <w:pStyle w:val="Funote"/>
        <w:rPr/>
      </w:pPr>
      <w:r>
        <w:rPr/>
        <w:footnoteRef/>
        <w:tab/>
        <w:t>Textkritik: Lies mit einer MT-Handschrift und einigen alten Üss. qolam („ihre Stimme“) statt qol („Stimme“) (so z.B. Alter 2007, S. 364; König 1927, S. 159). Grafisch ist der Schreibfehler leicht erklärlich: Haplographie des Mem am Ende dieses und am Anfang des nächsten Wortes (vgl. ähnlich Dahood 1970, S. 39).</w:t>
      </w:r>
    </w:p>
  </w:footnote>
  <w:footnote w:id="2163">
    <w:p>
      <w:pPr>
        <w:pStyle w:val="Funote"/>
        <w:rPr/>
      </w:pPr>
      <w:r>
        <w:rPr/>
        <w:footnoteRef/>
        <w:tab/>
        <w:t xml:space="preserve">Frucht deiner Werke - Sehr umstrittener Ausdruck; viele verschiedene Korrekturen des heb. Textes sind vorgeschlagen worden (s.u.). Vermutlich sind sie aber nicht notwendig. Die Frucht von Gottes Arbeit (s. nächster Absatz) ist wohl der Regen, der hier die Berge „tränkt“ und die Erde „sitt macht“, wie er in V. 16 die Bäume „sitt macht“ (das Wort im Heb. kann sowohl „sitt machen/werden“ als auch „satt machen/werden“ bedeuten; zu „sitt werden“ vgl. z.B. noch Sir 12,16). Der Parallelismus mit „du tränkst die Berge“ macht das sehr wahrscheinlich; alternativ müsste man als die Frucht seiner Regenmacher-Arbeit die Pflanzen betrachten, von denen im Folgenden die Rede sein wird (so z.B. Allen 1983; Delitzsch 1894; Kissane 1954; vgl. die ähnliche Parallelisierung von Regen und Sättigung der Lebewesen in PsSal 5,9 („Du sättigst die Vögel und die Fische, / indem du der Steppe Regen giebst, damit das Gras sprossen kann.“) und den Parallelstellen zu 13b). „Die Erde“ stünde dann metonymisch für alle Bewohner der Erde. Auch V. 16 lässt sich so verstehen, dass nicht die Bäume „sitt werden“, sondern „sättigen“, nämlich die Vögel in ihren Zweigen.Gottes „Arbeit“ ist wahrscheinlich mehr als ein bloßes Befehlen und Gebieten. Nach Ijob 38,37 lässt Gott es etwa regnen, indem er „die im Himmel [gelagerten Wasser-]schläuche ausleert“. Nach b.Taan 9b z.B. muss das (Salz-)Wasser des Urmeeres, das Gott wieder herabregnen lässt, in den Wolken erst noch „gesüßt“ werden. In b.Taan 2ab ist außerdem zu lesen vom „Schlüssel des Regens“, über den (mit Ausnahme Elijas, b.San 113a) einzig Gott gebietet und mit dem er die Schleusen seiner in Dtn 28,12 erwähnten himmlischen Speicher öffnen muss, um es regnen zu lassen (vgl. auch Gen 8,2; Sir 43,14). Gottes Arbeit am Regen wird also häufiger als tatsächliche Handarbeit vorgestellt.Textkritik: Weil sie sämtlich grafisch nicht sehr nahe am heb. Text sind und auch nicht von alten Handschriften oder Üss. gedeckt werden, seien die wichtigeren Korrekturvorschläge hier bloß aus Gründen der Vollständigkeit angeführt. Das zweite Wort von </w:t>
      </w:r>
      <w:r>
        <w:rPr>
          <w:rtl w:val="true"/>
          <w:lang w:bidi="he-IL"/>
        </w:rPr>
        <w:t>מפרי מעשיך</w:t>
      </w:r>
      <w:r>
        <w:rPr/>
        <w:t xml:space="preserve"> </w:t>
      </w:r>
      <w:r>
        <w:rPr/>
        <w:t xml:space="preserve">wollen Nötscher 1953 nach </w:t>
      </w:r>
      <w:r>
        <w:rPr>
          <w:rtl w:val="true"/>
          <w:lang w:bidi="he-IL"/>
        </w:rPr>
        <w:t>נשאיך</w:t>
      </w:r>
      <w:r>
        <w:rPr/>
        <w:t xml:space="preserve"> </w:t>
      </w:r>
      <w:r>
        <w:rPr/>
        <w:t xml:space="preserve">(„von der Frucht deiner Wolken“) und Weiser 1959 nach </w:t>
      </w:r>
      <w:r>
        <w:rPr>
          <w:rtl w:val="true"/>
          <w:lang w:bidi="he-IL"/>
        </w:rPr>
        <w:t>שמיך</w:t>
      </w:r>
      <w:r>
        <w:rPr/>
        <w:t xml:space="preserve"> </w:t>
      </w:r>
      <w:r>
        <w:rPr/>
        <w:t xml:space="preserve">(„von der Frucht deines Himmels“) korrigieren. Als Alternativen für den ganzen Ausdruck schlägt mit Kraus 1966 </w:t>
      </w:r>
      <w:r>
        <w:rPr>
          <w:rtl w:val="true"/>
          <w:lang w:bidi="he-IL"/>
        </w:rPr>
        <w:t>מרי אסמיך</w:t>
      </w:r>
      <w:r>
        <w:rPr/>
        <w:t xml:space="preserve"> </w:t>
      </w:r>
      <w:r>
        <w:rPr/>
        <w:t xml:space="preserve">(„Vom Nass deiner Kammern“) vor; ähnlich Loretz 1979 mit </w:t>
      </w:r>
      <w:r>
        <w:rPr>
          <w:rtl w:val="true"/>
          <w:lang w:bidi="he-IL"/>
        </w:rPr>
        <w:t>מרי אסמיו</w:t>
      </w:r>
      <w:r>
        <w:rPr/>
        <w:t xml:space="preserve"> </w:t>
      </w:r>
      <w:r>
        <w:rPr/>
        <w:t xml:space="preserve">(„Vom Nass seiner Speicher“). EÜ ersetzt den ganzen Ausdruck durch </w:t>
      </w:r>
      <w:r>
        <w:rPr>
          <w:rtl w:val="true"/>
          <w:lang w:bidi="he-IL"/>
        </w:rPr>
        <w:t>מנשאיך</w:t>
      </w:r>
      <w:r>
        <w:rPr/>
        <w:t xml:space="preserve"> </w:t>
      </w:r>
      <w:r>
        <w:rPr/>
        <w:t>(„aus deinen Wolken“); dem folgt wohl ASTADLER. Nach jeder dieser Korrekturen wäre also auch in Zeile 2 vom Regen die Rede.</w:t>
      </w:r>
    </w:p>
  </w:footnote>
  <w:footnote w:id="2164">
    <w:p>
      <w:pPr>
        <w:pStyle w:val="Funote"/>
        <w:rPr/>
      </w:pPr>
      <w:r>
        <w:rPr>
          <w:i/>
        </w:rPr>
        <w:footnoteRef/>
        <w:tab/>
        <w:t>sitt werden (sättigen)</w:t>
      </w:r>
      <w:r>
        <w:rPr/>
        <w:t xml:space="preserve"> - s. zu den beiden verschiedenen möglichen Üss. s. </w:t>
      </w:r>
      <w:r>
        <w:fldChar w:fldCharType="begin"/>
      </w:r>
      <w:r>
        <w:instrText> HYPERLINK "https://offene-bibel.de/mediawiki/index.php?title=Psalm_104&amp;action=submit" \l "note_af"</w:instrText>
      </w:r>
      <w:r>
        <w:fldChar w:fldCharType="separate"/>
      </w:r>
      <w:r>
        <w:rPr>
          <w:rStyle w:val="Internetverknpfung"/>
        </w:rPr>
        <w:t>FN af</w:t>
      </w:r>
      <w:r>
        <w:fldChar w:fldCharType="end"/>
      </w:r>
      <w:r>
        <w:rPr/>
        <w:t>.</w:t>
      </w:r>
    </w:p>
  </w:footnote>
  <w:footnote w:id="2165">
    <w:p>
      <w:pPr>
        <w:pStyle w:val="Funote"/>
        <w:rPr/>
      </w:pPr>
      <w:r>
        <w:rPr/>
        <w:footnoteRef/>
        <w:tab/>
        <w:t xml:space="preserve">Textkritik: des Feldes (JHWHs) - Im MT: „JHWHs“. LXX hat hier „Bäume des Feldes“ (wie es sich z.B. auch in Lev 26,4; Dtn 20,19; Jes 55,12 u.ö. findet; zur Schreibweise s. zu V. 11). Wahrscheinlich liegt also die selbe Textgeschichte vor wie in V. 11 (s. FN y): Im ursprünglichen Text war die Rede vom „Feld“, ein alter Schreiber verwechselte dies wegen der seltenen Schreibweise </w:t>
      </w:r>
      <w:r>
        <w:rPr>
          <w:rtl w:val="true"/>
          <w:lang w:bidi="he-IL"/>
        </w:rPr>
        <w:t>שדי</w:t>
      </w:r>
      <w:r>
        <w:rPr/>
        <w:t xml:space="preserve"> </w:t>
      </w:r>
      <w:r>
        <w:rPr/>
        <w:t>mit der ebenso geschriebenen Gottesbezeichnung schaddaj („der vom Berge“) und ersetzte dies durch den Gottesnamen JHWH (zur Stelle vgl. Sparks 1947, S. 57).</w:t>
      </w:r>
    </w:p>
  </w:footnote>
  <w:footnote w:id="2166">
    <w:p>
      <w:pPr>
        <w:pStyle w:val="Funote"/>
        <w:rPr/>
      </w:pPr>
      <w:r>
        <w:rPr>
          <w:i/>
        </w:rPr>
        <w:footnoteRef/>
        <w:tab/>
        <w:t>Libanon-zedern</w:t>
      </w:r>
      <w:r>
        <w:rPr/>
        <w:t xml:space="preserve"> - Bäume, sprichwörtlich für ihre Größe und Majestät. S. z.B. bes. klar </w:t>
      </w:r>
      <w:hyperlink r:id="rId158">
        <w:r>
          <w:rPr>
            <w:rStyle w:val="Internetverknpfung"/>
          </w:rPr>
          <w:t>Ez 31,3</w:t>
        </w:r>
      </w:hyperlink>
      <w:r>
        <w:rPr/>
        <w:t xml:space="preserve">, auch </w:t>
      </w:r>
      <w:hyperlink r:id="rId159">
        <w:r>
          <w:rPr>
            <w:rStyle w:val="Internetverknpfung"/>
          </w:rPr>
          <w:t>1 Kön 4,33</w:t>
        </w:r>
      </w:hyperlink>
      <w:r>
        <w:rPr/>
        <w:t xml:space="preserve">; </w:t>
      </w:r>
      <w:hyperlink r:id="rId160">
        <w:r>
          <w:rPr>
            <w:rStyle w:val="Internetverknpfung"/>
          </w:rPr>
          <w:t>Jes 2,13</w:t>
        </w:r>
      </w:hyperlink>
      <w:r>
        <w:rPr/>
        <w:t xml:space="preserve">; </w:t>
      </w:r>
      <w:hyperlink r:id="rId161">
        <w:r>
          <w:rPr>
            <w:rStyle w:val="Internetverknpfung"/>
          </w:rPr>
          <w:t>37,24</w:t>
        </w:r>
      </w:hyperlink>
      <w:r>
        <w:rPr/>
        <w:t>.</w:t>
      </w:r>
    </w:p>
  </w:footnote>
  <w:footnote w:id="2167">
    <w:p>
      <w:pPr>
        <w:pStyle w:val="Funote"/>
        <w:rPr/>
      </w:pPr>
      <w:r>
        <w:rPr/>
        <w:footnoteRef/>
        <w:tab/>
        <w:t>Textkritik: Dort (, auf denen) - Im Heb. mit Relativpartikel ´ascher eingeleiteter Relativsatz. Diese Relativpartikel wird gestützt von Tg und Sym, nicht aber von LXX, Aq, Syr, Hier und VUL. Am einfachsten ließe sich das damit erklären, dass die Relativpartikel, die auch schon das vorletzte Wort in V. 16 ist, hier von einem Schreiber fälschlicherweise ein zweites Mal geschrieben worden ist. So z.B. EÜ, H-R, HER05, PAT, TAF.</w:t>
      </w:r>
    </w:p>
  </w:footnote>
  <w:footnote w:id="2168">
    <w:p>
      <w:pPr>
        <w:pStyle w:val="Funote"/>
        <w:rPr/>
      </w:pPr>
      <w:r>
        <w:rPr/>
        <w:footnoteRef/>
        <w:tab/>
        <w:t>miniatur|Storch, Reiher und GleitaarHabicht (Storch?, Reiher?) - Trad. übersetzt mit „Storch“, und in der Tat können Störche trotz ihrer bis zu zwei Tonnen schwerer Horste sowohl in weniger stabilen Bäumen wie „Zypressen“ als auch auf „Wipfeln“, also den schwächsten Stellen von Bäumen, nisten; s. das linke Bild. Für die Übersetzung des Wortes mit „Storch“ gibt es aber fast keine Indizien. Syr übersetzt mit chorba´, was sowohl den Storch als auch den Reiher bezeichnen kann (so an jeder Stelle; s. noch Lev 11,19; Dtn 14,18; Ijob 39,13; Jer 8,7). Mit „Reiher“ übersetzen auch Sym, Theod und VUL bisweilen; wenn, sollte man von diesen Üss. also eher auf Reiher schließen.Sein Name (chasidah) leitet sich außerdem her von chesed („Treue“). Aristoteles berichtet in HA VIII 615b einmal davon, dass alte Störche von den jungen gefüttert würden, und deshalb (!) denken einige, dieser Name passe besonders gut zum Storch. Diese Parallele ist jedoch sehr weit hergeholt. Viel näher ist die talmudische Parallelstelle b.Chul 63a: „Die ‚chasidah‘ ist eine weiße dajjah. Warum lautet ihr Name chasidah? Weil sie Treue (‚chasidot‘) gegenüber ihren Gefährten zeigt.“ dajjah nun bezeichnet, wie Dalman in AuS VI, S. 97 richtig anmerkt, einen kleinen Greifvogel (in b.Mez 24b z.B. raubt eine dajjah Fleisch vom Marktplatz und verspeißt es auf einem Baum), und entsprechend ist dies die zweite verbreitete alte Üs.: „Habicht“ (so nämlich bisweilen Tg, Hier, VUL, Sym, Sexta). Weitere Indizien sind dann die weiße Farbe (s. eben b.Chul 63a; ebenso TgO Dtn 14,18; TgPsJ Lev 11,19; TgN Lev 11,19; TgPs 104,17: „weiße dajjah“ u.Ä.), die Tatsache, dass er ein Zugvogel ist (vgl. Jer 8,7) und seine Nennung zusammen mit Taube, Schwalbe, Drossel (Jer 8,7), Wiedehopf, Fledermaus und ´anapah (TgPsJ, TgN, FTV, b.Chul 63a: „schwarze dajjah“, also wohl Mohrenweihe, Schieferfalke o.Ä.) (Lev 11,19; Dtn 14,18), sämtlich also eher kleinen Vögeln. Gemeint sein könnte also zum Beispiel der habichtartige Gleitaar, s. rechtes Bild. Dahin weist auch Folgendes: Auf diesen Vogelabschnitt folgt ein Abschnitt über Landtiere (Vv. 18-22) und einer über Meerestiere (Vv. 25f.); in beiden Abschnitten steht an zweiter Stelle ein gefährliches Tier: Auf Steinbock und Klippdachs (Vv. 18-20) folgt der Löwe (Vv. 20f.), auf die kleinen und großen Meerestiere (V. 25) der Leviathan (V. 26). Es machte Sinn, wenn auch hier auf die Vögel (tsipporim, also speziell „kleine Vögel“, statt allgemein `oph, „Vögel“!) eine für dese gefährliche Tierart folgte.</w:t>
      </w:r>
    </w:p>
  </w:footnote>
  <w:footnote w:id="2169">
    <w:p>
      <w:pPr>
        <w:pStyle w:val="Funote"/>
        <w:rPr/>
      </w:pPr>
      <w:r>
        <w:rPr/>
        <w:footnoteRef/>
        <w:tab/>
        <w:t>Textkritik: in ihren Wipfeln (auf Zypressen) - Im Heb. beroschim („auf den Zedern“). LXX setzt aber sinnvoller voraus, dass der Urtext beroscham („auf ihrem Haupt“, d.h. „in ihren Wipfeln“) lautete. Dem folgen z.B. auch CTAT; Deissler 1989, S. 407; Kissane 1954, S. 154; Krüger 2010, S. 26: Die Einführung einer zweiten speziellen Baumart liegt poetisch nicht sehr nahe und eine Verlesung der beiden (ursprünglich wohl ohnehin gleich geschriebenen) Worte ließe sich leicht damit erklären, dass „Zedern“ und „Zypressen“ als zwei Edelhölzer häufig in Kombination erwähnt werden, s. etwa 1 Kön 5,8.10; Jes 14,8; Jes 37,24; Ez 27,5 u.ö.</w:t>
      </w:r>
    </w:p>
  </w:footnote>
  <w:footnote w:id="2170">
    <w:p>
      <w:pPr>
        <w:pStyle w:val="Funote"/>
        <w:rPr/>
      </w:pPr>
      <w:r>
        <w:rPr/>
        <w:footnoteRef/>
        <w:tab/>
        <w:t>für Festzeiten - nämlich zum Anzeigen derselben: Noch heute orientiert man sich im Judentum zur Bestimmung der Festzeiten an einem Mondkalender. Zur Bed. „Festzeiten“ vgl. Rudolph 2003.</w:t>
      </w:r>
    </w:p>
  </w:footnote>
  <w:footnote w:id="2171">
    <w:p>
      <w:pPr>
        <w:pStyle w:val="Funote"/>
        <w:rPr/>
      </w:pPr>
      <w:r>
        <w:rPr>
          <w:i/>
        </w:rPr>
        <w:footnoteRef/>
        <w:tab/>
        <w:t>kennt ihren Untergang</w:t>
      </w:r>
      <w:r>
        <w:rPr/>
        <w:t xml:space="preserve"> - d.h. sie weiß, wann oder wo sie unterzugehen hat.</w:t>
      </w:r>
    </w:p>
  </w:footnote>
  <w:footnote w:id="2172">
    <w:p>
      <w:pPr>
        <w:pStyle w:val="Funote"/>
        <w:rPr/>
      </w:pPr>
      <w:r>
        <w:rPr/>
        <w:footnoteRef/>
        <w:tab/>
        <w:t>tFN: 20ab - Häufig nach JM §167a als temporales Satzgefüge übersetzt: „Setzt du Finsternis, wird es Nacht“; „und es soll werden“ für „dann wird es“ soll eine „seltene und poetische“ Konstruktion für solche Satzgefüge sein (ebd.). Das ist aber bei keiner von Joüons Parallelen (notwendig) so: Mic 7,10; Sach 9,5 sprechen klar üble Wünsche aus; ähnlich Ps 146,4. In Ijob 19,18; Ps 40,6; Ps 139,8f. sollen die Kohortativ nur ähnlich wie ein historisches Präsens die Dramatik stärken, z.B.: „Ich will mir die Unterwelt betten - doch du bist da!“Auch das Jussiv lässt sich aber ja problemlos so verstehen wie die vorigen Yiqtols: Sie sollen anzeigen, dass auch die Nacht (ebenso wie der Tag, V. 22) und das Wimmeln von Waldtieren Gottes Willen unterliegt. Von 20a auf 20b liegt dann zusätzlich zum P-Shift also auch ein D(iathesen)-Shift vor.</w:t>
      </w:r>
    </w:p>
  </w:footnote>
  <w:footnote w:id="2173">
    <w:p>
      <w:pPr>
        <w:pStyle w:val="Funote"/>
        <w:rPr/>
      </w:pPr>
      <w:r>
        <w:rPr/>
        <w:footnoteRef/>
        <w:tab/>
        <w:t>Löwen sind in der Antike noch häufiger als nachtaktive, in (Gebirgs-)höhlen wohnende Tiere vorgestellt; vgl. für die Bibel noch Ijob 38,40; Hld 4,8; Am 3,4; Nah 2,13. Auch in einem ägyptischen Spruch zum Schutz des Horus heißt es: „Der Schutz des Horus ist der Löwe in der Nacht, der im Westgebirge umherzieht“ (TUAT II/3, S. 369). Ähnlich auch in Griechenland, z.B. bei Herodot (Hdt 7.125f: „Nachts [vom Gebirge] herabkommend und ihr Reich zurücklassend fielen sie (=die Löwen) weder Mensch noch Vieh an; nur die Kamele raubten sie).“ und in der Sage vom nemeischen Löwen, der nach Diod 4.11.3f. in einer Höhle haust. Jensen 2016, S. 79 erwägt daher gar, ob zu dieser Zeit der schon lange ausgestorbene Höhlenlöwe vielleicht noch lebte. Zur Verortung des Löwen in den Wald vgl. noch Jer 5,6; Am 3,4.</w:t>
      </w:r>
    </w:p>
  </w:footnote>
  <w:footnote w:id="2174">
    <w:p>
      <w:pPr>
        <w:pStyle w:val="Funote"/>
        <w:rPr/>
      </w:pPr>
      <w:r>
        <w:rPr/>
        <w:footnoteRef/>
        <w:tab/>
        <w:t>tFN: So auch (Dies – das, dort [ist]) - schwer erklärliche Verwendung des Demonstrativpronomens zeh. LXX, Syr, Hier, VUL und Tg übersetzen schlicht mit „Dieses Meer (ist)...“ (wofür im Heb. der Artikel ganz ausgereicht hätte), eine rein automatische Übersetzungen des Pronomens. 11QPsa streicht das Pronomen; vielleicht ein Indiz dafür, dass es dem Schreiber ebenfalls überflüssig schien.Zur Üs. mit „dort“ vgl. Ges18, S. 294; so die meisten Üss., z.B. EÜ, LUT17. Warum hier aber ein Deiktikum kommen sollte, ist ebenso wenig erklärlich. Zu „so [auch]“ vgl. HALOT, S. 264; Berlin 2005, S. 81; z.B. auch Zorell 1928, S. 181 („item mare magnum...“); ähnlich offenbar die Verwendung z.B. in Ps 24,6. Trotz der wenigen Belege für diese Verwendung wird man sich hier notgedrungen wohl hieran anschließen müssen.</w:t>
      </w:r>
    </w:p>
  </w:footnote>
  <w:footnote w:id="2175">
    <w:p>
      <w:pPr>
        <w:pStyle w:val="Funote"/>
        <w:rPr/>
      </w:pPr>
      <w:r>
        <w:rPr/>
        <w:footnoteRef/>
        <w:tab/>
        <w:t>groß und weit {die Seiten} - d.h. „groß und weit [nach allen] Seiten“, vgl. Ges18, S. 438. Das selbe Idiom findet sich auch in Gen 34,21; Jes 22,18; Jes 33,21.</w:t>
      </w:r>
    </w:p>
  </w:footnote>
  <w:footnote w:id="2176">
    <w:p>
      <w:pPr>
        <w:pStyle w:val="Funote"/>
        <w:rPr/>
      </w:pPr>
      <w:r>
        <w:rPr>
          <w:i/>
        </w:rPr>
        <w:footnoteRef/>
        <w:tab/>
        <w:t>Gewürm</w:t>
      </w:r>
      <w:r>
        <w:rPr/>
        <w:t xml:space="preserve"> - Heb. </w:t>
      </w:r>
      <w:r>
        <w:rPr>
          <w:i/>
        </w:rPr>
        <w:t>remeß</w:t>
      </w:r>
      <w:r>
        <w:rPr/>
        <w:t xml:space="preserve">. Das Nomen und das dazugehörige Verb bezeichnen eigentlich speziell Kriechtiere und Gewürm auf der Erde; von Wassertieren aber auch in </w:t>
      </w:r>
      <w:r>
        <w:fldChar w:fldCharType="begin"/>
      </w:r>
      <w:r>
        <w:instrText> HYPERLINK "file:///wiki/Genesis_1" \l "s21"</w:instrText>
      </w:r>
      <w:r>
        <w:fldChar w:fldCharType="separate"/>
      </w:r>
      <w:r>
        <w:rPr>
          <w:rStyle w:val="Internetverknpfung"/>
        </w:rPr>
        <w:t>Gen 1,21</w:t>
      </w:r>
      <w:r>
        <w:fldChar w:fldCharType="end"/>
      </w:r>
      <w:r>
        <w:rPr/>
        <w:t xml:space="preserve">; </w:t>
      </w:r>
      <w:hyperlink r:id="rId162">
        <w:r>
          <w:rPr>
            <w:rStyle w:val="Internetverknpfung"/>
          </w:rPr>
          <w:t>Lev 11,46</w:t>
        </w:r>
      </w:hyperlink>
      <w:r>
        <w:rPr/>
        <w:t xml:space="preserve">; </w:t>
      </w:r>
      <w:hyperlink r:id="rId163">
        <w:r>
          <w:rPr>
            <w:rStyle w:val="Internetverknpfung"/>
          </w:rPr>
          <w:t>Ps 69,35</w:t>
        </w:r>
      </w:hyperlink>
      <w:r>
        <w:rPr/>
        <w:t xml:space="preserve">. Gemeint sind hier also wohl Meerwürmer, Seeschnecken etc. und in Vv. 25f. steigert sich derart nach und nach die Größe der genannten Tiere: Gewürm - kleine Tiere - große Tiere - Leviathan. </w:t>
      </w:r>
    </w:p>
  </w:footnote>
  <w:footnote w:id="2177">
    <w:p>
      <w:pPr>
        <w:pStyle w:val="Funote"/>
        <w:rPr/>
      </w:pPr>
      <w:r>
        <w:rPr/>
        <w:footnoteRef/>
        <w:tab/>
        <w:t>schwimmen Schiffe (schwimmen dort gleich Schiffen.) - die umstrittenste Stelle des Psalms. Auf den ersten Blick scheint wegen dieser Zeile in Vv. 27f. gesagt zu werden, dass Gott Schiffe füttere, und in V. 29, dass Gott nicht nur Lebewesen, sondern auch den Schiffen seinen Geist geben und auch nehmen könne, in welchem Falle dann die Schiffe erschrecken und sterben würden. Hinzu kommt die grammatische Schwierigkeit, dass „Schiffe“ Feminin Plural ist, das Verb „schwimmen“ aber Maskulin Plural. Die einfachste Erklärung ist die, dass die Schiffe hier metonymisch für die (vielen) Menschen auf diesen Schiffen stehen, was sich auch im Maskulinum des Verbs niederschlägt. Vermöge seiner Schiffe ist der Mensch auch ein „Wassertier“, vermöge der Größe seiner Schiffe nach dem Leviathan sogar das größte von ihnen.Alternativ ließen sich die „Schiffe“ mit Ehrlich 1905, S. 251f. als adverbialer Akkusativ des Vergleichs erklären (vgl. GKC §118r; z.B. auch Psalm 11,1; Ps 21,8; mit ähnlicher Syntax Ijob 24,4: „[Wie] Wildesel in der Wüste arbeiten [sie] in der Früh“): „Die kleinen Tiere und die großen schwimmen dort [wie] Schiffe“. Einige ältere Exegeten haben außerdem unwahrscheinliche Textkorrekturen vorgeschlagen, nämlich für onijot („Schiffe“) entweder emoth („Schrecknisse“, so z.B. Gunkel 1926; Herkenne 1936) oder taninim („Tiefe“; so z.B. Schlögl 1915; Weiser 1959), zwei Bezeichnungen für weitere Meeresungeheuer neben dem Leviathan.</w:t>
      </w:r>
    </w:p>
  </w:footnote>
  <w:footnote w:id="2178">
    <w:p>
      <w:pPr>
        <w:pStyle w:val="Funote"/>
        <w:rPr/>
      </w:pPr>
      <w:r>
        <w:rPr/>
        <w:footnoteRef/>
        <w:tab/>
        <w:t>um mit ihm Spaß zu haben (damit er darinnen Spaß habe) - Das mythische Meeresungeheuer Leviathan (vgl. Jer 27,1) wird hier degradiert zum Schoßhündchen Gottes.Grammatisch sind beide Auflösungen möglich; nach der Parallelstelle Ijob 40,29 liegt aber die Deutung im Fließtext wesentlich näher. Vgl. auch b.AZ 3b, wo Rabbi Aricha Gottes zwölfstündiger Tagesablauf schildert: Die ersten drei Stunden studiert er die Torah, die zweiten drei Stunden beurteilt er die Welt (und weil er dabei stets erkennt, dass er sie eigentlich zerstören müsste, entscheidet er jeden Tag von Neuem, gnädig zu sein), die dritten drei Stunden ernährt er sie und die vierten drei Stunden vergnügt er sich mit dem Leviathan.Gemeint ist nicht „um ihn zu verspotten“ (Grill 1959, S. 102; so schon Athanasius); vgl. richtig Kwakkel 2017, S. 83. Ohnehin stünde dafür im Heb. das Verb im Qal statt im Piel.</w:t>
      </w:r>
    </w:p>
  </w:footnote>
  <w:footnote w:id="2179">
    <w:p>
      <w:pPr>
        <w:pStyle w:val="Funote"/>
        <w:rPr/>
      </w:pPr>
      <w:r>
        <w:rPr/>
        <w:footnoteRef/>
        <w:tab/>
        <w:t>Auch: „Statt meiner Liebe...“ oder „Unter meiner Liebe...“</w:t>
      </w:r>
    </w:p>
  </w:footnote>
  <w:footnote w:id="2180">
    <w:p>
      <w:pPr>
        <w:pStyle w:val="Funote"/>
        <w:rPr/>
      </w:pPr>
      <w:r>
        <w:rPr/>
        <w:footnoteRef/>
        <w:tab/>
        <w:t xml:space="preserve">Kal Impf. mit Suff. von </w:t>
      </w:r>
      <w:r>
        <w:rPr>
          <w:rtl w:val="true"/>
          <w:lang w:bidi="he-IL"/>
        </w:rPr>
        <w:t>שׂטן</w:t>
      </w:r>
      <w:r>
        <w:rPr/>
        <w:t>.</w:t>
      </w:r>
    </w:p>
  </w:footnote>
  <w:footnote w:id="2181">
    <w:p>
      <w:pPr>
        <w:pStyle w:val="Funote"/>
        <w:rPr/>
      </w:pPr>
      <w:r>
        <w:rPr/>
        <w:footnoteRef/>
        <w:tab/>
        <w:t>Gesenius</w:t>
      </w:r>
      <w:r>
        <w:rPr>
          <w:position w:val="7"/>
          <w:sz w:val="16"/>
        </w:rPr>
        <w:t>17</w:t>
      </w:r>
      <w:r>
        <w:rPr/>
        <w:t xml:space="preserve">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2182">
    <w:p>
      <w:pPr>
        <w:pStyle w:val="Funote"/>
        <w:rPr/>
      </w:pPr>
      <w:r>
        <w:rPr/>
        <w:footnoteRef/>
        <w:tab/>
        <w:t>Chiastischer Satzaufbau, der die Widersprüche in der Erfahrung des Psalms betont. In den folgenden Versen könnte es sich um die Wiedergabe der konkreten Anfeindungen handeln.</w:t>
      </w:r>
    </w:p>
  </w:footnote>
  <w:footnote w:id="2183">
    <w:p>
      <w:pPr>
        <w:pStyle w:val="Funote"/>
        <w:rPr/>
      </w:pPr>
      <w:r>
        <w:rPr/>
        <w:footnoteRef/>
        <w:tab/>
        <w:t xml:space="preserve">Hif'il Imp. Sg. von </w:t>
      </w:r>
      <w:r>
        <w:rPr>
          <w:rtl w:val="true"/>
          <w:lang w:bidi="he-IL"/>
        </w:rPr>
        <w:t>פקד</w:t>
      </w:r>
      <w:r>
        <w:rPr/>
        <w:t>.</w:t>
      </w:r>
    </w:p>
  </w:footnote>
  <w:footnote w:id="2184">
    <w:p>
      <w:pPr>
        <w:pStyle w:val="Funote"/>
        <w:rPr/>
      </w:pPr>
      <w:r>
        <w:rPr/>
        <w:footnoteRef/>
        <w:tab/>
        <w:t xml:space="preserve">Das Wort </w:t>
      </w:r>
      <w:r>
        <w:rPr>
          <w:rtl w:val="true"/>
          <w:lang w:bidi="he-IL"/>
        </w:rPr>
        <w:t>שׇׂטָן</w:t>
      </w:r>
      <w:r>
        <w:rPr/>
        <w:t xml:space="preserve"> </w:t>
      </w:r>
      <w:r>
        <w:rPr/>
        <w:t>(Satan) wird hier nicht als Eigenname wiedergegeben.</w:t>
      </w:r>
    </w:p>
  </w:footnote>
  <w:footnote w:id="2185">
    <w:p>
      <w:pPr>
        <w:pStyle w:val="Funote"/>
        <w:rPr/>
      </w:pPr>
      <w:r>
        <w:rPr/>
        <w:footnoteRef/>
        <w:tab/>
        <w:t xml:space="preserve">Kal Jussiv von </w:t>
      </w:r>
      <w:r>
        <w:rPr>
          <w:rtl w:val="true"/>
          <w:lang w:bidi="he-IL"/>
        </w:rPr>
        <w:t>עמד</w:t>
      </w:r>
      <w:r>
        <w:rPr/>
        <w:t>.</w:t>
      </w:r>
    </w:p>
  </w:footnote>
  <w:footnote w:id="2186">
    <w:p>
      <w:pPr>
        <w:pStyle w:val="Funote"/>
        <w:rPr/>
      </w:pPr>
      <w:r>
        <w:rPr/>
        <w:footnoteRef/>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2187">
    <w:p>
      <w:pPr>
        <w:pStyle w:val="Funote"/>
        <w:rPr/>
      </w:pPr>
      <w:r>
        <w:rPr/>
        <w:footnoteRef/>
        <w:tab/>
        <w:t>Kal Jussiv, ebenso beim nächsten Verb.</w:t>
      </w:r>
    </w:p>
  </w:footnote>
  <w:footnote w:id="2188">
    <w:p>
      <w:pPr>
        <w:pStyle w:val="Funote"/>
        <w:rPr/>
      </w:pPr>
      <w:r>
        <w:rPr/>
        <w:footnoteRef/>
        <w:tab/>
        <w:t>[Status: Ungeprüft]</w:t>
      </w:r>
    </w:p>
  </w:footnote>
  <w:footnote w:id="2189">
    <w:p>
      <w:pPr>
        <w:pStyle w:val="Funote"/>
        <w:rPr/>
      </w:pPr>
      <w:r>
        <w:rPr/>
        <w:footnoteRef/>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2190">
    <w:p>
      <w:pPr>
        <w:pStyle w:val="Funote"/>
        <w:rPr/>
      </w:pPr>
      <w:r>
        <w:rPr/>
        <w:footnoteRef/>
        <w:tab/>
        <w:t>Adonai könnte auf den weltlichen Herren bezogen sein, der sich in Vers 1 zur Rechten JHWHs setzen soll. JHWH sitzt demnach zur Linken und dürfte inhaltlich nicht gemeint sein. Das Wort Adonai lässt dies aber offen.</w:t>
      </w:r>
    </w:p>
  </w:footnote>
  <w:footnote w:id="2191">
    <w:p>
      <w:pPr>
        <w:pStyle w:val="Funote"/>
        <w:rPr/>
      </w:pPr>
      <w:r>
        <w:rPr/>
        <w:footnoteRef/>
        <w:tab/>
        <w:t>[Status: Ungeprüft]</w:t>
      </w:r>
    </w:p>
  </w:footnote>
  <w:footnote w:id="2192">
    <w:p>
      <w:pPr>
        <w:pStyle w:val="Funote"/>
        <w:rPr/>
      </w:pPr>
      <w:r>
        <w:rPr/>
        <w:footnoteRef/>
        <w:tab/>
        <w:t>[Status: Ungeprüft]</w:t>
      </w:r>
    </w:p>
  </w:footnote>
  <w:footnote w:id="2193">
    <w:p>
      <w:pPr>
        <w:pStyle w:val="Funote"/>
        <w:rPr/>
      </w:pPr>
      <w:r>
        <w:rPr/>
        <w:footnoteRef/>
        <w:tab/>
        <w:t>Unerklärlicher Subjektswechsel; LXX übersetzt Niph'al: „Ich bin gestoßen worden“</w:t>
      </w:r>
    </w:p>
  </w:footnote>
  <w:footnote w:id="2194">
    <w:p>
      <w:pPr>
        <w:pStyle w:val="Funote"/>
        <w:rPr/>
      </w:pPr>
      <w:r>
        <w:rPr/>
        <w:footnoteRef/>
        <w:tab/>
        <w:t>[Status: Ungeprüft]</w:t>
      </w:r>
    </w:p>
  </w:footnote>
  <w:footnote w:id="2195">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br/>
        <w:t xml:space="preserve">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 </w:t>
      </w:r>
    </w:p>
  </w:footnote>
  <w:footnote w:id="2196">
    <w:p>
      <w:pPr>
        <w:pStyle w:val="Funote"/>
        <w:rPr/>
      </w:pPr>
      <w:r>
        <w:rPr>
          <w:i/>
        </w:rPr>
        <w:footnoteRef/>
        <w:tab/>
        <w:t>lügenden Lippen</w:t>
      </w:r>
      <w:r>
        <w:rPr/>
        <w:t xml:space="preserve"> Ein Constructus (Genitiv), der eine Eigenschaft ausdrückt, daher gewöhnlich als attributives Adjektiv übersetzt. </w:t>
      </w:r>
    </w:p>
  </w:footnote>
  <w:footnote w:id="2197">
    <w:p>
      <w:pPr>
        <w:pStyle w:val="Funote"/>
        <w:rPr/>
      </w:pPr>
      <w:r>
        <w:rPr>
          <w:i/>
        </w:rPr>
        <w:footnoteRef/>
        <w:tab/>
        <w:t>brennende Kohlen aus Ginster</w:t>
      </w:r>
      <w:r>
        <w:rPr/>
        <w:t xml:space="preserve"> Hier verstanden als Constructus (Genitiv), der das Material bezeichnet. Vielleicht sind die Reste eines verkohlten Ginsterbusches als Symbol für das Ergebnis von Gottes eingreifendem Gericht im Blick. </w:t>
      </w:r>
    </w:p>
  </w:footnote>
  <w:footnote w:id="2198">
    <w:p>
      <w:pPr>
        <w:pStyle w:val="Funote"/>
        <w:rPr/>
      </w:pPr>
      <w:r>
        <w:rPr>
          <w:i/>
        </w:rPr>
        <w:footnoteRef/>
        <w:tab/>
        <w:t>Meschech</w:t>
      </w:r>
      <w:r>
        <w:rPr/>
        <w:t xml:space="preserve"> und </w:t>
      </w:r>
      <w:r>
        <w:rPr>
          <w:i/>
        </w:rPr>
        <w:t>Kedar</w:t>
      </w:r>
      <w:r>
        <w:rPr/>
        <w:t xml:space="preserve">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 </w:t>
      </w:r>
    </w:p>
  </w:footnote>
  <w:footnote w:id="2199">
    <w:p>
      <w:pPr>
        <w:pStyle w:val="Funote"/>
        <w:rPr/>
      </w:pPr>
      <w:r>
        <w:rPr>
          <w:i/>
        </w:rPr>
        <w:footnoteRef/>
        <w:tab/>
        <w:t>Friedensverächtern</w:t>
      </w:r>
      <w:r>
        <w:rPr/>
        <w:t xml:space="preserve"> W. „Verächtern/Hassern des Friedens“, ein objektiver Constructus (Genitiv), als zusammengesetztes Nomen übersetzt. </w:t>
      </w:r>
    </w:p>
  </w:footnote>
  <w:footnote w:id="2200">
    <w:p>
      <w:pPr>
        <w:pStyle w:val="Funote"/>
        <w:rPr/>
      </w:pPr>
      <w:r>
        <w:rPr/>
        <w:footnoteRef/>
        <w:tab/>
        <w:t xml:space="preserve">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 </w:t>
      </w:r>
    </w:p>
  </w:footnote>
  <w:footnote w:id="2201">
    <w:p>
      <w:pPr>
        <w:pStyle w:val="Funote"/>
        <w:rPr/>
      </w:pPr>
      <w:r>
        <w:rPr/>
        <w:footnoteRef/>
        <w:tab/>
        <w:t>[Status: Ungeprüft]</w:t>
      </w:r>
    </w:p>
  </w:footnote>
  <w:footnote w:id="2202">
    <w:p>
      <w:pPr>
        <w:pStyle w:val="Funote"/>
        <w:rPr/>
      </w:pPr>
      <w:r>
        <w:rPr/>
        <w:footnoteRef/>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2203">
    <w:p>
      <w:pPr>
        <w:pStyle w:val="Funote"/>
        <w:rPr/>
      </w:pPr>
      <w:r>
        <w:rPr/>
        <w:footnoteRef/>
        <w:tab/>
        <w:t>In der Lutherübersetzung von 1545 lautet dieser Vers: HErr, wende unser Gefängnis, wie du die Wasser gegen Mittag trocknest!</w:t>
      </w:r>
    </w:p>
  </w:footnote>
  <w:footnote w:id="2204">
    <w:p>
      <w:pPr>
        <w:pStyle w:val="Funote"/>
        <w:rPr/>
      </w:pPr>
      <w:r>
        <w:rPr/>
        <w:footnoteRef/>
        <w:tab/>
        <w:t>Wörtlich: Er geht ein Gehen.</w:t>
      </w:r>
    </w:p>
  </w:footnote>
  <w:footnote w:id="2205">
    <w:p>
      <w:pPr>
        <w:pStyle w:val="Funote"/>
        <w:rPr/>
      </w:pPr>
      <w:r>
        <w:rPr/>
        <w:footnoteRef/>
        <w:tab/>
        <w:t>Eigentlich Infinitivs absolutus.</w:t>
      </w:r>
    </w:p>
  </w:footnote>
  <w:footnote w:id="2206">
    <w:p>
      <w:pPr>
        <w:pStyle w:val="Funote"/>
        <w:rPr/>
      </w:pPr>
      <w:r>
        <w:rPr/>
        <w:footnoteRef/>
        <w:tab/>
        <w:t>Partizip Qal maskulin Singular im Status Absolutus.</w:t>
      </w:r>
    </w:p>
  </w:footnote>
  <w:footnote w:id="2207">
    <w:p>
      <w:pPr>
        <w:pStyle w:val="Funote"/>
        <w:rPr/>
      </w:pPr>
      <w:r>
        <w:rPr/>
        <w:footnoteRef/>
        <w:tab/>
        <w:t>Wörtlich: Er kommt ein Kommen.</w:t>
      </w:r>
    </w:p>
  </w:footnote>
  <w:footnote w:id="2208">
    <w:p>
      <w:pPr>
        <w:pStyle w:val="Funote"/>
        <w:rPr/>
      </w:pPr>
      <w:r>
        <w:rPr/>
        <w:footnoteRef/>
        <w:tab/>
        <w:t>[Status: Zuverlässig]</w:t>
      </w:r>
    </w:p>
  </w:footnote>
  <w:footnote w:id="2209">
    <w:p>
      <w:pPr>
        <w:pStyle w:val="Funote"/>
        <w:rPr/>
      </w:pPr>
      <w:r>
        <w:rPr/>
        <w:footnoteRef/>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2210">
    <w:p>
      <w:pPr>
        <w:pStyle w:val="Funote"/>
        <w:rPr/>
      </w:pPr>
      <w:r>
        <w:rPr/>
        <w:footnoteRef/>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2211">
    <w:p>
      <w:pPr>
        <w:pStyle w:val="Funote"/>
        <w:rPr/>
      </w:pPr>
      <w:r>
        <w:rPr/>
        <w:footnoteRef/>
        <w:tab/>
        <w:t>W. „Mein Herz ist“, aber übersetze „Ich bin“ (so auch HfA, GN): das „Herz“ ist in der Bibel häufig Wechselbegriff für das Ich; bes. in Zhgg., in denen dieses Ich als „fühlende, gestimmte Person“ vorgestellt wird (s. z.B. Wolff 1973, S. 74f).</w:t>
      </w:r>
    </w:p>
  </w:footnote>
  <w:footnote w:id="2212">
    <w:p>
      <w:pPr>
        <w:pStyle w:val="Funote"/>
        <w:rPr/>
      </w:pPr>
      <w:r>
        <w:rPr/>
        <w:footnoteRef/>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2213">
    <w:p>
      <w:pPr>
        <w:pStyle w:val="Funote"/>
        <w:rPr/>
      </w:pPr>
      <w:r>
        <w:rPr/>
        <w:footnoteRef/>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2214">
    <w:p>
      <w:pPr>
        <w:pStyle w:val="Funote"/>
        <w:rPr/>
      </w:pPr>
      <w:r>
        <w:rPr/>
        <w:footnoteRef/>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2215">
    <w:p>
      <w:pPr>
        <w:pStyle w:val="Funote"/>
        <w:rPr/>
      </w:pPr>
      <w:r>
        <w:rPr>
          <w:rtl w:val="true"/>
          <w:lang w:bidi="he-IL"/>
        </w:rPr>
        <w:footnoteRef/>
        <w:tab/>
        <w:t>מִמֶּֽנִּי</w:t>
      </w:r>
      <w:r>
        <w:rPr/>
        <w:t xml:space="preserve"> </w:t>
      </w:r>
      <w:r>
        <w:rPr>
          <w:i/>
        </w:rPr>
        <w:t>zu ... für mich</w:t>
      </w:r>
      <w:r>
        <w:rPr/>
        <w:t xml:space="preserve">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2216">
    <w:p>
      <w:pPr>
        <w:pStyle w:val="Funote"/>
        <w:rPr/>
      </w:pPr>
      <w:r>
        <w:rPr/>
        <w:footnoteRef/>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2217">
    <w:p>
      <w:pPr>
        <w:pStyle w:val="Funote"/>
        <w:rPr/>
      </w:pPr>
      <w:r>
        <w:rPr/>
        <w:footnoteRef/>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2218">
    <w:p>
      <w:pPr>
        <w:pStyle w:val="Funote"/>
        <w:rPr/>
      </w:pPr>
      <w:r>
        <w:rPr/>
        <w:footnoteRef/>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2219">
    <w:p>
      <w:pPr>
        <w:pStyle w:val="Funote"/>
        <w:rPr/>
      </w:pPr>
      <w:r>
        <w:rPr/>
        <w:footnoteRef/>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2220">
    <w:p>
      <w:pPr>
        <w:pStyle w:val="Funote"/>
        <w:rPr/>
      </w:pPr>
      <w:r>
        <w:rPr/>
        <w:footnoteRef/>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2221">
    <w:p>
      <w:pPr>
        <w:pStyle w:val="Funote"/>
        <w:rPr/>
      </w:pPr>
      <w:r>
        <w:rPr/>
        <w:footnoteRef/>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2222">
    <w:p>
      <w:pPr>
        <w:pStyle w:val="Funote"/>
        <w:rPr/>
      </w:pPr>
      <w:r>
        <w:rPr/>
        <w:footnoteRef/>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Schreier 1904, S. 19)).</w:t>
      </w:r>
    </w:p>
  </w:footnote>
  <w:footnote w:id="2223">
    <w:p>
      <w:pPr>
        <w:pStyle w:val="Funote"/>
        <w:rPr/>
      </w:pPr>
      <w:r>
        <w:rPr/>
        <w:footnoteRef/>
        <w:tab/>
        <w:t>[Status: Ungeprüft]</w:t>
      </w:r>
    </w:p>
  </w:footnote>
  <w:footnote w:id="2224">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2225">
    <w:p>
      <w:pPr>
        <w:pStyle w:val="Funote"/>
        <w:rPr/>
      </w:pPr>
      <w:r>
        <w:rPr/>
        <w:footnoteRef/>
        <w:tab/>
        <w:t>[Status: Ungeprüft]</w:t>
      </w:r>
    </w:p>
  </w:footnote>
  <w:footnote w:id="2226">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2227">
    <w:p>
      <w:pPr>
        <w:pStyle w:val="Funote"/>
        <w:rPr/>
      </w:pPr>
      <w:r>
        <w:rPr/>
        <w:footnoteRef/>
        <w:tab/>
        <w:t>Hier steht nur das Substantiv, das sowohl Heiligkeit, als auch Heiligtum bedeuten kann - ohne Artikel und ohne Präposition, die eine eindeutigere Übersetzung ermöglichen würde.</w:t>
      </w:r>
    </w:p>
  </w:footnote>
  <w:footnote w:id="2228">
    <w:p>
      <w:pPr>
        <w:pStyle w:val="Funote"/>
        <w:rPr/>
      </w:pPr>
      <w:r>
        <w:rPr/>
        <w:footnoteRef/>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2229">
    <w:p>
      <w:pPr>
        <w:pStyle w:val="Funote"/>
        <w:rPr/>
      </w:pPr>
      <w:r>
        <w:rPr/>
        <w:footnoteRef/>
        <w:tab/>
        <w:t>[Status: Zuverlässig]</w:t>
      </w:r>
    </w:p>
  </w:footnote>
  <w:footnote w:id="2230">
    <w:p>
      <w:pPr>
        <w:pStyle w:val="Funote"/>
        <w:rPr/>
      </w:pPr>
      <w:r>
        <w:rPr/>
        <w:footnoteRef/>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f) auf den Tempel beziehen. Vgl. ad loc. Ehrlich 1905, S. 359; SS, S. 41.</w:t>
      </w:r>
    </w:p>
  </w:footnote>
  <w:footnote w:id="2231">
    <w:p>
      <w:pPr>
        <w:pStyle w:val="Funote"/>
        <w:rPr/>
      </w:pPr>
      <w:r>
        <w:rPr>
          <w:rtl w:val="true"/>
          <w:lang w:bidi="he-IL"/>
        </w:rPr>
        <w:footnoteRef/>
        <w:tab/>
        <w:t>אֶל</w:t>
      </w:r>
      <w:r>
        <w:rPr/>
        <w:t xml:space="preserve"> </w:t>
      </w:r>
      <w:r>
        <w:rPr/>
        <w:t>hat nicht nur direktionale, sondern auch lokale Bedeutung; vgl. z.B. CDCH, S. 18; ad loc. auch Buttenwieser 1938, S. 686; Ehrlich 1905, S. 359; Grünewalder</w:t>
      </w:r>
    </w:p>
  </w:footnote>
  <w:footnote w:id="2232">
    <w:p>
      <w:pPr>
        <w:pStyle w:val="Funote"/>
        <w:rPr/>
      </w:pPr>
      <w:r>
        <w:rPr/>
        <w:footnoteRef/>
        <w:tab/>
        <w:t>Besonders im Kontext von Aussagen über JHWH steht sein „Name“ meist metonymisch für JHWH selbst; man bezeichnet so JHWH „im Menschenmund“.</w:t>
      </w:r>
    </w:p>
  </w:footnote>
  <w:footnote w:id="2233">
    <w:p>
      <w:pPr>
        <w:pStyle w:val="Funote"/>
        <w:rPr/>
      </w:pPr>
      <w:r>
        <w:rPr/>
        <w:footnoteRef/>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2234">
    <w:p>
      <w:pPr>
        <w:pStyle w:val="Funote"/>
        <w:rPr/>
      </w:pPr>
      <w:r>
        <w:rPr/>
        <w:footnoteRef/>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2235">
    <w:p>
      <w:pPr>
        <w:pStyle w:val="Funote"/>
        <w:rPr/>
      </w:pPr>
      <w:r>
        <w:rPr>
          <w:i/>
        </w:rPr>
        <w:footnoteRef/>
        <w:tab/>
        <w:t>Als</w:t>
      </w:r>
      <w:r>
        <w:rPr/>
        <w:t xml:space="preserve"> W. eher </w:t>
      </w:r>
      <w:r>
        <w:rPr>
          <w:i/>
        </w:rPr>
        <w:t>An [dem] Tag, [an dem]</w:t>
      </w:r>
      <w:r>
        <w:rPr/>
        <w:t xml:space="preserve">. </w:t>
      </w:r>
      <w:r>
        <w:rPr>
          <w:rtl w:val="true"/>
          <w:lang w:bidi="he-IL"/>
        </w:rPr>
        <w:t>בּיוֹם</w:t>
      </w:r>
      <w:r>
        <w:rPr/>
        <w:t xml:space="preserve"> </w:t>
      </w:r>
      <w:r>
        <w:rPr/>
        <w:t>bezieht sich meist nicht auf einen tatsächlichen „Tag“, sondern fungiert als unbestimmte Zeitangabe.</w:t>
      </w:r>
    </w:p>
  </w:footnote>
  <w:footnote w:id="2236">
    <w:p>
      <w:pPr>
        <w:pStyle w:val="Funote"/>
        <w:rPr/>
      </w:pPr>
      <w:r>
        <w:rPr/>
        <w:footnoteRef/>
        <w:tab/>
        <w:t>Wenn von JHWH's „Antworten“ in Folge auf ein „Anrufen“ die Rede ist, hat es fast durchgehend die Bedeutung „erhören“.</w:t>
      </w:r>
    </w:p>
  </w:footnote>
  <w:footnote w:id="2237">
    <w:p>
      <w:pPr>
        <w:pStyle w:val="Funote"/>
        <w:rPr/>
      </w:pPr>
      <w:r>
        <w:rPr/>
        <w:footnoteRef/>
        <w:tab/>
        <w:t xml:space="preserve">hast mich ermutigt mit Seelenkraft (hast mir in meiner Seele Kraft gegeben)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2238">
    <w:p>
      <w:pPr>
        <w:pStyle w:val="Funote"/>
        <w:rPr/>
      </w:pPr>
      <w:r>
        <w:rPr/>
        <w:footnoteRef/>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2239">
    <w:p>
      <w:pPr>
        <w:pStyle w:val="Funote"/>
        <w:rPr/>
      </w:pPr>
      <w:r>
        <w:rPr>
          <w:i/>
        </w:rPr>
        <w:footnoteRef/>
        <w:tab/>
        <w:t>Walten (Wegen)</w:t>
      </w:r>
      <w:r>
        <w:rPr/>
        <w:t xml:space="preserve"> Dass JHWHs „Wege“ sein herrschendes Walten bezeichnen, geht nicht nur aus ähnlichen Formulierungen im AT hervor. Dahood (1970, 278) sieht diese Deutung auch aus ugaritischen Texten (einer dem Hebräischen verwandten Sprache) bestätigt, dort im Zusammenhang mit Königen. </w:t>
      </w:r>
    </w:p>
  </w:footnote>
  <w:footnote w:id="2240">
    <w:p>
      <w:pPr>
        <w:pStyle w:val="Funote"/>
        <w:rPr/>
      </w:pPr>
      <w:r>
        <w:rPr/>
        <w:footnoteRef/>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2241">
    <w:p>
      <w:pPr>
        <w:pStyle w:val="Funote"/>
        <w:rPr/>
      </w:pPr>
      <w:r>
        <w:rPr>
          <w:i/>
        </w:rPr>
        <w:footnoteRef/>
        <w:tab/>
        <w:t>Waw apodoseos</w:t>
      </w:r>
      <w:r>
        <w:rPr/>
        <w:t xml:space="preserve">, es dient nur dazu, den Hauptsatz nach einem Vordersatz zu markieren und muss im Deutschen gestrichen werden; vgl. vgl. Lexikon / </w:t>
      </w:r>
      <w:hyperlink r:id="rId164">
        <w:r>
          <w:rPr>
            <w:rStyle w:val="Internetverknpfung"/>
          </w:rPr>
          <w:t xml:space="preserve">Lemma </w:t>
        </w:r>
        <w:r>
          <w:rPr>
            <w:rStyle w:val="Internetverknpfung"/>
            <w:rtl w:val="true"/>
            <w:lang w:bidi="he-IL"/>
          </w:rPr>
          <w:t>וְ</w:t>
        </w:r>
      </w:hyperlink>
      <w:r>
        <w:rPr/>
        <w:t>.</w:t>
      </w:r>
    </w:p>
  </w:footnote>
  <w:footnote w:id="2242">
    <w:p>
      <w:pPr>
        <w:pStyle w:val="Funote"/>
        <w:rPr/>
      </w:pPr>
      <w:r>
        <w:rPr/>
        <w:footnoteRef/>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2243">
    <w:p>
      <w:pPr>
        <w:pStyle w:val="Funote"/>
        <w:rPr/>
      </w:pPr>
      <w:r>
        <w:rPr/>
        <w:footnoteRef/>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2244">
    <w:p>
      <w:pPr>
        <w:pStyle w:val="Funote"/>
        <w:rPr/>
      </w:pPr>
      <w:r>
        <w:rPr/>
        <w:footnoteRef/>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2245">
    <w:p>
      <w:pPr>
        <w:pStyle w:val="Funote"/>
        <w:rPr/>
      </w:pPr>
      <w:r>
        <w:rPr/>
        <w:footnoteRef/>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2246">
    <w:p>
      <w:pPr>
        <w:pStyle w:val="Funote"/>
        <w:rPr/>
      </w:pPr>
      <w:r>
        <w:rPr/>
        <w:footnoteRef/>
        <w:tab/>
        <w:t>meine Sache führen Nach Hossfeld 2008, 704. es für mich vollbringen nach SLT, mich rächen nach NET/HALAT. Dahood 1970, 282 punktiert das etwas um und übersetzt „möge mich rächen, solange ich lebe“.</w:t>
      </w:r>
    </w:p>
  </w:footnote>
  <w:footnote w:id="2247">
    <w:p>
      <w:pPr>
        <w:pStyle w:val="Funote"/>
        <w:rPr/>
      </w:pPr>
      <w:r>
        <w:rPr/>
        <w:footnoteRef/>
        <w:tab/>
        <w:t>Gib niemals auf Hossfeld 2008, 704: lass nicht ab. SLT: Lass niemals im Stich. An dieser Stelle wäre statt der modal-imperativischen Deutung des Yiqtol auch die futurische Übersetzung du wirst niemals aufgeben sehr gut denkbar.</w:t>
      </w:r>
    </w:p>
  </w:footnote>
  <w:footnote w:id="2248">
    <w:p>
      <w:pPr>
        <w:pStyle w:val="Funote"/>
        <w:rPr/>
      </w:pPr>
      <w:r>
        <w:rPr/>
        <w:footnoteRef/>
        <w:tab/>
        <w:t>[Status: Ungeprüft]</w:t>
      </w:r>
    </w:p>
  </w:footnote>
  <w:footnote w:id="2249">
    <w:p>
      <w:pPr>
        <w:pStyle w:val="Funote"/>
        <w:rPr/>
      </w:pPr>
      <w:r>
        <w:rPr/>
        <w:footnoteRef/>
        <w:tab/>
        <w:t>[Status: Ungeprüft]</w:t>
      </w:r>
    </w:p>
  </w:footnote>
  <w:footnote w:id="2250">
    <w:p>
      <w:pPr>
        <w:pStyle w:val="Funote"/>
        <w:rPr/>
      </w:pPr>
      <w:r>
        <w:rPr/>
        <w:footnoteRef/>
        <w:tab/>
        <w:t>[Status: Zuverlässig]</w:t>
      </w:r>
    </w:p>
  </w:footnote>
  <w:footnote w:id="2251">
    <w:p>
      <w:pPr>
        <w:pStyle w:val="Funote"/>
        <w:rPr/>
      </w:pPr>
      <w:r>
        <w:rPr/>
        <w:footnoteRef/>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2252">
    <w:p>
      <w:pPr>
        <w:pStyle w:val="Funote"/>
        <w:rPr/>
      </w:pPr>
      <w:r>
        <w:rPr>
          <w:rtl w:val="true"/>
          <w:lang w:bidi="he-IL"/>
        </w:rPr>
        <w:footnoteRef/>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2253">
    <w:p>
      <w:pPr>
        <w:pStyle w:val="Funote"/>
        <w:rPr/>
      </w:pPr>
      <w:r>
        <w:rPr/>
        <w:footnoteRef/>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2254">
    <w:p>
      <w:pPr>
        <w:pStyle w:val="Funote"/>
        <w:rPr/>
      </w:pPr>
      <w:r>
        <w:rPr/>
        <w:footnoteRef/>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2255">
    <w:p>
      <w:pPr>
        <w:pStyle w:val="Funote"/>
        <w:rPr/>
      </w:pPr>
      <w:r>
        <w:rPr/>
        <w:footnoteRef/>
        <w:tab/>
        <w:t xml:space="preserve">Der „Name Gottes“ steht in der Bibel fast stets metonymisch für Gott selbst; man bezeichnet damit „Gott im Menschenmund“. Übersetze daher: „Sie sollen </w:t>
      </w:r>
      <w:r>
        <w:rPr>
          <w:i/>
        </w:rPr>
        <w:t>ihn</w:t>
      </w:r>
      <w:r>
        <w:rPr/>
        <w:t xml:space="preserve"> preisen“.</w:t>
      </w:r>
    </w:p>
  </w:footnote>
  <w:footnote w:id="2256">
    <w:p>
      <w:pPr>
        <w:pStyle w:val="Funote"/>
        <w:rPr/>
      </w:pPr>
      <w:r>
        <w:rPr/>
        <w:footnoteRef/>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2257">
    <w:p>
      <w:pPr>
        <w:pStyle w:val="Funote"/>
        <w:rPr/>
      </w:pPr>
      <w:r>
        <w:rPr/>
        <w:footnoteRef/>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2258">
    <w:p>
      <w:pPr>
        <w:pStyle w:val="Funote"/>
        <w:rPr/>
      </w:pPr>
      <w:r>
        <w:rPr/>
        <w:footnoteRef/>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2259">
    <w:p>
      <w:pPr>
        <w:pStyle w:val="Funote"/>
        <w:rPr/>
      </w:pPr>
      <w:r>
        <w:rPr/>
        <w:footnoteRef/>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2260">
    <w:p>
      <w:pPr>
        <w:pStyle w:val="Funote"/>
        <w:rPr/>
      </w:pPr>
      <w:r>
        <w:rPr/>
        <w:footnoteRef/>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2261">
    <w:p>
      <w:pPr>
        <w:pStyle w:val="Funote"/>
        <w:rPr/>
      </w:pPr>
      <w:r>
        <w:rPr/>
        <w:footnoteRef/>
        <w:tab/>
        <w:t xml:space="preserve">[seinem] evt. als double duty-Suffix (-&gt; Brachylogie) von </w:t>
      </w:r>
      <w:r>
        <w:rPr>
          <w:rtl w:val="true"/>
          <w:lang w:bidi="he-IL"/>
        </w:rPr>
        <w:t>בְעַמוֹ</w:t>
      </w:r>
      <w:r>
        <w:rPr/>
        <w:t xml:space="preserve"> </w:t>
      </w:r>
      <w:r>
        <w:rPr/>
        <w:t>zu ergänzen; vgl. FN t.</w:t>
      </w:r>
    </w:p>
  </w:footnote>
  <w:footnote w:id="2262">
    <w:p>
      <w:pPr>
        <w:pStyle w:val="Funote"/>
        <w:rPr/>
      </w:pPr>
      <w:r>
        <w:rPr/>
        <w:footnoteRef/>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2263">
    <w:p>
      <w:pPr>
        <w:pStyle w:val="Funote"/>
        <w:rPr/>
      </w:pPr>
      <w:r>
        <w:rPr/>
        <w:footnoteRef/>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2264">
    <w:p>
      <w:pPr>
        <w:pStyle w:val="Funote"/>
        <w:rPr/>
      </w:pPr>
      <w:r>
        <w:rPr/>
        <w:footnoteRef/>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2265">
    <w:p>
      <w:pPr>
        <w:pStyle w:val="Funote"/>
        <w:rPr/>
      </w:pPr>
      <w:r>
        <w:rPr/>
        <w:footnoteRef/>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2266">
    <w:p>
      <w:pPr>
        <w:pStyle w:val="Funote"/>
        <w:rPr/>
      </w:pPr>
      <w:r>
        <w:rPr/>
        <w:footnoteRef/>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2267">
    <w:p>
      <w:pPr>
        <w:pStyle w:val="Funote"/>
        <w:rPr/>
      </w:pPr>
      <w:r>
        <w:rPr/>
        <w:footnoteRef/>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2268">
    <w:p>
      <w:pPr>
        <w:pStyle w:val="Funote"/>
        <w:rPr/>
      </w:pPr>
      <w:r>
        <w:rPr/>
        <w:footnoteRef/>
        <w:tab/>
        <w:t>Übersetzungsalternativen nach Hossfeld/Zenger 2008, S. 857.</w:t>
      </w:r>
    </w:p>
  </w:footnote>
  <w:footnote w:id="2269">
    <w:p>
      <w:pPr>
        <w:pStyle w:val="Funote"/>
        <w:rPr/>
      </w:pPr>
      <w:r>
        <w:rPr/>
        <w:footnoteRef/>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2270">
    <w:p>
      <w:pPr>
        <w:pStyle w:val="Funote"/>
        <w:rPr/>
      </w:pPr>
      <w:r>
        <w:rPr/>
        <w:footnoteRef/>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2271">
    <w:p>
      <w:pPr>
        <w:pStyle w:val="Funote"/>
        <w:rPr/>
      </w:pPr>
      <w:r>
        <w:rPr/>
        <w:footnoteRef/>
        <w:tab/>
        <w:t>Die Fähigkeit, die Dinge richtig zu beurteilen und die richtigen Mittel zu finden, Bsp.: König Salomo</w:t>
      </w:r>
    </w:p>
  </w:footnote>
  <w:footnote w:id="2272">
    <w:p>
      <w:pPr>
        <w:pStyle w:val="Funote"/>
        <w:rPr/>
      </w:pPr>
      <w:r>
        <w:rPr/>
        <w:footnoteRef/>
        <w:tab/>
        <w:t xml:space="preserve">Nicht das Organ, sondern der Sitz des Denkvermögens und des Ich, parallel zu </w:t>
      </w:r>
      <w:r>
        <w:rPr>
          <w:rtl w:val="true"/>
          <w:lang w:bidi="he-IL"/>
        </w:rPr>
        <w:t>נֶפֶשׁ</w:t>
      </w:r>
      <w:r>
        <w:rPr/>
        <w:t xml:space="preserve"> </w:t>
      </w:r>
      <w:r>
        <w:rPr/>
        <w:t>im ersten Halbvers</w:t>
      </w:r>
    </w:p>
  </w:footnote>
  <w:footnote w:id="2273">
    <w:p>
      <w:pPr>
        <w:pStyle w:val="Funote"/>
        <w:rPr/>
      </w:pPr>
      <w:r>
        <w:rPr/>
        <w:footnoteRef/>
        <w:tab/>
        <w:t>Z.B. die Erkenntnis von Gut und Böse, Gen 2,9.17, auch die Kenntnis, die z.B. ein Künstler besitzt</w:t>
      </w:r>
    </w:p>
  </w:footnote>
  <w:footnote w:id="2274">
    <w:p>
      <w:pPr>
        <w:pStyle w:val="Funote"/>
        <w:rPr/>
      </w:pPr>
      <w:r>
        <w:rPr/>
        <w:footnoteRef/>
        <w:tab/>
        <w:t>[Status: Ungeprüft]</w:t>
      </w:r>
    </w:p>
  </w:footnote>
  <w:footnote w:id="2275">
    <w:p>
      <w:pPr>
        <w:pStyle w:val="Funote"/>
        <w:rPr/>
      </w:pPr>
      <w:r>
        <w:rPr/>
        <w:footnoteRef/>
        <w:tab/>
        <w:t>[Status: Ungeprüft]</w:t>
      </w:r>
    </w:p>
  </w:footnote>
  <w:footnote w:id="2276">
    <w:p>
      <w:pPr>
        <w:pStyle w:val="Funote"/>
        <w:rPr/>
      </w:pPr>
      <w:r>
        <w:rPr/>
        <w:footnoteRef/>
        <w:tab/>
        <w:t>Vgl. 1,3</w:t>
      </w:r>
    </w:p>
  </w:footnote>
  <w:footnote w:id="2277">
    <w:p>
      <w:pPr>
        <w:pStyle w:val="Funote"/>
        <w:rPr/>
      </w:pPr>
      <w:r>
        <w:rPr/>
        <w:footnoteRef/>
        <w:tab/>
        <w:t>[Status: Ungeprüft]</w:t>
      </w:r>
    </w:p>
  </w:footnote>
  <w:footnote w:id="2278">
    <w:p>
      <w:pPr>
        <w:pStyle w:val="Funote"/>
        <w:rPr/>
      </w:pPr>
      <w:r>
        <w:rPr/>
        <w:footnoteRef/>
        <w:tab/>
        <w:t>[Status: Ungeprüft]</w:t>
      </w:r>
    </w:p>
  </w:footnote>
  <w:footnote w:id="2279">
    <w:p>
      <w:pPr>
        <w:pStyle w:val="Funote"/>
        <w:rPr/>
      </w:pPr>
      <w:r>
        <w:rPr/>
        <w:footnoteRef/>
        <w:tab/>
        <w:t>[Status: Ungeprüft]</w:t>
      </w:r>
    </w:p>
  </w:footnote>
  <w:footnote w:id="2280">
    <w:p>
      <w:pPr>
        <w:pStyle w:val="Funote"/>
        <w:rPr/>
      </w:pPr>
      <w:r>
        <w:rPr/>
        <w:footnoteRef/>
        <w:tab/>
        <w:t>jussiv</w:t>
      </w:r>
    </w:p>
  </w:footnote>
  <w:footnote w:id="2281">
    <w:p>
      <w:pPr>
        <w:pStyle w:val="Funote"/>
        <w:rPr/>
      </w:pPr>
      <w:r>
        <w:rPr/>
        <w:footnoteRef/>
        <w:tab/>
        <w:t>[Status: Ungeprüft]</w:t>
      </w:r>
    </w:p>
  </w:footnote>
  <w:footnote w:id="2282">
    <w:p>
      <w:pPr>
        <w:pStyle w:val="Funote"/>
        <w:rPr/>
      </w:pPr>
      <w:r>
        <w:rPr/>
        <w:footnoteRef/>
        <w:tab/>
        <w:t>[Status: Ungeprüft]</w:t>
      </w:r>
    </w:p>
  </w:footnote>
  <w:footnote w:id="2283">
    <w:p>
      <w:pPr>
        <w:pStyle w:val="Funote"/>
        <w:rPr/>
      </w:pPr>
      <w:r>
        <w:rPr/>
        <w:footnoteRef/>
        <w:tab/>
        <w:t>[Status: Ungeprüft]</w:t>
      </w:r>
    </w:p>
  </w:footnote>
  <w:footnote w:id="2284">
    <w:p>
      <w:pPr>
        <w:pStyle w:val="Funote"/>
        <w:rPr/>
      </w:pPr>
      <w:r>
        <w:rPr/>
        <w:footnoteRef/>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Ende.http://www.bib-arch.org/bar/article.asp?PubID=BSBA&amp;Volume=36&amp;Issue=05&amp;ArticleID=04&amp;Page=4&amp;UserID=0&amp;</w:t>
      </w:r>
    </w:p>
  </w:footnote>
  <w:footnote w:id="2285">
    <w:p>
      <w:pPr>
        <w:pStyle w:val="Funote"/>
        <w:rPr/>
      </w:pPr>
      <w:r>
        <w:rPr/>
        <w:footnoteRef/>
        <w:tab/>
        <w:t>[Assonanzen - Verwendung von Wörtern, die ähnliche Laute enthalten; vgl. dazu kürzlich sehr gut Noegel/Rendsburg 2009, S. 63-127.]</w:t>
      </w:r>
    </w:p>
  </w:footnote>
  <w:footnote w:id="2286">
    <w:p>
      <w:pPr>
        <w:pStyle w:val="Funote"/>
        <w:rPr/>
      </w:pPr>
      <w:r>
        <w:rPr/>
        <w:footnoteRef/>
        <w:tab/>
        <w:t>[Man beachte die Häufung der Worte für „ich“, „mich“ und „mein“. Im Heb. ist das noch auffälliger als in der Übersetzung; jedes dieser im Dt. eigenständigen Wörter ist im Heb. nämlich das Suffix -i, so dass neun der 15 Wörter im heb. Text auf -i enden: „Wollt ihr mich nicht ansehen, weil ich so schwarz bin, weil auf mich die Sonne geblickt hat? Die Söhne meiner Mutter waren gegen mich entbrannt. Sie haben mich der Weinberge gemacht. Meinen Weinberg, der mir gehört habe ich nicht gehütet.“]</w:t>
      </w:r>
    </w:p>
  </w:footnote>
  <w:footnote w:id="2287">
    <w:p>
      <w:pPr>
        <w:pStyle w:val="Funote"/>
        <w:rPr/>
      </w:pPr>
      <w:r>
        <w:rPr/>
        <w:footnoteRef/>
        <w:tab/>
        <w:t>[Zwei weitere Beispiele: Im Papyrus Oxyrhynchus XV nr. 1800 heißt es von Sappho: „Von Aussehen scheint sie höchst unansehnlich gewesen zu sein und sehr häßlich, denn ihr Gesicht war von dunkler Farbe, die Gestalt sehr klein.“ (Üs.: Treu). Und Gerhards zitiert gut auch Theokrits zehnte Idylle: „Anmutige Bombayka, ‚Syrerin‘ nennen dich alle, / verdorrt, sonnenverbrannt, ich allein aber [nenne dich] honiggelb. / Auch das Veilchen ist schwarz und die beschriebene Hyazinthe, / aber dennoch hält man sie in den Kränzen für die besten [Blumen].“ (Üs.: Gerhards 2010, S. 213)]</w:t>
      </w:r>
    </w:p>
  </w:footnote>
  <w:footnote w:id="2288">
    <w:p>
      <w:pPr>
        <w:pStyle w:val="Funote"/>
        <w:rPr/>
      </w:pPr>
      <w:r>
        <w:rPr/>
        <w:footnoteRef/>
        <w:tab/>
        <w:t>[Es sei darauf hingewiesen, dass diese Deutung eine Minderheitenmeinung ist; in der neueren Exegese besteht ein recht weiter Konsens darüber, dass der „Weinberg“ hier als die Jungfräulichkeit der Sprecherin zu verstehen ist. Zum Verständnis des Weinbergs als „Geliebter“ s. noch Ehrlich 1914, S. 3; Gordis 1974b, S. 79f. Andere verstehen ihn außerdem als Symbol für das Aussehen der Frau (z.B. Assis 2009, S. 42; NET) oder als „weibliche Bedürfnisse“, die nicht befriedigt werden konnten (z.B. Fox 1985, S. 102).]</w:t>
      </w:r>
    </w:p>
  </w:footnote>
  <w:footnote w:id="2289">
    <w:p>
      <w:pPr>
        <w:pStyle w:val="Funote"/>
        <w:rPr/>
      </w:pPr>
      <w:r>
        <w:rPr/>
        <w:footnoteRef/>
        <w:tab/>
        <w:t>[Einen ähnlichen Zhg. hat kürzlich Giszczak 2015 vermutet, der glaubt, „damit ich nicht sein muss wie eine Verschleierte bei den Herden deiner Gefährten“ solle die Angst der Hirtin ausdrücken, einen der anderen Hirten als den Geliebten heiraten zu müssen. Sehr viel verbreiteter ist die Position, die die Verschleierung der Tamar in Gen 38 als Zeichen für ihren Prostituiertenstand lesen möchten und daher diese Stelle so deuten, dass die Hirtin fürchtet, von den anderen Hirten für eine Prostituierte gehalten zu werden. Doch vor dem Hintergrund anderer altorientalischer Gebräuche, wo gelegentlich Prostituierten das Tragen von Kopftüchern sogar explizit verboten ist, ist das unwahrscheinlich; auch ist ja Rebekah in Gen 24 keine Prostituierte. Andere verstehen den Schleier z.B. als Trauerkleidung (z.B. Raschi) oder als Ausdruck der Schüchternheit der Hirtin (z.B. Assis 2009, S. 45). Es ist sogar vorgeschlagen worden, das Wort meine „damit ich nicht mein Gewand ablausen muss“, also mich in Gegenwart der anderen Hirten zu Tode langweile und daher mein Gewand nach Läusen durchsuche (z.B. Emerton 1996).]</w:t>
      </w:r>
    </w:p>
  </w:footnote>
  <w:footnote w:id="2290">
    <w:p>
      <w:pPr>
        <w:pStyle w:val="Funote"/>
        <w:rPr/>
      </w:pPr>
      <w:r>
        <w:rPr/>
        <w:footnoteRef/>
        <w:tab/>
        <w:t>[Status: Ungeprüft]</w:t>
      </w:r>
    </w:p>
  </w:footnote>
  <w:footnote w:id="2291">
    <w:p>
      <w:pPr>
        <w:pStyle w:val="Funote"/>
        <w:rPr/>
      </w:pPr>
      <w:r>
        <w:rPr>
          <w:i/>
        </w:rPr>
        <w:footnoteRef/>
        <w:tab/>
        <w:t>Lied der Lieder</w:t>
      </w:r>
      <w:r>
        <w:rPr/>
        <w:t xml:space="preserve"> - Eine der Weisen, im Heb. einen Superlativ zu bilden: „Das schönste Lied“.</w:t>
      </w:r>
    </w:p>
  </w:footnote>
  <w:footnote w:id="2292">
    <w:p>
      <w:pPr>
        <w:pStyle w:val="Funote"/>
        <w:rPr/>
      </w:pPr>
      <w:r>
        <w:rPr/>
        <w:footnoteRef/>
        <w:tab/>
        <w:t>welche [sind] (welches [ist]) - der Nebensatz lässt sich entweder auf das Lied („Salomo hat dieses schönste aller Lieder geschrieben“) oder auf der Lieder beziehen („Dieses Lied ist das schönste von Salomos Liedern“). Diese zweite Auflösung ist wahrscheinlicher, da für die erste Auflösung die Relativpartikel welche(s) unnötig wäre (s. die vielen Psalmüberschriften ohne Relativpartikel; so richtig Rudolph 1962, S. 121).</w:t>
      </w:r>
    </w:p>
  </w:footnote>
  <w:footnote w:id="2293">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294">
    <w:p>
      <w:pPr>
        <w:pStyle w:val="Funote"/>
        <w:rPr/>
      </w:pPr>
      <w:r>
        <w:rPr/>
        <w:footnoteRef/>
        <w:tab/>
        <w:t>Küsse seines Mundes - die Extra-nennung von »seines Mundes« ist nicht überflüssig, da im Alten Orient auch der Nasenkuss verbreitet war: das Aneinanderreiben der Nasen als Zeichen der Zuneigung, wie wir das heute noch als »Eskimokuss« kennen. Intimer war aber der Mundkuss (vgl. Fox 1985, S. 97), und dieser wird hier ersehnt. Das mi- (»mit / mit einigen von«) ist daher eher ein sog. »Min instrumenti« (»Er soll mich mit Mund-küssen küssen!«) als ein »Min partitivum« (»Einige der Küsse seines Mundes sollen auch mich treffen«).</w:t>
      </w:r>
    </w:p>
  </w:footnote>
  <w:footnote w:id="2295">
    <w:p>
      <w:pPr>
        <w:pStyle w:val="Funote"/>
        <w:rPr/>
      </w:pPr>
      <w:r>
        <w:rPr/>
        <w:footnoteRef/>
        <w:tab/>
        <w:t>deine (V. 2) + der König (V. 4) - Die Wechsel von der 3. zur 2. Person in V. 2 (»Er küsse mich« - »Deine Liebkosungen«) und von der 2. zur 3. Person und wieder zurück in V. 4 (»Zieh« - »Der König bringt« - »über dich«) werden von den meisten Exegeten als P-Shifts verstanden: Im Heb. kann von einer Zeile auf die nächste von einer Person zur nächsten gewechselt werden, ohne, dass dies einen Unterschied in der Bedeutung machen soll. Zu übersetzen wäre dann auch in Vv. 2-3 durchgehend mit der 3. und in V. 4 durchgehend mit der 2. Person. Da aber in Vv. 2f. auch in den nächsten Zeilen mit der 2. Person fortgefahren wird, sind Personenwechsel besser mit Peetz 2015, S. 65f.; Zakovitch 2004, S. 110 zu erklären: Sie sollen das jeweils Folgende als Phantasie erscheinen lassen: »Die Frau träumt im Wachen: Ihre Sehnsucht nach dem ‚König‘, dem Geliebten, ist so groß, dass sie sich bei ihm wähnt« (Zakovitch 2004, S. 110).</w:t>
      </w:r>
    </w:p>
  </w:footnote>
  <w:footnote w:id="2296">
    <w:p>
      <w:pPr>
        <w:pStyle w:val="Funote"/>
        <w:rPr/>
      </w:pPr>
      <w:r>
        <w:rPr/>
        <w:footnoteRef/>
        <w:tab/>
        <w:t>Liebkosungen - Eher nicht: »Liebe« (so viele Üss.); dod meint md. im Hohelied recht eindeutig sexuelle Handlungen (vgl. z.B. Bloch/Bloch 1995, S. 3.137).</w:t>
      </w:r>
    </w:p>
  </w:footnote>
  <w:footnote w:id="2297">
    <w:p>
      <w:pPr>
        <w:pStyle w:val="Funote"/>
        <w:rPr/>
      </w:pPr>
      <w:r>
        <w:rPr/>
        <w:footnoteRef/>
        <w:tab/>
        <w:t>[müssen] besser [sein] ([sind] besser) - Dass in der ersten Zeile die Küsse des Geliebten ersehnt werden, heißt wahrscheinlich, dass die Frau ihn zuvor noch nicht geküsst hat. Darauf weist auch, dass die Tatsache, dass seine Küsse besser sind als Wein, Grund für alle Mädchen ist, ihn zu lieben (sie werden es doch wohl nicht alle am eigenen Leib erfahren haben?). S. außerdem noch Hld 8,1, wo die Frau wünscht, ihr Geliebter wäre ihr Bruder, so dass sie ihn küssen könnte: Andernfalls wäre ihr dies nicht möglich. Der verblose Satz ist daher besser als Vermutung zu verstehen (sog. »epistemische Modalität« (Vermutungen, Einschätzungen etc.) wird im Heb. nicht eigens markiert und muss daher aus dem Kontext erschlossen werden (vgl. z.B. Lauber 2008-2011) - anders als im Dt., wo hierfür z.B. Hilfsverben wie »müssen«, »dürfen« etc. oder Modalpartikel wie »wahrscheinlich«, »vermutlich« etc. dienen).</w:t>
      </w:r>
    </w:p>
  </w:footnote>
  <w:footnote w:id="2298">
    <w:p>
      <w:pPr>
        <w:pStyle w:val="Funote"/>
        <w:rPr/>
      </w:pPr>
      <w:r>
        <w:rPr>
          <w:i/>
        </w:rPr>
        <w:footnoteRef/>
        <w:tab/>
        <w:t>Wein</w:t>
      </w:r>
      <w:r>
        <w:rPr/>
        <w:t xml:space="preserve"> ist hier ein Symbol für das sehr Gute, das nur durch die „Liebkosungen“ des Geliebten noch übertroffen wird. Zu V. 2 s. ganz ähnlich </w:t>
      </w:r>
      <w:hyperlink r:id="rId165">
        <w:r>
          <w:rPr>
            <w:rStyle w:val="Internetverknpfung"/>
          </w:rPr>
          <w:t>Sir 40,20</w:t>
        </w:r>
      </w:hyperlink>
      <w:r>
        <w:rPr/>
        <w:t>. V. 4 meint dann etwas wie „Mehr preisen, als wir Wein preisen würden“, nämlich eben, nachdem der Angebetete ihnen Grund zu diesem Preis gegeben hat.</w:t>
      </w:r>
    </w:p>
  </w:footnote>
  <w:footnote w:id="2299">
    <w:p>
      <w:pPr>
        <w:pStyle w:val="Funote"/>
        <w:rPr/>
      </w:pPr>
      <w:r>
        <w:rPr>
          <w:i/>
        </w:rPr>
        <w:footnoteRef/>
        <w:tab/>
        <w:t>Öle</w:t>
      </w:r>
      <w:r>
        <w:rPr/>
        <w:t xml:space="preserve"> - das altisraelitische Pendant zu Parfumen.</w:t>
      </w:r>
    </w:p>
  </w:footnote>
  <w:footnote w:id="2300">
    <w:p>
      <w:pPr>
        <w:pStyle w:val="Funote"/>
        <w:rPr/>
      </w:pPr>
      <w:r>
        <w:rPr/>
        <w:footnoteRef/>
        <w:tab/>
        <w:t>Textkritik: [deine] (deine) - In 6QCant (der bei Weitem ältesten erhaltenen heb. Handschrift v. Hld 1,3) und VUL fehlt das »deine« (das -ka in schemaneka), das sich im MT und den übrigen alten Üss. findet. Das könnte gut die ursprüngliche Textversion sein: »deine« wäre dann als Brachylogie aus der vorigen Zeile zu ergänzen; der Effekt dieser brachylogischen Formulierung ist ein Binnenreim: schemanim tobim (»Öle gut«). MT und die alten Üss hätten dann das »deine« zur Vereindeutigung auch im Text ergänzt. Ebenso gut möglich wäre aber, dass ein Schreiber gerade zur Herstellung dieses Binnenreims das -eka durch -im ersetzt hat. Da aber dadurch gleichzeitig der Gleichklang von schemaneka (»deine Öle«) und schemeka (»dein Name«) zerstört worden wäre, ist das erste wahrscheinlicher.</w:t>
      </w:r>
    </w:p>
  </w:footnote>
  <w:footnote w:id="2301">
    <w:p>
      <w:pPr>
        <w:pStyle w:val="Funote"/>
        <w:rPr/>
      </w:pPr>
      <w:r>
        <w:rPr>
          <w:i/>
        </w:rPr>
        <w:footnoteRef/>
        <w:tab/>
        <w:t>dein Name</w:t>
      </w:r>
      <w:r>
        <w:rPr/>
        <w:t xml:space="preserve"> - häufiger Wechselbegriff für „du selbst“: Der Geliebte selbst ist „Mr. Parfum“, „Mr. Wohlgeruch“. Im MT wird diese Gleichsetzung unterstrichen durch den Gleichklang von „deine Öle“ und „dein Name“: </w:t>
      </w:r>
      <w:r>
        <w:rPr>
          <w:i/>
        </w:rPr>
        <w:t>sch</w:t>
      </w:r>
      <w:r>
        <w:rPr>
          <w:i/>
          <w:position w:val="7"/>
          <w:sz w:val="16"/>
        </w:rPr>
        <w:t>e</w:t>
      </w:r>
      <w:r>
        <w:rPr>
          <w:i/>
        </w:rPr>
        <w:t>maneka</w:t>
      </w:r>
      <w:r>
        <w:rPr/>
        <w:t xml:space="preserve"> - </w:t>
      </w:r>
      <w:r>
        <w:rPr>
          <w:i/>
        </w:rPr>
        <w:t>sch</w:t>
      </w:r>
      <w:r>
        <w:rPr>
          <w:i/>
          <w:position w:val="7"/>
          <w:sz w:val="16"/>
        </w:rPr>
        <w:t>e</w:t>
      </w:r>
      <w:r>
        <w:rPr>
          <w:i/>
        </w:rPr>
        <w:t>meka</w:t>
      </w:r>
      <w:r>
        <w:rPr/>
        <w:t>.</w:t>
        <w:br/>
        <w:br/>
        <w:t>Ein Nebeneffekt der Formulierung mit „dein Name“ ist, dass in diesen ohnehin schon sehr sinnlichen Versen auch noch eine Synästhesie zu finden ist: „dein Name (akustisch) ist ausgegossenes Öl (olfaktorisch + visuell).“</w:t>
      </w:r>
    </w:p>
  </w:footnote>
  <w:footnote w:id="2302">
    <w:p>
      <w:pPr>
        <w:pStyle w:val="Funote"/>
        <w:rPr/>
      </w:pPr>
      <w:r>
        <w:rPr/>
        <w:footnoteRef/>
        <w:tab/>
        <w:t>Zieh mich! Hinter dir... - Meist übersetzt als »Zieh mich hinter dir her! Lass uns rennen!«, so dass »uns« sich auf die Geliebte und den Geliebten bezöge. Das liegt recht fern: Erstens zeigen die Akzente des MT (d.h. die Zeichen, mit denen die Schreiber des MT angezeigt haben, wie der Satz auszusprechen ist), dass der Text aufzuteilen ist zwischen »Zieh mich« und »hinter dir« und nicht zwischen »zieh mich hinter dir [her]« und »lass uns rennen«. Auch LXX teilt den Text so auf. Und zweitens ist es vor allem sehr unwahrscheinlich, dass die Frau ihren Geliebten im Folgenden dazu auffordern sollte, dass er gemeinsam mit ihr über sich selbst jubeln und seine eigenen Liebkosungen preisen soll. Richtiger daher van Ess: »Ziehe mich! Dir eilen wir nach!«; z.B. auch Daland 1888, S. , der den Text als Drama aufgefasst hat: »Court Lady: ‚Draw me - ‘ Chorus of Ladies: ‚- after thee will we run.‘ Lady: ‚Oh! that the king would bring me to his chambers!‘.« Zu absolutem »Zieh mich« s. Hos 11,4. Alle wollen hinter ihm herlaufen, aber sie soll er ziehen. Zum Sinn s. dann die Anmerkungen.</w:t>
      </w:r>
    </w:p>
  </w:footnote>
  <w:footnote w:id="2303">
    <w:p>
      <w:pPr>
        <w:pStyle w:val="Funote"/>
        <w:rPr/>
      </w:pPr>
      <w:r>
        <w:rPr/>
        <w:footnoteRef/>
        <w:tab/>
        <w:t>König - Kosename für den Geliebten. Ähnlich wird der Geliebte z.B. in ägyptischen Liebesliedern als »Prinz« und in akkadischen Texten als »Herr« und »Meister« bezeichnet (vgl. Fox 1985, S. 98; Held 1961, S. 5; Loretz 1963, S. 78). Manche verstehen unter dem König in V. 12 auch eine andere Person als den Geliebten; gesagt würde dann: »Mein Geliebter duftet so gut, dass sein Geruch bis in den Palast des Königs dringt.«</w:t>
      </w:r>
    </w:p>
  </w:footnote>
  <w:footnote w:id="2304">
    <w:p>
      <w:pPr>
        <w:pStyle w:val="Funote"/>
        <w:rPr/>
      </w:pPr>
      <w:r>
        <w:rPr/>
        <w:footnoteRef/>
        <w:tab/>
        <w:t>tFN: die Gerechten ([mit] Recht?) - Zweifelhaftes Wort. Meist wird es aufgefasst als »Recht, Gerechtigkeit, Geradheit«, konstruiert als adverbialer Akkusativ der Art und Weise: »[mit] Recht« (z.B. JM §126d), was recht schwierig ist (s. gleich). Wir folgen daher stattdessen Ginsburg 1857, S. 132: Die Zeile steht klar im Parallelismus mit der letzten Zeile von V. 3 und damit der Abstraktbegriff »Gerechtigkeit« mit dem konkreten Begriff »die jungen Frauen«. Wahrscheinlich haben wir hier also das Stilmittel »Abstractum pro concreto« vor uns: Ein Abstraktbegriff wird im Parallelismus mit einem konkreten Begriff ebenfalls wie ein konkreter Begriff verwendet. »Gerechtigkeit« bedeutet also »die Gerechten« und meint »die jungen Frauen.« So schon VUL: »Gerechte lieben dich«; ähnlich Sym: »Gerecht sind, die dich lieben«; vielleicht auch LXX, die aber wörtlich übersetzen: »Gerechtigkeit liebt dich«. Daneben sind noch viele andere Vorschläge gemacht worden, die sämtlich aber nicht sehr wahrscheinlich sind und von denen auch keine besonders viele Anhänger hat finden können. Die übliche Auflösung ist schwierig, weil zwar im Deutschen »Recht« in »mit Recht« auch »berechtigt« bedeuten kann, im Heb. für eine ähnliche Synonymie aber jedes Indiz fehlt (so richtig z.B. Fox 1985, S. 99). Vom Heb. her sollte man eher vermuten, dass das Wort im adv. Akk. der Art und Weise etwas bedeutet wie »Sie lieben dich auf gerade/gerechte/redliche Weise«.</w:t>
      </w:r>
    </w:p>
  </w:footnote>
  <w:footnote w:id="2305">
    <w:p>
      <w:pPr>
        <w:pStyle w:val="Funote"/>
        <w:rPr/>
      </w:pPr>
      <w:r>
        <w:rPr/>
        <w:footnoteRef/>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306">
    <w:p>
      <w:pPr>
        <w:pStyle w:val="Funote"/>
        <w:rPr/>
      </w:pPr>
      <w:r>
        <w:rPr>
          <w:i/>
        </w:rPr>
        <w:footnoteRef/>
        <w:tab/>
        <w:t>Töchter Jerusalems</w:t>
      </w:r>
      <w:r>
        <w:rPr/>
        <w:t xml:space="preserve"> = „Jerusalemerinnen“.</w:t>
      </w:r>
    </w:p>
  </w:footnote>
  <w:footnote w:id="2307">
    <w:p>
      <w:pPr>
        <w:pStyle w:val="Funote"/>
        <w:rPr/>
      </w:pPr>
      <w:r>
        <w:rPr>
          <w:i/>
        </w:rPr>
        <w:footnoteRef/>
        <w:tab/>
        <w:t>Kedar</w:t>
      </w:r>
      <w:r>
        <w:rPr/>
        <w:t>: Die Kedarener waren ein in Zelten wohnender Beduinenstamm. Zelte wurden damals aus der Wolle schwarzer Ziegen hergestellt, daher sind die „Zelte Kedars“ ein gutes Symbol für Schwärze.</w:t>
        <w:br/>
        <w:br/>
        <w:t xml:space="preserve">Wortspiel: Die Konsonanten des Wortes </w:t>
      </w:r>
      <w:r>
        <w:rPr>
          <w:i/>
        </w:rPr>
        <w:t>qedar</w:t>
      </w:r>
      <w:r>
        <w:rPr/>
        <w:t xml:space="preserve"> sind auch die Konsonanten des Wortes </w:t>
      </w:r>
      <w:r>
        <w:rPr>
          <w:i/>
        </w:rPr>
        <w:t>qadar</w:t>
      </w:r>
      <w:r>
        <w:rPr/>
        <w:t xml:space="preserve"> („schwarz werden“).</w:t>
      </w:r>
    </w:p>
  </w:footnote>
  <w:footnote w:id="2308">
    <w:p>
      <w:pPr>
        <w:pStyle w:val="Funote"/>
        <w:rPr/>
      </w:pPr>
      <w:r>
        <w:rPr/>
        <w:footnoteRef/>
        <w:tab/>
        <w:t>Zelte - Das Wort heißt nicht »Zeltdecken« oder gar »Wandbehänge«, wie sich das in vielen Üss. findet, sondern ist, wie das aus dieser Stelle und Jes 54,2; Jer 4,20; 10,20; 49,29 hervorgeht, klar ein Synonym zum vorigen »Zelte.« Wahrscheinlich ist »Zelte Salomos« ein poetischer Ausdruck für »Salomos Palast«, das Symbol für Schönheit und Pracht schlechthin (vgl. Eidelkind 2012, S. 327). Textkritik: Viele Exegeten und Üss. korrigieren allerdings den Text von schelomoh (»Salomo«) zu schalmah (»wie die Zelte Salmas«), ein arabischer Beduinenstamm. Diese Korrektur lässt sich mit keiner der alten Üss. stützen und ist daher abzulehnen.</w:t>
      </w:r>
    </w:p>
  </w:footnote>
  <w:footnote w:id="2309">
    <w:p>
      <w:pPr>
        <w:pStyle w:val="Funote"/>
        <w:rPr/>
      </w:pPr>
      <w:r>
        <w:rPr/>
        <w:footnoteRef/>
        <w:tab/>
        <w:t>Hyperbaton: = »schwarz wie die Zelte Kedars, schön wie die Zelte Salomos.« (so z.B. Krinetzki 1964, S. 90).</w:t>
      </w:r>
    </w:p>
  </w:footnote>
  <w:footnote w:id="2310">
    <w:p>
      <w:pPr>
        <w:pStyle w:val="Funote"/>
        <w:rPr/>
      </w:pPr>
      <w:r>
        <w:rPr/>
        <w:footnoteRef/>
        <w:tab/>
        <w:t>Wollt ihr mich nicht ansehen...!? - Verneinte rhetorische Frage (wie noch häufig) zum Ausdruck einer starken Aufforderung: »Schaut mich an...!« (vgl. Exum 1981, S. 417f.; Gerhards 2000, S. 63-66; Gerhards 2010, S. 208).</w:t>
      </w:r>
    </w:p>
  </w:footnote>
  <w:footnote w:id="2311">
    <w:p>
      <w:pPr>
        <w:pStyle w:val="Funote"/>
        <w:rPr/>
      </w:pPr>
      <w:r>
        <w:rPr/>
        <w:footnoteRef/>
        <w:tab/>
        <w:t>so schwarz - Heb. schecharchoret; einzig hier belegte Variante zum üblichen schachor. Solche Verdopplungen von Konsonanten (hier: chr: schecharchoret) machen das so gebildete Wort häufig emphatischer; das ist wohl auch hier die Bed: »so schwarz«. Andere fassen diese Wortbildungsform als Abschwächung: »[nur], weil ich ein bisschen schwärzlich bin« (so z.B. Zakovitch 2004, S. 119; schon Ibn Ezra). Das seltene Wort ist sicher gewählt, weil sich auf diese Weise am Ende dieser Doppelzeile die Zischlaute sehr häufen, was die beiden inhaltlich verwandten Zeilen auch lautlich zueinander in Zhg. bringt: sche´ani schecharchoret scheschschezafatni haschemesch (»weil ich so schwarz [bin], weil auf mich geblickt hat die Sonne«).</w:t>
      </w:r>
    </w:p>
  </w:footnote>
  <w:footnote w:id="2312">
    <w:p>
      <w:pPr>
        <w:pStyle w:val="Funote"/>
        <w:rPr/>
      </w:pPr>
      <w:r>
        <w:rPr>
          <w:i/>
        </w:rPr>
        <w:footnoteRef/>
        <w:tab/>
        <w:t>Söhne meiner Mutter</w:t>
      </w:r>
      <w:r>
        <w:rPr/>
        <w:t xml:space="preserve"> - d.h. meine Vollbrüder, im Ggs. zu meinen Halbbrüdern, den Söhnen der anderen Frauen meines Vaters. Hier wohl statt „Brüder“ verwendet, weil „Schwester“ im Hld öfter als Kosename für die Geliebte verwendet wird; bei „Brüder“ wäre die Gefahr bestanden, dass man die „Brüder“ als ihre Geliebten missverstehen könnte. S. </w:t>
      </w:r>
      <w:r>
        <w:fldChar w:fldCharType="begin"/>
      </w:r>
      <w:r>
        <w:instrText> HYPERLINK "file:///wiki/Hohelied_8" \l "s1"</w:instrText>
      </w:r>
      <w:r>
        <w:fldChar w:fldCharType="separate"/>
      </w:r>
      <w:r>
        <w:rPr>
          <w:rStyle w:val="Internetverknpfung"/>
        </w:rPr>
        <w:t>Hld 8,1</w:t>
      </w:r>
      <w:r>
        <w:fldChar w:fldCharType="end"/>
      </w:r>
      <w:r>
        <w:rPr/>
        <w:t>, die einzige Stelle im Hld, wo das Wort „Bruder“ fällt: Dort ist es gerade auf den Geliebten bezogen.</w:t>
      </w:r>
    </w:p>
  </w:footnote>
  <w:footnote w:id="2313">
    <w:p>
      <w:pPr>
        <w:pStyle w:val="Funote"/>
        <w:rPr/>
      </w:pPr>
      <w:r>
        <w:rPr>
          <w:i/>
        </w:rPr>
        <w:footnoteRef/>
        <w:tab/>
        <w:t>entbrannt</w:t>
      </w:r>
      <w:r>
        <w:rPr/>
        <w:t xml:space="preserve"> - nämlich im Zorn. Wortspiel: Das Wort für „entbrannt“ passt eigentlich besser zur Sonne als zu den Brüdern, denn das ist hier ihre Rolle: Sie hat die Frau „verbrannt“, also „gebräunt“ (vgl. </w:t>
      </w:r>
      <w:hyperlink r:id="rId166">
        <w:r>
          <w:rPr>
            <w:rStyle w:val="Internetverknpfung"/>
          </w:rPr>
          <w:t>Ijob 30,30</w:t>
        </w:r>
      </w:hyperlink>
      <w:r>
        <w:rPr/>
        <w:t>: „Meine Haut ist schwarz geworden, / mein Leib ist vor Hitze verbrannt“). Auf diese Weise wird der Zhg. der beiden Zeilen auch auf der Ebene der Wortbedeutung ausdrücklich gemacht: Dass die Sonne sie „verbrannt“ hat, ist letztlich darauf zurückzuführen, dass ihre Brüder gegen sie „entbrannt“ sind.</w:t>
      </w:r>
    </w:p>
  </w:footnote>
  <w:footnote w:id="2314">
    <w:p>
      <w:pPr>
        <w:pStyle w:val="Funote"/>
        <w:rPr/>
      </w:pPr>
      <w:r>
        <w:rPr>
          <w:i/>
        </w:rPr>
        <w:footnoteRef/>
        <w:tab/>
        <w:t>den meine Seele liebt</w:t>
      </w:r>
      <w:r>
        <w:rPr/>
        <w:t xml:space="preserve"> - d.h. „den ich liebe“; „meine Seele“ ist im Heb. ein häufiger Wechselbegriff für „ich“.</w:t>
      </w:r>
    </w:p>
  </w:footnote>
  <w:footnote w:id="2315">
    <w:p>
      <w:pPr>
        <w:pStyle w:val="Funote"/>
        <w:rPr/>
      </w:pPr>
      <w:r>
        <w:rPr/>
        <w:footnoteRef/>
        <w:tab/>
        <w:t>Textkritik: als Verschleierte (wie eine Wandernde) - MT, wahrscheinlich 6QCant und LXX haben »Verschleierte«. Syr, Sym, VUL und Tg aber übersetzen etwas wie »Wandernde«. Das könnte bedeuten, dass ihnen statt k`th die Konsonanten kt`h vorlagen. Möglicherweise hat aber auch das Wort im MT selbst auch die zweite Bedeutung »herumwandern«, nach der diese Versionen dann übersetzt hätten (vgl. z.B. Ginsburg 1857, S. 136; so schon Raschbam). Viele Exegeten und Üss. folgen dieser Variante; vgl. z.B. gut Bloch/Bloch 1995, S. 142. Die Bedeutung wäre so und so aber wahrscheinlich die gleiche, s. die Anmerkungen.</w:t>
      </w:r>
    </w:p>
  </w:footnote>
  <w:footnote w:id="2316">
    <w:p>
      <w:pPr>
        <w:pStyle w:val="Funote"/>
        <w:rPr/>
      </w:pPr>
      <w:r>
        <w:rPr/>
        <w:footnoteRef/>
        <w:tab/>
        <w:t>Mann (Töchter Jerusalems) - Eine ganze Reihe von Auslegern verstehen diese Anweisung als Aussage nicht des Mannes, sondern der Töchter Jerusalems; die meisten, weil sie die Äußerung als Abweisung der Frau verstehen. Einige wenige halten außerdem die Hirten oder gar den Dichter für die Sprecher. Nichts zwingt zu diesem Verständnis und „da in 7 der Geliebte angeredet wird, ist es natürlich, daß dieser und nicht sonst jemand in 8 antwortet.“ (Rudolph 1962, S. 125).</w:t>
      </w:r>
    </w:p>
  </w:footnote>
  <w:footnote w:id="2317">
    <w:p>
      <w:pPr>
        <w:pStyle w:val="Funote"/>
        <w:rPr/>
      </w:pPr>
      <w:r>
        <w:rPr/>
        <w:footnoteRef/>
        <w:tab/>
        <w:t>tFN: Brüste - So z.B. Peetz 2015, S. 91, da das Wort hier im Femininum statt wie üblicher im Maskulinum steht. Aber vgl. 11QPs 28,4, wo das Wort ebenfalls im Fem. steht. Es gehört also offenbar zu den Wörtern, die sowohl Mask. als auch Fem. sein können.</w:t>
      </w:r>
    </w:p>
  </w:footnote>
  <w:footnote w:id="2318">
    <w:p>
      <w:pPr>
        <w:pStyle w:val="Funote"/>
        <w:rPr/>
      </w:pPr>
      <w:r>
        <w:rPr/>
        <w:footnoteRef/>
        <w:tab/>
        <w:t>Pferden (einer Stute, meiner Stute) - Heb. susati, von sus (»Pferd«). Das Suffix -ti könnte entweder (1a) als Possessivpronomen »mein« oder (1b) als bedeutungsloses »Hireq compaginis« verstanden werden (daher »meine« vs. »eine«), und das Suffix -a könnte das Wort entweder (2a) als Femininum oder (2b) als Kollektivbegriff markieren (daher »Stute« vs. »Pferde«). Möglich ist daher jede der vier obigen Deutungen und jede ist schon vertreten worden. Da die folgenden »Wagen« im Plural stehen, ist (2b) wahrscheinlicher als (2a) (so schon LXX und VUL) und da die Pferde nicht vor die Wagen des Sprechers, sondern die des Pharao gespannt sind, ist (1b) wahrscheinlicher als (1a) (so schon Ibn Ezra). Für (1b) und (2b) z.B. Gerhards 2010, S. 331 FN 31.</w:t>
      </w:r>
    </w:p>
  </w:footnote>
  <w:footnote w:id="2319">
    <w:p>
      <w:pPr>
        <w:pStyle w:val="Funote"/>
        <w:rPr/>
      </w:pPr>
      <w:r>
        <w:rPr>
          <w:i/>
        </w:rPr>
        <w:footnoteRef/>
        <w:tab/>
        <w:t>meine Freundin</w:t>
      </w:r>
      <w:r>
        <w:rPr/>
        <w:t xml:space="preserve"> - Häufige Bezeichnung für die Geliebte im Hld; s. </w:t>
      </w:r>
      <w:r>
        <w:fldChar w:fldCharType="begin"/>
      </w:r>
      <w:r>
        <w:instrText> HYPERLINK "file:///wiki/Hohelied_1" \l "s9"</w:instrText>
      </w:r>
      <w:r>
        <w:fldChar w:fldCharType="separate"/>
      </w:r>
      <w:r>
        <w:rPr>
          <w:rStyle w:val="Internetverknpfung"/>
        </w:rPr>
        <w:t>Hld 1,9</w:t>
      </w:r>
      <w:r>
        <w:fldChar w:fldCharType="end"/>
      </w:r>
      <w:r>
        <w:rPr/>
        <w:t>.</w:t>
      </w:r>
      <w:r>
        <w:fldChar w:fldCharType="begin"/>
      </w:r>
      <w:r>
        <w:instrText> HYPERLINK "file:///wiki/Hohelied_1" \l "s15"</w:instrText>
      </w:r>
      <w:r>
        <w:fldChar w:fldCharType="separate"/>
      </w:r>
      <w:r>
        <w:rPr>
          <w:rStyle w:val="Internetverknpfung"/>
        </w:rPr>
        <w:t>15</w:t>
      </w:r>
      <w:r>
        <w:fldChar w:fldCharType="end"/>
      </w:r>
      <w:r>
        <w:rPr/>
        <w:t xml:space="preserve">; </w:t>
      </w:r>
      <w:r>
        <w:fldChar w:fldCharType="begin"/>
      </w:r>
      <w:r>
        <w:instrText> HYPERLINK "file:///wiki/Hohelied_2" \l "s2"</w:instrText>
      </w:r>
      <w:r>
        <w:fldChar w:fldCharType="separate"/>
      </w:r>
      <w:r>
        <w:rPr>
          <w:rStyle w:val="Internetverknpfung"/>
        </w:rPr>
        <w:t>2,2</w:t>
      </w:r>
      <w:r>
        <w:fldChar w:fldCharType="end"/>
      </w:r>
      <w:r>
        <w:rPr/>
        <w:t>.</w:t>
      </w:r>
      <w:r>
        <w:fldChar w:fldCharType="begin"/>
      </w:r>
      <w:r>
        <w:instrText> HYPERLINK "file:///wiki/Hohelied_2" \l "s10"</w:instrText>
      </w:r>
      <w:r>
        <w:fldChar w:fldCharType="separate"/>
      </w:r>
      <w:r>
        <w:rPr>
          <w:rStyle w:val="Internetverknpfung"/>
        </w:rPr>
        <w:t>10</w:t>
      </w:r>
      <w:r>
        <w:fldChar w:fldCharType="end"/>
      </w:r>
      <w:r>
        <w:rPr/>
        <w:t>.</w:t>
      </w:r>
      <w:r>
        <w:fldChar w:fldCharType="begin"/>
      </w:r>
      <w:r>
        <w:instrText> HYPERLINK "file:///wiki/Hohelied_2" \l "s13"</w:instrText>
      </w:r>
      <w:r>
        <w:fldChar w:fldCharType="separate"/>
      </w:r>
      <w:r>
        <w:rPr>
          <w:rStyle w:val="Internetverknpfung"/>
        </w:rPr>
        <w:t>13</w:t>
      </w:r>
      <w:r>
        <w:fldChar w:fldCharType="end"/>
      </w:r>
      <w:r>
        <w:rPr/>
        <w:t xml:space="preserve">; </w:t>
      </w:r>
      <w:hyperlink r:id="rId167">
        <w:r>
          <w:rPr>
            <w:rStyle w:val="Internetverknpfung"/>
          </w:rPr>
          <w:t>4,1</w:t>
        </w:r>
      </w:hyperlink>
      <w:r>
        <w:rPr/>
        <w:t>.</w:t>
      </w:r>
      <w:hyperlink r:id="rId168">
        <w:r>
          <w:rPr>
            <w:rStyle w:val="Internetverknpfung"/>
          </w:rPr>
          <w:t>7</w:t>
        </w:r>
      </w:hyperlink>
      <w:r>
        <w:rPr/>
        <w:t xml:space="preserve">; </w:t>
      </w:r>
      <w:hyperlink r:id="rId169">
        <w:r>
          <w:rPr>
            <w:rStyle w:val="Internetverknpfung"/>
          </w:rPr>
          <w:t>5,2</w:t>
        </w:r>
      </w:hyperlink>
      <w:r>
        <w:rPr/>
        <w:t xml:space="preserve">; </w:t>
      </w:r>
      <w:hyperlink r:id="rId170">
        <w:r>
          <w:rPr>
            <w:rStyle w:val="Internetverknpfung"/>
          </w:rPr>
          <w:t>6,4</w:t>
        </w:r>
      </w:hyperlink>
      <w:r>
        <w:rPr/>
        <w:t>. Außer in Hld 5,2 fällt der Ausdruck stets im Zhg. mit einer Aussage über das Aussehen der „Freundin“; wahrscheinlich hörte ein Israelit bei dem Ausdruck also irgendwie „Schönheit“ mit.</w:t>
      </w:r>
    </w:p>
  </w:footnote>
  <w:footnote w:id="2320">
    <w:p>
      <w:pPr>
        <w:pStyle w:val="Funote"/>
        <w:rPr/>
      </w:pPr>
      <w:r>
        <w:rPr>
          <w:i/>
        </w:rPr>
        <w:footnoteRef/>
        <w:tab/>
        <w:t>Ketten (Zaumzeug)</w:t>
      </w:r>
      <w:r>
        <w:rPr/>
        <w:t xml:space="preserve"> - Heb. </w:t>
      </w:r>
      <w:r>
        <w:rPr>
          <w:i/>
        </w:rPr>
        <w:t>torim</w:t>
      </w:r>
      <w:r>
        <w:rPr/>
        <w:t xml:space="preserve">; unbekanntes Wort. Wahrscheinlich hängt es zusammen mit dem Verb </w:t>
      </w:r>
      <w:r>
        <w:rPr>
          <w:i/>
        </w:rPr>
        <w:t>tur</w:t>
      </w:r>
      <w:r>
        <w:rPr/>
        <w:t xml:space="preserve"> („herumgehen“), daher ist es wohl etwas gemeint, das um den Kopf herumgeht und über die Wangen reicht. Zur Alternative „Zaumzeug“ s. die Anmerkungen.</w:t>
      </w:r>
    </w:p>
  </w:footnote>
  <w:footnote w:id="2321">
    <w:p>
      <w:pPr>
        <w:pStyle w:val="Funote"/>
        <w:rPr/>
      </w:pPr>
      <w:r>
        <w:rPr/>
        <w:footnoteRef/>
        <w:tab/>
        <w:t>Perlen (?) - Heb. charuzim, ein weiteres unbekanntes Wort. Vielleicht hängt es zusammen mit dem arabischen ḫaraz (»Perle«). Da sie am Hals getragen werden, wären dann »Perlenketten« gemeint (so schon Raschi; auch LXX und VUL übersetzen mit »Ketten«). Aber s. noch die Anmerkungen.</w:t>
      </w:r>
    </w:p>
  </w:footnote>
  <w:footnote w:id="2322">
    <w:p>
      <w:pPr>
        <w:pStyle w:val="Funote"/>
        <w:rPr/>
      </w:pPr>
      <w:r>
        <w:rPr/>
        <w:footnoteRef/>
        <w:tab/>
        <w:t>will ich (wollen wir) - W. »wollen wir«. Da niemand sonst in diesem Lied erwähnt wird, handelt es sich vielleicht wie z.B. in Gen 1,26 um einen »Plural deliberationis« mit Sg.-Bed. (so z.B. Krinetzki 1964, S. 293): Aufgrund der Schönheit seiner Geliebten fasst der Sprecher den Entschluss, ihr noch exquisiteren Schmuck anfertigen zu lassen.</w:t>
      </w:r>
    </w:p>
  </w:footnote>
  <w:footnote w:id="2323">
    <w:p>
      <w:pPr>
        <w:pStyle w:val="Funote"/>
        <w:rPr/>
      </w:pPr>
      <w:r>
        <w:rPr/>
        <w:footnoteRef/>
        <w:tab/>
        <w:t>Mit Punkten aus Silber! - d.h. wohl „mit Silber granuliert“ (so gut Bloch/Bloch 1995, S. 146). „Granulation“ ist eine antike Goldschmiedetechnik, bei der Goldflächen mit kleinen Kügelchen aus Gold oder anderen Metallen verziert werden (vgl. Granulation (Goldschmiedekunst) (Wikipedia)) - der Geliebte will ihr das Kostbarste vom Kostbaren anfertigen lassen.</w:t>
      </w:r>
    </w:p>
  </w:footnote>
  <w:footnote w:id="2324">
    <w:p>
      <w:pPr>
        <w:pStyle w:val="Funote"/>
        <w:rPr/>
      </w:pPr>
      <w:r>
        <w:rPr/>
        <w:footnoteRef/>
        <w:tab/>
        <w:t>Couch - Heb. mesab; im Biblischen Heb. hat es sonst die Bed. »Umgebung«. Hier besser nach dem Mischna-Heb. zu verstehen als »Couch, Divan«, die um einen Tisch herum angeordnet waren (daher viele Üss.: »Tafelrunde«; inspiriert von LXX: »Tisch«); vgl. z.B. Fox 1985, S. 105; Pope 1977, S. 347.</w:t>
      </w:r>
    </w:p>
  </w:footnote>
  <w:footnote w:id="2325">
    <w:p>
      <w:pPr>
        <w:pStyle w:val="Funote"/>
        <w:rPr/>
      </w:pPr>
      <w:r>
        <w:rPr>
          <w:i/>
        </w:rPr>
        <w:footnoteRef/>
        <w:tab/>
        <w:t>Narde</w:t>
      </w:r>
      <w:r>
        <w:rPr/>
        <w:t xml:space="preserve"> - teurer Duftstoff aus dem Himalaya-Gebirge. Zur Verwendung von Nardenparfum bei Tisch s. noch </w:t>
      </w:r>
      <w:r>
        <w:fldChar w:fldCharType="begin"/>
      </w:r>
      <w:r>
        <w:instrText> HYPERLINK "file:///wiki/Markus_14" \l "s3"</w:instrText>
      </w:r>
      <w:r>
        <w:fldChar w:fldCharType="separate"/>
      </w:r>
      <w:r>
        <w:rPr>
          <w:rStyle w:val="Internetverknpfung"/>
        </w:rPr>
        <w:t>Mk 14,3</w:t>
      </w:r>
      <w:r>
        <w:fldChar w:fldCharType="end"/>
      </w:r>
      <w:r>
        <w:rPr/>
        <w:t xml:space="preserve">; </w:t>
      </w:r>
      <w:r>
        <w:fldChar w:fldCharType="begin"/>
      </w:r>
      <w:r>
        <w:instrText> HYPERLINK "file:///wiki/Johannes_12" \l "s3"</w:instrText>
      </w:r>
      <w:r>
        <w:fldChar w:fldCharType="separate"/>
      </w:r>
      <w:r>
        <w:rPr>
          <w:rStyle w:val="Internetverknpfung"/>
        </w:rPr>
        <w:t>Joh 12,3</w:t>
      </w:r>
      <w:r>
        <w:fldChar w:fldCharType="end"/>
      </w:r>
      <w:r>
        <w:rPr/>
        <w:t>.</w:t>
      </w:r>
    </w:p>
  </w:footnote>
  <w:footnote w:id="2326">
    <w:p>
      <w:pPr>
        <w:pStyle w:val="Funote"/>
        <w:rPr/>
      </w:pPr>
      <w:r>
        <w:rPr/>
        <w:footnoteRef/>
        <w:tab/>
        <w:t>Myrrhensäckchen (V. 13) + Hennabündel (V. 14) - Neben dem Auftragen von duftenden Ölen war im Alten Israel eine alternative Weise der Parfumierung das Tragen aromatischer Substanzen um den Hals (vgl. Pope 1977, S. 351). Das ist mit dem Myrrhensäckchen gemeint; auch die Hennadolden (für eine Abbildung s. hier) wurden wahrscheinlich in solchen Säckchen getragen. Zur Verwendung vom Myrrhenparfum im Bett s. noch Spr 7,17f.. Vgl. auch Sappho 96 D,10-22: »Nun, so will ich dich dran erinnern, weil du's vergißt, wieviel Glück und wie Schönes wir hier erlebt: ... Viel Girlanden aus duftenden Blumen hast du dir um den weichen Hals umgehängt, die geflochten aus Blüten fein; und mit glänzendem Myrrhenöl hast du dir deine schöne Haut eingesalbt und mit Salbe, die fürstliche heißt, und gelagert auf weichem Bett ... hast verströmt du die Sehnsucht nach ...« (Üs. nach Treu).</w:t>
      </w:r>
    </w:p>
  </w:footnote>
  <w:footnote w:id="2327">
    <w:p>
      <w:pPr>
        <w:pStyle w:val="Funote"/>
        <w:rPr/>
      </w:pPr>
      <w:r>
        <w:rPr>
          <w:i/>
        </w:rPr>
        <w:footnoteRef/>
        <w:tab/>
        <w:t>Ruhend</w:t>
      </w:r>
      <w:r>
        <w:rPr/>
        <w:t xml:space="preserve"> - Könnte sich sowohl auf das Myrrhensäckchen als auch auf den Geliebten beziehen.</w:t>
      </w:r>
    </w:p>
  </w:footnote>
  <w:footnote w:id="2328">
    <w:p>
      <w:pPr>
        <w:pStyle w:val="Funote"/>
        <w:rPr/>
      </w:pPr>
      <w:r>
        <w:rPr/>
        <w:footnoteRef/>
        <w:tab/>
        <w:t>En-Gedi - Oase an der Westküste des Toten Meeres, wo auch heute noch Henna wächst. Archäologische Funde lassen vermuten, dass dort früher außerdem Parfums produziert wurden (vgl. Pope 1977, S. 354).</w:t>
      </w:r>
    </w:p>
  </w:footnote>
  <w:footnote w:id="2329">
    <w:p>
      <w:pPr>
        <w:pStyle w:val="Funote"/>
        <w:rPr/>
      </w:pPr>
      <w:r>
        <w:rPr>
          <w:i/>
        </w:rPr>
        <w:footnoteRef/>
        <w:tab/>
        <w:t>Deine Augen sind Tauben!</w:t>
      </w:r>
      <w:r>
        <w:rPr/>
        <w:t xml:space="preserve"> - Umstrittene Metapher; s. die Anmerkungen. Alternativ sind zu ihrer Aufschlüsselung die verschiedensten Vorschläge gemacht worden; z.B., dass die Farbe von Tauben gemeint sei (graublau), die Form von Tauben (weil Augen in der antiken Ikonographie manchmal in Taubenform dargestellt wurden), die Konnotation von Tauben (Unschuld), der Symbolwert der Taube (gelegentlich nämlich: Taube=Götterbote; u.a. von Liebesgottheiten, daher „Liebesbote“) usw.</w:t>
      </w:r>
    </w:p>
  </w:footnote>
  <w:footnote w:id="2330">
    <w:p>
      <w:pPr>
        <w:pStyle w:val="Funote"/>
        <w:rPr/>
      </w:pPr>
      <w:r>
        <w:rPr/>
        <w:footnoteRef/>
        <w:tab/>
        <w:t>tFN: Häuser: Plural mit Sg.-Bed.; vgl. GKC §124q</w:t>
      </w:r>
    </w:p>
  </w:footnote>
  <w:footnote w:id="2331">
    <w:p>
      <w:pPr>
        <w:pStyle w:val="Funote"/>
        <w:rPr/>
      </w:pPr>
      <w:r>
        <w:rPr/>
        <w:footnoteRef/>
        <w:tab/>
        <w:t>rechts</w:t>
      </w:r>
    </w:p>
  </w:footnote>
  <w:footnote w:id="2332">
    <w:p>
      <w:pPr>
        <w:pStyle w:val="Funote"/>
        <w:rPr/>
      </w:pPr>
      <w:r>
        <w:rPr/>
        <w:footnoteRef/>
        <w:tab/>
        <w:t>[Zu dieser faszinierenden Idee vgl. z.B. Biesterfeldt/Gutas 1984; Crohns 1905; Toohey 1992; Toohey 2004, S. 59-103.]</w:t>
      </w:r>
    </w:p>
  </w:footnote>
  <w:footnote w:id="2333">
    <w:p>
      <w:pPr>
        <w:pStyle w:val="Funote"/>
        <w:rPr/>
      </w:pPr>
      <w:r>
        <w:rPr/>
        <w:footnoteRef/>
        <w:tab/>
        <w:t>[Zwei weitere Beispiele, die zeitlich näher am Hld stehen: Bei Sappho heißt es: : Wenn ich dich erblicke, geschiehts mir einmal, daß ich verstumme. : Denn bewegungslos liegt die Zunge, feines : Feuer hat im Nu meine Haut durchrieselt, : mit den Augen sehe ich nichts, ein Dröhnen braust in den Ohren, : und der Schweiß bricht aus, mich befällt ein Zittern : aller Glieder, bleicher als dürre Gräser : bin ich, dem Gestorbensein kaum mehr ferne schein ich mir selber. (frg 31, Üs.: Treu) und Theokrit dichtet in seiner zweiten Idylle: : Sieh, o Göttin Selene, woher mir die Liebe gekommen! : Weh! und m Hinschau'n gleich, wie durchzückt' es mich! jählings erkrankte : Tief im Grunde mein Herz; auch verfiel mir die Schöne mit Einmal. : Nimmer gedacht' ich des Fests, und wie ich nach Hause gekommen, : Weiß ich nicht; so verstörte den Sinn ein brennendes Fieber. : Und ich lag zehn Tage zu Bett zehn Nächte verseufzt' ich. : Sieh, o Göttin Selene, woher mir die Liebe gekommen! : Schon, ach! war mir die Farbe so gelb wie Thapsos geworden, : Und mir schwanden die Haare vom Haupt; die ganze Gestalt nur : Haut noch und Bein! Wen frug ich um Hilfe nicht? : ... : Ganz kalt ward ich zumal wie der Schnee, und herab von der Stirn : Rann mir in Tropfen der Schweiß wie rieselnder Tau in der Frühe; : Kein Wort bracht ich hervor, auch nicht so viel wie im Schlafe : Wimmert ein Kindchen und lallt, nach der lieben Mutter verlangend, : Und ganz wurde der blühende Leib mir starr wie ein Wachsbild. (Üs.: Mörike)]</w:t>
      </w:r>
    </w:p>
  </w:footnote>
  <w:footnote w:id="2334">
    <w:p>
      <w:pPr>
        <w:pStyle w:val="Funote"/>
        <w:rPr/>
      </w:pPr>
      <w:r>
        <w:rPr/>
        <w:footnoteRef/>
        <w:tab/>
        <w:t>[Vgl. ähnlich z.B. P. Anastasi I 24.2: „Du hast Jaffa [=Tel Aviv] erreicht und wirst [...] ein kleines Mädchen finden, das den Garten bewacht [...].“ (ÜS.: COS III, S. 13)]</w:t>
      </w:r>
    </w:p>
  </w:footnote>
  <w:footnote w:id="2335">
    <w:p>
      <w:pPr>
        <w:pStyle w:val="Funote"/>
        <w:rPr/>
      </w:pPr>
      <w:r>
        <w:rPr/>
        <w:footnoteRef/>
        <w:tab/>
        <w:t>[Status: Ungeprüft]</w:t>
      </w:r>
    </w:p>
  </w:footnote>
  <w:footnote w:id="2336">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337">
    <w:p>
      <w:pPr>
        <w:pStyle w:val="Funote"/>
        <w:rPr/>
      </w:pPr>
      <w:r>
        <w:rPr/>
        <w:footnoteRef/>
        <w:tab/>
        <w:t>[nur] - Fokuspartikeln wie »nur« werden im Heb. auch dort fast nie gesetzt, wo das Dt. sie setzen müsste. So verstehen auch diese Stelle viele Exegeten, weil sie das Mädchen ungerne mit einem solch unverblümten Eigenlob in das Lied einsteigen lassen möchten (z.B. Fox 1985, S. 83; Gordis 1974b, S. 50), aber s. die Anmerkungen.</w:t>
      </w:r>
    </w:p>
  </w:footnote>
  <w:footnote w:id="2338">
    <w:p>
      <w:pPr>
        <w:pStyle w:val="Funote"/>
        <w:rPr/>
      </w:pPr>
      <w:r>
        <w:rPr/>
        <w:footnoteRef/>
        <w:tab/>
        <w:t>rahmenlos|rechts|Ein proto-aeolisches Kapitell aus Megiddo. (c) Shiloh, Yigal: New Proto-Aeolic Capitals Found in Israel, in: BASOR 222, 1976. S. 67-77, S. 67. Lilie + Iris - Die Identität der beiden Blumen ist umstritten und nicht sicher zu erschließen. Über die »Iris« (Heb. schoschannah) weiß man, dass die Kapitelle von Pfeilern im Tempel die Form dieser Blume hatten (s. 1 Kön 7,22; zum irisförmigen Kapitell s. rechts) und dass es sich um eine Landpflanze handelt (s. Hld 7,3), die Tiere beim Grasen verspeißen konnten (s. Hld 2,16; 4,5; 6,2.3). Das syr. Wort susan (»Iris, Lilie«) und das arab. Wort susan/sausan (»Iris, Lilie«) legen dann nahe, dass es sich auch hier um eine Iris- oder Lilienart handelt. Die »Lilie« (Heb. habatselet) wird neben dieser Stelle nur noch in Jes 35,1f. erwähnt; entsprechend gibt es für die Erschließung ihrer Identität noch weniger Anhaltspunkte. Von der Etymologie her könnte es sich um eine Zwiebelpflanze handeln (vgl. Heb. betsal: »Zwiebel«) und in Jes 35,1 übersetzen LXX, VUL, TgJes und Eusebius in seinem Jesaja-Kommentar mit »Lilie«. Es ist gut möglich, dass das nur geraten ist (in unserem Vers übersetzen LXX, VUL allgemein mit »Blume«), aber der beste Anhaltspunkt zu ihrer Identifikation, daher folgen wir einstweilen diesen Üss.»Rose« ist sehr unwahrscheinlich, da diese nicht in Israel wuchsen; die neuerdings häufige Üs. mit »Lotus« ist problematisch, weil die Lotusblume eine Wasserpflanze ist, und basiert auf den beiden irrtümlichen Annahmen, dass es keine lilien-/irisförmigen Kapitelle gegeben habe und dass die Lilie nicht in Israel wachsen würde.</w:t>
      </w:r>
    </w:p>
  </w:footnote>
  <w:footnote w:id="2339">
    <w:p>
      <w:pPr>
        <w:pStyle w:val="Funote"/>
        <w:rPr/>
      </w:pPr>
      <w:r>
        <w:rPr>
          <w:i/>
        </w:rPr>
        <w:footnoteRef/>
        <w:tab/>
        <w:t>{</w:t>
      </w:r>
      <w:r>
        <w:rPr>
          <w:i/>
          <w:strike/>
        </w:rPr>
        <w:t>den</w:t>
      </w:r>
      <w:r>
        <w:rPr>
          <w:i/>
        </w:rPr>
        <w:t>}</w:t>
      </w:r>
      <w:r>
        <w:rPr/>
        <w:t xml:space="preserve"> - In Vergleichen verwendet das Heb. häufig bestimmten Artikel, wo das Dt. unbestimmten oder keinen Artikel verwenden würde.</w:t>
      </w:r>
    </w:p>
  </w:footnote>
  <w:footnote w:id="2340">
    <w:p>
      <w:pPr>
        <w:pStyle w:val="Funote"/>
        <w:rPr/>
      </w:pPr>
      <w:r>
        <w:rPr>
          <w:i/>
        </w:rPr>
        <w:footnoteRef/>
        <w:tab/>
        <w:t>meine Freundin</w:t>
      </w:r>
      <w:r>
        <w:rPr/>
        <w:t xml:space="preserve"> - Häufige Bezeichnung für die Geliebte im Hld; s. </w:t>
      </w:r>
      <w:r>
        <w:fldChar w:fldCharType="begin"/>
      </w:r>
      <w:r>
        <w:instrText> HYPERLINK "file:///wiki/Hohelied_1" \l "s9"</w:instrText>
      </w:r>
      <w:r>
        <w:fldChar w:fldCharType="separate"/>
      </w:r>
      <w:r>
        <w:rPr>
          <w:rStyle w:val="Internetverknpfung"/>
        </w:rPr>
        <w:t>Hld 1,9</w:t>
      </w:r>
      <w:r>
        <w:fldChar w:fldCharType="end"/>
      </w:r>
      <w:r>
        <w:rPr/>
        <w:t>.</w:t>
      </w:r>
      <w:r>
        <w:fldChar w:fldCharType="begin"/>
      </w:r>
      <w:r>
        <w:instrText> HYPERLINK "file:///wiki/Hohelied_1" \l "s15"</w:instrText>
      </w:r>
      <w:r>
        <w:fldChar w:fldCharType="separate"/>
      </w:r>
      <w:r>
        <w:rPr>
          <w:rStyle w:val="Internetverknpfung"/>
        </w:rPr>
        <w:t>15</w:t>
      </w:r>
      <w:r>
        <w:fldChar w:fldCharType="end"/>
      </w:r>
      <w:r>
        <w:rPr/>
        <w:t xml:space="preserve">; </w:t>
      </w:r>
      <w:r>
        <w:fldChar w:fldCharType="begin"/>
      </w:r>
      <w:r>
        <w:instrText> HYPERLINK "file:///wiki/Hohelied_2" \l "s2"</w:instrText>
      </w:r>
      <w:r>
        <w:fldChar w:fldCharType="separate"/>
      </w:r>
      <w:r>
        <w:rPr>
          <w:rStyle w:val="Internetverknpfung"/>
        </w:rPr>
        <w:t>2,2</w:t>
      </w:r>
      <w:r>
        <w:fldChar w:fldCharType="end"/>
      </w:r>
      <w:r>
        <w:rPr/>
        <w:t>.</w:t>
      </w:r>
      <w:r>
        <w:fldChar w:fldCharType="begin"/>
      </w:r>
      <w:r>
        <w:instrText> HYPERLINK "file:///wiki/Hohelied_2" \l "s10"</w:instrText>
      </w:r>
      <w:r>
        <w:fldChar w:fldCharType="separate"/>
      </w:r>
      <w:r>
        <w:rPr>
          <w:rStyle w:val="Internetverknpfung"/>
        </w:rPr>
        <w:t>10</w:t>
      </w:r>
      <w:r>
        <w:fldChar w:fldCharType="end"/>
      </w:r>
      <w:r>
        <w:rPr/>
        <w:t>.</w:t>
      </w:r>
      <w:r>
        <w:fldChar w:fldCharType="begin"/>
      </w:r>
      <w:r>
        <w:instrText> HYPERLINK "file:///wiki/Hohelied_2" \l "s13"</w:instrText>
      </w:r>
      <w:r>
        <w:fldChar w:fldCharType="separate"/>
      </w:r>
      <w:r>
        <w:rPr>
          <w:rStyle w:val="Internetverknpfung"/>
        </w:rPr>
        <w:t>13</w:t>
      </w:r>
      <w:r>
        <w:fldChar w:fldCharType="end"/>
      </w:r>
      <w:r>
        <w:rPr/>
        <w:t xml:space="preserve">; </w:t>
      </w:r>
      <w:hyperlink r:id="rId171">
        <w:r>
          <w:rPr>
            <w:rStyle w:val="Internetverknpfung"/>
          </w:rPr>
          <w:t>4,1</w:t>
        </w:r>
      </w:hyperlink>
      <w:r>
        <w:rPr/>
        <w:t>.</w:t>
      </w:r>
      <w:hyperlink r:id="rId172">
        <w:r>
          <w:rPr>
            <w:rStyle w:val="Internetverknpfung"/>
          </w:rPr>
          <w:t>7</w:t>
        </w:r>
      </w:hyperlink>
      <w:r>
        <w:rPr/>
        <w:t xml:space="preserve">; </w:t>
      </w:r>
      <w:hyperlink r:id="rId173">
        <w:r>
          <w:rPr>
            <w:rStyle w:val="Internetverknpfung"/>
          </w:rPr>
          <w:t>5,2</w:t>
        </w:r>
      </w:hyperlink>
      <w:r>
        <w:rPr/>
        <w:t xml:space="preserve">; </w:t>
      </w:r>
      <w:hyperlink r:id="rId174">
        <w:r>
          <w:rPr>
            <w:rStyle w:val="Internetverknpfung"/>
          </w:rPr>
          <w:t>6,4</w:t>
        </w:r>
      </w:hyperlink>
      <w:r>
        <w:rPr/>
        <w:t>. Außer in Hld 5,2 fällt der Ausdruck stets im Zhg. mit einer Aussage über das Aussehen der „Freundin“; wahrscheinlich hörte ein Israelit bei dem Ausdruck also irgendwie „Schönheit“ mit.</w:t>
      </w:r>
    </w:p>
  </w:footnote>
  <w:footnote w:id="2341">
    <w:p>
      <w:pPr>
        <w:pStyle w:val="Funote"/>
        <w:rPr/>
      </w:pPr>
      <w:r>
        <w:rPr>
          <w:i/>
        </w:rPr>
        <w:footnoteRef/>
        <w:tab/>
        <w:t>Töchtern</w:t>
      </w:r>
      <w:r>
        <w:rPr/>
        <w:t xml:space="preserve"> - d.h., den anderen Mädchen. Zum Vergleich der Geliebten mit einer Blume vgl. z.B. Sappho, frg 132: „</w:t>
      </w:r>
      <w:r>
        <w:rPr>
          <w:i/>
        </w:rPr>
        <w:t>Hab ein schöns Kind, / goldnen Blumen wohl vergleichbar / ist sein feiner Wuchs: / Kleis heißt sie, mein Alles...</w:t>
      </w:r>
      <w:r>
        <w:rPr/>
        <w:t>“ (Üs.: Treu); vgl. bes. auch das Epigramm 58 (von Rhianus) in AC XII: „</w:t>
      </w:r>
      <w:r>
        <w:rPr>
          <w:i/>
        </w:rPr>
        <w:t>So sehr scheint Empedokles hervor, wie die anderen Frühlingsblumen an Schönheit die Rose überstrahlt.</w:t>
      </w:r>
      <w:r>
        <w:rPr/>
        <w:t>“.</w:t>
      </w:r>
    </w:p>
  </w:footnote>
  <w:footnote w:id="2342">
    <w:p>
      <w:pPr>
        <w:pStyle w:val="Funote"/>
        <w:rPr/>
      </w:pPr>
      <w:r>
        <w:rPr/>
        <w:footnoteRef/>
        <w:tab/>
        <w:t>Aprikose[nbaum] - nicht: »Apfelbaum«; dieser wächst erst seit Kurzem in Palästina (vgl. z.B. Musselman 2012, S. 21; z.St. z.B. auch Bloch/Bloch 1995, S. 149). Zum Vergleich des Geliebten mit einem Baum vgl. Sappho frg 115: »Womit soll ich dich, Bräutigam lieber, vergleichen? / Einer biegsamen Gerte will ich dich vergleichen!« (Üs.: Treu).</w:t>
      </w:r>
    </w:p>
  </w:footnote>
  <w:footnote w:id="2343">
    <w:p>
      <w:pPr>
        <w:pStyle w:val="Funote"/>
        <w:rPr/>
      </w:pPr>
      <w:r>
        <w:rPr>
          <w:i/>
        </w:rPr>
        <w:footnoteRef/>
        <w:tab/>
        <w:t>Söhnen</w:t>
      </w:r>
      <w:r>
        <w:rPr/>
        <w:t xml:space="preserve"> - d.h., den anderen jungen Männern.</w:t>
      </w:r>
    </w:p>
  </w:footnote>
  <w:footnote w:id="2344">
    <w:p>
      <w:pPr>
        <w:pStyle w:val="Funote"/>
        <w:rPr/>
      </w:pPr>
      <w:r>
        <w:rPr>
          <w:i/>
        </w:rPr>
        <w:footnoteRef/>
        <w:tab/>
        <w:t>erfreue ich mich (habe ich Lust) und sitze ich</w:t>
      </w:r>
      <w:r>
        <w:rPr/>
        <w:t xml:space="preserve"> - d.h., „erfreut es mich zu sitzen“ oder „habe ich Lust, zu sitzen“; verbales Hendiadyoin: Ein Vollverb dient eigentlich der näheren Spezifizierung eines anderen Vollverbs.</w:t>
      </w:r>
    </w:p>
  </w:footnote>
  <w:footnote w:id="2345">
    <w:p>
      <w:pPr>
        <w:pStyle w:val="Funote"/>
        <w:rPr/>
      </w:pPr>
      <w:r>
        <w:rPr/>
        <w:footnoteRef/>
        <w:tab/>
        <w:t>Das Haus des Weins ist wahrscheinlich keine Taverne, die im Alten Israel nicht belegt sind. Verglichen wird gern das »Haus des Weintrinkens« in Est 7,8, aber s. Pred 7,2, wo das »Haus des Trinkens« mit dem »Haus des Klagens« (also einem Privathaus, dessen Bewohner einen Trauerfall hatten) kontrastiert wird. Auch in Dan 5,10 befindet sich das »Haus des Trinkens« offenbar im Palast und bietet Raum für alle »1000 Großen« des Königs. Offenbar ist also »jedes Haus, in dem Wein getrunken wird«, ein »Weinhaus« (Fox 1983, S. 201). S. näher die Anmerkungen.</w:t>
      </w:r>
    </w:p>
  </w:footnote>
  <w:footnote w:id="2346">
    <w:p>
      <w:pPr>
        <w:pStyle w:val="Funote"/>
        <w:rPr/>
      </w:pPr>
      <w:r>
        <w:rPr>
          <w:i/>
        </w:rPr>
        <w:footnoteRef/>
        <w:tab/>
        <w:t>Banner</w:t>
      </w:r>
      <w:r>
        <w:rPr/>
        <w:t xml:space="preserve"> - Zum Banner s. die Anmerkungen.</w:t>
      </w:r>
    </w:p>
  </w:footnote>
  <w:footnote w:id="2347">
    <w:p>
      <w:pPr>
        <w:pStyle w:val="Funote"/>
        <w:rPr/>
      </w:pPr>
      <w:r>
        <w:rPr>
          <w:i/>
        </w:rPr>
        <w:footnoteRef/>
        <w:tab/>
        <w:t>krank vor Liebe</w:t>
      </w:r>
      <w:r>
        <w:rPr/>
        <w:t xml:space="preserve"> - s. dazu die Anmerkungen.</w:t>
      </w:r>
    </w:p>
  </w:footnote>
  <w:footnote w:id="2348">
    <w:p>
      <w:pPr>
        <w:pStyle w:val="Funote"/>
        <w:rPr/>
      </w:pPr>
      <w:r>
        <w:rPr/>
        <w:footnoteRef/>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349">
    <w:p>
      <w:pPr>
        <w:pStyle w:val="Funote"/>
        <w:rPr/>
      </w:pPr>
      <w:r>
        <w:rPr>
          <w:i/>
        </w:rPr>
        <w:footnoteRef/>
        <w:tab/>
        <w:t>Entfacht nicht und facht nicht an die Liebe</w:t>
      </w:r>
      <w:r>
        <w:rPr/>
        <w:t xml:space="preserve"> - W.: „Wenn ihr entfacht und wenn ihr anfacht die Liebe...!“; unabgeschlossee Drohformel als häufige Formel für Verbote. Das selbe Verb wird in zwei verschiedenen Konjugationen verwendet: Figura etymologica, die den Ausdruck noch stärker macht.</w:t>
      </w:r>
    </w:p>
  </w:footnote>
  <w:footnote w:id="2350">
    <w:p>
      <w:pPr>
        <w:pStyle w:val="Funote"/>
        <w:rPr/>
      </w:pPr>
      <w:r>
        <w:rPr/>
        <w:footnoteRef/>
        <w:tab/>
        <w:t>Stört nicht den Geschlechsverkehr - so einige neuere Exegeten (z.B. Falk 1982, S. 116; Fox 1985, S. 109); aber das Verb kann nicht »stören« oder »unterbrechen« bedeuten.</w:t>
      </w:r>
    </w:p>
  </w:footnote>
  <w:footnote w:id="2351">
    <w:p>
      <w:pPr>
        <w:pStyle w:val="Funote"/>
        <w:rPr/>
      </w:pPr>
      <w:r>
        <w:rPr/>
        <w:footnoteRef/>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352">
    <w:p>
      <w:pPr>
        <w:pStyle w:val="Funote"/>
        <w:rPr/>
      </w:pPr>
      <w:r>
        <w:rPr/>
        <w:footnoteRef/>
        <w:tab/>
        <w:t>[Das] Geräusch meines Geliebten! - d.h. »Horch! Mein Geliebter [kommt]!«; qol (»Geräusch«) wie häufig verwendet als Ausruf (vgl. JM §162e; HKL III §354a).</w:t>
      </w:r>
    </w:p>
  </w:footnote>
  <w:footnote w:id="2353">
    <w:p>
      <w:pPr>
        <w:pStyle w:val="Funote"/>
        <w:rPr/>
      </w:pPr>
      <w:r>
        <w:rPr>
          <w:i/>
        </w:rPr>
        <w:footnoteRef/>
        <w:tab/>
        <w:t>[hinein] von den Fenster/Öffnungen [her]</w:t>
      </w:r>
      <w:r>
        <w:rPr/>
        <w:t xml:space="preserve"> - aus der Perspektive des Mädchens im Haus.</w:t>
      </w:r>
    </w:p>
  </w:footnote>
  <w:footnote w:id="2354">
    <w:p>
      <w:pPr>
        <w:pStyle w:val="Funote"/>
        <w:rPr/>
      </w:pPr>
      <w:r>
        <w:rPr/>
        <w:footnoteRef/>
        <w:tab/>
        <w:t>Öffnungen - Seltenes Wort; nur einmal in der Bibel verwendet und daher in der Bed. ein wenig unsicher. LXX übersetzt »Gitter«; dem folgen die meisten Üss. Im späteren Hebräisch findet sich das Wort aber häufiger und ist dort schlicht ein Äquivalent zu »Fenster«; das ist auch hier sicher seine Bed. (so auch Zakovitch 2004, S. 149).</w:t>
      </w:r>
    </w:p>
  </w:footnote>
  <w:footnote w:id="2355">
    <w:p>
      <w:pPr>
        <w:pStyle w:val="Funote"/>
        <w:rPr/>
      </w:pPr>
      <w:r>
        <w:rPr>
          <w:i/>
        </w:rPr>
        <w:footnoteRef/>
        <w:tab/>
        <w:t>{</w:t>
      </w:r>
      <w:r>
        <w:rPr>
          <w:i/>
          <w:strike/>
        </w:rPr>
        <w:t>antwortet und</w:t>
      </w:r>
      <w:r>
        <w:rPr>
          <w:i/>
        </w:rPr>
        <w:t>} sagt</w:t>
      </w:r>
      <w:r>
        <w:rPr/>
        <w:t xml:space="preserve"> - Im Heb. häufige Doppelverbformel, die ins Dt. stets mit nur einem Verb zu übertragen ist. W. „antworten“; hier wie öfter i.S.v. „sagen“ ohne vorangehende Frage.</w:t>
      </w:r>
    </w:p>
  </w:footnote>
  <w:footnote w:id="2356">
    <w:p>
      <w:pPr>
        <w:pStyle w:val="Funote"/>
        <w:rPr/>
      </w:pPr>
      <w:r>
        <w:rPr>
          <w:i/>
        </w:rPr>
        <w:footnoteRef/>
        <w:tab/>
        <w:t>Steh {</w:t>
      </w:r>
      <w:r>
        <w:rPr>
          <w:i/>
          <w:strike/>
        </w:rPr>
        <w:t>dich</w:t>
      </w:r>
      <w:r>
        <w:rPr>
          <w:i/>
        </w:rPr>
        <w:t>} auf!</w:t>
      </w:r>
      <w:r>
        <w:rPr/>
        <w:t xml:space="preserve"> - d.h. „Auf!“; </w:t>
      </w:r>
      <w:r>
        <w:rPr>
          <w:i/>
        </w:rPr>
        <w:t>qum</w:t>
      </w:r>
      <w:r>
        <w:rPr/>
        <w:t xml:space="preserve"> („steh auf“) wie oft nur zur Verstärkung eines folgenden Befehls; „dich“ = bedeutungsloser sog. „Dativus ethicus“, der im Dt. nicht zu übersetzen ist.</w:t>
      </w:r>
    </w:p>
  </w:footnote>
  <w:footnote w:id="2357">
    <w:p>
      <w:pPr>
        <w:pStyle w:val="Funote"/>
        <w:rPr/>
      </w:pPr>
      <w:r>
        <w:rPr/>
        <w:footnoteRef/>
        <w:tab/>
        <w:t>{siehe} ... [ja] - demonstrativ verwendetes »Siehe«, das das Folgende als Begründung für einen anderen Textteil markieren soll (dazu vgl. z.B. Slager 1989, S. 60). Hier ist das Vergangen-sein des Winters Anlass für des Geliebten Aufruf zum Verlassen des Hauses. Ins Dt. statt mit »siehe« treffender mit »ja« zu übersetzen.</w:t>
      </w:r>
    </w:p>
  </w:footnote>
  <w:footnote w:id="2358">
    <w:p>
      <w:pPr>
        <w:pStyle w:val="Funote"/>
        <w:rPr/>
      </w:pPr>
      <w:r>
        <w:rPr/>
        <w:footnoteRef/>
        <w:tab/>
        <w:t>vorübergegangen ... weitergezogen ... fortgelaufen - drei Verben, mit denen der Winter personifiziert wird, wie im folgenden noch mehrere Bereiche der Natur personifiziert werden. Sehr gut daher übersetzt von Seidl 2002, S. 164: »Die Regenzeit ist vorbeigegangen, der Regen ist abgezogen, ist fortgegangen.« Die letzten beiden Verben klingen außerdem noch recht ähnlich: chalaf halach; Exum 2005, S. 121 daher sehr gut: »over and gone«; doch hierin kommt die Personifikation nicht gut zum Ausdruck.</w:t>
      </w:r>
    </w:p>
  </w:footnote>
  <w:footnote w:id="2359">
    <w:p>
      <w:pPr>
        <w:pStyle w:val="Funote"/>
        <w:rPr/>
      </w:pPr>
      <w:r>
        <w:rPr/>
        <w:footnoteRef/>
        <w:tab/>
        <w:t>Gesangs - Heb. zamir. Im späteren Heb. gibt es ein Wort zamir(ah), und nach diesem übersetzen die alten Üss. »[Zeit] des Beschneidens«, nämlich der Weinreben. Einige moderne Bibelübersetzer und -ausleger folgen dem (z.B. H-R, PAT); andere glauben, der Autor habe bewusst ein mehrdeutiges Wort verwendet. Aber die Zeit, von der der Geliebte singt, ist nicht die Zeit zur Rebenbeschneidung, da deren erste vor dem Blühen der Reben (von Januar bis März) und deren zweite nach der Ernte (zwischen Juni und Juli) stattfand (vgl. AuS IV, S. 330f.). Ohnehin; wer würde versuchen, seine Angebetene aus dem Haus zu locken mit »Es ist Frühling! Lass uns Reben schneiden gehen!« oder »Die Blümlein blühen! Lass sie uns abschneiden!«?»Singen« übersetzen daher richtig z.B. schon die alten jüd. Exegeten Rashi, Kimchi und Ibn Ezra; auch die meisten neueren Üss. Der Verweis auf Jes 18,5 von Pope 1977, Zakovitch 2004 u.a. ist wertlos, da der Witz dieser Stelle gerade ist, dass ein Weinberg zerstört wird, indem die Trauben vor ihrer Reife abgeschlagen werden.SLT (»die Zeit des Singvogels«) übersetzt nach der neuhebräischen Bed. des Wortes (»Nachtigall«); so auch Falk 1982 und Bloch/Bloch 1995.</w:t>
      </w:r>
    </w:p>
  </w:footnote>
  <w:footnote w:id="2360">
    <w:p>
      <w:pPr>
        <w:pStyle w:val="Funote"/>
        <w:rPr/>
      </w:pPr>
      <w:r>
        <w:rPr>
          <w:i/>
        </w:rPr>
        <w:footnoteRef/>
        <w:tab/>
        <w:t>Turteltaube</w:t>
      </w:r>
      <w:r>
        <w:rPr/>
        <w:t xml:space="preserve"> - Heb. </w:t>
      </w:r>
      <w:r>
        <w:rPr>
          <w:i/>
        </w:rPr>
        <w:t>tur</w:t>
      </w:r>
      <w:r>
        <w:rPr/>
        <w:t xml:space="preserve">, wie das dt. „Turtel“ onomatopoetisches Wort, durch das das das Gurren der Taube schon im Begriff hörbar wird (noch schöner Lat.: </w:t>
      </w:r>
      <w:r>
        <w:rPr>
          <w:i/>
        </w:rPr>
        <w:t>turtur</w:t>
      </w:r>
      <w:r>
        <w:rPr/>
        <w:t>). Äußerst passend für eine Aussage über das Hörbar-Werden von Vogelgesang.</w:t>
      </w:r>
    </w:p>
  </w:footnote>
  <w:footnote w:id="2361">
    <w:p>
      <w:pPr>
        <w:pStyle w:val="Funote"/>
        <w:rPr/>
      </w:pPr>
      <w:r>
        <w:rPr/>
        <w:footnoteRef/>
        <w:tab/>
        <w:t>würzt - Heb. chantah. Im späteren Heb. hat das Wort die Bed. »Knospen austreiben«. In der Bibel wird es sonst nur noch an zwei Stellen verwendet für »einbalsamieren« (Gen 50,2f.26). Die beiden Vorgänge »Jungfrüchte austreiben« und »einbalsamieren« treffen sich darin, dass aromatische Säfte auf den Leichnam gestrichen oder in die Jungfrucht »gesendet« werden (gut Fox 1985, S. 113). Mit dem seltenen Wort soll daher wahrscheinlich erstens der Feigenbaum personifiziert werden, wie oben z.B. auch »Winter« und »Regen« personifiziert wurden, und zweitens der Duftsinn angesprochen werden: 12a spricht von den Blumen, die sich sehen lassen, 12bc vom Gesang, der hörbar ist und 13a ebenso wie die nächste Zeile von den Früchten, die gerochen werden können. Erwägenswert daher die Üss. von Noegel/Rendsburg 2009, S. 193: »Der Feigenbaum parfümiert seine Jungfrüchte«; van Ess: »Der Feigenbaum würzt seine Früchte«.</w:t>
      </w:r>
    </w:p>
  </w:footnote>
  <w:footnote w:id="2362">
    <w:p>
      <w:pPr>
        <w:pStyle w:val="Funote"/>
        <w:rPr/>
      </w:pPr>
      <w:r>
        <w:rPr/>
        <w:footnoteRef/>
        <w:tab/>
        <w:t>Steh {dich} auf (Steh auf, geh)! - d.h. »Auf!«; qum (»steh auf«) wie oft nur zur Verstärkung eines folgenden Befehls; »dich« = bedeutungsloser sog. »Dativus ethicus«, der im Dt. nicht zu übersetzen ist. Textkritik: Das Wort für »dich« liegt anders als in V. 11 in zwei Varianten vor: Der frühere Konsonantentext bedeutet nicht »dich«, sondern »geh!«; dem folgt auch LXX. Der spätere Vokaltext macht aber deutlich, dass diese andere Schreibung als Schreibfehler aufzufassen ist und wie in V. 11 »dich« gelesen werdens soll; das belegt auch 4QCantb und dem folgen VUL, Syr und Tg; auch die meisten Bibelübersetzer und -exegeten (anders z.B. Peetz 2015; Pope 1977; Seidl 2002, die nach der obigen Alternativüs. übersetzen).</w:t>
      </w:r>
    </w:p>
  </w:footnote>
  <w:footnote w:id="2363">
    <w:p>
      <w:pPr>
        <w:pStyle w:val="Funote"/>
        <w:rPr/>
      </w:pPr>
      <w:r>
        <w:rPr>
          <w:i/>
        </w:rPr>
        <w:footnoteRef/>
        <w:tab/>
        <w:t>Meine Taube</w:t>
      </w:r>
      <w:r>
        <w:rPr/>
        <w:t xml:space="preserve"> - Diese Stelle, </w:t>
      </w:r>
      <w:hyperlink r:id="rId175">
        <w:r>
          <w:rPr>
            <w:rStyle w:val="Internetverknpfung"/>
          </w:rPr>
          <w:t>Hld 5,2</w:t>
        </w:r>
      </w:hyperlink>
      <w:r>
        <w:rPr/>
        <w:t xml:space="preserve"> und </w:t>
      </w:r>
      <w:hyperlink r:id="rId176">
        <w:r>
          <w:rPr>
            <w:rStyle w:val="Internetverknpfung"/>
          </w:rPr>
          <w:t>Hld 6,9</w:t>
        </w:r>
      </w:hyperlink>
      <w:r>
        <w:rPr/>
        <w:t xml:space="preserve"> legen nahe, dass „meine Taube“ ein gebräuchlicher Kosename war (ähnlich ja im Dt.: „Mein Täubchen“). Zusätzlich ist die Verwendung gerade dieses Begriffs natürlich kontextuell motiviert: Die „Taube im Felsversteck“ wird kontrastiert mit den „[</w:t>
      </w:r>
      <w:r>
        <w:rPr>
          <w:i/>
        </w:rPr>
        <w:t>draußen</w:t>
      </w:r>
      <w:r>
        <w:rPr/>
        <w:t>] singenden Turteltauben“; sie soll sich doch bitte diesen anschließen, ihr Versteck verlassen und auch ihre Stimme hören lassen.</w:t>
      </w:r>
    </w:p>
  </w:footnote>
  <w:footnote w:id="2364">
    <w:p>
      <w:pPr>
        <w:pStyle w:val="Funote"/>
        <w:rPr/>
      </w:pPr>
      <w:r>
        <w:rPr/>
        <w:footnoteRef/>
        <w:tab/>
        <w:t>rahmenlos|rechts|Eine Weinterrasse bei Jerusalem. (c) Menashe Davidson, http://goo.gl/sN7JeN . Terrasse (Steinwand) - unsicheres Wort; in der Bibel nur noch in Ez 38,20 verwendet, wo es im Parallelismus zu »Berg« und »Wand« steht. Viele schließen daher von diesem Zhg. auf die Bedeutung »Steilwand«, »Felswand«. Im späteren Heb. ist aber die madregah eine Stufe der Weinterrassen, auf denen Wein angebaut wurde. An die Wand einer solchen Terrasse haben wir auch hier zu denken (so richtig AuS IV, S. 320): Offensichtlich befinden wir uns in den Bergen, die der Geliebte in V. 8 überspringen muss, und in der Nähe von Weinstöcken und Feigenbäumen (s. V. 13), die auch sonst in Weinbergen nebeneinander wachsen (s. nur Lk 13,6). Zur in solchen Steinspalten nistenden Taube vgl. die Anmerkungen zu Hld 1,15-17.</w:t>
      </w:r>
    </w:p>
  </w:footnote>
  <w:footnote w:id="2365">
    <w:p>
      <w:pPr>
        <w:pStyle w:val="Funote"/>
        <w:rPr/>
      </w:pPr>
      <w:r>
        <w:rPr/>
        <w:footnoteRef/>
        <w:tab/>
        <w:t>Textkritik: deinen Anblick (deine Anblicke) - die beiden Worte für »deinen Anblick« in V. 14 haben die selben Konsonanten, aber unterschiedliche Vokale: mar´ajik vs. mar´ek. Das erste scheint auf den ersten Blick ein Plural zu sein (»deine Anblicke«), das zweite Singular mit einer seltenen Schreibweise (»dein Anblick«). Der Plural macht nicht viel Sinn (vgl. allerdings Bloch/Bloch 1995, S. 156); man könnte daher entweder wie in der letzten Zeile die Vokale für mar´ek annehmen oder mit BHQ, Krinetzki 1964, S. 297 und Rudolph 1962, S. 133 die Endung -´ajik nach GKC §93ss und JM §96Ce als eine alte Singularendung deuten und dann evt. sogar die Vokale der zweiten Schreibvariante an die erste anpassen.</w:t>
      </w:r>
    </w:p>
  </w:footnote>
  <w:footnote w:id="2366">
    <w:p>
      <w:pPr>
        <w:pStyle w:val="Funote"/>
        <w:rPr/>
      </w:pPr>
      <w:r>
        <w:rPr/>
        <w:footnoteRef/>
        <w:tab/>
        <w:t>V. 15 ist berühmt dafür, wie schwer er verständlich ist. Wahrscheinlich so: Das Lied des Jungen besteht aus zwei Strophen mit ähnlichem Inhalt, Vv. 10b-13b und Vv. 13c-15. Die beiden Strophen beginnen jeweils mit der gleichen Auforderung. In beiden Strophen wird außerdem von etwas Hör- und Sehbarem gesungen (nämlich Blumen und Vogelgesang in V. 12 und der Anblick und die Stimme des Mädchens in V. 14). In der ersten Strophe werden außerdem Argumente dafür gebracht, warum das Mädchen ihr Haus verlassen soll (V. 11) und es ist vom Weinberg die Rede (V. 13). Vom Weinberg ist auch in V. 15 die Rede; es fehlt in der zweiten Strophe also nur noch das Argument dafür, das Haus zu verlassen. Das soll dann wahrscheinlich ebenfalls V. 15 bringen, denn ab V. 16 spricht wieder das Mädchen. Das Haus des Mädchens befindet sich offenbar in den Weinbergen (s. FN ac), wir haben also an die selbe Situation zu denken wie die des Mädchens in Hld 1,6, das als Weinbergswache in den Weinbergen wohnen muss. Deutet man das Verb nicht wie fast stets als Imperativ, sondern als Qatal (also nicht »fangt!«, sondern »sie haben gefangen«; so z.B. Assis 2009, S. 86; Gordis 1974b, S. 83; zur Form vgl. Ri 5,28) und den Plural als impersonalen Plural (also nicht »sie haben gefangen«, sondern »man hat gefangen«; vgl. z.B. A-C §5.1.2.a.3), lässt sich V. 15 als ein solches Argument lesen: »Es gibt überhaupt nichts mehr, wovor du den Weinberg bewachen müsstest; man hat die Füchse schon längst für uns gefangen!« Vgl. Raschbam, der den Vers als Bericht über ein vergangenes Geschehnis auffasst: »Als wir [...] im Garten waren, [...] kamen unsere Gefährten und töteten [die Füchse] und nahmen sie weg.« Sonst wird der Vers meist so verstanden, dass ab V. 15 das Mädchen oder die Töchter Jerusalems den Befehl geben würden: »Fangt uns Füchse, ..., die die Weinberge zerstören!« Den »Weinberg« deutet man dann nach Hld 1,6 als Symbol für Jungfräulichkeit von Mädchen (was auch dort wahrscheinlich nicht die Symbolik des Weinbergs ist, s. die Anmerkungen zum Vers) und die Füchse als junge Männer, die den Mädchen entweder ihre Jungfräulichkeit rauben oder den jungfräulichen Mädchen schaden wollen. So gelesen fügt der Vers sich so schlecht in den Zusammenhang von Vv. 14.16, dass Fokkelman 2001, S. 196f. sogar vorgeschlagen hat, mit diesem störenden Element solle das Stören der jungen Männer auch in der Form des Gedichts zum Ausdruck gebracht werden. Zum Motiv der Füchse im Weinberg vgl. noch Äsops Fabel der Fuchs und die Trauben und Theokrits Idyllen 1.48-50 und 5.112.</w:t>
      </w:r>
    </w:p>
  </w:footnote>
  <w:footnote w:id="2367">
    <w:p>
      <w:pPr>
        <w:pStyle w:val="Funote"/>
        <w:rPr/>
      </w:pPr>
      <w:r>
        <w:rPr/>
        <w:footnoteRef/>
        <w:tab/>
        <w:t>unser Weinberg (unsere Weinberge) - Auf den ersten Blick Plural; besser zu verstehen als ungewöhnlich (»plene«) geschriebenes Singular; so Gordis 1974b, S. 83. Viele Handschriften ändern daher die Schreibung zum gewöhnlichen Sg; auch VUL übersetzt so.</w:t>
      </w:r>
    </w:p>
  </w:footnote>
  <w:footnote w:id="2368">
    <w:p>
      <w:pPr>
        <w:pStyle w:val="Funote"/>
        <w:rPr/>
      </w:pPr>
      <w:r>
        <w:rPr/>
        <w:footnoteRef/>
        <w:tab/>
        <w:t>Der bei den Iriden weidet - nämlich seine Herde, was einige Üss. sinnvoll ergänzen (z.B. Falk 1982; HfA; NeÜ). S. die Anmerkungen. Alternativ könnte man davon ausgehen, dass hier wieder/schon die Gazellen-/Hirsch-metapher wirkt und der Geliebte qua Gazelle/Hirsch entweder die Iriden selbst frisst oder bei den Iriden grast. Diese Deutung findet sich gar nicht selten in neueren Kommentaren, weil in Hld 4,5 Rehe und Gazellen Subjekte des Weidens sind und in Hld 2,1 das Mädchen sich selbst als Lilie bezeichnet; »Lilien fressen« soll dann eine Umschreibung sexueller Handlungen sein (so z.B. Krinetzki 1964, S. 198; Zakovitch 2004, S. 162). Aber gerade Hld 4,5 macht doch deutlich, dass das sehr unwahrscheinlich ist; sicher soll doch dort nicht gesagt werden, dass die Frau von ihren eigenen Brüsten liebkost wird. Außerdem wird der Vers exakt in dieser Form noch einmal in Hld 6,3 wiederholt, und dort wird aus V. 1 klar, dass sich der Geliebte nicht einmal am selben Ort befindet wie die Sprecherin. Manchmal wird zur Stützung dieser Deutung auf die »Lotusesser« der Odyssee verwiesen (s. dazu Lotophagen (Wikipedia)), aber diese sind das antike Äquivalent zu »Drogenabhängige« (die Lotosblume ist eine psychoaktive Pflanze) und das ist hier sicher nicht gemeint. Eine ganz ähnliche Stelle findet sich in Theokrits fünfter Idylle, wo Lacon den Comatos damit übertrumpft, dass seine Schafe nicht Gras, sondern süße Felsrosen fressen (V. 131).</w:t>
      </w:r>
    </w:p>
  </w:footnote>
  <w:footnote w:id="2369">
    <w:p>
      <w:pPr>
        <w:pStyle w:val="Funote"/>
        <w:rPr/>
      </w:pPr>
      <w:r>
        <w:rPr/>
        <w:footnoteRef/>
        <w:tab/>
        <w:t>Bis (Sobald) der Tag bläst / und die Schatten fliehen - Es ist unsicher, auf welche Zeit sich diese Angabe bezieht. Mit dem »Fliehen der Schatten« ist sehr wahrscheinlich das sich-Längen der Schatten gegen Abend (und nicht das Vergehen der Nacht, vgl. van de Sande 2012, S. 281f.) gemeint; vgl. Jer 6,4. Wahrscheinlich ist daher auch unter dem »Blasen des Tages« der Abendwind zu verstehen, nicht der Morgenwind. Problematisch ist aber ´ad sche..., das hier sowohl »bis« als auch »sobald« heißen könnte, und die Tatsache, dass der damit eingeleitete Nebensatz sich sowohl auf V. 16 als auch auf Vv. 17c-e beziehen könnte. Möglich ist also jede Variante von # »...der seine Herde bei den Iriden weidet, bis der Tag endet...« # »...der seine Herde bei den Iriden weidet, sobald der Tag endet...« # »Bis der Tag endet, wende dich...« # »Sobald der Tag endet, wende dich...«. Das »Wenden« in der nächsten Zeile ist wahrscheinlich ein sich-Abwenden von der Geliebten, da es »ja Unsinn wäre, wenn die Shulamit ihren Geliebten auffordern würde, sich zu ihr zu wenden, wenn er schon bei ihr ist und mit ihr spricht« (Fox 1985, S. 115). Daher sind dann auch die Berge hier in der letzten Zeile kein verschlüsselter Ausdruck für die Brüste der Frau (s. nächste FN), sondern tatsächliche Berge, zu denen der Geliebte sich statt zu seiner Geliebten wenden soll. Nehmen wir dies alles zusammen, ist Alternative (2) unwahrscheinlich, da Tiere nicht nachts geweidet wurden, und Alternative (4) etwas unwahrscheinlich, da ja dann der Geliebte bei Nacht in die Berge (statt in sein eigenes Heim) geschickt würde (aber das könnte auch gut noch die Tiermetapher fortsetzen). Weil weiterhin bei Variante (1) die Funktion des temporalen Nebensatzes nur schwer verständlich wäre, während sie sich bei Variante (3) direkt erschließt, ist dieser der Vorzug zu geben; die Frage bleibt aber unsicher.</w:t>
      </w:r>
    </w:p>
  </w:footnote>
  <w:footnote w:id="2370">
    <w:p>
      <w:pPr>
        <w:pStyle w:val="Funote"/>
        <w:rPr/>
      </w:pPr>
      <w:r>
        <w:rPr/>
        <w:footnoteRef/>
        <w:tab/>
        <w:t>Duft- (zerklüftet, trennend, Bether-) - Heb. bater. Bed. hier unsicher; schon in den alten Üss: LXX und Quinta deuten nach dem Verb batar als „zerklüftete Berge“ (ähnlich LUT: „Scheideberge“, da batar auch „trennen“ bedeuten kann), Theod und wohl auch Syh als „Gewürz-/Parfumberge“ und VUL, Aq und Sym deuten als Eigenname; gemeint wäre dann die Festungsstadt Bether nahe Jerusalem (zu den Übersetzungsvarianten vgl. auch Bartina 1972c, S. 436f.). Jede dieser Deutungen findet sich auch in neueren Kommentaren und Üss.; die „Berge der Trennung“ oder „Berge der Kluft“ werden außerdem gern damit kommentiert, dass es sich hier um die beiden Brüste der Frau handeln würde, aber s. vorige FN. Der selbe Vers findet sich in noch zwei weiteren Variationen in Hld 4,6 und Hld 8,14, wo von „Myrrhenberg“, „Weihrauchhügel“ und „Balsambergen“ die Rede ist. Dies und die Tatsache, dass auch Theod und Syh vergleichbar übersetzen, ist ein recht starkes Indiz dafür, dass auch die bater-Berge etwas Ähnliches sein sollen, wenn auch ungewiss ist, welche Bed. bater genau hat. Gordis 1974b, S. 54 übersetzt daher „mountains of spices“, Seidl 2002, S. 167, EÜ und LUT 1984: „Balsamberge“; H-R: „duftende Berge“. Dem folgen auch wir.</w:t>
      </w:r>
    </w:p>
  </w:footnote>
  <w:footnote w:id="2371">
    <w:p>
      <w:pPr>
        <w:pStyle w:val="Funote"/>
        <w:rPr/>
      </w:pPr>
      <w:r>
        <w:rPr/>
        <w:footnoteRef/>
        <w:tab/>
        <w:t>[Vgl. z.B. Barbiero 2011, S. 31-36; Gerhards 2010, S. 29-48; Peetz 2015, S. 419f.]</w:t>
      </w:r>
    </w:p>
  </w:footnote>
  <w:footnote w:id="2372">
    <w:p>
      <w:pPr>
        <w:pStyle w:val="Funote"/>
        <w:rPr/>
      </w:pPr>
      <w:r>
        <w:rPr/>
        <w:footnoteRef/>
        <w:tab/>
        <w:t>[Vgl. gut Zakovitch 2004, S. 167: „Bei der Beschreibung dessen, was sie tun will, verwendet die junge Frau also Vokabular aus dem Prostituierten-Milieu.“]</w:t>
      </w:r>
    </w:p>
  </w:footnote>
  <w:footnote w:id="2373">
    <w:p>
      <w:pPr>
        <w:pStyle w:val="Funote"/>
        <w:rPr/>
      </w:pPr>
      <w:r>
        <w:rPr/>
        <w:footnoteRef/>
        <w:tab/>
        <w:t>[Zum Sinn des Refrains vgl. wieder gut Eschelbach 2004, S. 312.319.]</w:t>
      </w:r>
    </w:p>
  </w:footnote>
  <w:footnote w:id="2374">
    <w:p>
      <w:pPr>
        <w:pStyle w:val="Funote"/>
        <w:rPr/>
      </w:pPr>
      <w:r>
        <w:rPr/>
        <w:footnoteRef/>
        <w:tab/>
        <w:t>[Vgl. Contiades-Tsitsoni 1990, S. 104-7.]</w:t>
      </w:r>
    </w:p>
  </w:footnote>
  <w:footnote w:id="2375">
    <w:p>
      <w:pPr>
        <w:pStyle w:val="Funote"/>
        <w:rPr/>
      </w:pPr>
      <w:r>
        <w:rPr/>
        <w:footnoteRef/>
        <w:tab/>
        <w:t>[Vgl. Hague 1983, S. 133f.]</w:t>
      </w:r>
    </w:p>
  </w:footnote>
  <w:footnote w:id="2376">
    <w:p>
      <w:pPr>
        <w:pStyle w:val="Funote"/>
        <w:rPr/>
      </w:pPr>
      <w:r>
        <w:rPr/>
        <w:footnoteRef/>
        <w:tab/>
        <w:t>[Zum pastos vgl. Lane 1988; zu den Hochzeitsbräuchen i.A. z.B. Mason 2006.]</w:t>
      </w:r>
    </w:p>
  </w:footnote>
  <w:footnote w:id="2377">
    <w:p>
      <w:pPr>
        <w:pStyle w:val="Funote"/>
        <w:rPr/>
      </w:pPr>
      <w:r>
        <w:rPr/>
        <w:footnoteRef/>
        <w:tab/>
        <w:t>[Vgl.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Vgl. dann auch Ez 16,9-13, wo metaphorisch von der Ehe Gottes mit Israel die Rede ist: „Ich badete dich mit Wasser und wusch dein Blut von dir ab, ich salbte dich mit Öl, ich kleidete dich mit bunter Kleidung ...“ Vgl. auch Rut 3,1-3: „Ich will für dich eine Heimstatt suchen, damit es dir gut geht. Ist nicht Boas unser Verwandter? Siehe, dieser wird heute Nacht Gerste auf der Gerstentenne worfeln. Also wasche dich, salbe dich, wirf deine Kleider um dich und geh zur Tenne hinab!“ Bei traditionellen jüdischen Hochzeiten ist das rituelle Bad vor der Hochzeit noch heute gebräuchlich.]</w:t>
      </w:r>
    </w:p>
  </w:footnote>
  <w:footnote w:id="2378">
    <w:p>
      <w:pPr>
        <w:pStyle w:val="Funote"/>
        <w:rPr/>
      </w:pPr>
      <w:r>
        <w:rPr/>
        <w:footnoteRef/>
        <w:tab/>
        <w:t>[Vgl. dazu Satlow 2001, S. 170-173.]</w:t>
      </w:r>
    </w:p>
  </w:footnote>
  <w:footnote w:id="2379">
    <w:p>
      <w:pPr>
        <w:pStyle w:val="Funote"/>
        <w:rPr/>
      </w:pPr>
      <w:r>
        <w:rPr/>
        <w:footnoteRef/>
        <w:tab/>
        <w:t>rechts</w:t>
      </w:r>
    </w:p>
  </w:footnote>
  <w:footnote w:id="2380">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381">
    <w:p>
      <w:pPr>
        <w:pStyle w:val="Funote"/>
        <w:rPr/>
      </w:pPr>
      <w:r>
        <w:rPr/>
        <w:footnoteRef/>
        <w:tab/>
        <w:t>in den Nächten (in der Nacht) - W. »in den Nächten«; entweder also mehrere Nächte hintereinander oder es handelt es sich um einen sog. »pluralis compositionis« mit Sg.-Bed. (vgl. JM §136b); dann ist nach der Alternativübersetzung zu übersetzen. Auf die Textbedeutung hat das keine Auswirkung. Viele Üss. wählen »(des) Nachts« und lassen so beide Deutungsmöglichkeiten offen; das ist wohl die sinnvollste Übersetzungsentscheidung.</w:t>
      </w:r>
    </w:p>
  </w:footnote>
  <w:footnote w:id="2382">
    <w:p>
      <w:pPr>
        <w:pStyle w:val="Funote"/>
        <w:rPr/>
      </w:pPr>
      <w:r>
        <w:rPr/>
        <w:footnoteRef/>
        <w:tab/>
        <w:t>suchte ich (sehnte ich mich nach dem) - baqasch heißt meist suchen; kann aber in Einzelfällen auch die Bedeutung »sich sehnen« annehmen (vgl. z.St. Fox 1985, S. 118; Peetz 2015, S. 152 u.ö.). Sicher ist dies in unserem Vers gemeint und wird daher z.B. von Bloch/Bloch 1995 und Falk 1982 als Übersetzung gewählt; andererseits verschleierte aber diese Übersetzungsentscheidung hier, wie oft in Vv. 1-4 das Wort »suchen« verwendet wird. Man sollte daher besser mit den meisten Üss. bei »suchen« bleiben.</w:t>
      </w:r>
    </w:p>
  </w:footnote>
  <w:footnote w:id="2383">
    <w:p>
      <w:pPr>
        <w:pStyle w:val="Funote"/>
        <w:rPr/>
      </w:pPr>
      <w:r>
        <w:rPr>
          <w:i/>
        </w:rPr>
        <w:footnoteRef/>
        <w:tab/>
        <w:t>den meine Seele liebt (den ich liebe)</w:t>
      </w:r>
      <w:r>
        <w:rPr/>
        <w:t xml:space="preserve"> - „Seele“ hier wie meist nur als Wechselbegriff für „ich“; zu übersetzen ist daher nach der Alternativübersetzung.</w:t>
      </w:r>
    </w:p>
  </w:footnote>
  <w:footnote w:id="2384">
    <w:p>
      <w:pPr>
        <w:pStyle w:val="Funote"/>
        <w:rPr/>
      </w:pPr>
      <w:r>
        <w:rPr/>
        <w:footnoteRef/>
        <w:tab/>
        <w:t>tFN: Ich will aufstehen - Nicht: »Ich will bitte aufstehen« (so z.B. Noegel/Rendsburg 2009). na´ (»bitte«) ist zwar meistens eine sog. Höflichkeitspartikel, aber zu offenbar bedeutungslosem na´ in Selbstaufforderungen s. noch Gen 18,21; Ex 3,3; 2 Sam 14,15; 1 Chr 22,5. Das »Ich will doch aufstehen« der meisten Üss. ist recht sicher falsch und darauf zurückzuführen, dass man früher häufig dachte, na´ solle größeren »Nachdruck« auf eine Bitte legen; dagegen vgl. aber Wilt 1996, S. 239-241.</w:t>
      </w:r>
    </w:p>
  </w:footnote>
  <w:footnote w:id="2385">
    <w:p>
      <w:pPr>
        <w:pStyle w:val="Funote"/>
        <w:rPr/>
      </w:pPr>
      <w:r>
        <w:rPr/>
        <w:footnoteRef/>
        <w:tab/>
        <w:t>fanden (ergriffen) - möglicherweise eine Antanaklasis, also die mehrfache Verwendung des selben Wortes (»finden/ergreifen«) in unterschiedlichen Bedeutungen (vgl. ähnlich Ceresko 1982, S. 564). S. die Anmerkungen.</w:t>
      </w:r>
    </w:p>
  </w:footnote>
  <w:footnote w:id="2386">
    <w:p>
      <w:pPr>
        <w:pStyle w:val="Funote"/>
        <w:rPr/>
      </w:pPr>
      <w:r>
        <w:rPr/>
        <w:footnoteRef/>
        <w:tab/>
        <w:t>die Wächter, die umhergingen - Ebenso bezeichnet in Hld 5,7, wo sie zusätzlich an die Stadtmauer verortet werden. Barbiero 2011, S. 133 und Peetz 2015, S. 155f. denken daher gut an die griechischen Peripoloi (»die Umhergehenden«; zu diesen vgl. z.B. Friend 2009, S. 40-45) - eine Art mobilen Grenzschutz, der die zu bewachenden Grenzen abschritt (im Unterschied zu den stationären Wachposten).</w:t>
      </w:r>
    </w:p>
  </w:footnote>
  <w:footnote w:id="2387">
    <w:p>
      <w:pPr>
        <w:pStyle w:val="Funote"/>
        <w:rPr/>
      </w:pPr>
      <w:r>
        <w:rPr/>
        <w:footnoteRef/>
        <w:tab/>
        <w:t>tFN: Zur etwas komplizierten Konstruktion vgl. HKL III §387d. Fast stets vereinfacht zu »Kaum war ich an ihnen vorbei, als...«, was sicher die beste Üs. ist.</w:t>
      </w:r>
    </w:p>
  </w:footnote>
  <w:footnote w:id="2388">
    <w:p>
      <w:pPr>
        <w:pStyle w:val="Funote"/>
        <w:rPr/>
      </w:pPr>
      <w:r>
        <w:rPr/>
        <w:footnoteRef/>
        <w:tab/>
        <w:t>Haus meiner Mutter wird meist damit kommentiert, dass dieses Gebäude (?) dann verwendet würde, wenn mit der Ehe zusammenhängende Dinge erörtert werden sollten (z.B. Assis 2009, S. 99; Sparks 2008, S. 280). Verwiesen wird dazu auf Gen 24,28; Rut 1,8, unseren Vers und Hld 8,1f.. In Gen 24,28 ist aber von einer Heirat noch gar nicht die Rede. Zu Rut 1,8 s. FN x: Das »Haus der Mutter« ist dort wohl nur der Gegensatz zum Haus der (weiblichen) Witwe Noomi. Und in Hld 8,1f. bedauert die Liebende sogar, dass ihr Geliebter nicht ihr Bruder ist, dann nämlich könnte sie ihn ins Haus ihrer Mutter bringen - an einen Heiratskontext wird hier also gerade nicht zu denken sein, sondern an Intimität. Das ist dann wahrscheinlich auch hier der Sinn des Ausdrucks: Die weibliche Liebende bringt sich in Kontinuität zu dem Geschlechtsverkehr, der zu ihrer Empfängnis führte, und daher eben mit ihrer Mutter statt ihrem Vater: Sie würde gerne Ähnliches tun (ähnlich Assis 2009, S. 100).</w:t>
      </w:r>
    </w:p>
  </w:footnote>
  <w:footnote w:id="2389">
    <w:p>
      <w:pPr>
        <w:pStyle w:val="Funote"/>
        <w:rPr/>
      </w:pPr>
      <w:r>
        <w:rPr/>
        <w:footnoteRef/>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390">
    <w:p>
      <w:pPr>
        <w:pStyle w:val="Funote"/>
        <w:rPr/>
      </w:pPr>
      <w:r>
        <w:rPr>
          <w:i/>
        </w:rPr>
        <w:footnoteRef/>
        <w:tab/>
        <w:t>Entfacht nicht und facht nicht an die Liebe</w:t>
      </w:r>
      <w:r>
        <w:rPr/>
        <w:t xml:space="preserve"> - W.: „Wenn ihr entfacht und wenn ihr anfacht die Liebe...!“; unabgeschlossee Drohformel als häufige Formel für Verbote. Das selbe Verb wird in zwei verschiedenen Konjugationen verwendet: Figura etymologica, die den Ausdruck noch stärker macht.</w:t>
      </w:r>
    </w:p>
  </w:footnote>
  <w:footnote w:id="2391">
    <w:p>
      <w:pPr>
        <w:pStyle w:val="Funote"/>
        <w:rPr/>
      </w:pPr>
      <w:r>
        <w:rPr/>
        <w:footnoteRef/>
        <w:tab/>
        <w:t>Stört nicht den Geschlechsverkehr - so einige neuere Exegeten (z.B. Falk 1982, S. 116; Fox 1985, S. 109); aber das Verb kann nicht »stören« oder »unterbrechen« bedeuten.</w:t>
      </w:r>
    </w:p>
  </w:footnote>
  <w:footnote w:id="2392">
    <w:p>
      <w:pPr>
        <w:pStyle w:val="Funote"/>
        <w:rPr/>
      </w:pPr>
      <w:r>
        <w:rPr/>
        <w:footnoteRef/>
        <w:tab/>
        <w:t>Das Hohelied besteht aus mehreren, voneinander mehr oder weniger unabhängigen Einzelliedern. Wo jeweils ein neues Lied beginnt, ist im hebräischen Text nicht erkennbar; wir haben daher zur Steigerung der Verständlichkeit jeweils dort ein Sternchen eingefügt, wo unserer Meinung ein neues Lied beginnt.</w:t>
      </w:r>
    </w:p>
  </w:footnote>
  <w:footnote w:id="2393">
    <w:p>
      <w:pPr>
        <w:pStyle w:val="Funote"/>
        <w:rPr/>
      </w:pPr>
      <w:r>
        <w:rPr/>
        <w:footnoteRef/>
        <w:tab/>
        <w:t xml:space="preserve">Wer diese Verse spricht, ist umstritten. In </w:t>
      </w:r>
      <w:r>
        <w:fldChar w:fldCharType="begin"/>
      </w:r>
      <w:r>
        <w:instrText> HYPERLINK "file:///wiki/Hohelied_8" \l "s5"</w:instrText>
      </w:r>
      <w:r>
        <w:fldChar w:fldCharType="separate"/>
      </w:r>
      <w:r>
        <w:rPr>
          <w:rStyle w:val="Internetverknpfung"/>
        </w:rPr>
        <w:t>Hld 8,5</w:t>
      </w:r>
      <w:r>
        <w:fldChar w:fldCharType="end"/>
      </w:r>
      <w:r>
        <w:rPr/>
        <w:t xml:space="preserve"> wird V. 6 wiederholt; dort ist klar, dass die Antwort ist: „Die auf ihren Geliebten gestützte Frau“; der Sprecher kann dort also weder die Frau noch der Mann sein. Vermutlich ist daher auch unser Vers zu den sehr wenigen zu rechnen, die weder von der Frau noch vom Mann gesprochen werden. Die einzigen anderen identifizierbaren Sprechenden im Hld sind die Jerusalemerinnen und die Brüder der Frau; am sinnvollsten ist der Vers daher auch nach dieser Deutung den Jerusalemerinnen zuzuordnen.</w:t>
      </w:r>
    </w:p>
  </w:footnote>
  <w:footnote w:id="2394">
    <w:p>
      <w:pPr>
        <w:pStyle w:val="Funote"/>
        <w:rPr/>
      </w:pPr>
      <w:r>
        <w:rPr/>
        <w:footnoteRef/>
        <w:tab/>
        <w:t>tFN: Wer - Nicht: »was«; das Fragewort mi fragt stets nach Personen. Die mittah (das »Bett«) in V. 7 ist also nicht die Antwort auf die Frage in V. 6 (vgl. v.a. Dirksen 1989; Schult 1972, S. 5; z.B. auch Peetz 2015, S. 164.166. GKC §137a und JM §144b greifen hier nicht; bei den von ihnen genannten Stellen wären Personen klar auf eine andere Weise »mit im Blick« als an unserer Stelle).</w:t>
      </w:r>
    </w:p>
  </w:footnote>
  <w:footnote w:id="2395">
    <w:p>
      <w:pPr>
        <w:pStyle w:val="Funote"/>
        <w:rPr/>
      </w:pPr>
      <w:r>
        <w:rPr/>
        <w:footnoteRef/>
        <w:tab/>
        <w:t>Textkritik: Säule (Säulen) - Plural in MT und 4QCanta, Singular aber in 4QCantb (vgl. Puech 2016, S. 40.42); LXX, Syr, Sym, VUL und einigen Handschriften. Schon von der Zahl der Zeugen ist die Sg.-Variante wahrscheinlicher die ursprüngliche und auch vom Sinn des Bildes – gefragt ist nach einer weiblichen Person – macht der Singular mehr Sinn. Die Plurallesart könnte darauf zurückzuführen sein, dass die Schreiber die Rauch-/Staubwolke auf die mindestens 60 Personen in den nächsten Versen zurückgeführt haben.</w:t>
      </w:r>
    </w:p>
  </w:footnote>
  <w:footnote w:id="2396">
    <w:p>
      <w:pPr>
        <w:pStyle w:val="Funote"/>
        <w:rPr/>
      </w:pPr>
      <w:r>
        <w:rPr/>
        <w:footnoteRef/>
        <w:tab/>
        <w:t>Textkritik: Duftender nach (aus dem Räucherwerk von) - Die Primärübersetzung ist die von MT, LXX und Syr, die Alternativübersetzung die von Aq, VUL und Tg. Der ursprünglich vokallose Text ließ beide Lesarten zu. Welche Variante ursprünglich gemeint war, ist schwer zu entscheiden. Etwas wahrscheinlicher ist die Alternativdeutung, da sich das betreffende Wort in diesem Stamm erst im rabbinischen Hebräisch findet; da die überwältigende Mehrheit der Üss. aber nach der Primärüs. übersetzt, folgen auch wir dem.</w:t>
      </w:r>
    </w:p>
  </w:footnote>
  <w:footnote w:id="2397">
    <w:p>
      <w:pPr>
        <w:pStyle w:val="Funote"/>
        <w:rPr/>
      </w:pPr>
      <w:r>
        <w:rPr/>
        <w:footnoteRef/>
        <w:tab/>
        <w:t>tFN: Duftender nach Myrrhe und Weihrauch als alle Pulver des Händlers (Duftend nach Myrrhe und Weihrauch, nach allen Pulvern des Händlers) - Unsere Üs. folgt Bloch/Bloch 1995. Nach der Alternative übersetzen fast alle anderen Üss. und Kommentare, doch das ist nicht wahrscheinlich: In der letzten Zeile steht die Partikel min. Die könnte zwar auch »von, nach« bedeuten und angeben, woher der Wohlgeruch der Heraufkommenden rührt; da sie aber in der dritten Zeile fehlt, haben Zeile 3 und 4 wahrscheinlich einen unterschiedlichen Status und min ist hier eine Vergleichspartikel. Folgt man in der vorigen Zeile der alternativen Deutung (s. vorige FN), erübrigt sich das, da dann auch in der vorigen Zeile ein min steht, und man kann nach der Alternative übersetzen.</w:t>
      </w:r>
    </w:p>
  </w:footnote>
  <w:footnote w:id="2398">
    <w:p>
      <w:pPr>
        <w:pStyle w:val="Funote"/>
        <w:rPr/>
      </w:pPr>
      <w:r>
        <w:rPr/>
        <w:footnoteRef/>
        <w:tab/>
        <w:t>Das Hohelied besteht aus mehreren, voneinander mehr oder weniger unabhängigen Einzelliedern. Wo jeweils ein neues Lied beginnt, ist im hebräischen Text nicht erkennbar und gelegentlich umstritten, z.B. hier. Die meisten Üss. und Exegeten sehen Vv. 6-11 als ein Lied; dagegen spricht aber: Erstens wird Hld 3,6 fast wörtlich wiederholt in Hld 8,5; ein sehr ähnlicher Vers findet sich in Hld 6,10. Beide Male sind die Verse klar nicht mit dem Folgenden verbunden. Zweitens ist die Verbindung von Vv. 6.7-11 wegen dem »Wer« in V. 6 nur schwer möglich; s. FN o. Als unterschiedliche Einheiten sehen V. 6 und das Folgende daher auch Assis 2009; Bloch/Bloch 1995; Fox 1985; Schult 1972; Zakovitch 2004.</w:t>
      </w:r>
    </w:p>
  </w:footnote>
  <w:footnote w:id="2399">
    <w:p>
      <w:pPr>
        <w:pStyle w:val="Funote"/>
        <w:rPr/>
      </w:pPr>
      <w:r>
        <w:rPr/>
        <w:footnoteRef/>
        <w:tab/>
        <w:t>Wer diese Verse spricht, ist umstritten. Assis 2009 z.B. ordnet sie dem Mann zu, Bloch/Bloch 1995 der Frau und Fox 1985 den Töchtern Jerusalems. Wenn die Erklärung des Liedes in den Anmerkungen richtig ist, ist letzteres sicher die stimmigste Alternative; der Mann ist als Sprecher ohnehin ganz unwahrscheinlich, da er als »Salomo« dreimal Thema der folgenden Verse ist.</w:t>
      </w:r>
    </w:p>
  </w:footnote>
  <w:footnote w:id="2400">
    <w:p>
      <w:pPr>
        <w:pStyle w:val="Funote"/>
        <w:rPr/>
      </w:pPr>
      <w:r>
        <w:rPr/>
        <w:footnoteRef/>
        <w:tab/>
        <w:t>tFN: Salomos - W. »sein Bett, das dem Salomo [ist]«; eine in der Bibel sehr umständliche Formulierung, die aber im späteren Hebräisch zur gewöhnlichen Konstruktion zum Ausdruck von Besitzangaben wurde. Üs. daher wie angegeben.</w:t>
      </w:r>
    </w:p>
  </w:footnote>
  <w:footnote w:id="2401">
    <w:p>
      <w:pPr>
        <w:pStyle w:val="Funote"/>
        <w:rPr/>
      </w:pPr>
      <w:r>
        <w:rPr>
          <w:i/>
        </w:rPr>
        <w:footnoteRef/>
        <w:tab/>
        <w:t>Helden von den Helden Israels</w:t>
      </w:r>
      <w:r>
        <w:rPr/>
        <w:t xml:space="preserve"> - d.h. wahrscheinlich: Selbst im Vergleich mit den Helden Israels, zu denen sie gehören, sind diese 60 heldenhaft: „mit sechzig umgebenden Helden, den Tapfersten Israels“ (van Ess).</w:t>
      </w:r>
    </w:p>
  </w:footnote>
  <w:footnote w:id="2402">
    <w:p>
      <w:pPr>
        <w:pStyle w:val="Funote"/>
        <w:rPr/>
      </w:pPr>
      <w:r>
        <w:rPr/>
        <w:footnoteRef/>
        <w:tab/>
        <w:t>tFN: schwerterfahren (halten ein Schwert) - W. »halten ein Schwert«. Wegen Zeile 3 (sie »haben ihr Schwert an der Hüfte«) ist »halten« (´achaz) hier besser entspr. dem akkadischen ahazu als »erfahren, lernen« zu deuten (vgl. Zeile 2; vgl. im Dt.: »greifen« =&gt; »begreifen«; »fassen« =&gt; »erfassen«; so schon Perles 1922, S. 52f.; z.B. auch Exum 2005, S. 139; Fox 1985, S. 124; Zakovitch 2004, S. 175).</w:t>
      </w:r>
    </w:p>
  </w:footnote>
  <w:footnote w:id="2403">
    <w:p>
      <w:pPr>
        <w:pStyle w:val="Funote"/>
        <w:rPr/>
      </w:pPr>
      <w:r>
        <w:rPr/>
        <w:footnoteRef/>
        <w:tab/>
        <w:t>Lautspiel in den ersten beiden Zeilen: Assonanz auf m, l und ch (vgl. gut Noegel/Rendsburg 2009, S. 83): kulám ´achuzé chéreb / milumdé milchamáh.</w:t>
      </w:r>
    </w:p>
  </w:footnote>
  <w:footnote w:id="2404">
    <w:p>
      <w:pPr>
        <w:pStyle w:val="Funote"/>
        <w:rPr/>
      </w:pPr>
      <w:r>
        <w:rPr/>
        <w:footnoteRef/>
        <w:tab/>
        <w:t>nächtliche Schrecken - W. »Schrecken in den Nächten«. Gemeint sind vermutlich Dämonen (vgl. bes. Krauss 1936; DDD, S. 854; ausführlich auch Gerhards 2010, S. 234f.). So schon Tg: »Unholde und Schattengeister«; Midrasch: »Geister«. Die Nacht ist in der jüdischen Mythologie die Zeit der Dämonen, denen man besonders dann ausgeliefert ist, wenn man allein ist. Zum Beispiel soll man nachts nicht allein in seinem Haus bleiben, da man sonst »von der Lilith gepackt wird« (b.Shab 151b; Lilith ist eine Art Sukkubus). Andererseits soll man nachts auch nicht allein sein Haus verlassen, da zu dieser Zeit Igrath, die Tochter der Dämonenkönigin, mit 180.000 dunklen Engeln auf Erden wandelt (b.Pes 112b). Besonders interessant in unserem (Hochzeits-)Kontext (s. die Anmerkungen) ist Tob 3,17; 6,14f., wonach der Dämon Aschmodai alle Ehemänner Saras im Brautgemach umgebracht hat. Eventuell ist diese Vorstellung der ursprüngliche Hintergrund des jüdischen Brauches, das Brautgemach zu bewachen.In der altorientalischen Mythologie lassen sich Dämonen natürlich mit Schwertern bekämpfen; selbst Götter bekriegen einander mit dem Schwert (z.B. will Balu das ganze Haus Naharus mit dem Schwert zerstören; vgl. CTA 2 iv 5).</w:t>
      </w:r>
    </w:p>
  </w:footnote>
  <w:footnote w:id="2405">
    <w:p>
      <w:pPr>
        <w:pStyle w:val="Funote"/>
        <w:rPr/>
      </w:pPr>
      <w:r>
        <w:rPr/>
        <w:footnoteRef/>
        <w:tab/>
        <w:t>Das Hohelied besteht aus mehreren, voneinander mehr oder weniger unabhängigen Einzelliedern. Wo jeweils ein neues Lied beginnt, ist im hebräischen Text nicht erkennbar und gelegentlich umstritten, z.B. hier: Eine neues Lied lassen zwischen V. 8 und V. 9 beginnen z.B. Gerleman 1965; Keel 1992; Krinetzki 1964; Schult 1972. Grund für diese Aufteilung ist oft das umstrittene Wort ´appirjon im nächsten Vers, s. die nächste FN.</w:t>
      </w:r>
    </w:p>
  </w:footnote>
  <w:footnote w:id="2406">
    <w:p>
      <w:pPr>
        <w:pStyle w:val="Funote"/>
        <w:rPr/>
      </w:pPr>
      <w:r>
        <w:rPr/>
        <w:footnoteRef/>
        <w:tab/>
        <w:t>Bettstatt (?, Sänfte) - Heb. ´appirjon; schwieriges Wort, das sich in der Bibel einzig hier findet und dessen Bedeutung daher unsicher ist. Umstritten ist erstens, was das Wort bedeutet und zweitens, wie es sich zum »Bett« in V. 7 verhält. Im späteren Hebräisch findet es sich häufiger mit der Bedeutung »(Hochzeits-)Sänfte«. Ob es bereits zur Zeit der Abfassung von Hld diese Bedeutung hatte und ob es sich beim biblischen und beim nachbiblischen ´appirjon überhaupt um das selbe Wort handelt, ist aber unsicher (dagegen z.B. Krauss 1899, S. 114f.; skeptisch z.B. auch Schult 1972, S. 11; zur Problematik der üblichen Herleitung des Wortes vgl. Dobbs-Allsopp 2005, S. 67-71). # rahmenlos|rechts|Eine römische Liegesänfte. (c) Baumeister, A. (Hg.): Denkmäler des klassischen Altertums zur Erläuterung des Lebens der Griechen und Römer in Religion, Kunst und Sitte. III. Band (Rechenbrett - Zwölfgötter). München / Leipzig, 1889. S. 1538.LXX und VUL übersetzen entsprechend der Bedeutung, die es im späteren Hebräisch und Aramäisch hat, als »Sänfte«; dem folgen die meisten Exegeten. Weil die Abfolge der Verse das sehr nahelegt, wird diese »Sänfte« dann i.d.R. identifiziert mit dem »Bett« in V. 7 und beides dann als Liegesänfte wie die rechts abgebildete erklärt. Diese Deutung ist aber recht problematisch, denn bei der Sänfte rechts handelt es sich um eine sog. Lectica und solche überdachten Liegesänften sind bisher einzig für das Imperium Romanum belegt, nicht aber für den Alten Orient oder Griechenland und auch nicht für die Zeit, in der Hld vermutlich abgefasst wurde. An einen solchen Sänftentypus zu denken ist also recht gewagt. # Syr und Tg denken, wohl wegen der Beschreibung in V. 10, an ein Gebäude; einige Exegeten folgen auch dem (z.B. Bloch/Bloch 1995, S. 163; Horine 2001, S. 112-4: (»(Hochzeits-)Pavillon«). # Weil einige verwandte Wörter neben der Bedeutung »Sänfte« gleichzeitig die Bedeutung »Bett« haben, deuten Fox 1985, S. 125f. und Delitzsch 1875 als »Bett« (ähnlich FREE, van Ess (»Prachtbett«); TUR (»Ruhebett«)). Wir folgen dieser Deutung, weil sich nach ihr Vv. 7-11 am besten erklären lassen (s. die Anmerkungen).</w:t>
      </w:r>
    </w:p>
  </w:footnote>
  <w:footnote w:id="2407">
    <w:p>
      <w:pPr>
        <w:pStyle w:val="Funote"/>
        <w:rPr/>
      </w:pPr>
      <w:r>
        <w:rPr>
          <w:i/>
        </w:rPr>
        <w:footnoteRef/>
        <w:tab/>
        <w:t>ließ machen (hat gemacht)</w:t>
      </w:r>
      <w:r>
        <w:rPr/>
        <w:t xml:space="preserve"> - ein Aktivverb (wie häufig) nicht für den eigentlich Handelnden, sondern für den Auftraggeber. Von Salomo so z.B. auch </w:t>
      </w:r>
      <w:hyperlink r:id="rId177">
        <w:r>
          <w:rPr>
            <w:rStyle w:val="Internetverknpfung"/>
          </w:rPr>
          <w:t>1 Kön 6,31.33</w:t>
        </w:r>
      </w:hyperlink>
      <w:r>
        <w:rPr/>
        <w:t xml:space="preserve">; </w:t>
      </w:r>
      <w:hyperlink r:id="rId178">
        <w:r>
          <w:rPr>
            <w:rStyle w:val="Internetverknpfung"/>
          </w:rPr>
          <w:t>7,6f.</w:t>
        </w:r>
      </w:hyperlink>
      <w:r>
        <w:rPr/>
        <w:t xml:space="preserve">; </w:t>
      </w:r>
      <w:hyperlink r:id="rId179">
        <w:r>
          <w:rPr>
            <w:rStyle w:val="Internetverknpfung"/>
          </w:rPr>
          <w:t>10,18</w:t>
        </w:r>
      </w:hyperlink>
      <w:r>
        <w:rPr/>
        <w:t>.</w:t>
      </w:r>
    </w:p>
  </w:footnote>
  <w:footnote w:id="2408">
    <w:p>
      <w:pPr>
        <w:pStyle w:val="Funote"/>
        <w:rPr/>
      </w:pPr>
      <w:r>
        <w:rPr>
          <w:i/>
        </w:rPr>
        <w:footnoteRef/>
        <w:tab/>
        <w:t>Holz vom Libanon</w:t>
      </w:r>
      <w:r>
        <w:rPr/>
        <w:t xml:space="preserve"> - Der Libanon war bekannt für sein Holz, bes. für seine Zedern. Gemeint ist also hier besonders kostbares Holz.</w:t>
      </w:r>
    </w:p>
  </w:footnote>
  <w:footnote w:id="2409">
    <w:p>
      <w:pPr>
        <w:pStyle w:val="Funote"/>
        <w:rPr/>
      </w:pPr>
      <w:r>
        <w:rPr/>
        <w:footnoteRef/>
        <w:tab/>
        <w:t>Kopfstütze - Heb. repidah. Das Wort findet sich nur hier in der Bibel und ist also etwas unsicher; abzuleiten ist es aber sicher vom Verb rapad (»stützen, abstützen«). Sind mittah und ´appirjon eine Liegesänfte oder ein Bett, ist also sehr wahrscheinlich die Kopfstütze gemeint, die man auch auf der Grafik oben gut erkennen kann. So schon VUL (reclinatorium; zu diesem Wort vgl. Isidors »Etymologien«: »Das, was das Kissen stützt oder das Haupt«; Isid. Orig. 19, 26, 3). Syr denkt wohl an das auf der Kopfstütze (»Decke, Kissen«); LXX offenbar an eine Sitzsänfte (oder liest rjpdh statt rpjdh) und übersetzt anaklinton (»Rückenlehne«).</w:t>
      </w:r>
    </w:p>
  </w:footnote>
  <w:footnote w:id="2410">
    <w:p>
      <w:pPr>
        <w:pStyle w:val="Funote"/>
        <w:rPr/>
      </w:pPr>
      <w:r>
        <w:rPr/>
        <w:footnoteRef/>
        <w:tab/>
        <w:t>Textkritik: Vorhang (Decke, Kissen, Sitz?) - Heb. merkab (geschrieben mrkb). Nach den Lexika heißt das angeblich »Sitz«, und weil es purpurn ist, übersetzen die meisten »Kissen« oder »Polster«.Bedeutung von merkab: Wahrscheinlich heißt das Wort aber gar nicht »Sitz«: Das Femininum von merkab (merkabah) findet sich häufig in der Bibel und hat die Bedeutung »Wagen«. Das Maskulinum merkab findet sich außer an unserer Stelle nur noch in 1 Kön 5,6, wo Salomo davon 4000 Stück für seine Pferde hat und wo es dafür eine eigene Halle gibt, und Lev 15,9, wo es etwas ist, worauf man »fährt« oder »reitet« (rakab). Bei der ersten Stelle übersetzen daher fast alle Üss. mit »Wagen« – auch an der Parallelstelle 2 Chr 9,25 steht merkabah (»Wagen«) statt merkab –, bei der zweiten immerhin ELB, FREE, TAF; der Rest übersetzt mit »Sattel« oder »Reitzeug«, obwohl solche bereits durch das »Sitzgerät« in Vv. 4.6 abgedeckt wären. LXX übersetzt interessanterweise mit epibasis, das sich als Übersetzung dort nur noch in Ps 104,3 (=Ps 103,3 LXX) für rakub (»Gefährt, Fahrzeug«) findet. Bei diesen Übersetzungsverhältnissen das Wort zuerst als »Sitz« zu deuten und dann auch noch wegen dem Kontext auf »Kissen« bezogen sein lassen, ist gewaltsam. Besser sollte man daher merkab / merkabah als eines jener Worte ansehen, die mit der selben Bedeutung sowohl als Maskulinum als auch als Femininum vorkommen können, und überall als »Wagen« deuten (V. 10 in Lev 15 bezieht sich dann nicht allein auf V. 9, sondern auf das Lager in Vv. 4f., das »Sitzgerät« in V. 6 und den »Wagen« in V. 9: »alles, was unter einem ist«).Textkritik:An unserer Stelle lies dann besser mkbrw (»seine Decke«) statt mrkbw; s. 2 Kön 8,15, wo Hasael seinen König ermordet, indem er ein mkbr in Wasser taucht und auf das Gesicht des Königs drückt. Möglich wäre auch mrbdw (ebenfalls »seine Decke«, s. Spr 7,16; Spr 31,22). Da in der nächsten Zeile die Rede ist vom »Inneren« des Bettes/der Sänfte, ist diese Decke wahrscheinlich außerhalb des Bettes; gemeint wäre also der »Bettvorhang« (s. Syr und Tg: »Vorhang«). Möglicherweise heißt sogar auch das mkbr in 2 Kön 8,15 »Bettvorhang«; s. Gray 1963, S. 479; House 1995, S. 283. S. die Anmerkungen zu Parallelstellen mit der Erwähnung purpurner Bettvorhänge.Der Lesefehler wird geschehen sein unter dem Einfluss der nachbiblischen Bedeutung von ´appirjon (s.o.) und der Tatsache, dass im Alten Griechenland anders als im Alten Israel Hochzeitsprozessionen nicht in einer Sänfte, sondern auf einem Pferdewagen stattfanden.</w:t>
      </w:r>
    </w:p>
  </w:footnote>
  <w:footnote w:id="2411">
    <w:p>
      <w:pPr>
        <w:pStyle w:val="Funote"/>
        <w:rPr/>
      </w:pPr>
      <w:r>
        <w:rPr/>
        <w:footnoteRef/>
        <w:tab/>
        <w:t>purpurn - Purpur war in der Antike noch wertvoller als Gold, da es mühsamst aus der Purpurschnecke gewonnen werden musste (vgl. Barbiero 2011, S. 154f.).</w:t>
      </w:r>
    </w:p>
  </w:footnote>
  <w:footnote w:id="2412">
    <w:p>
      <w:pPr>
        <w:pStyle w:val="Funote"/>
        <w:rPr/>
      </w:pPr>
      <w:r>
        <w:rPr/>
        <w:footnoteRef/>
        <w:tab/>
        <w:t>ausgelegt mit Leder (Liebe) - Schwierige und vieldiskutierte Stelle, deren Text man häufig zu korrigieren versucht hat. ratsuf (»ausgelegt«) findet sich in der Bibel einzig hier; seine Bed. ist also unsicher. Verwandte Worte sind das bibelhebräische retsef (»Stein«) und ritspah (»gepflasterter Boden«); im Mittelhebräischen und Aramäischen heißt das Wort eng aneinanderreihen, pflastern. Etwas Ähnliches wird es also wohl auch hier bedeuten. Objekt des Verbs ist ´ahabah, was sonst in der Bibel stets »Liebe« heißt; im Hld mehrmals speziell die geschlechtliche Liebe – was schwerlich zu diesem Verb passt. Ein interessanter Vorschlag ist der von Keel 1992, S. 122-126 und Loretz 2004, S. 810 FN 36, »sein Inneres ist ausgelegt mit Liebe« als Metapher zu verstehen für »im Innern der Sänfte sind pornographische Darstellungen abgebildet«, wie das ähnlich in b.San 39b überliefert ist (»Ahab war leidenschaftslos, darum malte Jezebel Bilder zweier Huren an seinen Wagen, dass er darauf blicken und erhitzt werden möge«). Sinnvoller aber: Auf viel Zustimmung ist der Vorschlag von Driver 1950b, S. 135 gestoßen, ´ahabah hier abzuleiten vom arabischen ´ihab (»Leder«). Das macht Sinn, vgl. b.Ket 65a; j.Ned 1,2 und b.Ned 56a: Man unterschied bei Betten zwischen mittah und dargesch. Bei ersterer war die Liegefläche mit verknoteten Stricken gefertigt (»was der Ehefrau Schmerzen bereiten würde«), bei letzterem mit Leder. Ein Lederbett war einem König angemessener, vgl. b.San 47a.</w:t>
      </w:r>
    </w:p>
  </w:footnote>
  <w:footnote w:id="2413">
    <w:p>
      <w:pPr>
        <w:pStyle w:val="Funote"/>
        <w:rPr/>
      </w:pPr>
      <w:r>
        <w:rPr/>
        <w:footnoteRef/>
        <w:tab/>
        <w:t>Textkritik: {Von den} Töchter{n} Jerusalems - W. »von den Töchtern Jerusalems« (=den Jerusalemer Frauen). Was die Jerusalemerinnen mit dem Auslegen von Salomos ´appirjon zu tun haben sollen, konnte bisher noch niemand zufriedenstellend erklären. Versucht haben es Barbiero 2002 / Barbiero 2011 und Zakovitch 2004: Der eine will »sein Inneres ist auslegt mit Liebe von den Töchtern Jerusalems« verstehen als »In der Sänfte ist die Geliebte Salomos, und diese liebt Salomo stellvertretend für alle Jerusalemerinnen; mit ihrer Liebe ist also auch die Liebe aller Jerusalemerinnen in der Sänfte anwesend«; der andere als »Die Sänfte ist vollgestopft mit Gespielinnen Salomos«. Das erste ist sehr weit hergeholt, das zweite wäre sicher eine zu starke Metapher. Viele ziehen daher das m von mbnwt als (bedeutungsloses) »enklitisches Mem« zum vorigen Wort und die beiden Wörter »Töchter Jerusalems« zum nächsten Vers (da die Aufteilung in Verse erst wesentlich später als die Niederschrift des Urtexts erfolgte). So z.B. Exum 2003, S. 306 FN 8; Elliott 1989, S. 87; Fox 1985, S. 21; Pope 1977, S. 446; NEB; ähnlich BHK und BHS (nicht mehr BHQ). Dem folgen auch wir.</w:t>
      </w:r>
    </w:p>
  </w:footnote>
  <w:footnote w:id="2414">
    <w:p>
      <w:pPr>
        <w:pStyle w:val="Funote"/>
        <w:rPr/>
      </w:pPr>
      <w:r>
        <w:rPr>
          <w:i/>
        </w:rPr>
        <w:footnoteRef/>
        <w:tab/>
        <w:t>Töchter Zions</w:t>
      </w:r>
      <w:r>
        <w:rPr/>
        <w:t xml:space="preserve"> - „Zion“ = poetischer Name für Jerusalem; „Töchter Zions“ = daher ebenfalls „Jerusalemerinnen“.</w:t>
      </w:r>
    </w:p>
  </w:footnote>
  <w:footnote w:id="2415">
    <w:p>
      <w:pPr>
        <w:pStyle w:val="Funote"/>
        <w:rPr/>
      </w:pPr>
      <w:r>
        <w:rPr>
          <w:i/>
        </w:rPr>
        <w:footnoteRef/>
        <w:tab/>
        <w:t>Krone</w:t>
      </w:r>
      <w:r>
        <w:rPr/>
        <w:t xml:space="preserve"> - Zum Brauch der Krönung des Brautpaares zu ihrer Hochzeit s. noch </w:t>
      </w:r>
      <w:hyperlink r:id="rId180">
        <w:r>
          <w:rPr>
            <w:rStyle w:val="Internetverknpfung"/>
          </w:rPr>
          <w:t>Jes 61,10</w:t>
        </w:r>
      </w:hyperlink>
      <w:r>
        <w:rPr/>
        <w:t xml:space="preserve">; </w:t>
      </w:r>
      <w:r>
        <w:fldChar w:fldCharType="begin"/>
      </w:r>
      <w:r>
        <w:instrText> HYPERLINK "file:///wiki/Ezechiel_16" \l "s8"</w:instrText>
      </w:r>
      <w:r>
        <w:fldChar w:fldCharType="separate"/>
      </w:r>
      <w:r>
        <w:rPr>
          <w:rStyle w:val="Internetverknpfung"/>
        </w:rPr>
        <w:t>Ez 16,8</w:t>
      </w:r>
      <w:r>
        <w:fldChar w:fldCharType="end"/>
      </w:r>
      <w:r>
        <w:rPr/>
        <w:t>.</w:t>
      </w:r>
      <w:r>
        <w:fldChar w:fldCharType="begin"/>
      </w:r>
      <w:r>
        <w:instrText> HYPERLINK "file:///wiki/Ezechiel_16" \l "s12"</w:instrText>
      </w:r>
      <w:r>
        <w:fldChar w:fldCharType="separate"/>
      </w:r>
      <w:r>
        <w:rPr>
          <w:rStyle w:val="Internetverknpfung"/>
        </w:rPr>
        <w:t>12</w:t>
      </w:r>
      <w:r>
        <w:fldChar w:fldCharType="end"/>
      </w:r>
      <w:r>
        <w:rPr/>
        <w:t xml:space="preserve">; </w:t>
      </w:r>
      <w:hyperlink r:id="rId181">
        <w:r>
          <w:rPr>
            <w:rStyle w:val="Internetverknpfung"/>
          </w:rPr>
          <w:t>3 Makk 4,8</w:t>
        </w:r>
      </w:hyperlink>
      <w:r>
        <w:rPr/>
        <w:t xml:space="preserve">; m.Sot ix 14; b.Sot 49a. Davon, dass diese Krönung die Aufgabe der </w:t>
      </w:r>
      <w:r>
        <w:rPr>
          <w:i/>
        </w:rPr>
        <w:t>Mutter</w:t>
      </w:r>
      <w:r>
        <w:rPr/>
        <w:t xml:space="preserve"> wäre, ist allerdings außerhalb des Hld nichts überliefert.</w:t>
      </w:r>
    </w:p>
  </w:footnote>
  <w:footnote w:id="2416">
    <w:p>
      <w:pPr>
        <w:pStyle w:val="Funote"/>
        <w:rPr>
          <w:lang w:bidi="he-IL"/>
        </w:rPr>
      </w:pPr>
      <w:r>
        <w:rPr>
          <w:rtl w:val="true"/>
          <w:lang w:bidi="he-IL"/>
        </w:rPr>
        <w:footnoteRef/>
        <w:tab/>
        <w:t>שַׁלְהֶ֥בֶתְיָֽה</w:t>
      </w:r>
    </w:p>
  </w:footnote>
  <w:footnote w:id="2417">
    <w:p>
      <w:pPr>
        <w:pStyle w:val="Funote"/>
        <w:rPr/>
      </w:pPr>
      <w:r>
        <w:rPr/>
        <w:footnoteRef/>
        <w:tab/>
        <w:t>Genau diese Bezeichnung findet sich auch für den Herr eines Rechtsverfahrens</w:t>
      </w:r>
    </w:p>
  </w:footnote>
  <w:footnote w:id="2418">
    <w:p>
      <w:pPr>
        <w:pStyle w:val="Funote"/>
        <w:rPr/>
      </w:pPr>
      <w:r>
        <w:rPr/>
        <w:footnoteRef/>
        <w:tab/>
        <w:t>[Status: Ungeprüft]</w:t>
      </w:r>
    </w:p>
  </w:footnote>
  <w:footnote w:id="2419">
    <w:p>
      <w:pPr>
        <w:pStyle w:val="Funote"/>
        <w:rPr/>
      </w:pPr>
      <w:r>
        <w:rPr/>
        <w:footnoteRef/>
        <w:tab/>
        <w:t>Im Hebräischen steht hier ein anderes Wort als im ersten Halbsatz</w:t>
      </w:r>
    </w:p>
  </w:footnote>
  <w:footnote w:id="2420">
    <w:p>
      <w:pPr>
        <w:pStyle w:val="Funote"/>
        <w:rPr/>
      </w:pPr>
      <w:r>
        <w:rPr/>
        <w:footnoteRef/>
        <w:tab/>
        <w:t xml:space="preserve">hier steht nicht der Gottesname, sondern Adonai: </w:t>
      </w:r>
      <w:r>
        <w:rPr>
          <w:rtl w:val="true"/>
          <w:lang w:bidi="he-IL"/>
        </w:rPr>
        <w:t>אֲדֹנָ֗י</w:t>
      </w:r>
      <w:r>
        <w:rPr/>
        <w:t xml:space="preserve"> </w:t>
      </w:r>
    </w:p>
  </w:footnote>
  <w:footnote w:id="2421">
    <w:p>
      <w:pPr>
        <w:pStyle w:val="Funote"/>
        <w:rPr/>
      </w:pPr>
      <w:r>
        <w:rPr/>
        <w:footnoteRef/>
        <w:tab/>
        <w:t>D.h. herbe, säuerliche Trauben.</w:t>
      </w:r>
    </w:p>
  </w:footnote>
  <w:footnote w:id="2422">
    <w:p>
      <w:pPr>
        <w:pStyle w:val="Funote"/>
        <w:rPr/>
      </w:pPr>
      <w:r>
        <w:rPr/>
        <w:footnoteRef/>
        <w:tab/>
        <w:t>[Status: Ungeprüft]</w:t>
      </w:r>
    </w:p>
  </w:footnote>
  <w:footnote w:id="2423">
    <w:p>
      <w:pPr>
        <w:pStyle w:val="Funote"/>
        <w:rPr/>
      </w:pPr>
      <w:r>
        <w:rPr/>
        <w:footnoteRef/>
        <w:tab/>
        <w:t>wörtlich: seine Schleppe/sein Saum, gewöhnlich wird aber das Kleid mitübersetzt, deshalb ist vermutlich „der Saum seines Kleides“ die beste Variante.</w:t>
      </w:r>
    </w:p>
  </w:footnote>
  <w:footnote w:id="2424">
    <w:p>
      <w:pPr>
        <w:pStyle w:val="Funote"/>
        <w:rPr/>
      </w:pPr>
      <w:r>
        <w:rPr/>
        <w:footnoteRef/>
        <w:tab/>
        <w:t>Partizip: sind sich aufstellende, aufgrund des Plurals ist das Partizip aber eindeutig auf die Serafim bezogen</w:t>
      </w:r>
    </w:p>
  </w:footnote>
  <w:footnote w:id="2425">
    <w:p>
      <w:pPr>
        <w:pStyle w:val="Funote"/>
        <w:rPr/>
      </w:pPr>
      <w:r>
        <w:rPr/>
        <w:footnoteRef/>
        <w:tab/>
        <w:t>Eine Wiederholung, die nicht mitübersetzt werden muss</w:t>
      </w:r>
    </w:p>
  </w:footnote>
  <w:footnote w:id="2426">
    <w:p>
      <w:pPr>
        <w:pStyle w:val="Funote"/>
        <w:rPr/>
      </w:pPr>
      <w:r>
        <w:rPr/>
        <w:footnoteRef/>
        <w:tab/>
        <w:t xml:space="preserve">das Wort </w:t>
      </w:r>
      <w:r>
        <w:rPr>
          <w:rtl w:val="true"/>
          <w:lang w:bidi="he-IL"/>
        </w:rPr>
        <w:t>נִדְמֵ֗יתִי</w:t>
      </w:r>
      <w:r>
        <w:rPr/>
        <w:t xml:space="preserve"> </w:t>
      </w:r>
      <w:r>
        <w:rPr/>
        <w:t>ist ein gebräuchlicher Ausdruck eines Menschen vor Gott. (nach Beuken)</w:t>
      </w:r>
    </w:p>
  </w:footnote>
  <w:footnote w:id="2427">
    <w:p>
      <w:pPr>
        <w:pStyle w:val="Funote"/>
        <w:rPr/>
      </w:pPr>
      <w:r>
        <w:rPr/>
        <w:footnoteRef/>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2428">
    <w:p>
      <w:pPr>
        <w:pStyle w:val="Funote"/>
        <w:rPr/>
      </w:pPr>
      <w:r>
        <w:rPr/>
        <w:footnoteRef/>
        <w:tab/>
        <w:t>[Status: Ungeprüft]</w:t>
      </w:r>
    </w:p>
  </w:footnote>
  <w:footnote w:id="2429">
    <w:p>
      <w:pPr>
        <w:pStyle w:val="Funote"/>
        <w:rPr/>
      </w:pPr>
      <w:r>
        <w:rPr/>
        <w:footnoteRef/>
        <w:tab/>
        <w:t>Nördlich des Tempelberges.</w:t>
      </w:r>
    </w:p>
  </w:footnote>
  <w:footnote w:id="2430">
    <w:p>
      <w:pPr>
        <w:pStyle w:val="Funote"/>
        <w:rPr/>
      </w:pPr>
      <w:r>
        <w:rPr/>
        <w:footnoteRef/>
        <w:tab/>
        <w:t>Wörtlich übersetzt bedeutet der Name „Gutnicht“ oder „Tunichtgut“.</w:t>
      </w:r>
    </w:p>
  </w:footnote>
  <w:footnote w:id="2431">
    <w:p>
      <w:pPr>
        <w:pStyle w:val="Funote"/>
        <w:rPr/>
      </w:pPr>
      <w:r>
        <w:rPr/>
        <w:footnoteRef/>
        <w:tab/>
        <w:t>„</w:t>
      </w:r>
      <w:r>
        <w:rPr/>
        <w:t xml:space="preserve">Glauben“ und „Bestand“ haben im Hebräischen die gleiche Wurzel: </w:t>
      </w:r>
      <w:r>
        <w:rPr>
          <w:rtl w:val="true"/>
          <w:lang w:bidi="he-IL"/>
        </w:rPr>
        <w:t>אמן</w:t>
      </w:r>
      <w:r>
        <w:rPr/>
        <w:t>.</w:t>
      </w:r>
    </w:p>
  </w:footnote>
  <w:footnote w:id="2432">
    <w:p>
      <w:pPr>
        <w:pStyle w:val="Funote"/>
        <w:rPr/>
      </w:pPr>
      <w:r>
        <w:rPr/>
        <w:footnoteRef/>
        <w:tab/>
        <w:t xml:space="preserve">Schwiegervater von </w:t>
      </w:r>
      <w:hyperlink r:id="rId182">
        <w:r>
          <w:rPr>
            <w:rStyle w:val="Internetverknpfung"/>
          </w:rPr>
          <w:t>Ahas</w:t>
        </w:r>
      </w:hyperlink>
    </w:p>
  </w:footnote>
  <w:footnote w:id="2433">
    <w:p>
      <w:pPr>
        <w:pStyle w:val="Funote"/>
        <w:rPr/>
      </w:pPr>
      <w:r>
        <w:rPr/>
        <w:footnoteRef/>
        <w:tab/>
        <w:t>Wörtlich: „das Volk, die wandeln“ (Part. Pl.; constructio ad sensum)</w:t>
      </w:r>
    </w:p>
  </w:footnote>
  <w:footnote w:id="2434">
    <w:p>
      <w:pPr>
        <w:pStyle w:val="Funote"/>
        <w:rPr/>
      </w:pPr>
      <w:r>
        <w:rPr/>
        <w:footnoteRef/>
        <w:tab/>
        <w:t xml:space="preserve">Hier wird das gleiche Wort für Dunkelheit verwendet, wie in </w:t>
      </w:r>
      <w:hyperlink r:id="rId183">
        <w:r>
          <w:rPr>
            <w:rStyle w:val="Internetverknpfung"/>
          </w:rPr>
          <w:t>Genesis 1</w:t>
        </w:r>
      </w:hyperlink>
      <w:r>
        <w:rPr/>
        <w:t>.</w:t>
      </w:r>
    </w:p>
  </w:footnote>
  <w:footnote w:id="2435">
    <w:p>
      <w:pPr>
        <w:pStyle w:val="Funote"/>
        <w:rPr/>
      </w:pPr>
      <w:r>
        <w:rPr/>
        <w:footnoteRef/>
        <w:tab/>
        <w:t>Ein aus den Wörtern Schatten und Tod zusammengesetztes Wort.</w:t>
      </w:r>
    </w:p>
  </w:footnote>
  <w:footnote w:id="2436">
    <w:p>
      <w:pPr>
        <w:pStyle w:val="Funote"/>
        <w:rPr/>
      </w:pPr>
      <w:r>
        <w:rPr/>
        <w:footnoteRef/>
        <w:tab/>
        <w:t>Hier ist immer noch das Volk gemeint, das wechselseitig mit dem Sg und dem Pl bezeichnet wird.</w:t>
      </w:r>
    </w:p>
  </w:footnote>
  <w:footnote w:id="2437">
    <w:p>
      <w:pPr>
        <w:pStyle w:val="Funote"/>
        <w:rPr/>
      </w:pPr>
      <w:r>
        <w:rPr/>
        <w:footnoteRef/>
        <w:tab/>
        <w:t>Hi. Inf.</w:t>
      </w:r>
    </w:p>
  </w:footnote>
  <w:footnote w:id="2438">
    <w:p>
      <w:pPr>
        <w:pStyle w:val="Funote"/>
        <w:rPr/>
      </w:pPr>
      <w:r>
        <w:rPr/>
        <w:footnoteRef/>
        <w:tab/>
        <w:t>Isai ist der Vater von David</w:t>
      </w:r>
    </w:p>
  </w:footnote>
  <w:footnote w:id="2439">
    <w:p>
      <w:pPr>
        <w:pStyle w:val="Funote"/>
        <w:rPr/>
      </w:pPr>
      <w:r>
        <w:rPr/>
        <w:footnoteRef/>
        <w:tab/>
        <w:t>komplizierter hebräischer Ausdruck, wörtl.: Und sein riechen lassen ist die Furcht JHWHs. D.h., dass er JHWH nicht durch Rauchopfer gefällt, sondern allein durch Furcht vor ihm</w:t>
      </w:r>
    </w:p>
  </w:footnote>
  <w:footnote w:id="2440">
    <w:p>
      <w:pPr>
        <w:pStyle w:val="Funote"/>
        <w:rPr/>
      </w:pPr>
      <w:r>
        <w:rPr/>
        <w:footnoteRef/>
        <w:tab/>
        <w:t>natürlich wäre JHWH-Furcht genauer, allerdings kaum verständlich</w:t>
      </w:r>
    </w:p>
  </w:footnote>
  <w:footnote w:id="2441">
    <w:p>
      <w:pPr>
        <w:pStyle w:val="Funote"/>
        <w:rPr/>
      </w:pPr>
      <w:hyperlink r:id="rId184">
        <w:r>
          <w:rPr>
            <w:rStyle w:val="Internetverknpfung"/>
          </w:rPr>
          <w:footnoteRef/>
          <w:tab/>
          <w:t>AK</w:t>
        </w:r>
      </w:hyperlink>
      <w:r>
        <w:rPr/>
        <w:t xml:space="preserve"> </w:t>
      </w:r>
      <w:hyperlink r:id="rId185">
        <w:r>
          <w:rPr>
            <w:rStyle w:val="Internetverknpfung"/>
          </w:rPr>
          <w:t>Hifil</w:t>
        </w:r>
      </w:hyperlink>
      <w:r>
        <w:rPr/>
        <w:t xml:space="preserve"> von </w:t>
      </w:r>
      <w:r>
        <w:rPr>
          <w:rtl w:val="true"/>
          <w:lang w:bidi="he-IL"/>
        </w:rPr>
        <w:t>ריח</w:t>
      </w:r>
      <w:r>
        <w:rPr/>
        <w:t xml:space="preserve"> </w:t>
      </w:r>
    </w:p>
  </w:footnote>
  <w:footnote w:id="2442">
    <w:p>
      <w:pPr>
        <w:pStyle w:val="Funote"/>
        <w:rPr/>
      </w:pPr>
      <w:r>
        <w:rPr/>
        <w:footnoteRef/>
        <w:tab/>
        <w:t>[Status: Ungeprüft]</w:t>
      </w:r>
    </w:p>
  </w:footnote>
  <w:footnote w:id="2443">
    <w:p>
      <w:pPr>
        <w:pStyle w:val="Funote"/>
        <w:rPr/>
      </w:pPr>
      <w:r>
        <w:rPr/>
        <w:footnoteRef/>
        <w:tab/>
        <w:t>Die Verben dieses Verses stehen im Imperfekt. Da es sich um einen Blick in die Zukunft handelt, ist das Imperfekt hier futurisch zu übersetzen</w:t>
      </w:r>
    </w:p>
  </w:footnote>
  <w:footnote w:id="2444">
    <w:p>
      <w:pPr>
        <w:pStyle w:val="Funote"/>
        <w:rPr/>
      </w:pPr>
      <w:r>
        <w:rPr>
          <w:rtl w:val="true"/>
          <w:lang w:bidi="he-IL"/>
        </w:rPr>
        <w:footnoteRef/>
        <w:tab/>
        <w:t>ציה</w:t>
      </w:r>
      <w:r>
        <w:rPr/>
        <w:t xml:space="preserve"> </w:t>
      </w:r>
      <w:r>
        <w:rPr/>
        <w:t>ist ein Synonym für Wüste (</w:t>
      </w:r>
      <w:r>
        <w:rPr>
          <w:rtl w:val="true"/>
          <w:lang w:bidi="he-IL"/>
        </w:rPr>
        <w:t>מדבר</w:t>
      </w:r>
      <w:r>
        <w:rPr/>
        <w:t>)</w:t>
      </w:r>
    </w:p>
  </w:footnote>
  <w:footnote w:id="2445">
    <w:p>
      <w:pPr>
        <w:pStyle w:val="Funote"/>
        <w:rPr/>
      </w:pPr>
      <w:r>
        <w:rPr/>
        <w:footnoteRef/>
        <w:tab/>
        <w:t>ein weiteres Synonym</w:t>
      </w:r>
    </w:p>
  </w:footnote>
  <w:footnote w:id="2446">
    <w:p>
      <w:pPr>
        <w:pStyle w:val="Funote"/>
        <w:rPr/>
      </w:pPr>
      <w:r>
        <w:rPr/>
        <w:footnoteRef/>
        <w:tab/>
        <w:t xml:space="preserve">Es handelt sich um ein Affodill, s. </w:t>
      </w:r>
      <w:hyperlink r:id="rId186">
        <w:r>
          <w:rPr>
            <w:rStyle w:val="Internetverknpfung"/>
          </w:rPr>
          <w:t>http://de.wikipedia.org/wiki/Affodill</w:t>
        </w:r>
      </w:hyperlink>
    </w:p>
  </w:footnote>
  <w:footnote w:id="2447">
    <w:p>
      <w:pPr>
        <w:pStyle w:val="Funote"/>
        <w:rPr/>
      </w:pPr>
      <w:r>
        <w:rPr/>
        <w:footnoteRef/>
        <w:tab/>
        <w:t>Die Kombination von absolutem Infinitiv und finitem Verb bezeichnet man als figura etymologica, s. Schneider, Grammatik, 50.4.2, die dem Verbalausdruck besonderen Nachdruck gibt, hier mit Ja wiederzugeben versucht</w:t>
      </w:r>
    </w:p>
  </w:footnote>
  <w:footnote w:id="2448">
    <w:p>
      <w:pPr>
        <w:pStyle w:val="Funote"/>
        <w:rPr/>
      </w:pPr>
      <w:r>
        <w:rPr/>
        <w:footnoteRef/>
        <w:tab/>
        <w:t xml:space="preserve">Es handelt sich hier natürlich um das Gebirge, </w:t>
      </w:r>
      <w:hyperlink r:id="rId187">
        <w:r>
          <w:rPr>
            <w:rStyle w:val="Internetverknpfung"/>
          </w:rPr>
          <w:t>http://de.wikipedia.org/wiki/Libanon_(Gebirge)</w:t>
        </w:r>
      </w:hyperlink>
    </w:p>
  </w:footnote>
  <w:footnote w:id="2449">
    <w:p>
      <w:pPr>
        <w:pStyle w:val="Funote"/>
        <w:rPr/>
      </w:pPr>
      <w:r>
        <w:rPr/>
        <w:footnoteRef/>
        <w:tab/>
        <w:t xml:space="preserve">s. </w:t>
      </w:r>
      <w:hyperlink r:id="rId188">
        <w:r>
          <w:rPr>
            <w:rStyle w:val="Internetverknpfung"/>
          </w:rPr>
          <w:t>http://de.wikipedia.org/wiki/Karmel_(Gebirge)</w:t>
        </w:r>
      </w:hyperlink>
    </w:p>
  </w:footnote>
  <w:footnote w:id="2450">
    <w:p>
      <w:pPr>
        <w:pStyle w:val="Funote"/>
        <w:rPr/>
      </w:pPr>
      <w:r>
        <w:rPr/>
        <w:footnoteRef/>
        <w:tab/>
        <w:t xml:space="preserve">im Ggs. zu den beiden Bergzügen ein Tal, s. </w:t>
      </w:r>
      <w:hyperlink r:id="rId189">
        <w:r>
          <w:rPr>
            <w:rStyle w:val="Internetverknpfung"/>
          </w:rPr>
          <w:t>http://de.wikipedia.org/wiki/Scharonebenea</w:t>
        </w:r>
      </w:hyperlink>
    </w:p>
  </w:footnote>
  <w:footnote w:id="2451">
    <w:p>
      <w:pPr>
        <w:pStyle w:val="Funote"/>
        <w:rPr/>
      </w:pPr>
      <w:r>
        <w:rPr/>
        <w:footnoteRef/>
        <w:tab/>
        <w:t xml:space="preserve">Synonym zu </w:t>
      </w:r>
      <w:r>
        <w:rPr>
          <w:rtl w:val="true"/>
          <w:lang w:bidi="he-IL"/>
        </w:rPr>
        <w:t>כבוד</w:t>
      </w:r>
      <w:r>
        <w:rPr/>
        <w:t>, Herrlichkeit</w:t>
      </w:r>
    </w:p>
  </w:footnote>
  <w:footnote w:id="2452">
    <w:p>
      <w:pPr>
        <w:pStyle w:val="Funote"/>
        <w:rPr/>
      </w:pPr>
      <w:r>
        <w:rPr/>
        <w:footnoteRef/>
        <w:tab/>
        <w:t>Dual, auch im Folgenden: es geht um die zwei Hände eines Menschen</w:t>
      </w:r>
    </w:p>
  </w:footnote>
  <w:footnote w:id="2453">
    <w:p>
      <w:pPr>
        <w:pStyle w:val="Funote"/>
        <w:rPr/>
      </w:pPr>
      <w:r>
        <w:rPr/>
        <w:footnoteRef/>
        <w:tab/>
        <w:t>Partizip</w:t>
      </w:r>
    </w:p>
  </w:footnote>
  <w:footnote w:id="2454">
    <w:p>
      <w:pPr>
        <w:pStyle w:val="Funote"/>
        <w:rPr/>
      </w:pPr>
      <w:r>
        <w:rPr/>
        <w:footnoteRef/>
        <w:tab/>
        <w:t>eigentlich: sich überstürzenden = Herzrasen, z.B. vor Furcht</w:t>
      </w:r>
    </w:p>
  </w:footnote>
  <w:footnote w:id="2455">
    <w:p>
      <w:pPr>
        <w:pStyle w:val="Funote"/>
        <w:rPr/>
      </w:pPr>
      <w:r>
        <w:rPr/>
        <w:footnoteRef/>
        <w:tab/>
        <w:t>synonymer Ausdruck zur ersten Hälfte des Verses</w:t>
      </w:r>
    </w:p>
  </w:footnote>
  <w:footnote w:id="2456">
    <w:p>
      <w:pPr>
        <w:pStyle w:val="Funote"/>
        <w:rPr/>
      </w:pPr>
      <w:r>
        <w:rPr>
          <w:rtl w:val="true"/>
          <w:lang w:bidi="he-IL"/>
        </w:rPr>
        <w:footnoteRef/>
        <w:tab/>
        <w:t>שרב</w:t>
      </w:r>
      <w:r>
        <w:rPr/>
        <w:t xml:space="preserve"> </w:t>
      </w:r>
      <w:r>
        <w:rPr/>
        <w:t>bezeichnet das Flirren, das bei Sonnenhitze entsteht (Fata Morgana). Es erweckt den Eindruck von Wasserflächen in der Wüste</w:t>
      </w:r>
    </w:p>
  </w:footnote>
  <w:footnote w:id="2457">
    <w:p>
      <w:pPr>
        <w:pStyle w:val="Funote"/>
        <w:rPr/>
      </w:pPr>
      <w:r>
        <w:rPr/>
        <w:footnoteRef/>
        <w:tab/>
        <w:t>das Wort leitet sich von Durst her, also etwa: dürstendes Land</w:t>
      </w:r>
    </w:p>
  </w:footnote>
  <w:footnote w:id="2458">
    <w:p>
      <w:pPr>
        <w:pStyle w:val="Funote"/>
        <w:rPr/>
      </w:pPr>
      <w:r>
        <w:rPr/>
        <w:footnoteRef/>
        <w:tab/>
        <w:t xml:space="preserve">Präposition </w:t>
      </w:r>
      <w:r>
        <w:rPr>
          <w:rtl w:val="true"/>
          <w:lang w:bidi="he-IL"/>
        </w:rPr>
        <w:t>בְ</w:t>
      </w:r>
    </w:p>
  </w:footnote>
  <w:footnote w:id="2459">
    <w:p>
      <w:pPr>
        <w:pStyle w:val="Funote"/>
        <w:rPr/>
      </w:pPr>
      <w:r>
        <w:rPr/>
        <w:footnoteRef/>
        <w:tab/>
        <w:t>eig.: Weideplatz, Stätte</w:t>
      </w:r>
    </w:p>
  </w:footnote>
  <w:footnote w:id="2460">
    <w:p>
      <w:pPr>
        <w:pStyle w:val="Funote"/>
        <w:rPr/>
      </w:pPr>
      <w:r>
        <w:rPr/>
        <w:footnoteRef/>
        <w:tab/>
        <w:t>als Schreibgerät? als Dachbedeckung, vgl. Reet?</w:t>
      </w:r>
    </w:p>
  </w:footnote>
  <w:footnote w:id="2461">
    <w:p>
      <w:pPr>
        <w:pStyle w:val="Funote"/>
        <w:rPr/>
      </w:pPr>
      <w:r>
        <w:rPr/>
        <w:footnoteRef/>
        <w:tab/>
        <w:t xml:space="preserve">das waw </w:t>
      </w:r>
      <w:r>
        <w:rPr>
          <w:rtl w:val="true"/>
          <w:lang w:bidi="he-IL"/>
        </w:rPr>
        <w:t>וְ</w:t>
      </w:r>
      <w:r>
        <w:rPr/>
        <w:t xml:space="preserve"> </w:t>
      </w:r>
      <w:r>
        <w:rPr/>
        <w:t>ist hier adversativ zu übersetzen, vgl. Schneider, Grammatik 53.1.1.2</w:t>
      </w:r>
    </w:p>
  </w:footnote>
  <w:footnote w:id="2462">
    <w:p>
      <w:pPr>
        <w:pStyle w:val="Funote"/>
        <w:rPr/>
      </w:pPr>
      <w:r>
        <w:rPr/>
        <w:footnoteRef/>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2463">
    <w:p>
      <w:pPr>
        <w:pStyle w:val="Funote"/>
        <w:rPr/>
      </w:pPr>
      <w:r>
        <w:rPr/>
        <w:footnoteRef/>
        <w:tab/>
        <w:t>Partizip, relativisch aufgelöst</w:t>
      </w:r>
    </w:p>
  </w:footnote>
  <w:footnote w:id="2464">
    <w:p>
      <w:pPr>
        <w:pStyle w:val="Funote"/>
        <w:rPr/>
      </w:pPr>
      <w:r>
        <w:rPr/>
        <w:footnoteRef/>
        <w:tab/>
        <w:t>wieder: adversatives waw</w:t>
      </w:r>
    </w:p>
  </w:footnote>
  <w:footnote w:id="2465">
    <w:p>
      <w:pPr>
        <w:pStyle w:val="Funote"/>
        <w:rPr/>
      </w:pPr>
      <w:r>
        <w:rPr/>
        <w:footnoteRef/>
        <w:tab/>
        <w:t>wörtl.: räuberische Lebewesen</w:t>
      </w:r>
    </w:p>
  </w:footnote>
  <w:footnote w:id="2466">
    <w:p>
      <w:pPr>
        <w:pStyle w:val="Funote"/>
        <w:rPr/>
      </w:pPr>
      <w:r>
        <w:rPr/>
        <w:footnoteRef/>
        <w:tab/>
        <w:t>adversatives waw</w:t>
      </w:r>
    </w:p>
  </w:footnote>
  <w:footnote w:id="2467">
    <w:p>
      <w:pPr>
        <w:pStyle w:val="Funote"/>
        <w:rPr/>
      </w:pPr>
      <w:r>
        <w:rPr/>
        <w:footnoteRef/>
        <w:tab/>
        <w:t>Partizip</w:t>
      </w:r>
    </w:p>
  </w:footnote>
  <w:footnote w:id="2468">
    <w:p>
      <w:pPr>
        <w:pStyle w:val="Funote"/>
        <w:rPr/>
      </w:pPr>
      <w:r>
        <w:rPr/>
        <w:footnoteRef/>
        <w:tab/>
        <w:t>das Verb steht im Ggs. zum folgenden Verb (fliehen)</w:t>
      </w:r>
    </w:p>
  </w:footnote>
  <w:footnote w:id="2469">
    <w:p>
      <w:pPr>
        <w:pStyle w:val="Funote"/>
        <w:rPr/>
      </w:pPr>
      <w:r>
        <w:rPr/>
        <w:footnoteRef/>
        <w:tab/>
        <w:t>waw adversativ gebraucht</w:t>
      </w:r>
    </w:p>
  </w:footnote>
  <w:footnote w:id="2470">
    <w:p>
      <w:pPr>
        <w:pStyle w:val="Funote"/>
        <w:rPr/>
      </w:pPr>
      <w:r>
        <w:rPr/>
        <w:footnoteRef/>
        <w:tab/>
        <w:t>[Status: Ungeprüft]</w:t>
      </w:r>
    </w:p>
  </w:footnote>
  <w:footnote w:id="2471">
    <w:p>
      <w:pPr>
        <w:pStyle w:val="Funote"/>
        <w:rPr/>
      </w:pPr>
      <w:r>
        <w:rPr/>
        <w:footnoteRef/>
        <w:tab/>
        <w:t>Nominalsatz (Perfekt): Vorausschau/Aufforderung</w:t>
      </w:r>
    </w:p>
  </w:footnote>
  <w:footnote w:id="2472">
    <w:p>
      <w:pPr>
        <w:pStyle w:val="Funote"/>
        <w:rPr/>
      </w:pPr>
      <w:r>
        <w:rPr/>
        <w:footnoteRef/>
        <w:tab/>
        <w:t>Konsekutivperfekt: Folgerung/Vorausschau</w:t>
      </w:r>
    </w:p>
  </w:footnote>
  <w:footnote w:id="2473">
    <w:p>
      <w:pPr>
        <w:pStyle w:val="Funote"/>
        <w:rPr/>
      </w:pPr>
      <w:r>
        <w:rPr/>
        <w:footnoteRef/>
        <w:tab/>
        <w:t xml:space="preserve">Das hebräische Wort </w:t>
      </w:r>
      <w:r>
        <w:rPr>
          <w:rtl w:val="true"/>
          <w:lang w:bidi="he-IL"/>
        </w:rPr>
        <w:t>כִּי</w:t>
      </w:r>
      <w:r>
        <w:rPr/>
        <w:t xml:space="preserve"> </w:t>
      </w:r>
      <w:r>
        <w:rPr/>
        <w:t>markiert u.A. Bekräftigungen und Folgerungen.</w:t>
      </w:r>
    </w:p>
  </w:footnote>
  <w:footnote w:id="2474">
    <w:p>
      <w:pPr>
        <w:pStyle w:val="Funote"/>
        <w:rPr/>
      </w:pPr>
      <w:r>
        <w:rPr/>
        <w:footnoteRef/>
        <w:tab/>
        <w:t>wörtl. Singular „Getier“</w:t>
      </w:r>
    </w:p>
  </w:footnote>
  <w:footnote w:id="2475">
    <w:p>
      <w:pPr>
        <w:pStyle w:val="Funote"/>
        <w:rPr/>
      </w:pPr>
      <w:r>
        <w:rPr/>
        <w:footnoteRef/>
        <w:tab/>
        <w:t>wörtl. Brenner, Schmelzer</w:t>
      </w:r>
    </w:p>
  </w:footnote>
  <w:footnote w:id="2476">
    <w:p>
      <w:pPr>
        <w:pStyle w:val="Funote"/>
        <w:rPr/>
      </w:pPr>
      <w:r>
        <w:rPr/>
        <w:footnoteRef/>
        <w:tab/>
        <w:t xml:space="preserve">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 </w:t>
      </w:r>
    </w:p>
  </w:footnote>
  <w:footnote w:id="2477">
    <w:p>
      <w:pPr>
        <w:pStyle w:val="Funote"/>
        <w:rPr/>
      </w:pPr>
      <w:r>
        <w:rPr/>
        <w:footnoteRef/>
        <w:tab/>
        <w:t>Wörtl. „ein Heiliger“</w:t>
      </w:r>
    </w:p>
  </w:footnote>
  <w:footnote w:id="2478">
    <w:p>
      <w:pPr>
        <w:pStyle w:val="Funote"/>
        <w:rPr/>
      </w:pPr>
      <w:r>
        <w:rPr/>
        <w:footnoteRef/>
        <w:tab/>
        <w:t>Betontes „ich“.</w:t>
      </w:r>
    </w:p>
  </w:footnote>
  <w:footnote w:id="2479">
    <w:p>
      <w:pPr>
        <w:pStyle w:val="Funote"/>
        <w:rPr/>
      </w:pPr>
      <w:r>
        <w:rPr/>
        <w:footnoteRef/>
        <w:tab/>
        <w:t>Auch: „niemand“.</w:t>
      </w:r>
    </w:p>
  </w:footnote>
  <w:footnote w:id="2480">
    <w:p>
      <w:pPr>
        <w:pStyle w:val="Funote"/>
        <w:rPr/>
      </w:pPr>
      <w:r>
        <w:rPr/>
        <w:footnoteRef/>
        <w:tab/>
        <w:t>JHWH</w:t>
      </w:r>
    </w:p>
  </w:footnote>
  <w:footnote w:id="2481">
    <w:p>
      <w:pPr>
        <w:pStyle w:val="Funote"/>
        <w:rPr/>
      </w:pPr>
      <w:r>
        <w:rPr/>
        <w:footnoteRef/>
        <w:tab/>
        <w:t>Vermutlich ein casus pendens.</w:t>
      </w:r>
    </w:p>
  </w:footnote>
  <w:footnote w:id="2482">
    <w:p>
      <w:pPr>
        <w:pStyle w:val="Funote"/>
        <w:rPr/>
      </w:pPr>
      <w:r>
        <w:rPr/>
        <w:footnoteRef/>
        <w:tab/>
        <w:t>Wortspiel: das hebräische Wort für Feuer erinnert an das positiv konnotierte Wort für Licht.</w:t>
      </w:r>
    </w:p>
  </w:footnote>
  <w:footnote w:id="2483">
    <w:p>
      <w:pPr>
        <w:pStyle w:val="Funote"/>
        <w:rPr/>
      </w:pPr>
      <w:r>
        <w:rPr/>
        <w:footnoteRef/>
        <w:tab/>
        <w:t>Die Erwähnung der Hand erinnert an die rechte Hand JHWHs.</w:t>
      </w:r>
    </w:p>
  </w:footnote>
  <w:footnote w:id="2484">
    <w:p>
      <w:pPr>
        <w:pStyle w:val="Funote"/>
        <w:rPr/>
      </w:pPr>
      <w:r>
        <w:rPr/>
        <w:footnoteRef/>
        <w:tab/>
        <w:t>Inf. constr.</w:t>
      </w:r>
    </w:p>
  </w:footnote>
  <w:footnote w:id="2485">
    <w:p>
      <w:pPr>
        <w:pStyle w:val="Funote"/>
        <w:rPr/>
      </w:pPr>
      <w:r>
        <w:rPr/>
        <w:footnoteRef/>
        <w:tab/>
        <w:t>Hier empfielt sich eine genauere Wortstudie, es könnte auch „bloßstellen“ oder „blank machen“ (sowas wie rund machen, verprügeln im deutschen?) bedeuten</w:t>
      </w:r>
    </w:p>
  </w:footnote>
  <w:footnote w:id="2486">
    <w:p>
      <w:pPr>
        <w:pStyle w:val="Funote"/>
        <w:rPr/>
      </w:pPr>
      <w:r>
        <w:rPr/>
        <w:footnoteRef/>
        <w:tab/>
        <w:t>Oder: „darum fühlte ich mich nicht gedemütigt“.</w:t>
      </w:r>
    </w:p>
  </w:footnote>
  <w:footnote w:id="2487">
    <w:p>
      <w:pPr>
        <w:pStyle w:val="Funote"/>
        <w:rPr/>
      </w:pPr>
      <w:r>
        <w:rPr/>
        <w:footnoteRef/>
        <w:tab/>
        <w:t>Etwas freier: „Ich machte mein Gesicht hart wie einen Kieselstein“.</w:t>
      </w:r>
    </w:p>
  </w:footnote>
  <w:footnote w:id="2488">
    <w:p>
      <w:pPr>
        <w:pStyle w:val="Funote"/>
        <w:rPr/>
      </w:pPr>
      <w:r>
        <w:rPr/>
        <w:footnoteRef/>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2489">
    <w:p>
      <w:pPr>
        <w:pStyle w:val="Funote"/>
        <w:rPr/>
      </w:pPr>
      <w:r>
        <w:rPr/>
        <w:footnoteRef/>
        <w:tab/>
        <w:t>[Status: Zuverlässig]</w:t>
      </w:r>
    </w:p>
  </w:footnote>
  <w:footnote w:id="2490">
    <w:p>
      <w:pPr>
        <w:pStyle w:val="Funote"/>
        <w:rPr/>
      </w:pPr>
      <w:r>
        <w:rPr/>
        <w:footnoteRef/>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2491">
    <w:p>
      <w:pPr>
        <w:pStyle w:val="Funote"/>
        <w:rPr/>
      </w:pPr>
      <w:r>
        <w:rPr/>
        <w:footnoteRef/>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2492">
    <w:p>
      <w:pPr>
        <w:pStyle w:val="Funote"/>
        <w:rPr/>
      </w:pPr>
      <w:r>
        <w:rPr/>
        <w:footnoteRef/>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1964, S. 227; Nyberg 1942, S. 48; vgl. GKC §144p).</w:t>
      </w:r>
    </w:p>
  </w:footnote>
  <w:footnote w:id="2493">
    <w:p>
      <w:pPr>
        <w:pStyle w:val="Funote"/>
        <w:rPr/>
      </w:pPr>
      <w:hyperlink r:id="rId190">
        <w:r>
          <w:rPr>
            <w:rStyle w:val="Internetverknpfung"/>
          </w:rPr>
          <w:footnoteRef/>
          <w:tab/>
          <w:t>generisches Maskulinum</w:t>
        </w:r>
      </w:hyperlink>
    </w:p>
  </w:footnote>
  <w:footnote w:id="2494">
    <w:p>
      <w:pPr>
        <w:pStyle w:val="Funote"/>
        <w:rPr/>
      </w:pPr>
      <w:r>
        <w:rPr/>
        <w:footnoteRef/>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2495">
    <w:p>
      <w:pPr>
        <w:pStyle w:val="Funote"/>
        <w:rPr/>
      </w:pPr>
      <w:r>
        <w:rPr/>
        <w:footnoteRef/>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2496">
    <w:p>
      <w:pPr>
        <w:pStyle w:val="Funote"/>
        <w:rPr/>
      </w:pPr>
      <w:r>
        <w:rPr/>
        <w:footnoteRef/>
        <w:tab/>
        <w:t>„</w:t>
      </w:r>
      <w:r>
        <w:rPr/>
        <w:t xml:space="preserve">Den Mund verschließen“ ist wohl als Geste der Verehrung zu verstehen; vgl. </w:t>
      </w:r>
      <w:hyperlink r:id="rId191">
        <w:r>
          <w:rPr>
            <w:rStyle w:val="Internetverknpfung"/>
          </w:rPr>
          <w:t>Ijob 29,9</w:t>
        </w:r>
      </w:hyperlink>
      <w:r>
        <w:rPr/>
        <w:t xml:space="preserve">; </w:t>
      </w:r>
      <w:hyperlink r:id="rId192">
        <w:r>
          <w:rPr>
            <w:rStyle w:val="Internetverknpfung"/>
          </w:rPr>
          <w:t>40,4</w:t>
        </w:r>
      </w:hyperlink>
      <w:r>
        <w:rPr/>
        <w:t xml:space="preserve"> (; </w:t>
      </w:r>
      <w:hyperlink r:id="rId193">
        <w:r>
          <w:rPr>
            <w:rStyle w:val="Internetverknpfung"/>
          </w:rPr>
          <w:t>Mic 7,16</w:t>
        </w:r>
      </w:hyperlink>
      <w:r>
        <w:rPr/>
        <w:t>).</w:t>
      </w:r>
    </w:p>
  </w:footnote>
  <w:footnote w:id="2497">
    <w:p>
      <w:pPr>
        <w:pStyle w:val="Funote"/>
        <w:rPr/>
      </w:pPr>
      <w:r>
        <w:rPr/>
        <w:footnoteRef/>
        <w:tab/>
        <w:t>Vers 15 ist hier als prophetisches Perfekt übersetzt (vgl. Childs 2001, S. 407); alternativ möglich: Futur II. Eine weitere Übersetzungmöglichkeit ist: „so sehr schreckt er [nun] … auf, denn … sie haben es gesehen … sie haben es verstanden“.</w:t>
      </w:r>
    </w:p>
  </w:footnote>
  <w:footnote w:id="2498">
    <w:p>
      <w:pPr>
        <w:pStyle w:val="Funote"/>
        <w:rPr/>
      </w:pPr>
      <w:r>
        <w:rPr/>
        <w:footnoteRef/>
        <w:tab/>
        <w:t>[Vgl. Schmidt 2013, S. 224.245]</w:t>
      </w:r>
    </w:p>
  </w:footnote>
  <w:footnote w:id="2499">
    <w:p>
      <w:pPr>
        <w:pStyle w:val="Funote"/>
        <w:rPr/>
      </w:pPr>
      <w:r>
        <w:rPr/>
        <w:footnoteRef/>
        <w:tab/>
        <w:t>[Vgl. Knechtschaft (WiBiLex) und Dienen / Diener (AT) (WiBiLex). Zur Übersetzung mit „Getreuer“ siehe Schmidt 2013, S. 115.]</w:t>
      </w:r>
    </w:p>
  </w:footnote>
  <w:footnote w:id="2500">
    <w:p>
      <w:pPr>
        <w:pStyle w:val="Funote"/>
        <w:rPr/>
      </w:pPr>
      <w:r>
        <w:rPr/>
        <w:footnoteRef/>
        <w:tab/>
        <w:t>[Vgl. Tun-Ergehen-Zusammenhang (Wikipedia); Tun-Ergehen-Zusammenhang (WiBiLex)]</w:t>
      </w:r>
    </w:p>
  </w:footnote>
  <w:footnote w:id="2501">
    <w:p>
      <w:pPr>
        <w:pStyle w:val="Funote"/>
        <w:rPr/>
      </w:pPr>
      <w:r>
        <w:rPr/>
        <w:footnoteRef/>
        <w:tab/>
        <w:t>[Stellvertretung (WiBiLex).]</w:t>
      </w:r>
    </w:p>
  </w:footnote>
  <w:footnote w:id="2502">
    <w:p>
      <w:pPr>
        <w:pStyle w:val="Funote"/>
        <w:rPr/>
      </w:pPr>
      <w:r>
        <w:rPr/>
        <w:footnoteRef/>
        <w:tab/>
        <w:t>[Vgl. Schmidt 2013, 270 und 357.]</w:t>
      </w:r>
    </w:p>
  </w:footnote>
  <w:footnote w:id="2503">
    <w:p>
      <w:pPr>
        <w:pStyle w:val="Funote"/>
        <w:rPr/>
      </w:pPr>
      <w:r>
        <w:rPr/>
        <w:footnoteRef/>
        <w:tab/>
        <w:t>[Vgl. Berlin/Brettler 2005, S. 891]</w:t>
      </w:r>
    </w:p>
  </w:footnote>
  <w:footnote w:id="2504">
    <w:p>
      <w:pPr>
        <w:pStyle w:val="Funote"/>
        <w:rPr/>
      </w:pPr>
      <w:r>
        <w:rPr/>
        <w:footnoteRef/>
        <w:tab/>
        <w:t>[Vgl. Schmidt 2013, S. 119–120.]</w:t>
      </w:r>
    </w:p>
  </w:footnote>
  <w:footnote w:id="2505">
    <w:p>
      <w:pPr>
        <w:pStyle w:val="Funote"/>
        <w:rPr/>
      </w:pPr>
      <w:r>
        <w:rPr/>
        <w:footnoteRef/>
        <w:tab/>
        <w:t>[Status: Zuverlässig]</w:t>
      </w:r>
    </w:p>
  </w:footnote>
  <w:footnote w:id="2506">
    <w:p>
      <w:pPr>
        <w:pStyle w:val="Funote"/>
        <w:rPr/>
      </w:pPr>
      <w:r>
        <w:rPr/>
        <w:footnoteRef/>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2507">
    <w:p>
      <w:pPr>
        <w:pStyle w:val="Funote"/>
        <w:rPr/>
      </w:pPr>
      <w:r>
        <w:rPr/>
        <w:footnoteRef/>
        <w:tab/>
        <w:t>Die Identität des »wir« in Vers 1–6 ist unklar. Zwei mögliche Deutungen sind Identifizierungen mit dem Volk Israel oder mit benachbarten Völkern. (Vgl. Berlin/Brettler 2005, S. 891.) Siehe auch die Fußnote zu »Diener« in Jes52,13.</w:t>
      </w:r>
    </w:p>
  </w:footnote>
  <w:footnote w:id="2508">
    <w:p>
      <w:pPr>
        <w:pStyle w:val="Funote"/>
        <w:rPr/>
      </w:pPr>
      <w:r>
        <w:rPr/>
        <w:footnoteRef/>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2509">
    <w:p>
      <w:pPr>
        <w:pStyle w:val="Funote"/>
        <w:rPr/>
      </w:pPr>
      <w:r>
        <w:rPr/>
        <w:footnoteRef/>
        <w:tab/>
        <w:t>»Schössling« nach Baltzer 1999; Blenkinsopp 2002; Edel 1964; Niccacci 2005; vgl. auch ZLH, S. 882 ad loc..</w:t>
      </w:r>
    </w:p>
  </w:footnote>
  <w:footnote w:id="2510">
    <w:p>
      <w:pPr>
        <w:pStyle w:val="Funote"/>
        <w:rPr/>
      </w:pPr>
      <w:r>
        <w:rPr>
          <w:i/>
        </w:rPr>
        <w:footnoteRef/>
        <w:tab/>
        <w:t>keine Gestalt und keine Schönheit</w:t>
      </w:r>
      <w:r>
        <w:rPr/>
        <w:t xml:space="preserve">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2511">
    <w:p>
      <w:pPr>
        <w:pStyle w:val="Funote"/>
        <w:rPr/>
      </w:pPr>
      <w:hyperlink r:id="rId194">
        <w:r>
          <w:rPr>
            <w:rStyle w:val="Internetverknpfung"/>
          </w:rPr>
          <w:footnoteRef/>
          <w:tab/>
          <w:t>Generisches Maskulinum</w:t>
        </w:r>
      </w:hyperlink>
    </w:p>
  </w:footnote>
  <w:footnote w:id="2512">
    <w:p>
      <w:pPr>
        <w:pStyle w:val="Funote"/>
        <w:rPr/>
      </w:pPr>
      <w:r>
        <w:rPr/>
        <w:footnoteRef/>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2513">
    <w:p>
      <w:pPr>
        <w:pStyle w:val="Funote"/>
        <w:rPr/>
      </w:pPr>
      <w:r>
        <w:rPr/>
        <w:footnoteRef/>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2514">
    <w:p>
      <w:pPr>
        <w:pStyle w:val="Funote"/>
        <w:rPr/>
      </w:pPr>
      <w:r>
        <w:rPr/>
        <w:footnoteRef/>
        <w:tab/>
        <w:t>Textkritik: eine Handschrift: »und wir haben ihn ausgeplündert«</w:t>
      </w:r>
    </w:p>
  </w:footnote>
  <w:footnote w:id="2515">
    <w:p>
      <w:pPr>
        <w:pStyle w:val="Funote"/>
        <w:rPr/>
      </w:pPr>
      <w:r>
        <w:rPr/>
        <w:footnoteRef/>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2516">
    <w:p>
      <w:pPr>
        <w:pStyle w:val="Funote"/>
        <w:rPr/>
      </w:pPr>
      <w:r>
        <w:rPr/>
        <w:footnoteRef/>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2517">
    <w:p>
      <w:pPr>
        <w:pStyle w:val="Funote"/>
        <w:rPr/>
      </w:pPr>
      <w:r>
        <w:rPr/>
        <w:footnoteRef/>
        <w:tab/>
        <w:t>»verletzt« nach Joachimsen 2011; Watts 1987; »zerrüttet« nach ZLH, S. 172.</w:t>
      </w:r>
    </w:p>
  </w:footnote>
  <w:footnote w:id="2518">
    <w:p>
      <w:pPr>
        <w:pStyle w:val="Funote"/>
        <w:rPr/>
      </w:pPr>
      <w:r>
        <w:rPr/>
        <w:footnoteRef/>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2519">
    <w:p>
      <w:pPr>
        <w:pStyle w:val="Funote"/>
        <w:rPr/>
      </w:pPr>
      <w:r>
        <w:rPr/>
        <w:footnoteRef/>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2520">
    <w:p>
      <w:pPr>
        <w:pStyle w:val="Funote"/>
        <w:rPr/>
      </w:pPr>
      <w:r>
        <w:rPr/>
        <w:footnoteRef/>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2521">
    <w:p>
      <w:pPr>
        <w:pStyle w:val="Funote"/>
        <w:rPr/>
      </w:pPr>
      <w:r>
        <w:rPr/>
        <w:footnoteRef/>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2522">
    <w:p>
      <w:pPr>
        <w:pStyle w:val="Funote"/>
        <w:rPr/>
      </w:pPr>
      <w:r>
        <w:rPr/>
        <w:footnoteRef/>
        <w:tab/>
        <w:t>Vgl. Vers 12.</w:t>
      </w:r>
    </w:p>
  </w:footnote>
  <w:footnote w:id="2523">
    <w:p>
      <w:pPr>
        <w:pStyle w:val="Funote"/>
        <w:rPr/>
      </w:pPr>
      <w:r>
        <w:rPr/>
        <w:footnoteRef/>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2524">
    <w:p>
      <w:pPr>
        <w:pStyle w:val="Funote"/>
        <w:rPr/>
      </w:pPr>
      <w:r>
        <w:rPr/>
        <w:footnoteRef/>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2525">
    <w:p>
      <w:pPr>
        <w:pStyle w:val="Funote"/>
        <w:rPr/>
      </w:pPr>
      <w:r>
        <w:rPr/>
        <w:footnoteRef/>
        <w:tab/>
        <w:t>Die Übersetzung dieses Verses wird in der Wissenschaft kontrovers diskutiert. Vgl. Childs 2001, S. 416 und Kraus 1990, S. 150. Die folgenden Deutungen sind theoretisch möglich: 1. Er wurde fortgerafft (starb), und zwar a) ohne Haft und Urteil, b) durch Haft und Strafe, oder c) nach Haft und Urteil. 2. Er wurde fortgeführt aus dem Gefängnis und aus dem Gericht. 3. Er wurde weggenommen (befreit, erlöst) aus Bedrängnis und strafbarem Verbrechen.</w:t>
      </w:r>
    </w:p>
  </w:footnote>
  <w:footnote w:id="2526">
    <w:p>
      <w:pPr>
        <w:pStyle w:val="Funote"/>
        <w:rPr/>
      </w:pPr>
      <w:r>
        <w:rPr/>
        <w:footnoteRef/>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2527">
    <w:p>
      <w:pPr>
        <w:pStyle w:val="Funote"/>
        <w:rPr/>
      </w:pPr>
      <w:r>
        <w:rPr/>
        <w:footnoteRef/>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2528">
    <w:p>
      <w:pPr>
        <w:pStyle w:val="Funote"/>
        <w:rPr/>
      </w:pPr>
      <w:r>
        <w:rPr/>
        <w:footnoteRef/>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2529">
    <w:p>
      <w:pPr>
        <w:pStyle w:val="Funote"/>
        <w:rPr/>
      </w:pPr>
      <w:r>
        <w:rPr/>
        <w:footnoteRef/>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2000, S. 20: »V. 9ab meint nicht, dass der Knecht begraben worden wäre oder dass sein Grab gegraben worden wäre. Diese Bedeutung hat der Ausdruck ntn qeber nie. Es meint vielmehr, dass ein Grab (oder ein Begräbnisort) angelegt oder jemandem zugewiesen wird.«</w:t>
      </w:r>
    </w:p>
  </w:footnote>
  <w:footnote w:id="2530">
    <w:p>
      <w:pPr>
        <w:pStyle w:val="Funote"/>
        <w:rPr/>
      </w:pPr>
      <w:r>
        <w:rPr/>
        <w:footnoteRef/>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2531">
    <w:p>
      <w:pPr>
        <w:pStyle w:val="Funote"/>
        <w:rPr/>
      </w:pPr>
      <w:r>
        <w:rPr/>
        <w:footnoteRef/>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2532">
    <w:p>
      <w:pPr>
        <w:pStyle w:val="Funote"/>
        <w:rPr/>
      </w:pPr>
      <w:r>
        <w:rPr/>
        <w:footnoteRef/>
        <w:tab/>
        <w:t xml:space="preserve">Wörtlich: nach seinen Toden (Pl. von »Tod«); vermutlich (bedeutungsloser, in der hebräischen Poesie typischer) N-Shift; vgl. z.B.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2000; Barthélemy 1986, S. 400; Blenkinsopp 2002; Driver 1968, S. 95f; Ehrlich 1912; Paul 2012; Soggin 1975, S. 348; Westermann 1966; Ziegler 1958, S. 174)</w:t>
      </w:r>
    </w:p>
  </w:footnote>
  <w:footnote w:id="2533">
    <w:p>
      <w:pPr>
        <w:pStyle w:val="Funote"/>
        <w:rPr/>
      </w:pPr>
      <w:r>
        <w:rPr/>
        <w:footnoteRef/>
        <w:tab/>
        <w:t xml:space="preserve">Zu </w:t>
      </w:r>
      <w:r>
        <w:rPr>
          <w:rtl w:val="true"/>
          <w:lang w:bidi="he-IL"/>
        </w:rPr>
        <w:t>על</w:t>
      </w:r>
      <w:r>
        <w:rPr/>
        <w:t xml:space="preserve"> </w:t>
      </w:r>
      <w:r>
        <w:rPr/>
        <w:t>mit dem Sinn »obwohl« vgl. noch Ijob 16,17 (North 1964, S. 231); Esra 10,2 (Paul 2012, S. 409); so fast alle Üss.</w:t>
      </w:r>
    </w:p>
  </w:footnote>
  <w:footnote w:id="2534">
    <w:p>
      <w:pPr>
        <w:pStyle w:val="Funote"/>
        <w:rPr/>
      </w:pPr>
      <w:r>
        <w:rPr/>
        <w:footnoteRef/>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2535">
    <w:p>
      <w:pPr>
        <w:pStyle w:val="Funote"/>
        <w:rPr/>
      </w:pPr>
      <w:r>
        <w:rPr/>
        <w:footnoteRef/>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2536">
    <w:p>
      <w:pPr>
        <w:pStyle w:val="Funote"/>
        <w:rPr/>
      </w:pPr>
      <w:r>
        <w:rPr/>
        <w:footnoteRef/>
        <w:tab/>
        <w:t>Die meisten Exegeten ergänzen nach 1QJesab, 4QJesd und LXX das Objekt »Licht«, einige aber nicht (z.B. Childs 2001, 409; Schmidt 2013, 227; Seeligmann 2004).</w:t>
      </w:r>
    </w:p>
  </w:footnote>
  <w:footnote w:id="2537">
    <w:p>
      <w:pPr>
        <w:pStyle w:val="Funote"/>
        <w:rPr/>
      </w:pPr>
      <w:r>
        <w:rPr/>
        <w:footnoteRef/>
        <w:tab/>
        <w:t>Oder: „Er wird satt. In seiner Erkenntnis macht er gerecht, der Gerechte, mein Getreuer, für die Vielen.“</w:t>
        <w:br/>
        <w:br/>
        <w:t xml:space="preserve">Zu </w:t>
      </w:r>
      <w:r>
        <w:rPr>
          <w:rtl w:val="true"/>
          <w:lang w:bidi="he-IL"/>
        </w:rPr>
        <w:t>עַבְדִּי</w:t>
      </w:r>
      <w:r>
        <w:rPr/>
        <w:t xml:space="preserve"> </w:t>
      </w:r>
      <w:r>
        <w:rPr/>
        <w:t xml:space="preserve">(mein Getreuer/Diener/Knecht) siehe die Fußnote in </w:t>
      </w:r>
      <w:r>
        <w:fldChar w:fldCharType="begin"/>
      </w:r>
      <w:r>
        <w:instrText> HYPERLINK "file:///wiki/Jesaja_52" \l "s13"</w:instrText>
      </w:r>
      <w:r>
        <w:fldChar w:fldCharType="separate"/>
      </w:r>
      <w:r>
        <w:rPr>
          <w:rStyle w:val="Internetverknpfung"/>
        </w:rPr>
        <w:t>Jes52,13</w:t>
      </w:r>
      <w:r>
        <w:fldChar w:fldCharType="end"/>
      </w:r>
      <w:r>
        <w:rPr/>
        <w:t>.</w:t>
      </w:r>
    </w:p>
  </w:footnote>
  <w:footnote w:id="2538">
    <w:p>
      <w:pPr>
        <w:pStyle w:val="Funote"/>
        <w:rPr/>
      </w:pPr>
      <w:r>
        <w:rPr/>
        <w:footnoteRef/>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2539">
    <w:p>
      <w:pPr>
        <w:pStyle w:val="Funote"/>
        <w:rPr/>
      </w:pPr>
      <w:r>
        <w:rPr/>
        <w:footnoteRef/>
        <w:tab/>
        <w:t>[Beute] - double-duty-Objekt (-&gt;Brachylogie) aus Sticho b; vgl. z.B. Dillmann 1898, S. 457</w:t>
      </w:r>
    </w:p>
  </w:footnote>
  <w:footnote w:id="2540">
    <w:p>
      <w:pPr>
        <w:pStyle w:val="Funote"/>
        <w:rPr/>
      </w:pPr>
      <w:r>
        <w:rPr/>
        <w:footnoteRef/>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2000;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2541">
    <w:p>
      <w:pPr>
        <w:pStyle w:val="Funote"/>
        <w:rPr/>
      </w:pPr>
      <w:r>
        <w:rPr/>
        <w:footnoteRef/>
        <w:tab/>
        <w:t>»Leben ausgießen« ist ein hebräisches (auch: akkadisches) Idiom für »sterben« (vgl. Ps 141,8; Ges18, S. 1012; hier ist es zusätzlich erweitert durch »in den Tod«; sinngemäß also einfach: »Dafür, dass er den Tod auf sich genommen hat«</w:t>
      </w:r>
    </w:p>
  </w:footnote>
  <w:footnote w:id="2542">
    <w:p>
      <w:pPr>
        <w:pStyle w:val="Funote"/>
        <w:rPr/>
      </w:pPr>
      <w:r>
        <w:rPr/>
        <w:footnoteRef/>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2543">
    <w:p>
      <w:pPr>
        <w:pStyle w:val="Funote"/>
        <w:rPr/>
      </w:pPr>
      <w:r>
        <w:rPr/>
        <w:footnoteRef/>
        <w:tab/>
        <w:t>Infinitiv absolutus, steht hier als Aufforderung und suggeriert eine bejahende Antwort, vgl. Carl Brockelmann, Hebräische Syntax, Neukirchen 1956, S. 54 (§ 54c)</w:t>
      </w:r>
    </w:p>
  </w:footnote>
  <w:footnote w:id="2544">
    <w:p>
      <w:pPr>
        <w:pStyle w:val="Funote"/>
        <w:rPr/>
      </w:pPr>
      <w:r>
        <w:rPr/>
        <w:footnoteRef/>
        <w:tab/>
        <w:t>Vgl. Brockelmann, a.a.O., S. 95)</w:t>
      </w:r>
    </w:p>
  </w:footnote>
  <w:footnote w:id="2545">
    <w:p>
      <w:pPr>
        <w:pStyle w:val="Funote"/>
        <w:rPr/>
      </w:pPr>
      <w:r>
        <w:rPr/>
        <w:footnoteRef/>
        <w:tab/>
        <w:t>Hebr. näphäsch: der Sitz der Empfindungen und Gefühle, lat. animus, Gesenius, Wörterbuch z.St. (S. 514)</w:t>
      </w:r>
    </w:p>
  </w:footnote>
  <w:footnote w:id="2546">
    <w:p>
      <w:pPr>
        <w:pStyle w:val="Funote"/>
        <w:rPr/>
      </w:pPr>
      <w:r>
        <w:rPr/>
        <w:footnoteRef/>
        <w:tab/>
        <w:t>Hebr. näphäsch: Bezeichnung desjenigen, was einen Menschen lebendig macht, Gesenius, Wörterbuch z.St. (S. 514)</w:t>
      </w:r>
    </w:p>
  </w:footnote>
  <w:footnote w:id="2547">
    <w:p>
      <w:pPr>
        <w:pStyle w:val="Funote"/>
        <w:rPr/>
      </w:pPr>
      <w:r>
        <w:rPr/>
        <w:footnoteRef/>
        <w:tab/>
        <w:t>wörtl.: kahles, verbranntes Gelände = von Menschenhand verursachte Verwüstung, keine Wüste</w:t>
      </w:r>
    </w:p>
  </w:footnote>
  <w:footnote w:id="2548">
    <w:p>
      <w:pPr>
        <w:pStyle w:val="Funote"/>
        <w:rPr/>
      </w:pPr>
      <w:r>
        <w:rPr/>
        <w:footnoteRef/>
        <w:tab/>
        <w:t>wörtl.: Gebein. „Häufig vertreten die Gebeine, als das Festeste, den ganzen Körper“, Gesenius, Wörterbuch z.St. (S. 611)</w:t>
      </w:r>
    </w:p>
  </w:footnote>
  <w:footnote w:id="2549">
    <w:p>
      <w:pPr>
        <w:pStyle w:val="Funote"/>
        <w:rPr/>
      </w:pPr>
      <w:r>
        <w:rPr/>
        <w:footnoteRef/>
        <w:tab/>
        <w:t>Partizip q.</w:t>
      </w:r>
    </w:p>
  </w:footnote>
  <w:footnote w:id="2550">
    <w:p>
      <w:pPr>
        <w:pStyle w:val="Funote"/>
        <w:rPr/>
      </w:pPr>
      <w:r>
        <w:rPr/>
        <w:footnoteRef/>
        <w:tab/>
        <w:t>Partizip pi.</w:t>
      </w:r>
    </w:p>
  </w:footnote>
  <w:footnote w:id="2551">
    <w:p>
      <w:pPr>
        <w:pStyle w:val="Funote"/>
        <w:rPr/>
      </w:pPr>
      <w:r>
        <w:rPr/>
        <w:footnoteRef/>
        <w:tab/>
        <w:t>Inf. constructus</w:t>
      </w:r>
    </w:p>
  </w:footnote>
  <w:footnote w:id="2552">
    <w:p>
      <w:pPr>
        <w:pStyle w:val="Funote"/>
        <w:rPr/>
      </w:pPr>
      <w:r>
        <w:rPr/>
        <w:footnoteRef/>
        <w:tab/>
        <w:t>Imperativ</w:t>
      </w:r>
    </w:p>
  </w:footnote>
  <w:footnote w:id="2553">
    <w:p>
      <w:pPr>
        <w:pStyle w:val="Funote"/>
        <w:rPr/>
      </w:pPr>
      <w:r>
        <w:rPr/>
        <w:footnoteRef/>
        <w:tab/>
        <w:t>Angeredet ist hier eine 2.Person Sg. fem. Aus dem Kontext (Jes 59,20) geht hervor, dass damit Zion (Jerusalem) angesprochen ist.</w:t>
      </w:r>
    </w:p>
  </w:footnote>
  <w:footnote w:id="2554">
    <w:p>
      <w:pPr>
        <w:pStyle w:val="Funote"/>
        <w:rPr/>
      </w:pPr>
      <w:r>
        <w:rPr/>
        <w:footnoteRef/>
        <w:tab/>
        <w:t>Imperativ</w:t>
      </w:r>
    </w:p>
  </w:footnote>
  <w:footnote w:id="2555">
    <w:p>
      <w:pPr>
        <w:pStyle w:val="Funote"/>
        <w:rPr/>
      </w:pPr>
      <w:r>
        <w:rPr/>
        <w:footnoteRef/>
        <w:tab/>
        <w:t>Perfekt consecutivum, kann im Dt. als Präsens oder Futur wiedergegeben werden, vgl. Schneider, Grammatik, § 27.4. Der Kontext legt nahe, es hier als Futur wiederzugeben.</w:t>
      </w:r>
    </w:p>
  </w:footnote>
  <w:footnote w:id="2556">
    <w:p>
      <w:pPr>
        <w:pStyle w:val="Funote"/>
        <w:rPr/>
      </w:pPr>
      <w:r>
        <w:rPr/>
        <w:footnoteRef/>
        <w:tab/>
        <w:t xml:space="preserve">Hier steht nicht die Präposition </w:t>
      </w:r>
      <w:r>
        <w:rPr>
          <w:rtl w:val="true"/>
          <w:lang w:bidi="he-IL"/>
        </w:rPr>
        <w:t>על</w:t>
      </w:r>
      <w:r>
        <w:rPr/>
        <w:t xml:space="preserve"> </w:t>
      </w:r>
      <w:r>
        <w:rPr/>
        <w:t>wie in Vers 1b</w:t>
      </w:r>
    </w:p>
  </w:footnote>
  <w:footnote w:id="2557">
    <w:p>
      <w:pPr>
        <w:pStyle w:val="Funote"/>
        <w:rPr/>
      </w:pPr>
      <w:r>
        <w:rPr/>
        <w:footnoteRef/>
        <w:tab/>
        <w:t>vgl. Gen 25,4, wo Efa als Sohn Midians genannt wird - midianitische Gegend</w:t>
      </w:r>
    </w:p>
  </w:footnote>
  <w:footnote w:id="2558">
    <w:p>
      <w:pPr>
        <w:pStyle w:val="Funote"/>
        <w:rPr/>
      </w:pPr>
      <w:r>
        <w:rPr/>
        <w:footnoteRef/>
        <w:tab/>
        <w:t>[Status: Ungeprüft]</w:t>
      </w:r>
    </w:p>
  </w:footnote>
  <w:footnote w:id="2559">
    <w:p>
      <w:pPr>
        <w:pStyle w:val="Funote"/>
        <w:rPr/>
      </w:pPr>
      <w:r>
        <w:rPr/>
        <w:footnoteRef/>
        <w:tab/>
        <w:t>„</w:t>
      </w:r>
      <w:r>
        <w:rPr/>
        <w:t>Wort JHWHs“ (dbr JHWH) ist Singular, es handelt sich aber natürlich um mehrere Worte resp. Sätze. Bei Jeremia wird dbr JHWH für das Gotteswort gebraucht. Es ist, wie Vers 9 zeigt, eine eigene Größe.</w:t>
      </w:r>
    </w:p>
  </w:footnote>
  <w:footnote w:id="2560">
    <w:p>
      <w:pPr>
        <w:pStyle w:val="Funote"/>
        <w:rPr/>
      </w:pPr>
      <w:r>
        <w:rPr/>
        <w:footnoteRef/>
        <w:tab/>
        <w:t>639-609 v. Chr.</w:t>
      </w:r>
    </w:p>
  </w:footnote>
  <w:footnote w:id="2561">
    <w:p>
      <w:pPr>
        <w:pStyle w:val="Funote"/>
        <w:rPr/>
      </w:pPr>
      <w:r>
        <w:rPr/>
        <w:footnoteRef/>
        <w:tab/>
        <w:t>627 v. Chr.</w:t>
      </w:r>
    </w:p>
  </w:footnote>
  <w:footnote w:id="2562">
    <w:p>
      <w:pPr>
        <w:pStyle w:val="Funote"/>
        <w:rPr/>
      </w:pPr>
      <w:r>
        <w:rPr/>
        <w:footnoteRef/>
        <w:tab/>
        <w:t>608-598 v. Chr.</w:t>
      </w:r>
    </w:p>
  </w:footnote>
  <w:footnote w:id="2563">
    <w:p>
      <w:pPr>
        <w:pStyle w:val="Funote"/>
        <w:rPr/>
      </w:pPr>
      <w:r>
        <w:rPr/>
        <w:footnoteRef/>
        <w:tab/>
        <w:t>597 v. Chr.</w:t>
      </w:r>
    </w:p>
  </w:footnote>
  <w:footnote w:id="2564">
    <w:p>
      <w:pPr>
        <w:pStyle w:val="Funote"/>
        <w:rPr/>
      </w:pPr>
      <w:r>
        <w:rPr/>
        <w:footnoteRef/>
        <w:tab/>
        <w:t>Das ist der Monat „Ab“.</w:t>
      </w:r>
    </w:p>
  </w:footnote>
  <w:footnote w:id="2565">
    <w:p>
      <w:pPr>
        <w:pStyle w:val="Funote"/>
        <w:rPr/>
      </w:pPr>
      <w:r>
        <w:rPr/>
        <w:footnoteRef/>
        <w:tab/>
        <w:t xml:space="preserve">Es handelt sich hier um ein Wortspiel mit dem Nomen </w:t>
      </w:r>
      <w:r>
        <w:rPr>
          <w:i/>
        </w:rPr>
        <w:t>schkd</w:t>
      </w:r>
      <w:r>
        <w:rPr/>
        <w:t xml:space="preserve"> „Mandelbaum“ und dem Verb </w:t>
      </w:r>
      <w:r>
        <w:rPr>
          <w:i/>
        </w:rPr>
        <w:t>schkd</w:t>
      </w:r>
      <w:r>
        <w:rPr/>
        <w:t xml:space="preserve"> „wachsam sein“, vgl. die Diskussionsseite.</w:t>
      </w:r>
    </w:p>
  </w:footnote>
  <w:footnote w:id="2566">
    <w:p>
      <w:pPr>
        <w:pStyle w:val="Funote"/>
        <w:rPr/>
      </w:pPr>
      <w:r>
        <w:rPr/>
        <w:footnoteRef/>
        <w:tab/>
        <w:t>Wortspiel mit „Norden“ (</w:t>
      </w:r>
      <w:r>
        <w:rPr>
          <w:i/>
        </w:rPr>
        <w:t>zapon</w:t>
      </w:r>
      <w:r>
        <w:rPr/>
        <w:t>): Der Topf zeigt nach Norden (</w:t>
      </w:r>
      <w:r>
        <w:rPr>
          <w:i/>
        </w:rPr>
        <w:t>zapona</w:t>
      </w:r>
      <w:r>
        <w:rPr/>
        <w:t>), das Unheil kommt von Norden (</w:t>
      </w:r>
      <w:r>
        <w:rPr>
          <w:i/>
        </w:rPr>
        <w:t>mizapon</w:t>
      </w:r>
      <w:r>
        <w:rPr/>
        <w:t xml:space="preserve">). Von der Logik des Bildes (ein überkochender Topf) müsste der Topf sich eigentlich nach Süden neigen. </w:t>
      </w:r>
    </w:p>
  </w:footnote>
  <w:footnote w:id="2567">
    <w:p>
      <w:pPr>
        <w:pStyle w:val="Funote"/>
        <w:rPr/>
      </w:pPr>
      <w:r>
        <w:rPr>
          <w:i/>
        </w:rPr>
        <w:footnoteRef/>
        <w:tab/>
        <w:t>aschär</w:t>
      </w:r>
      <w:r>
        <w:rPr/>
        <w:t xml:space="preserve"> ist eine Relativpartikel bzw. Konjunktion, die ich durchweg „von dem/der gilt“ wiedergebe; hier würde man mit „weil“ übersetzen.</w:t>
      </w:r>
    </w:p>
  </w:footnote>
  <w:footnote w:id="2568">
    <w:p>
      <w:pPr>
        <w:pStyle w:val="Funote"/>
        <w:rPr/>
      </w:pPr>
      <w:r>
        <w:rPr/>
        <w:footnoteRef/>
        <w:tab/>
        <w:t xml:space="preserve">Ein Wortspiel </w:t>
      </w:r>
      <w:r>
        <w:rPr>
          <w:i/>
        </w:rPr>
        <w:t>mipnehem</w:t>
      </w:r>
      <w:r>
        <w:rPr/>
        <w:t xml:space="preserve"> („vor ihnen“ im Sinne von: der Schrecken kommt von ihnen (</w:t>
      </w:r>
      <w:r>
        <w:rPr>
          <w:i/>
        </w:rPr>
        <w:t>min</w:t>
      </w:r>
      <w:r>
        <w:rPr/>
        <w:t xml:space="preserve"> heißt „von - aus“, „von - weg“) und </w:t>
      </w:r>
      <w:r>
        <w:rPr>
          <w:i/>
        </w:rPr>
        <w:t>lipnehem</w:t>
      </w:r>
      <w:r>
        <w:rPr/>
        <w:t xml:space="preserve"> („vor ihnen“, </w:t>
      </w:r>
      <w:r>
        <w:rPr>
          <w:i/>
        </w:rPr>
        <w:t>le</w:t>
      </w:r>
      <w:r>
        <w:rPr/>
        <w:t xml:space="preserve"> ist der Anzeiger für den Dativ, also: der Schrecken kommt von Gott in Gegenwart („vor“) derer, die Jeremia erschrecken)</w:t>
      </w:r>
    </w:p>
  </w:footnote>
  <w:footnote w:id="2569">
    <w:p>
      <w:pPr>
        <w:pStyle w:val="Funote"/>
        <w:rPr/>
      </w:pPr>
      <w:r>
        <w:rPr>
          <w:i/>
        </w:rPr>
        <w:footnoteRef/>
        <w:tab/>
        <w:t>am haaräz</w:t>
      </w:r>
      <w:r>
        <w:rPr/>
        <w:t xml:space="preserve"> („Volk des Landes“) bezeichnet die Führungsschicht der Landbevölkerung (den „Landadel“ ???), aus der später die Pharisäer hervorgingen - Quelle?</w:t>
      </w:r>
    </w:p>
  </w:footnote>
  <w:footnote w:id="2570">
    <w:p>
      <w:pPr>
        <w:pStyle w:val="Funote"/>
        <w:rPr/>
      </w:pPr>
      <w:r>
        <w:rPr/>
        <w:footnoteRef/>
        <w:tab/>
        <w:t>[Status: Ungeprüft]</w:t>
      </w:r>
    </w:p>
  </w:footnote>
  <w:footnote w:id="2571">
    <w:p>
      <w:pPr>
        <w:pStyle w:val="Funote"/>
        <w:rPr/>
      </w:pPr>
      <w:r>
        <w:rPr/>
        <w:footnoteRef/>
        <w:tab/>
        <w:t>Partizip temporal aufgelöst</w:t>
      </w:r>
    </w:p>
  </w:footnote>
  <w:footnote w:id="2572">
    <w:p>
      <w:pPr>
        <w:pStyle w:val="Funote"/>
        <w:rPr/>
      </w:pPr>
      <w:r>
        <w:rPr/>
        <w:footnoteRef/>
        <w:tab/>
        <w:t>Partizip temporal aufgelöst</w:t>
      </w:r>
    </w:p>
  </w:footnote>
  <w:footnote w:id="2573">
    <w:p>
      <w:pPr>
        <w:pStyle w:val="Funote"/>
        <w:rPr/>
      </w:pPr>
      <w:r>
        <w:rPr/>
        <w:footnoteRef/>
        <w:tab/>
        <w:t>Das „Gesetz“ oder die „Weisung“ (Martin Buber). Da es ein t.t. ist, der weit über die lutherische Verengung des „Gesetzes“ hinausgeht, würde ich gern den Namen „Torah“ belassen. Man kann ihn durch eine Fußnote erklären.</w:t>
      </w:r>
    </w:p>
  </w:footnote>
  <w:footnote w:id="2574">
    <w:p>
      <w:pPr>
        <w:pStyle w:val="Funote"/>
        <w:rPr/>
      </w:pPr>
      <w:r>
        <w:rPr/>
        <w:footnoteRef/>
        <w:tab/>
        <w:t>Wörtl.: nicht nützen, nicht helfen</w:t>
      </w:r>
    </w:p>
  </w:footnote>
  <w:footnote w:id="2575">
    <w:p>
      <w:pPr>
        <w:pStyle w:val="Funote"/>
        <w:rPr/>
      </w:pPr>
      <w:r>
        <w:rPr/>
        <w:footnoteRef/>
        <w:tab/>
        <w:t>Ein Beduinenstamm.</w:t>
      </w:r>
    </w:p>
  </w:footnote>
  <w:footnote w:id="2576">
    <w:p>
      <w:pPr>
        <w:pStyle w:val="Funote"/>
        <w:rPr/>
      </w:pPr>
      <w:r>
        <w:rPr/>
        <w:footnoteRef/>
        <w:tab/>
        <w:t xml:space="preserve">W.Rudolph schlägt im Apparat z.St., wahrscheinlich wegen des hier doppelt erscheinenden „Sieh!“, vor, aus „hen hajeta“ die Frage zu lesen: „hanijeta“, „hat sich (je) begeben?“ </w:t>
      </w:r>
    </w:p>
  </w:footnote>
  <w:footnote w:id="2577">
    <w:p>
      <w:pPr>
        <w:pStyle w:val="Funote"/>
        <w:rPr/>
      </w:pPr>
      <w:r>
        <w:rPr/>
        <w:footnoteRef/>
        <w:tab/>
        <w:t xml:space="preserve">Elohim bezeichnet sowohl den einen Gott als auch die Vielzahl der (anderen) Götter. </w:t>
      </w:r>
    </w:p>
  </w:footnote>
  <w:footnote w:id="2578">
    <w:p>
      <w:pPr>
        <w:pStyle w:val="Funote"/>
        <w:rPr/>
      </w:pPr>
      <w:r>
        <w:rPr/>
        <w:footnoteRef/>
        <w:tab/>
        <w:t>„</w:t>
      </w:r>
      <w:r>
        <w:rPr/>
        <w:t xml:space="preserve">Kabod“ hat ein großes Bedeutungsspektrum: Schwere, Last; Gewicht, Besitz, Ansehen; Person, Ich; Ansehnlichkeit, Pracht; Auszeichnung, Ehre, Herrlichkeit (G.Fohrer, Wörterbuch). </w:t>
      </w:r>
    </w:p>
  </w:footnote>
  <w:footnote w:id="2579">
    <w:p>
      <w:pPr>
        <w:pStyle w:val="Funote"/>
        <w:rPr/>
      </w:pPr>
      <w:r>
        <w:rPr/>
        <w:footnoteRef/>
        <w:tab/>
        <w:t>„</w:t>
      </w:r>
      <w:r>
        <w:rPr/>
        <w:t>Himmel“ ist im Dt. Singular, im Hebräischen Plural.</w:t>
      </w:r>
    </w:p>
  </w:footnote>
  <w:footnote w:id="2580">
    <w:p>
      <w:pPr>
        <w:pStyle w:val="Funote"/>
        <w:rPr/>
      </w:pPr>
      <w:r>
        <w:rPr/>
        <w:footnoteRef/>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2581">
    <w:p>
      <w:pPr>
        <w:pStyle w:val="Funote"/>
        <w:rPr/>
      </w:pPr>
      <w:r>
        <w:rPr/>
        <w:footnoteRef/>
        <w:tab/>
        <w:t>Ptz. als Relativsatz aufgelöst.</w:t>
      </w:r>
    </w:p>
  </w:footnote>
  <w:footnote w:id="2582">
    <w:p>
      <w:pPr>
        <w:pStyle w:val="Funote"/>
        <w:rPr/>
      </w:pPr>
      <w:r>
        <w:rPr/>
        <w:footnoteRef/>
        <w:tab/>
        <w:t>Die Stadt Memphis, Hauptstadt von Unterägypten, am westl. Nilufer südl, von Kairo</w:t>
      </w:r>
    </w:p>
  </w:footnote>
  <w:footnote w:id="2583">
    <w:p>
      <w:pPr>
        <w:pStyle w:val="Funote"/>
        <w:rPr/>
      </w:pPr>
      <w:r>
        <w:rPr/>
        <w:footnoteRef/>
        <w:tab/>
        <w:t>Ebenfalls eine ägyptische Stadt, eine Grenzfestung östl. vom Nildelta bei Pelusium (Rudolph, Kommentar, S. 18), das heutige Tell-ed-Defenne (Gesenius, Wörterbuch 15. Aufl., S. 875. Siehe außerdem auch die Diskussionsseite.</w:t>
      </w:r>
    </w:p>
  </w:footnote>
  <w:footnote w:id="2584">
    <w:p>
      <w:pPr>
        <w:pStyle w:val="Funote"/>
        <w:rPr/>
      </w:pPr>
      <w:r>
        <w:rPr/>
        <w:footnoteRef/>
        <w:tab/>
        <w:t>Das Verb bedeutet sowohl weiden=Schafe hüten als auch weiden=das Fressen der Schafe. Wir kennen im Deutschen den Ausdruck „jemandem die Haare vom Kopf fressen“; das scheint hier gemeint zu sein</w:t>
      </w:r>
    </w:p>
  </w:footnote>
  <w:footnote w:id="2585">
    <w:p>
      <w:pPr>
        <w:pStyle w:val="Funote"/>
        <w:rPr/>
      </w:pPr>
      <w:r>
        <w:rPr/>
        <w:footnoteRef/>
        <w:tab/>
        <w:t>Ptz. temporal aufgelöst</w:t>
      </w:r>
    </w:p>
  </w:footnote>
  <w:footnote w:id="2586">
    <w:p>
      <w:pPr>
        <w:pStyle w:val="Funote"/>
        <w:rPr/>
      </w:pPr>
      <w:r>
        <w:rPr/>
        <w:footnoteRef/>
        <w:tab/>
        <w:t>Ptz. temporal aufgelöst</w:t>
      </w:r>
    </w:p>
  </w:footnote>
  <w:footnote w:id="2587">
    <w:p>
      <w:pPr>
        <w:pStyle w:val="Funote"/>
        <w:rPr/>
      </w:pPr>
      <w:r>
        <w:rPr/>
        <w:footnoteRef/>
        <w:tab/>
        <w:t>'schichor' kommt nur Jes 23,3 und hier vor. Lt. Gesenius, Wörterbuch, S. 822 ist es ein Name für verschiedene Kanäle und Flussarme. Lt. Rudolph, Kommentar, S.18 einer der östlichsten Nilarme. 'Schichor' bedeutet ägypt. „Teich des Horus“</w:t>
      </w:r>
    </w:p>
  </w:footnote>
  <w:footnote w:id="2588">
    <w:p>
      <w:pPr>
        <w:pStyle w:val="Funote"/>
        <w:rPr/>
      </w:pPr>
      <w:r>
        <w:rPr/>
        <w:footnoteRef/>
        <w:tab/>
        <w:t xml:space="preserve">Vgl. </w:t>
      </w:r>
      <w:hyperlink r:id="rId195">
        <w:r>
          <w:rPr>
            <w:rStyle w:val="Internetverknpfung"/>
          </w:rPr>
          <w:t>Diskussionsseite</w:t>
        </w:r>
      </w:hyperlink>
      <w:r>
        <w:rPr/>
        <w:t>.</w:t>
      </w:r>
    </w:p>
  </w:footnote>
  <w:footnote w:id="2589">
    <w:p>
      <w:pPr>
        <w:pStyle w:val="Funote"/>
        <w:rPr/>
      </w:pPr>
      <w:r>
        <w:rPr/>
        <w:footnoteRef/>
        <w:tab/>
        <w:t>W.Rudolph, Kommentar, S. 18 zieht beide Adjektive zu „bitterböse“ zusammen</w:t>
      </w:r>
    </w:p>
  </w:footnote>
  <w:footnote w:id="2590">
    <w:p>
      <w:pPr>
        <w:pStyle w:val="Funote"/>
        <w:rPr/>
      </w:pPr>
      <w:r>
        <w:rPr/>
        <w:footnoteRef/>
        <w:tab/>
        <w:t>W. Rudolph, Kommentar, S. 18 schlägt vor, statt 'pachda', Schrecken das Verb „pachad“, sich fürchten, zu lesen: „Und dich nicht in Ehrfurcht an mich gewendet hast“</w:t>
      </w:r>
    </w:p>
  </w:footnote>
  <w:footnote w:id="2591">
    <w:p>
      <w:pPr>
        <w:pStyle w:val="Funote"/>
        <w:rPr/>
      </w:pPr>
      <w:r>
        <w:rPr/>
        <w:footnoteRef/>
        <w:tab/>
        <w:t xml:space="preserve">Vgl. </w:t>
      </w:r>
      <w:hyperlink r:id="rId196">
        <w:r>
          <w:rPr>
            <w:rStyle w:val="Internetverknpfung"/>
          </w:rPr>
          <w:t>Diskussionsseite</w:t>
        </w:r>
      </w:hyperlink>
      <w:r>
        <w:rPr/>
        <w:t xml:space="preserve"> und Seite </w:t>
      </w:r>
      <w:hyperlink r:id="rId197">
        <w:r>
          <w:rPr>
            <w:rStyle w:val="Internetverknpfung"/>
          </w:rPr>
          <w:t>Gottesnamen</w:t>
        </w:r>
      </w:hyperlink>
      <w:r>
        <w:rPr/>
        <w:t>.</w:t>
      </w:r>
    </w:p>
  </w:footnote>
  <w:footnote w:id="2592">
    <w:p>
      <w:pPr>
        <w:pStyle w:val="Funote"/>
        <w:rPr/>
      </w:pPr>
      <w:r>
        <w:rPr/>
        <w:footnoteRef/>
        <w:tab/>
        <w:t>So der Text. W. Rudolph, Kommentar, S. 18 macht aus der 1.Sg. der Verben in diesem Satz die 2.Sg.</w:t>
      </w:r>
    </w:p>
  </w:footnote>
  <w:footnote w:id="2593">
    <w:p>
      <w:pPr>
        <w:pStyle w:val="Funote"/>
        <w:rPr/>
      </w:pPr>
      <w:r>
        <w:rPr/>
        <w:footnoteRef/>
        <w:tab/>
        <w:t>Ein stereotyper Ausdruck, mit dem Israel kritisiert wird, weil es „Götzen“ anbetet, vgl. Dtn 12,2; 1.Kön 14,23; 2.Kön 17,10; Jes 57,5; Jer 3,6.13; Ez 6,13</w:t>
      </w:r>
    </w:p>
  </w:footnote>
  <w:footnote w:id="2594">
    <w:p>
      <w:pPr>
        <w:pStyle w:val="Funote"/>
        <w:rPr/>
      </w:pPr>
      <w:r>
        <w:rPr/>
        <w:footnoteRef/>
        <w:tab/>
        <w:t>W. Rudolph meint, dass hier die Worte falsch getrennt wurden, und liest 'lesoriah gäphän', zu einer stinkenden Rebe.</w:t>
      </w:r>
    </w:p>
  </w:footnote>
  <w:footnote w:id="2595">
    <w:p>
      <w:pPr>
        <w:pStyle w:val="Funote"/>
        <w:rPr/>
      </w:pPr>
      <w:r>
        <w:rPr/>
        <w:footnoteRef/>
        <w:tab/>
        <w:t>Partizip, wörtl.: „ihre Wege verflechtend“</w:t>
      </w:r>
    </w:p>
  </w:footnote>
  <w:footnote w:id="2596">
    <w:p>
      <w:pPr>
        <w:pStyle w:val="Funote"/>
        <w:rPr/>
      </w:pPr>
      <w:r>
        <w:rPr/>
        <w:footnoteRef/>
        <w:tab/>
        <w:t>W.Rudolph, S.20: „lies: 'ausbricht in die Steppe hinaus' ... 'ein Wildesel ..., an die Steppe gewöhnt', ist sinnlos“</w:t>
      </w:r>
    </w:p>
  </w:footnote>
  <w:footnote w:id="2597">
    <w:p>
      <w:pPr>
        <w:pStyle w:val="Funote"/>
        <w:rPr/>
      </w:pPr>
      <w:r>
        <w:rPr/>
        <w:footnoteRef/>
        <w:tab/>
        <w:t>Partizip relativisch aufgelöst</w:t>
      </w:r>
    </w:p>
  </w:footnote>
  <w:footnote w:id="2598">
    <w:p>
      <w:pPr>
        <w:pStyle w:val="Funote"/>
        <w:rPr/>
      </w:pPr>
      <w:r>
        <w:rPr/>
        <w:footnoteRef/>
        <w:tab/>
        <w:t>d.h. in ihrer Brunftzeit, W.Rudolph, S.20</w:t>
      </w:r>
    </w:p>
  </w:footnote>
  <w:footnote w:id="2599">
    <w:p>
      <w:pPr>
        <w:pStyle w:val="Funote"/>
        <w:rPr/>
      </w:pPr>
      <w:r>
        <w:rPr/>
        <w:footnoteRef/>
        <w:tab/>
        <w:t>Ein besonders starkes Nein?, vgl. Jer 18,12</w:t>
      </w:r>
    </w:p>
  </w:footnote>
  <w:footnote w:id="2600">
    <w:p>
      <w:pPr>
        <w:pStyle w:val="Funote"/>
        <w:rPr/>
      </w:pPr>
      <w:r>
        <w:rPr/>
        <w:footnoteRef/>
        <w:tab/>
        <w:t>Diese „Viererkette“ kommt häufiger bei Jeremia vor</w:t>
      </w:r>
    </w:p>
  </w:footnote>
  <w:footnote w:id="2601">
    <w:p>
      <w:pPr>
        <w:pStyle w:val="Funote"/>
        <w:rPr/>
      </w:pPr>
      <w:r>
        <w:rPr/>
        <w:footnoteRef/>
        <w:tab/>
        <w:t>Partizip</w:t>
      </w:r>
    </w:p>
  </w:footnote>
  <w:footnote w:id="2602">
    <w:p>
      <w:pPr>
        <w:pStyle w:val="Funote"/>
        <w:rPr/>
      </w:pPr>
      <w:r>
        <w:rPr/>
        <w:footnoteRef/>
        <w:tab/>
        <w:t>Die Seputaginta setzt fort: und nach der Zahl der Gassen Jerusalems opfern sie dem Baal, so Jer 11,13</w:t>
      </w:r>
    </w:p>
  </w:footnote>
  <w:footnote w:id="2603">
    <w:p>
      <w:pPr>
        <w:pStyle w:val="Funote"/>
        <w:rPr/>
      </w:pPr>
      <w:r>
        <w:rPr/>
        <w:footnoteRef/>
        <w:tab/>
        <w:t>W. Rudolph schlägt vor, wie in Jer 6,21 „Väter und Söhne“ zu lesen</w:t>
      </w:r>
    </w:p>
  </w:footnote>
  <w:footnote w:id="2604">
    <w:p>
      <w:pPr>
        <w:pStyle w:val="Funote"/>
        <w:rPr/>
      </w:pPr>
      <w:r>
        <w:rPr/>
        <w:footnoteRef/>
        <w:tab/>
        <w:t>Partizip</w:t>
      </w:r>
    </w:p>
  </w:footnote>
  <w:footnote w:id="2605">
    <w:p>
      <w:pPr>
        <w:pStyle w:val="Funote"/>
        <w:rPr/>
      </w:pPr>
      <w:r>
        <w:rPr/>
        <w:footnoteRef/>
        <w:tab/>
        <w:t>wörtl.: Ihr</w:t>
      </w:r>
    </w:p>
  </w:footnote>
  <w:footnote w:id="2606">
    <w:p>
      <w:pPr>
        <w:pStyle w:val="Funote"/>
        <w:rPr/>
      </w:pPr>
      <w:r>
        <w:rPr/>
        <w:footnoteRef/>
        <w:tab/>
        <w:t>Gemeint sind die Hörer/Leser Jeremias</w:t>
      </w:r>
    </w:p>
  </w:footnote>
  <w:footnote w:id="2607">
    <w:p>
      <w:pPr>
        <w:pStyle w:val="Funote"/>
        <w:rPr/>
      </w:pPr>
      <w:r>
        <w:rPr/>
        <w:footnoteRef/>
        <w:tab/>
        <w:t>Im Hebräischen steht der Plural = seht!</w:t>
      </w:r>
    </w:p>
  </w:footnote>
  <w:footnote w:id="2608">
    <w:p>
      <w:pPr>
        <w:pStyle w:val="Funote"/>
        <w:rPr/>
      </w:pPr>
      <w:r>
        <w:rPr/>
        <w:footnoteRef/>
        <w:tab/>
        <w:t>Da dieser Satz keinen Zusammenhang mit dem Text hat, in dem es steht, hält W.Rudolph es für die Glosse eines Schreibers und schlägt vor, diesen Satz zu streichen</w:t>
      </w:r>
    </w:p>
  </w:footnote>
  <w:footnote w:id="2609">
    <w:p>
      <w:pPr>
        <w:pStyle w:val="Funote"/>
        <w:rPr/>
      </w:pPr>
      <w:r>
        <w:rPr/>
        <w:footnoteRef/>
        <w:tab/>
        <w:t>Im Hebräischen steht der Plural</w:t>
      </w:r>
    </w:p>
  </w:footnote>
  <w:footnote w:id="2610">
    <w:p>
      <w:pPr>
        <w:pStyle w:val="Funote"/>
        <w:rPr/>
      </w:pPr>
      <w:r>
        <w:rPr/>
        <w:footnoteRef/>
        <w:tab/>
        <w:t>Partizip relativisch aufgelöst</w:t>
      </w:r>
    </w:p>
  </w:footnote>
  <w:footnote w:id="2611">
    <w:p>
      <w:pPr>
        <w:pStyle w:val="Funote"/>
        <w:rPr/>
      </w:pPr>
      <w:r>
        <w:rPr/>
        <w:footnoteRef/>
        <w:tab/>
        <w:t>Partizip</w:t>
      </w:r>
    </w:p>
  </w:footnote>
  <w:footnote w:id="2612">
    <w:p>
      <w:pPr>
        <w:pStyle w:val="Funote"/>
        <w:rPr/>
      </w:pPr>
      <w:r>
        <w:rPr/>
        <w:footnoteRef/>
        <w:tab/>
        <w:t>W. Rudolph möchte hier hi. von 'zll' lesen und übersetzt „wie leicht nimmst du es“</w:t>
      </w:r>
    </w:p>
  </w:footnote>
  <w:footnote w:id="2613">
    <w:p>
      <w:pPr>
        <w:pStyle w:val="Funote"/>
        <w:rPr/>
      </w:pPr>
      <w:r>
        <w:rPr/>
        <w:footnoteRef/>
        <w:tab/>
        <w:t>gemeint sind Ägypten und Assur</w:t>
      </w:r>
    </w:p>
  </w:footnote>
  <w:footnote w:id="2614">
    <w:p>
      <w:pPr>
        <w:pStyle w:val="Funote"/>
        <w:rPr/>
      </w:pPr>
      <w:r>
        <w:rPr/>
        <w:footnoteRef/>
        <w:tab/>
        <w:t>[Status: Ungeprüft]</w:t>
      </w:r>
    </w:p>
  </w:footnote>
  <w:footnote w:id="2615">
    <w:p>
      <w:pPr>
        <w:pStyle w:val="Funote"/>
        <w:rPr/>
      </w:pPr>
      <w:r>
        <w:rPr/>
        <w:footnoteRef/>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2616">
    <w:p>
      <w:pPr>
        <w:pStyle w:val="Funote"/>
        <w:rPr/>
      </w:pPr>
      <w:r>
        <w:rPr/>
        <w:footnoteRef/>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2617">
    <w:p>
      <w:pPr>
        <w:pStyle w:val="Funote"/>
        <w:rPr/>
      </w:pPr>
      <w:r>
        <w:rPr>
          <w:i/>
        </w:rPr>
        <w:footnoteRef/>
        <w:tab/>
        <w:t>völlig (gewiss)</w:t>
      </w:r>
      <w:r>
        <w:rPr/>
        <w:t xml:space="preserve"> - Der absolute Infinitiv nach einer Verbform desselben Stammes hebt hier die Gewissheit oder Nachdrücklichkeit eines Geschehens hervor.</w:t>
      </w:r>
    </w:p>
  </w:footnote>
  <w:footnote w:id="2618">
    <w:p>
      <w:pPr>
        <w:pStyle w:val="Funote"/>
        <w:rPr/>
      </w:pPr>
      <w:r>
        <w:rPr/>
        <w:footnoteRef/>
        <w:tab/>
        <w:t>Inf. abs.</w:t>
      </w:r>
    </w:p>
  </w:footnote>
  <w:footnote w:id="2619">
    <w:p>
      <w:pPr>
        <w:pStyle w:val="Funote"/>
        <w:rPr/>
      </w:pPr>
      <w:r>
        <w:rPr/>
        <w:footnoteRef/>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2620">
    <w:p>
      <w:pPr>
        <w:pStyle w:val="Funote"/>
        <w:rPr/>
      </w:pPr>
      <w:r>
        <w:rPr>
          <w:i/>
        </w:rPr>
        <w:footnoteRef/>
        <w:tab/>
        <w:t>Unzucht</w:t>
      </w:r>
      <w:r>
        <w:rPr/>
        <w:t xml:space="preserve"> - Im Hebr. Plural, einige Übersetzungen haben den Singular.</w:t>
      </w:r>
    </w:p>
  </w:footnote>
  <w:footnote w:id="2621">
    <w:p>
      <w:pPr>
        <w:pStyle w:val="Funote"/>
        <w:rPr/>
      </w:pPr>
      <w:r>
        <w:rPr/>
        <w:footnoteRef/>
        <w:tab/>
        <w:t>Böses - Im Hebr. Plural, die LXX und VUL haben den Singular.</w:t>
      </w:r>
    </w:p>
  </w:footnote>
  <w:footnote w:id="2622">
    <w:p>
      <w:pPr>
        <w:pStyle w:val="Funote"/>
        <w:rPr/>
      </w:pPr>
      <w:r>
        <w:rPr>
          <w:i/>
        </w:rPr>
        <w:footnoteRef/>
        <w:tab/>
        <w:t>[Daher (deshalb)] wurden versagt (entzogen)</w:t>
      </w:r>
      <w:r>
        <w:rPr/>
        <w:t xml:space="preserve"> - Im Hebräischen Wayyiqtol, daher ist im Dt. am sinnvollsten mit „daher“ oder „deshalb“ anzuschließen.</w:t>
      </w:r>
    </w:p>
  </w:footnote>
  <w:footnote w:id="2623">
    <w:p>
      <w:pPr>
        <w:pStyle w:val="Funote"/>
        <w:rPr/>
      </w:pPr>
      <w:r>
        <w:rPr>
          <w:i/>
        </w:rPr>
        <w:footnoteRef/>
        <w:tab/>
        <w:t>fiel</w:t>
      </w:r>
      <w:r>
        <w:rPr/>
        <w:t xml:space="preserve"> - W.: "war", „geschah“.</w:t>
      </w:r>
    </w:p>
  </w:footnote>
  <w:footnote w:id="2624">
    <w:p>
      <w:pPr>
        <w:pStyle w:val="Funote"/>
        <w:rPr/>
      </w:pPr>
      <w:r>
        <w:rPr/>
        <w:footnoteRef/>
        <w:tab/>
        <w:t>Spätregen fällt in Israel im März/ April.</w:t>
      </w:r>
    </w:p>
  </w:footnote>
  <w:footnote w:id="2625">
    <w:p>
      <w:pPr>
        <w:pStyle w:val="Funote"/>
        <w:rPr/>
      </w:pPr>
      <w:r>
        <w:rPr>
          <w:i/>
        </w:rPr>
        <w:footnoteRef/>
        <w:tab/>
        <w:t>die hurt</w:t>
      </w:r>
      <w:r>
        <w:rPr/>
        <w:t xml:space="preserve"> - Partizip Qal Sg. fem., relativisch aufgelöst. Man könnte auch zusammenziehen: „die Hure“.</w:t>
      </w:r>
    </w:p>
  </w:footnote>
  <w:footnote w:id="2626">
    <w:p>
      <w:pPr>
        <w:pStyle w:val="Funote"/>
        <w:rPr/>
      </w:pPr>
      <w:r>
        <w:rPr>
          <w:i/>
        </w:rPr>
        <w:footnoteRef/>
        <w:tab/>
        <w:t>die sich weigert</w:t>
      </w:r>
      <w:r>
        <w:rPr/>
        <w:t xml:space="preserve"> - Partizip Hif'il Sg. fem., relativisch aufgelöst.</w:t>
      </w:r>
    </w:p>
  </w:footnote>
  <w:footnote w:id="2627">
    <w:p>
      <w:pPr>
        <w:pStyle w:val="Funote"/>
        <w:rPr/>
      </w:pPr>
      <w:r>
        <w:rPr>
          <w:i/>
        </w:rPr>
        <w:footnoteRef/>
        <w:tab/>
        <w:t>Rufst</w:t>
      </w:r>
      <w:r>
        <w:rPr/>
        <w:t xml:space="preserve"> - Das Ketib hat die 1.Sg. = „ich rufe“; zu lesen ist mit dem Qere die 2.Sg.fem.</w:t>
      </w:r>
    </w:p>
  </w:footnote>
  <w:footnote w:id="2628">
    <w:p>
      <w:pPr>
        <w:pStyle w:val="Funote"/>
        <w:rPr/>
      </w:pPr>
      <w:r>
        <w:rPr/>
        <w:footnoteRef/>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629">
    <w:p>
      <w:pPr>
        <w:pStyle w:val="Funote"/>
        <w:rPr/>
      </w:pPr>
      <w:r>
        <w:rPr/>
        <w:footnoteRef/>
        <w:tab/>
        <w:t>mein Vater - Rudolf meint, dieses Wort sei zu streichen, da es aus V. 19 hier eingefügt wurde (Rudolph 1968, S. 24).</w:t>
      </w:r>
    </w:p>
  </w:footnote>
  <w:footnote w:id="2630">
    <w:p>
      <w:pPr>
        <w:pStyle w:val="Funote"/>
        <w:rPr/>
      </w:pPr>
      <w:r>
        <w:rPr/>
        <w:footnoteRef/>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631">
    <w:p>
      <w:pPr>
        <w:pStyle w:val="Funote"/>
        <w:rPr/>
      </w:pPr>
      <w:r>
        <w:rPr>
          <w:i/>
        </w:rPr>
        <w:footnoteRef/>
        <w:tab/>
        <w:t>hast du geredet</w:t>
      </w:r>
      <w:r>
        <w:rPr/>
        <w:t xml:space="preserve"> - Das Ketib hat die 1.Sg. = „ich habe geredet“; zu lesen ist mit dem Qere die 2.Sg.fem.</w:t>
      </w:r>
    </w:p>
  </w:footnote>
  <w:footnote w:id="2632">
    <w:p>
      <w:pPr>
        <w:pStyle w:val="Funote"/>
        <w:rPr/>
      </w:pPr>
      <w:r>
        <w:rPr>
          <w:i/>
        </w:rPr>
        <w:footnoteRef/>
        <w:tab/>
        <w:t>das Böse</w:t>
      </w:r>
      <w:r>
        <w:rPr/>
        <w:t xml:space="preserve"> - Im Hebr. Pl.</w:t>
      </w:r>
    </w:p>
  </w:footnote>
  <w:footnote w:id="2633">
    <w:p>
      <w:pPr>
        <w:pStyle w:val="Funote"/>
        <w:rPr/>
      </w:pPr>
      <w:r>
        <w:rPr>
          <w:i/>
        </w:rPr>
        <w:footnoteRef/>
        <w:tab/>
        <w:t>das</w:t>
      </w:r>
      <w:r>
        <w:rPr/>
        <w:t xml:space="preserve"> - W.: „die“; Israel ist im Hebr. fem.</w:t>
      </w:r>
    </w:p>
  </w:footnote>
  <w:footnote w:id="2634">
    <w:p>
      <w:pPr>
        <w:pStyle w:val="Funote"/>
        <w:rPr/>
      </w:pPr>
      <w:r>
        <w:rPr/>
        <w:footnoteRef/>
        <w:tab/>
        <w:t>abtrünnige - im Heb. Nomen statt Adjektiv: „Israel, die Abtrünnige“; Rudolph 1968 sieht darin sogar einen Abstraktbegriff, der wie ein alternativer Eigenname für „Israel“ fungiert: „Israel, die Abrünnigkeit“.</w:t>
      </w:r>
    </w:p>
  </w:footnote>
  <w:footnote w:id="2635">
    <w:p>
      <w:pPr>
        <w:pStyle w:val="Funote"/>
        <w:rPr/>
      </w:pPr>
      <w:r>
        <w:rPr>
          <w:i/>
        </w:rPr>
        <w:footnoteRef/>
        <w:tab/>
        <w:t>steigt</w:t>
      </w:r>
      <w:r>
        <w:rPr/>
        <w:t xml:space="preserve"> - W.: „geht“, Partizip Sg. fem. Qal</w:t>
      </w:r>
    </w:p>
  </w:footnote>
  <w:footnote w:id="2636">
    <w:p>
      <w:pPr>
        <w:pStyle w:val="Funote"/>
        <w:rPr/>
      </w:pPr>
      <w:r>
        <w:rPr>
          <w:i/>
        </w:rPr>
        <w:footnoteRef/>
        <w:tab/>
        <w:t>fremd geht (Unzucht treibt, hurt)</w:t>
      </w:r>
      <w:r>
        <w:rPr/>
        <w:t xml:space="preserve">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637">
    <w:p>
      <w:pPr>
        <w:pStyle w:val="Funote"/>
        <w:rPr/>
      </w:pPr>
      <w:r>
        <w:rPr>
          <w:i/>
        </w:rPr>
        <w:footnoteRef/>
        <w:tab/>
        <w:t>[Da] sagte (dachte)</w:t>
      </w:r>
      <w:r>
        <w:rPr/>
        <w:t xml:space="preserve"> - Im Heb. Wayyiqtol; im Dt. ist daher besser mit „Da“ anzuschließen.</w:t>
      </w:r>
    </w:p>
  </w:footnote>
  <w:footnote w:id="2638">
    <w:p>
      <w:pPr>
        <w:pStyle w:val="Funote"/>
        <w:rPr/>
      </w:pPr>
      <w:r>
        <w:rPr/>
        <w:footnoteRef/>
        <w:tab/>
        <w:t>ich - Sprecher ist JHWH.</w:t>
      </w:r>
    </w:p>
  </w:footnote>
  <w:footnote w:id="2639">
    <w:p>
      <w:pPr>
        <w:pStyle w:val="Funote"/>
        <w:rPr/>
      </w:pPr>
      <w:r>
        <w:rPr>
          <w:i/>
        </w:rPr>
        <w:footnoteRef/>
        <w:tab/>
        <w:t>treulose</w:t>
      </w:r>
      <w:r>
        <w:rPr/>
        <w:t xml:space="preserve"> - Im Hebr. ein Nomen; Rudolph übersetzt es wie V. 6 als Eigenname.</w:t>
      </w:r>
    </w:p>
  </w:footnote>
  <w:footnote w:id="2640">
    <w:p>
      <w:pPr>
        <w:pStyle w:val="Funote"/>
        <w:rPr/>
      </w:pPr>
      <w:r>
        <w:rPr>
          <w:i/>
        </w:rPr>
        <w:footnoteRef/>
        <w:tab/>
        <w:t>[Da] sah</w:t>
      </w:r>
      <w:r>
        <w:rPr/>
        <w:t xml:space="preserve"> - Im Heb. Wayyiqtol; im Dt. ist daher besser mit „Da“ anzuschließen. Das Ketib 1.Sg. („ich sah“) ist zu ersetzen durch das Qere 2.Sg.</w:t>
      </w:r>
    </w:p>
  </w:footnote>
  <w:footnote w:id="2641">
    <w:p>
      <w:pPr>
        <w:pStyle w:val="Funote"/>
        <w:rPr/>
      </w:pPr>
      <w:r>
        <w:rPr>
          <w:i/>
        </w:rPr>
        <w:footnoteRef/>
        <w:tab/>
        <w:t>weil das abtrünnige Israel fremging (die Ehe brach)</w:t>
      </w:r>
      <w:r>
        <w:rPr/>
        <w:t xml:space="preserve"> - W.: „Da sah es, dass wegen dessen, wovon gilt: das abtrünnige Israel brach die Ehe“.</w:t>
      </w:r>
    </w:p>
  </w:footnote>
  <w:footnote w:id="2642">
    <w:p>
      <w:pPr>
        <w:pStyle w:val="Funote"/>
        <w:rPr/>
      </w:pPr>
      <w:r>
        <w:rPr>
          <w:i/>
        </w:rPr>
        <w:footnoteRef/>
        <w:tab/>
        <w:t>leichtfertiges</w:t>
      </w:r>
      <w:r>
        <w:rPr/>
        <w:t xml:space="preserve">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643">
    <w:p>
      <w:pPr>
        <w:pStyle w:val="Funote"/>
        <w:rPr/>
      </w:pPr>
      <w:r>
        <w:rPr>
          <w:i/>
        </w:rPr>
        <w:footnoteRef/>
        <w:tab/>
        <w:t>Stein</w:t>
      </w:r>
      <w:r>
        <w:rPr/>
        <w:t xml:space="preserve"> = die dem Ba'al geweihten "Höhen"</w:t>
      </w:r>
    </w:p>
  </w:footnote>
  <w:footnote w:id="2644">
    <w:p>
      <w:pPr>
        <w:pStyle w:val="Funote"/>
        <w:rPr/>
      </w:pPr>
      <w:r>
        <w:rPr/>
        <w:footnoteRef/>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645">
    <w:p>
      <w:pPr>
        <w:pStyle w:val="Funote"/>
        <w:rPr/>
      </w:pPr>
      <w:r>
        <w:rPr>
          <w:i/>
        </w:rPr>
        <w:footnoteRef/>
        <w:tab/>
        <w:t>Trotzdem</w:t>
      </w:r>
      <w:r>
        <w:rPr/>
        <w:t xml:space="preserve"> - W.: „auch wegen all diesem“.</w:t>
      </w:r>
    </w:p>
  </w:footnote>
  <w:footnote w:id="2646">
    <w:p>
      <w:pPr>
        <w:pStyle w:val="Funote"/>
        <w:rPr/>
      </w:pPr>
      <w:r>
        <w:rPr/>
        <w:footnoteRef/>
        <w:tab/>
        <w:t>Schuld (Sünde, Vergehen) - Der Begriff „Sünde“ ist problematisch, weil er für heutige Menschen übersetzungsbedürftig ist. Hier soll „Schuld“ als Begriff für Vergehen gegen JHWH verstanden und verwendet werden.</w:t>
      </w:r>
    </w:p>
  </w:footnote>
  <w:footnote w:id="2647">
    <w:p>
      <w:pPr>
        <w:pStyle w:val="Funote"/>
        <w:rPr/>
      </w:pPr>
      <w:r>
        <w:rPr/>
        <w:footnoteRef/>
        <w:tab/>
        <w:t>habt ihr - Wechsel der Person von 2.Sg. auf 2.Pl., weshalb Rudolph vorschlägt, mit der LXX die 2.Sg. = „</w:t>
      </w:r>
      <w:r>
        <w:rPr>
          <w:rtl w:val="true"/>
          <w:lang w:bidi="he-IL"/>
        </w:rPr>
        <w:t>שֶׁמֵעֵתְּ</w:t>
      </w:r>
      <w:r>
        <w:rPr/>
        <w:t xml:space="preserve">“ </w:t>
      </w:r>
      <w:r>
        <w:rPr/>
        <w:t>(„du hörst“) zu lesen.</w:t>
      </w:r>
    </w:p>
  </w:footnote>
  <w:footnote w:id="2648">
    <w:p>
      <w:pPr>
        <w:pStyle w:val="Funote"/>
        <w:rPr/>
      </w:pPr>
      <w:r>
        <w:rPr>
          <w:i/>
        </w:rPr>
        <w:footnoteRef/>
        <w:tab/>
        <w:t>Kinder</w:t>
      </w:r>
      <w:r>
        <w:rPr/>
        <w:t xml:space="preserve"> - W.: Söhne</w:t>
      </w:r>
    </w:p>
  </w:footnote>
  <w:footnote w:id="2649">
    <w:p>
      <w:pPr>
        <w:pStyle w:val="Funote"/>
        <w:rPr/>
      </w:pPr>
      <w:r>
        <w:rPr>
          <w:i/>
        </w:rPr>
        <w:footnoteRef/>
        <w:tab/>
        <w:t>habe euch in Besitz genommen (bin euer Herr)</w:t>
      </w:r>
      <w:r>
        <w:rPr/>
        <w:t xml:space="preserve">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650">
    <w:p>
      <w:pPr>
        <w:pStyle w:val="Funote"/>
        <w:rPr/>
      </w:pPr>
      <w:r>
        <w:rPr/>
        <w:footnoteRef/>
        <w:tab/>
        <w:t>Lade des Bundes JHWHs - Nicht die Bundeslade, sondern die Lade des JHWH-Bundes!</w:t>
      </w:r>
    </w:p>
  </w:footnote>
  <w:footnote w:id="2651">
    <w:p>
      <w:pPr>
        <w:pStyle w:val="Funote"/>
        <w:rPr/>
      </w:pPr>
      <w:r>
        <w:rPr>
          <w:i/>
        </w:rPr>
        <w:footnoteRef/>
        <w:tab/>
        <w:t>aufs Herz (in den Sinn)</w:t>
      </w:r>
      <w:r>
        <w:rPr/>
        <w:t xml:space="preserve"> - Im alten Israel wurde das „Herz“ oft nicht als Sitz der Emotionen, sondern als Sitz der Gedanken angesehen; daher besser: „in den Sinn“.</w:t>
      </w:r>
    </w:p>
  </w:footnote>
  <w:footnote w:id="2652">
    <w:p>
      <w:pPr>
        <w:pStyle w:val="Funote"/>
        <w:rPr/>
      </w:pPr>
      <w:r>
        <w:rPr/>
        <w:footnoteRef/>
        <w:tab/>
        <w:t>Ab hier spricht wieder JHWH.</w:t>
      </w:r>
    </w:p>
  </w:footnote>
  <w:footnote w:id="2653">
    <w:p>
      <w:pPr>
        <w:pStyle w:val="Funote"/>
        <w:rPr/>
      </w:pPr>
      <w:r>
        <w:rPr>
          <w:i/>
        </w:rPr>
        <w:footnoteRef/>
        <w:tab/>
        <w:t>Kindern</w:t>
      </w:r>
      <w:r>
        <w:rPr/>
        <w:t xml:space="preserve"> - W.: Söhnen</w:t>
      </w:r>
    </w:p>
  </w:footnote>
  <w:footnote w:id="2654">
    <w:p>
      <w:pPr>
        <w:pStyle w:val="Funote"/>
        <w:rPr/>
      </w:pPr>
      <w:r>
        <w:rPr/>
        <w:footnoteRef/>
        <w:tab/>
        <w:t>herrlichsten - W.: "Herrlichkeit der Herrlichkeiten", eine der hebr. Möglichkeiten, den Superlativ auszudrücken (Rudolph 1968, S. 28).</w:t>
      </w:r>
    </w:p>
  </w:footnote>
  <w:footnote w:id="2655">
    <w:p>
      <w:pPr>
        <w:pStyle w:val="Funote"/>
        <w:rPr/>
      </w:pPr>
      <w:r>
        <w:rPr/>
        <w:footnoteRef/>
        <w:tab/>
        <w:t>ihr mich nennen - Das Qere will 2.fem.Sg. lesen; richtig ist das Ketib 2.Pl. (Rudolph 1968, S. 28).</w:t>
      </w:r>
    </w:p>
  </w:footnote>
  <w:footnote w:id="2656">
    <w:p>
      <w:pPr>
        <w:pStyle w:val="Funote"/>
        <w:rPr/>
      </w:pPr>
      <w:r>
        <w:rPr>
          <w:i/>
        </w:rPr>
        <w:footnoteRef/>
        <w:tab/>
        <w:t>ihr euch nicht kehren</w:t>
      </w:r>
      <w:r>
        <w:rPr/>
        <w:t xml:space="preserve"> - Das Qere will 2.fem.Sg. lesen; richtig ist das Ketib 2.Pl.</w:t>
      </w:r>
    </w:p>
  </w:footnote>
  <w:footnote w:id="2657">
    <w:p>
      <w:pPr>
        <w:pStyle w:val="Funote"/>
        <w:rPr/>
      </w:pPr>
      <w:r>
        <w:rPr>
          <w:i/>
        </w:rPr>
        <w:footnoteRef/>
        <w:tab/>
        <w:t>Aber [wie] eine Frau treulos ist von</w:t>
      </w:r>
      <w:r>
        <w:rPr/>
        <w:t xml:space="preserve">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658">
    <w:p>
      <w:pPr>
        <w:pStyle w:val="Funote"/>
        <w:rPr/>
      </w:pPr>
      <w:r>
        <w:rPr>
          <w:i/>
        </w:rPr>
        <w:footnoteRef/>
        <w:tab/>
        <w:t>Kinder</w:t>
      </w:r>
      <w:r>
        <w:rPr/>
        <w:t xml:space="preserve"> - W.: Söhne</w:t>
      </w:r>
    </w:p>
  </w:footnote>
  <w:footnote w:id="2659">
    <w:p>
      <w:pPr>
        <w:pStyle w:val="Funote"/>
        <w:rPr/>
      </w:pPr>
      <w:r>
        <w:rPr/>
        <w:footnoteRef/>
        <w:tab/>
        <w:t>wörtl.: Söhne</w:t>
      </w:r>
    </w:p>
  </w:footnote>
  <w:footnote w:id="2660">
    <w:p>
      <w:pPr>
        <w:pStyle w:val="Funote"/>
        <w:rPr/>
      </w:pPr>
      <w:r>
        <w:rPr>
          <w:i/>
        </w:rPr>
        <w:footnoteRef/>
        <w:tab/>
        <w:t>der Schändliche</w:t>
      </w:r>
      <w:r>
        <w:rPr/>
        <w:t xml:space="preserve"> - Heb. </w:t>
      </w:r>
      <w:r>
        <w:rPr>
          <w:rtl w:val="true"/>
          <w:lang w:bidi="he-IL"/>
        </w:rPr>
        <w:t>בֹשֶׁת</w:t>
      </w:r>
      <w:r>
        <w:rPr/>
        <w:t xml:space="preserve">, Schimpfname Ba'als; ähnlich in „Isch-Boschät“, dem Namen von Sauls Sohn in </w:t>
      </w:r>
      <w:hyperlink r:id="rId198">
        <w:r>
          <w:rPr>
            <w:rStyle w:val="Internetverknpfung"/>
          </w:rPr>
          <w:t>2 Sam 2,4</w:t>
        </w:r>
      </w:hyperlink>
      <w:r>
        <w:rPr/>
        <w:t>.</w:t>
      </w:r>
    </w:p>
  </w:footnote>
  <w:footnote w:id="2661">
    <w:p>
      <w:pPr>
        <w:pStyle w:val="Funote"/>
        <w:rPr/>
      </w:pPr>
      <w:r>
        <w:rPr>
          <w:i/>
        </w:rPr>
        <w:footnoteRef/>
        <w:tab/>
        <w:t>von ... [an]</w:t>
      </w:r>
      <w:r>
        <w:rPr/>
        <w:t xml:space="preserve"> - </w:t>
      </w:r>
      <w:r>
        <w:rPr>
          <w:rtl w:val="true"/>
          <w:lang w:bidi="he-IL"/>
        </w:rPr>
        <w:t>מִן</w:t>
      </w:r>
      <w:r>
        <w:rPr/>
        <w:t xml:space="preserve"> </w:t>
      </w:r>
      <w:r>
        <w:rPr/>
        <w:t>hier zeitlich aufgefasst.</w:t>
      </w:r>
    </w:p>
  </w:footnote>
  <w:footnote w:id="2662">
    <w:p>
      <w:pPr>
        <w:pStyle w:val="Funote"/>
        <w:rPr/>
      </w:pPr>
      <w:r>
        <w:rPr>
          <w:i/>
        </w:rPr>
        <w:footnoteRef/>
        <w:tab/>
        <w:t>Kleinvieh</w:t>
      </w:r>
      <w:r>
        <w:rPr/>
        <w:t xml:space="preserve"> - W.: „Schafe und Ziegen“</w:t>
      </w:r>
    </w:p>
  </w:footnote>
  <w:footnote w:id="2663">
    <w:p>
      <w:pPr>
        <w:pStyle w:val="Funote"/>
        <w:rPr/>
      </w:pPr>
      <w:r>
        <w:rPr/>
        <w:footnoteRef/>
        <w:tab/>
        <w:t>gemeint ist das Kultbild des "heidnischen" Gottes</w:t>
      </w:r>
    </w:p>
  </w:footnote>
  <w:footnote w:id="2664">
    <w:p>
      <w:pPr>
        <w:pStyle w:val="Funote"/>
        <w:rPr/>
      </w:pPr>
      <w:r>
        <w:rPr/>
        <w:footnoteRef/>
        <w:tab/>
        <w:t>vor Angst</w:t>
      </w:r>
    </w:p>
  </w:footnote>
  <w:footnote w:id="2665">
    <w:p>
      <w:pPr>
        <w:pStyle w:val="Funote"/>
        <w:rPr/>
      </w:pPr>
      <w:r>
        <w:rPr/>
        <w:footnoteRef/>
        <w:tab/>
        <w:t xml:space="preserve">Statt "ihm" (= JHWH) schlägt Rudolph vor, </w:t>
      </w:r>
      <w:r>
        <w:rPr>
          <w:rtl w:val="true"/>
          <w:lang w:bidi="he-IL"/>
        </w:rPr>
        <w:t>בְךָ</w:t>
      </w:r>
      <w:r>
        <w:rPr/>
        <w:t xml:space="preserve"> </w:t>
      </w:r>
      <w:r>
        <w:rPr/>
        <w:t>zu lesen, "in dir", vgl. Kommentar S. 28</w:t>
      </w:r>
    </w:p>
  </w:footnote>
  <w:footnote w:id="2666">
    <w:p>
      <w:pPr>
        <w:pStyle w:val="Funote"/>
        <w:rPr/>
      </w:pPr>
      <w:r>
        <w:rPr/>
        <w:footnoteRef/>
        <w:tab/>
        <w:t>Grundbedeutung: „kehren, wenden“. Die Bewegunsrichtung ist offen, lässt sich aber erschließen. Eindeutig ist der Gegensatz bei Fallen und aufstehen. In den VV 5-7 wird das Thema variiert.</w:t>
      </w:r>
    </w:p>
  </w:footnote>
  <w:footnote w:id="2667">
    <w:p>
      <w:pPr>
        <w:pStyle w:val="Funote"/>
        <w:rPr/>
      </w:pPr>
      <w:r>
        <w:rPr/>
        <w:footnoteRef/>
        <w:tab/>
        <w:t>Siehe Anmerkung zu „wenden“</w:t>
      </w:r>
    </w:p>
  </w:footnote>
  <w:footnote w:id="2668">
    <w:p>
      <w:pPr>
        <w:pStyle w:val="Funote"/>
        <w:rPr/>
      </w:pPr>
      <w:r>
        <w:rPr/>
        <w:footnoteRef/>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669">
    <w:p>
      <w:pPr>
        <w:pStyle w:val="Funote"/>
        <w:rPr/>
      </w:pPr>
      <w:r>
        <w:rPr/>
        <w:footnoteRef/>
        <w:tab/>
        <w:t>'Jerusalem" fällt aus der Satzkonstruktion. Wahrscheinlich eine spätere Ergänzung, siehe Schmidt 2008, S. 191</w:t>
      </w:r>
    </w:p>
  </w:footnote>
  <w:footnote w:id="2670">
    <w:p>
      <w:pPr>
        <w:pStyle w:val="Funote"/>
        <w:rPr/>
      </w:pPr>
      <w:r>
        <w:rPr/>
        <w:footnoteRef/>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671">
    <w:p>
      <w:pPr>
        <w:pStyle w:val="Funote"/>
        <w:rPr/>
      </w:pPr>
      <w:r>
        <w:rPr/>
        <w:footnoteRef/>
        <w:tab/>
        <w:t>wörtlich: „kein Mann bereut seine Bosheit“</w:t>
      </w:r>
    </w:p>
  </w:footnote>
  <w:footnote w:id="2672">
    <w:p>
      <w:pPr>
        <w:pStyle w:val="Funote"/>
        <w:rPr/>
      </w:pPr>
      <w:r>
        <w:rPr>
          <w:rtl w:val="true"/>
          <w:lang w:bidi="he-IL"/>
        </w:rPr>
        <w:footnoteRef/>
        <w:tab/>
        <w:t>לֵאמֹר</w:t>
      </w:r>
      <w:r>
        <w:rPr/>
        <w:t xml:space="preserve"> </w:t>
      </w:r>
      <w:r>
        <w:rPr/>
        <w:t>darf ausnamswiese übersetzt werden, weil sonst die wörtliche Rede ohne nötige Einleitung bliebe.</w:t>
      </w:r>
    </w:p>
  </w:footnote>
  <w:footnote w:id="2673">
    <w:p>
      <w:pPr>
        <w:pStyle w:val="Funote"/>
        <w:rPr/>
      </w:pPr>
      <w:r>
        <w:rPr/>
        <w:footnoteRef/>
        <w:tab/>
        <w:t>dies ist die wörtliche Übersetzung, die im deutschen allerdings schlecht zum Ausdruck bringt, dass es sich wohl um ein Fortlaufen in die falsche Richtung handelt.</w:t>
      </w:r>
    </w:p>
  </w:footnote>
  <w:footnote w:id="2674">
    <w:p>
      <w:pPr>
        <w:pStyle w:val="Funote"/>
        <w:rPr/>
      </w:pPr>
      <w:r>
        <w:rPr/>
        <w:footnoteRef/>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675">
    <w:p>
      <w:pPr>
        <w:pStyle w:val="Funote"/>
        <w:rPr/>
      </w:pPr>
      <w:r>
        <w:rPr/>
        <w:footnoteRef/>
        <w:tab/>
        <w:t>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w:t>
        <w:br/>
        <w:t> </w:t>
      </w:r>
    </w:p>
  </w:footnote>
  <w:footnote w:id="2676">
    <w:p>
      <w:pPr>
        <w:pStyle w:val="Funote"/>
        <w:rPr/>
      </w:pPr>
      <w:r>
        <w:rPr/>
        <w:footnoteRef/>
        <w:tab/>
        <w:t>Waw adversativum</w:t>
      </w:r>
    </w:p>
  </w:footnote>
  <w:footnote w:id="2677">
    <w:p>
      <w:pPr>
        <w:pStyle w:val="Funote"/>
        <w:rPr/>
      </w:pPr>
      <w:r>
        <w:rPr/>
        <w:footnoteRef/>
        <w:tab/>
        <w:t>Wörtlich: „für sie“.</w:t>
      </w:r>
    </w:p>
  </w:footnote>
  <w:footnote w:id="2678">
    <w:p>
      <w:pPr>
        <w:pStyle w:val="Funote"/>
        <w:rPr/>
      </w:pPr>
      <w:r>
        <w:rPr/>
        <w:footnoteRef/>
        <w:tab/>
        <w:t>[Status: Ungeprüft]</w:t>
      </w:r>
    </w:p>
  </w:footnote>
  <w:footnote w:id="2679">
    <w:p>
      <w:pPr>
        <w:pStyle w:val="Funote"/>
        <w:rPr/>
      </w:pPr>
      <w:r>
        <w:rPr/>
        <w:footnoteRef/>
        <w:tab/>
        <w:t xml:space="preserve">Dieser Vers ist auf Aramäisch verfasst (sonst </w:t>
      </w:r>
      <w:r>
        <w:fldChar w:fldCharType="begin"/>
      </w:r>
      <w:r>
        <w:instrText> HYPERLINK "file:///wiki/Daniel_2" \l "s4"</w:instrText>
      </w:r>
      <w:r>
        <w:fldChar w:fldCharType="separate"/>
      </w:r>
      <w:r>
        <w:rPr>
          <w:rStyle w:val="Internetverknpfung"/>
        </w:rPr>
        <w:t>Dan 2,4b</w:t>
      </w:r>
      <w:r>
        <w:fldChar w:fldCharType="end"/>
      </w:r>
      <w:r>
        <w:rPr/>
        <w:t>-</w:t>
      </w:r>
      <w:hyperlink r:id="rId199">
        <w:r>
          <w:rPr>
            <w:rStyle w:val="Internetverknpfung"/>
          </w:rPr>
          <w:t>7,28</w:t>
        </w:r>
      </w:hyperlink>
      <w:r>
        <w:rPr/>
        <w:t xml:space="preserve">; </w:t>
      </w:r>
      <w:r>
        <w:fldChar w:fldCharType="begin"/>
      </w:r>
      <w:r>
        <w:instrText> HYPERLINK "file:///wiki/Esra_4" \l "s8"</w:instrText>
      </w:r>
      <w:r>
        <w:fldChar w:fldCharType="separate"/>
      </w:r>
      <w:r>
        <w:rPr>
          <w:rStyle w:val="Internetverknpfung"/>
        </w:rPr>
        <w:t>Esr 4,8</w:t>
      </w:r>
      <w:r>
        <w:fldChar w:fldCharType="end"/>
      </w:r>
      <w:r>
        <w:rPr/>
        <w:t>-</w:t>
      </w:r>
      <w:r>
        <w:fldChar w:fldCharType="begin"/>
      </w:r>
      <w:r>
        <w:instrText> HYPERLINK "file:///wiki/Esra_6" \l "s18"</w:instrText>
      </w:r>
      <w:r>
        <w:fldChar w:fldCharType="separate"/>
      </w:r>
      <w:r>
        <w:rPr>
          <w:rStyle w:val="Internetverknpfung"/>
        </w:rPr>
        <w:t>6,18</w:t>
      </w:r>
      <w:r>
        <w:fldChar w:fldCharType="end"/>
      </w:r>
      <w:r>
        <w:rPr/>
        <w:t xml:space="preserve">; </w:t>
      </w:r>
      <w:r>
        <w:fldChar w:fldCharType="begin"/>
      </w:r>
      <w:r>
        <w:instrText> HYPERLINK "file:///wiki/Esra_7" \l "s12"</w:instrText>
      </w:r>
      <w:r>
        <w:fldChar w:fldCharType="separate"/>
      </w:r>
      <w:r>
        <w:rPr>
          <w:rStyle w:val="Internetverknpfung"/>
        </w:rPr>
        <w:t>7,12-26</w:t>
      </w:r>
      <w:r>
        <w:fldChar w:fldCharType="end"/>
      </w:r>
      <w:r>
        <w:rPr/>
        <w:t xml:space="preserve"> und Teile von </w:t>
      </w:r>
      <w:hyperlink r:id="rId200">
        <w:r>
          <w:rPr>
            <w:rStyle w:val="Internetverknpfung"/>
          </w:rPr>
          <w:t>Gen 31,47</w:t>
        </w:r>
      </w:hyperlink>
      <w:r>
        <w:rPr/>
        <w:t xml:space="preserve">). Manche nehmen an, es handele sich um eine spätere Einfügung, doch er scheint gut in den Kontext zu passen. Für eine gute Zusammenfassung siehe NET Jer 10,11, Fußnote 23. </w:t>
      </w:r>
    </w:p>
  </w:footnote>
  <w:footnote w:id="2680">
    <w:p>
      <w:pPr>
        <w:pStyle w:val="Funote"/>
        <w:rPr/>
      </w:pPr>
      <w:r>
        <w:rPr>
          <w:i/>
        </w:rPr>
        <w:footnoteRef/>
        <w:tab/>
        <w:t>diesem</w:t>
      </w:r>
      <w:r>
        <w:rPr/>
        <w:t xml:space="preserve"> Das einzige hebräische Wort im Satz steht ganz am Ende und bezieht sich wohl auf den Himmel (so Fischer), alternativ auf die Götter (so Keil, zitiert bei Fischer; Fischer 2005, 376). Bauer und Leander verstehen es dagegen als „soweit (reicht die aram. Glosse)“ (Bauer, Grammatik, 68). </w:t>
      </w:r>
    </w:p>
  </w:footnote>
  <w:footnote w:id="2681">
    <w:p>
      <w:pPr>
        <w:pStyle w:val="Funote"/>
        <w:rPr/>
      </w:pPr>
      <w:r>
        <w:rPr/>
        <w:footnoteRef/>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682">
    <w:p>
      <w:pPr>
        <w:pStyle w:val="Funote"/>
        <w:rPr/>
      </w:pPr>
      <w:r>
        <w:rPr/>
        <w:footnoteRef/>
        <w:tab/>
        <w:t xml:space="preserve">Hebr. </w:t>
      </w:r>
      <w:r>
        <w:rPr>
          <w:rtl w:val="true"/>
          <w:lang w:bidi="he-IL"/>
        </w:rPr>
        <w:t>פתה</w:t>
      </w:r>
      <w:r>
        <w:rPr/>
        <w:t>.</w:t>
      </w:r>
    </w:p>
  </w:footnote>
  <w:footnote w:id="2683">
    <w:p>
      <w:pPr>
        <w:pStyle w:val="Funote"/>
        <w:rPr/>
      </w:pPr>
      <w:r>
        <w:rPr/>
        <w:footnoteRef/>
        <w:tab/>
        <w:t xml:space="preserve">In der LXX fehlt </w:t>
      </w:r>
      <w:r>
        <w:rPr>
          <w:rtl w:val="true"/>
          <w:lang w:bidi="he-IL"/>
        </w:rPr>
        <w:t>בְלִּבִי</w:t>
      </w:r>
      <w:r>
        <w:rPr/>
        <w:t>. Im Sinne der lectio difficilior wird hier jedoch dem hebr. Text gefolgt; vgl. auch Jer 23,9.</w:t>
      </w:r>
    </w:p>
  </w:footnote>
  <w:footnote w:id="2684">
    <w:p>
      <w:pPr>
        <w:pStyle w:val="Funote"/>
        <w:rPr/>
      </w:pPr>
      <w:r>
        <w:rPr/>
        <w:footnoteRef/>
        <w:tab/>
        <w:t>Wörtlich: „Jeder Mensch meines Friedens“ (</w:t>
      </w:r>
      <w:r>
        <w:rPr>
          <w:rtl w:val="true"/>
          <w:lang w:bidi="he-IL"/>
        </w:rPr>
        <w:t>כֹּל אֱנֹושׁ שְׁלֹומִי</w:t>
      </w:r>
      <w:r>
        <w:rPr/>
        <w:t>).</w:t>
      </w:r>
    </w:p>
  </w:footnote>
  <w:footnote w:id="2685">
    <w:p>
      <w:pPr>
        <w:pStyle w:val="Funote"/>
        <w:rPr/>
      </w:pPr>
      <w:r>
        <w:rPr/>
        <w:footnoteRef/>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686">
    <w:p>
      <w:pPr>
        <w:pStyle w:val="Funote"/>
        <w:rPr/>
      </w:pPr>
      <w:r>
        <w:rPr/>
        <w:footnoteRef/>
        <w:tab/>
        <w:t xml:space="preserve">Pi’el-Form von </w:t>
      </w:r>
      <w:r>
        <w:rPr>
          <w:rtl w:val="true"/>
        </w:rPr>
        <w:t>‫</w:t>
      </w:r>
      <w:r>
        <w:rPr>
          <w:rtl w:val="true"/>
          <w:lang w:bidi="he-IL"/>
        </w:rPr>
        <w:t>גלה</w:t>
      </w:r>
      <w:r>
        <w:rPr/>
        <w:t>‬</w:t>
      </w:r>
      <w:r>
        <w:rPr/>
        <w:t>.</w:t>
      </w:r>
    </w:p>
  </w:footnote>
  <w:footnote w:id="2687">
    <w:p>
      <w:pPr>
        <w:pStyle w:val="Funote"/>
        <w:rPr/>
      </w:pPr>
      <w:r>
        <w:rPr/>
        <w:footnoteRef/>
        <w:tab/>
        <w:t>von der hebr. Wurzel yš' „helfen“ ist auch der Name Josua/ Jeshua/ Jesus gebildet</w:t>
      </w:r>
    </w:p>
  </w:footnote>
  <w:footnote w:id="2688">
    <w:p>
      <w:pPr>
        <w:pStyle w:val="Funote"/>
        <w:rPr/>
      </w:pPr>
      <w:r>
        <w:rPr/>
        <w:footnoteRef/>
        <w:tab/>
        <w:t>d.h. jüdische Exulanten</w:t>
      </w:r>
    </w:p>
  </w:footnote>
  <w:footnote w:id="2689">
    <w:p>
      <w:pPr>
        <w:pStyle w:val="Funote"/>
        <w:rPr/>
      </w:pPr>
      <w:r>
        <w:rPr/>
        <w:footnoteRef/>
        <w:tab/>
        <w:t>[S. dazu näher Stadtklagen (Alter Orient) (WiBiLex)); einige sumerische Stadtklagen finden sich hier im ETCSL unter 2.2]</w:t>
      </w:r>
    </w:p>
  </w:footnote>
  <w:footnote w:id="2690">
    <w:p>
      <w:pPr>
        <w:pStyle w:val="Funote"/>
        <w:rPr/>
      </w:pPr>
      <w:r>
        <w:rPr/>
        <w:footnoteRef/>
        <w:tab/>
        <w:t>[Status: Ungeprüft]</w:t>
      </w:r>
    </w:p>
  </w:footnote>
  <w:footnote w:id="2691">
    <w:p>
      <w:pPr>
        <w:pStyle w:val="Funote"/>
        <w:rPr/>
      </w:pPr>
      <w:r>
        <w:rPr/>
        <w:footnoteRef/>
        <w:tab/>
        <w:t>„</w:t>
      </w:r>
      <w:r>
        <w:rPr>
          <w:i/>
        </w:rPr>
        <w:t>Witwe</w:t>
      </w:r>
      <w:r>
        <w:rPr/>
        <w:t>“ ist hier ein Symbol für Hilflosigkeit und Einsamkeit.</w:t>
      </w:r>
    </w:p>
  </w:footnote>
  <w:footnote w:id="2692">
    <w:p>
      <w:pPr>
        <w:pStyle w:val="Funote"/>
        <w:rPr/>
      </w:pPr>
      <w:r>
        <w:rPr>
          <w:i/>
        </w:rPr>
        <w:footnoteRef/>
        <w:tab/>
        <w:t>Provinzen</w:t>
      </w:r>
      <w:r>
        <w:rPr/>
        <w:t xml:space="preserve"> - Das hebräische Wort </w:t>
      </w:r>
      <w:r>
        <w:rPr>
          <w:rtl w:val="true"/>
          <w:lang w:bidi="he-IL"/>
        </w:rPr>
        <w:t>מְדִינָה</w:t>
      </w:r>
      <w:r>
        <w:rPr/>
        <w:t xml:space="preserve"> </w:t>
      </w:r>
      <w:r>
        <w:rPr/>
        <w:t>(medînā) bezeichnet einen Bezirk oder ein Land, das unter der Rechtsprechung einer übergeordneten Regierung steht. Hier ist vielleicht an die Bezirke und Länder des davidischen Großreiches gedacht oder an die unter Josia zurückeroberten Bezirke Judas (vgl. Kraus S. 21).</w:t>
      </w:r>
    </w:p>
  </w:footnote>
  <w:footnote w:id="2693">
    <w:p>
      <w:pPr>
        <w:pStyle w:val="Funote"/>
        <w:rPr/>
      </w:pPr>
      <w:r>
        <w:rPr>
          <w:i/>
        </w:rPr>
        <w:footnoteRef/>
        <w:tab/>
        <w:t>zur Fronarbeiterin</w:t>
      </w:r>
      <w:r>
        <w:rPr/>
        <w:t xml:space="preserve"> - W. „zum Frondienst“; der abstrakte Begriff anstelle der konkreten Person (vgl. „die Jugend von heute“ statt „die Jugendlichen von heute“).</w:t>
      </w:r>
    </w:p>
  </w:footnote>
  <w:footnote w:id="2694">
    <w:p>
      <w:pPr>
        <w:pStyle w:val="Funote"/>
        <w:rPr/>
      </w:pPr>
      <w:r>
        <w:rPr/>
        <w:footnoteRef/>
        <w:tab/>
        <w:t>Beachte die chiastische Anordnung der Satzglieder in Zeilen 3.4 und 5.6.</w:t>
      </w:r>
    </w:p>
  </w:footnote>
  <w:footnote w:id="2695">
    <w:p>
      <w:pPr>
        <w:pStyle w:val="Funote"/>
        <w:rPr/>
      </w:pPr>
      <w:r>
        <w:rPr/>
        <w:footnoteRef/>
        <w:tab/>
        <w:t>[Bitter] weint sie - W. „weinen sie weint“; im Heb. wird ein Verb derart um den Infinitiv des selben Wortes erweitert, um es noch stärker zu machen. Manche Übersetzer (vgl. Kraus, ELB) versuchen die Wiederholung von „Weinen“ im hebräischen Text nachzuahmen: „Sie weint und weint“.</w:t>
      </w:r>
    </w:p>
  </w:footnote>
  <w:footnote w:id="2696">
    <w:p>
      <w:pPr>
        <w:pStyle w:val="Funote"/>
        <w:rPr/>
      </w:pPr>
      <w:r>
        <w:rPr/>
        <w:footnoteRef/>
        <w:tab/>
        <w:t xml:space="preserve">Die </w:t>
      </w:r>
      <w:r>
        <w:rPr>
          <w:i/>
        </w:rPr>
        <w:t>Liebhaber</w:t>
      </w:r>
      <w:r>
        <w:rPr/>
        <w:t xml:space="preserve"> und </w:t>
      </w:r>
      <w:r>
        <w:rPr>
          <w:i/>
        </w:rPr>
        <w:t>Freunde</w:t>
      </w:r>
      <w:r>
        <w:rPr/>
        <w:t xml:space="preserve"> sind die wechselnden Völker, mit denen Juda sich gegen Babylon verbündet hat; sie alle haben sich bei der Eroberung Jerusalems auf die Seite der Babylonier geschlagen.</w:t>
      </w:r>
    </w:p>
  </w:footnote>
  <w:footnote w:id="2697">
    <w:p>
      <w:pPr>
        <w:pStyle w:val="Funote"/>
        <w:rPr/>
      </w:pPr>
      <w:r>
        <w:rPr/>
        <w:footnoteRef/>
        <w:tab/>
        <w:t>Es gibt zwei Deutungen zu Vers 3a: 1. Juda musste aus (oder wegen) der bedrückenden Situation in der Heimat in die noch schlimmere Situation des babylonischen Exils auswandern. 2. Teile Judas sind vor der babylonischen Bedrohung in der Heimat nach Ägypten ausgewandert. (vgl. Kraus S. 22)</w:t>
      </w:r>
    </w:p>
  </w:footnote>
  <w:footnote w:id="2698">
    <w:p>
      <w:pPr>
        <w:pStyle w:val="Funote"/>
        <w:rPr/>
      </w:pPr>
      <w:r>
        <w:rPr/>
        <w:footnoteRef/>
        <w:tab/>
        <w:t>Heiden bzw. Völker ist keine bloße geographische Angabe, sondern vor allem eine religiöse: Gottes Volk lebt nun unter Menschen, die JHWH nicht kennen.</w:t>
      </w:r>
    </w:p>
  </w:footnote>
  <w:footnote w:id="2699">
    <w:p>
      <w:pPr>
        <w:pStyle w:val="Funote"/>
        <w:rPr/>
      </w:pPr>
      <w:r>
        <w:rPr>
          <w:i/>
        </w:rPr>
        <w:footnoteRef/>
        <w:tab/>
        <w:t>der Festpilger</w:t>
      </w:r>
      <w:r>
        <w:rPr/>
        <w:t xml:space="preserve"> - W. „der zum Fest Kommenden“.</w:t>
      </w:r>
    </w:p>
  </w:footnote>
  <w:footnote w:id="2700">
    <w:p>
      <w:pPr>
        <w:pStyle w:val="Funote"/>
        <w:rPr/>
      </w:pPr>
      <w:r>
        <w:rPr/>
        <w:footnoteRef/>
        <w:tab/>
        <w:t xml:space="preserve">Die </w:t>
      </w:r>
      <w:r>
        <w:rPr>
          <w:i/>
        </w:rPr>
        <w:t>Tore</w:t>
      </w:r>
      <w:r>
        <w:rPr/>
        <w:t xml:space="preserve"> sind im Alten Israel nicht nur zwei Türen, sondern ein großer Bereich, in dem man sich zu Unterhaltung, Handel und Gericht versammelte. Hier ist außerdem speziell an die Scharen der Pilger gedacht, die sich durch die Tore in die Stadt drängten.</w:t>
      </w:r>
    </w:p>
  </w:footnote>
  <w:footnote w:id="2701">
    <w:p>
      <w:pPr>
        <w:pStyle w:val="Funote"/>
        <w:rPr/>
      </w:pPr>
      <w:r>
        <w:rPr/>
        <w:footnoteRef/>
        <w:tab/>
        <w:t>Mädchenchöre und -reigen waren Teil des Tempelkultus (vgl. Ps 68,25f. Ri 21,19-21)</w:t>
      </w:r>
    </w:p>
  </w:footnote>
  <w:footnote w:id="2702">
    <w:p>
      <w:pPr>
        <w:pStyle w:val="Funote"/>
        <w:rPr/>
      </w:pPr>
      <w:r>
        <w:rPr>
          <w:i/>
        </w:rPr>
        <w:footnoteRef/>
        <w:tab/>
        <w:t>ist verbittert</w:t>
      </w:r>
      <w:r>
        <w:rPr/>
        <w:t xml:space="preserve"> - W.: „Und sie, bitter ist ihr.“</w:t>
      </w:r>
    </w:p>
  </w:footnote>
  <w:footnote w:id="2703">
    <w:p>
      <w:pPr>
        <w:pStyle w:val="Funote"/>
        <w:rPr/>
      </w:pPr>
      <w:r>
        <w:rPr>
          <w:i/>
        </w:rPr>
        <w:footnoteRef/>
        <w:tab/>
        <w:t>obenauf</w:t>
      </w:r>
      <w:r>
        <w:rPr/>
        <w:t xml:space="preserve"> - W.: „sind zum Haupt geworden.“</w:t>
      </w:r>
    </w:p>
  </w:footnote>
  <w:footnote w:id="2704">
    <w:p>
      <w:pPr>
        <w:pStyle w:val="Funote"/>
        <w:rPr/>
      </w:pPr>
      <w:r>
        <w:rPr/>
        <w:footnoteRef/>
        <w:tab/>
        <w:t xml:space="preserve">sorglos - Die ZÜR übersetzt abgeschwächt „sind zufrieden“, viell. mit Anspielung auf das hebr. Verb </w:t>
      </w:r>
      <w:r>
        <w:rPr>
          <w:rtl w:val="true"/>
          <w:lang w:bidi="he-IL"/>
        </w:rPr>
        <w:t>שׁלו</w:t>
      </w:r>
      <w:r>
        <w:rPr/>
        <w:t xml:space="preserve">, das mit </w:t>
      </w:r>
      <w:r>
        <w:rPr>
          <w:rtl w:val="true"/>
        </w:rPr>
        <w:t>‍</w:t>
      </w:r>
      <w:r>
        <w:rPr>
          <w:rtl w:val="true"/>
          <w:lang w:bidi="he-IL"/>
        </w:rPr>
        <w:t>שָׁלוֹם</w:t>
      </w:r>
      <w:r>
        <w:rPr/>
        <w:t xml:space="preserve"> </w:t>
      </w:r>
      <w:r>
        <w:rPr/>
        <w:t xml:space="preserve">(Friede) verwandt ist. Kraus sieht darin eine Umkehrung der ursprünglichen Verhältnisse: Der Israel verheißene </w:t>
      </w:r>
      <w:r>
        <w:rPr>
          <w:rtl w:val="true"/>
          <w:lang w:bidi="he-IL"/>
        </w:rPr>
        <w:t>שָׁלוֹם</w:t>
      </w:r>
      <w:r>
        <w:rPr/>
        <w:t xml:space="preserve"> </w:t>
      </w:r>
      <w:r>
        <w:rPr/>
        <w:t>(Wohlstand, Sorglosigkeit, Glück) ist auf die Feinde übergegangen (S. 23).</w:t>
      </w:r>
    </w:p>
  </w:footnote>
  <w:footnote w:id="2705">
    <w:p>
      <w:pPr>
        <w:pStyle w:val="Funote"/>
        <w:rPr/>
      </w:pPr>
      <w:r>
        <w:rPr>
          <w:i/>
        </w:rPr>
        <w:footnoteRef/>
        <w:tab/>
        <w:t>Zion</w:t>
      </w:r>
      <w:r>
        <w:rPr/>
        <w:t xml:space="preserve"> - W.: „sie“ (Sg. f.).</w:t>
      </w:r>
    </w:p>
  </w:footnote>
  <w:footnote w:id="2706">
    <w:p>
      <w:pPr>
        <w:pStyle w:val="Funote"/>
        <w:rPr/>
      </w:pPr>
      <w:r>
        <w:rPr>
          <w:i/>
        </w:rPr>
        <w:footnoteRef/>
        <w:tab/>
        <w:t>in die Gefangenschaft gegangen</w:t>
      </w:r>
      <w:r>
        <w:rPr/>
        <w:t xml:space="preserve"> - viele übersetzen „als Gefangene fortgegangen“ (abstrakter Begriff anstelle der konkreten Person</w:t>
      </w:r>
      <w:r>
        <w:rPr>
          <w:lang w:bidi="he-IL"/>
        </w:rPr>
        <w:t>ְ</w:t>
      </w:r>
      <w:r>
        <w:rPr/>
        <w:t>, vgl. V. 1). Vgl. jedoch Vers 18, wo derselbe Ausdruck steht, allerdings mit Präposition (</w:t>
      </w:r>
      <w:r>
        <w:rPr>
          <w:rtl w:val="true"/>
          <w:lang w:bidi="he-IL"/>
        </w:rPr>
        <w:t>בַּשֶּׁבִי</w:t>
      </w:r>
      <w:r>
        <w:rPr/>
        <w:t xml:space="preserve"> </w:t>
      </w:r>
      <w:r>
        <w:rPr>
          <w:i/>
        </w:rPr>
        <w:t>baschebi</w:t>
      </w:r>
      <w:r>
        <w:rPr/>
        <w:t xml:space="preserve"> („</w:t>
      </w:r>
      <w:r>
        <w:rPr>
          <w:i/>
        </w:rPr>
        <w:t>in</w:t>
      </w:r>
      <w:r>
        <w:rPr/>
        <w:t xml:space="preserve"> Gefangenschaft“)).</w:t>
      </w:r>
    </w:p>
  </w:footnote>
  <w:footnote w:id="2707">
    <w:p>
      <w:pPr>
        <w:pStyle w:val="Funote"/>
        <w:rPr/>
      </w:pPr>
      <w:r>
        <w:rPr/>
        <w:footnoteRef/>
        <w:tab/>
        <w:t>Tochter Zion - „Zion“=Jerusalem. „Tochter Zion“ ist ein häufiger heb. Ausdruck, mit dem die Stadt personifiziert und als „Tochter“ ihrem „Vater“ JHWH zugeordnet werden soll (vgl. Berges 2002, S. 54).</w:t>
      </w:r>
    </w:p>
  </w:footnote>
  <w:footnote w:id="2708">
    <w:p>
      <w:pPr>
        <w:pStyle w:val="Funote"/>
        <w:rPr/>
      </w:pPr>
      <w:r>
        <w:rPr/>
        <w:footnoteRef/>
        <w:tab/>
        <w:t>Widder - od. „Hirsche“, der hebr. Konsonantentext (</w:t>
      </w:r>
      <w:r>
        <w:rPr>
          <w:rtl w:val="true"/>
          <w:lang w:bidi="he-IL"/>
        </w:rPr>
        <w:t>אילים</w:t>
      </w:r>
      <w:r>
        <w:rPr/>
        <w:t xml:space="preserve">) lässt beide Deutungen zu. Während die alten Versionen (LXX und VUL) „Widder“ überliefern, folgen die meisten modernen Übersetzungen der masoretischen Vokalisation </w:t>
      </w:r>
      <w:r>
        <w:rPr>
          <w:rtl w:val="true"/>
          <w:lang w:bidi="he-IL"/>
        </w:rPr>
        <w:t>אַיָּלִים</w:t>
      </w:r>
      <w:r>
        <w:rPr/>
        <w:t xml:space="preserve"> </w:t>
      </w:r>
      <w:r>
        <w:rPr/>
        <w:t>(ᵓajjālîm). In Ex 15,15 2Kö 24,15 Ez 17,13; 32,21 steht „Widder“ (so wörtlich übersetzt) als Metapher für die Anführer des Volkes.</w:t>
      </w:r>
    </w:p>
  </w:footnote>
  <w:footnote w:id="2709">
    <w:p>
      <w:pPr>
        <w:pStyle w:val="Funote"/>
        <w:rPr/>
      </w:pPr>
      <w:r>
        <w:rPr>
          <w:i/>
        </w:rPr>
        <w:footnoteRef/>
        <w:tab/>
        <w:t>finden</w:t>
      </w:r>
      <w:r>
        <w:rPr/>
        <w:t xml:space="preserve"> - Im Heb. Perf., das hier wohl Abgeschlossenheit ausdrückt. „Weide“ als der Ort, wo der Widder herrscht, steht hier für Jerusalem, das für die Anführer durch die Deportation nun in unerreichbare Ferne gerückt ist (= nicht finden).</w:t>
      </w:r>
    </w:p>
  </w:footnote>
  <w:footnote w:id="2710">
    <w:p>
      <w:pPr>
        <w:pStyle w:val="Funote"/>
        <w:rPr/>
      </w:pPr>
      <w:r>
        <w:rPr>
          <w:i/>
        </w:rPr>
        <w:footnoteRef/>
        <w:tab/>
        <w:t>Verfolgers (Jägers)</w:t>
      </w:r>
      <w:r>
        <w:rPr/>
        <w:t xml:space="preserve"> - Wenn man „sie“ (3. Pl.) in Zeile 5 auf die Widder bezieht, muss man das Wort mit „Jäger“ oder „Treiber“ übersetzen. Bezieht man es jedoch auf die Anführer, bezeichnet es die Babylonier; die Doppelzeile ist dann parallel zur letzten Doppelzeile von V. 5.</w:t>
      </w:r>
    </w:p>
  </w:footnote>
  <w:footnote w:id="2711">
    <w:p>
      <w:pPr>
        <w:pStyle w:val="Funote"/>
        <w:rPr/>
      </w:pPr>
      <w:r>
        <w:rPr>
          <w:i/>
        </w:rPr>
        <w:footnoteRef/>
        <w:tab/>
        <w:t>notleidenden Flüchtlinge</w:t>
      </w:r>
      <w:r>
        <w:rPr/>
        <w:t xml:space="preserve"> - wörtl.: Not und Heimatlosigkeit; abstrakte Begriffe anstelle konkreter Personen (ähnlich Jes 58,7), die hier als Hendiadyoin zusammengehören. Mit den Flüchtlingen könnten die Bewohner Judas gemeint sein, die angesichts des heranrückenden babylonischen Heeres ihren Heimatort verließen und in Jerusalem Schutz suchten. Jerusalem selbst kann schwerlich als heimatlos/flüchtig bezeichnet werden.</w:t>
      </w:r>
    </w:p>
  </w:footnote>
  <w:footnote w:id="2712">
    <w:p>
      <w:pPr>
        <w:pStyle w:val="Funote"/>
        <w:rPr/>
      </w:pPr>
      <w:r>
        <w:rPr>
          <w:i/>
        </w:rPr>
        <w:footnoteRef/>
        <w:tab/>
        <w:t>aus uralten Tagen</w:t>
      </w:r>
      <w:r>
        <w:rPr/>
        <w:t xml:space="preserve"> - wörtl.: die aus (seit) den Tagen der Urzeit waren</w:t>
      </w:r>
    </w:p>
  </w:footnote>
  <w:footnote w:id="2713">
    <w:p>
      <w:pPr>
        <w:pStyle w:val="Funote"/>
        <w:rPr/>
      </w:pPr>
      <w:r>
        <w:rPr/>
        <w:footnoteRef/>
        <w:tab/>
        <w:t>Textkritik: Während alle Verse des ersten Kapitels dreiteilig sind, ist Vers 7 sowohl im masoretischen Text als auch in den antiken Versionen vierteilig überliefert. Da sich Vers 7a nahtlos an 7c anschließt, liegt es nahe, 7b als spätere Ergänzung zu tilgen. Übersetzer, die 7b halten, übersetzen: Jerusalem gedenkt während der Tage ihrer Not und Heimatlosigkeit(?) all ihrer Kostbarkeiten …</w:t>
      </w:r>
    </w:p>
  </w:footnote>
  <w:footnote w:id="2714">
    <w:p>
      <w:pPr>
        <w:pStyle w:val="Funote"/>
        <w:rPr/>
      </w:pPr>
      <w:r>
        <w:rPr>
          <w:i/>
        </w:rPr>
        <w:footnoteRef/>
        <w:tab/>
        <w:t>ihr Volk</w:t>
      </w:r>
      <w:r>
        <w:rPr/>
        <w:t xml:space="preserve"> - od. ihre Bevölkerung, d.h. die Einwohner Jerusalems im eig. Sinn oder das Volk Judas, das in seiner Hauptstadt Zuflucht gesucht hat</w:t>
      </w:r>
    </w:p>
  </w:footnote>
  <w:footnote w:id="2715">
    <w:p>
      <w:pPr>
        <w:pStyle w:val="Funote"/>
        <w:rPr/>
      </w:pPr>
      <w:r>
        <w:rPr/>
        <w:footnoteRef/>
        <w:tab/>
        <w:t>Ende - Das Wort ist im Hebräischen ein Hapaxlegomenon, d.h. nur an dieser Stelle belegt und entsprechend unsicher in seiner Bedeutung. Es ist unterschiedlich übersetzt worden: LXX überliefert „Exil“ (</w:t>
      </w:r>
      <w:r>
        <w:rPr>
          <w:lang w:val="el-GR"/>
        </w:rPr>
        <w:t>μετοικεσία</w:t>
      </w:r>
      <w:r>
        <w:rPr/>
        <w:t>) bzw. nach anderen Handschriften „Wohnsitz“ (</w:t>
      </w:r>
      <w:r>
        <w:rPr>
          <w:lang w:val="el-GR"/>
        </w:rPr>
        <w:t>κατοικεσία</w:t>
      </w:r>
      <w:r>
        <w:rPr/>
        <w:t xml:space="preserve">); Vulgata sabbata, d.h. „Sabbate“. Ges18 nennt unter </w:t>
      </w:r>
      <w:r>
        <w:rPr>
          <w:rtl w:val="true"/>
          <w:lang w:bidi="he-IL"/>
        </w:rPr>
        <w:t>מִשְׁבָּת</w:t>
      </w:r>
      <w:r>
        <w:rPr/>
        <w:t xml:space="preserve"> </w:t>
      </w:r>
      <w:r>
        <w:rPr/>
        <w:t>die Bedeutungen „Aufhören, Ende“; dieser Deutung haben sich die heute gängigen Übersetzungen angeschlossen.</w:t>
      </w:r>
    </w:p>
  </w:footnote>
  <w:footnote w:id="2716">
    <w:p>
      <w:pPr>
        <w:pStyle w:val="Funote"/>
        <w:rPr/>
      </w:pPr>
      <w:r>
        <w:rPr>
          <w:i/>
        </w:rPr>
        <w:footnoteRef/>
        <w:tab/>
        <w:t>schwer gesündigt hat</w:t>
      </w:r>
      <w:r>
        <w:rPr/>
        <w:t xml:space="preserve"> - W.: „eine Sünde hat gesündigt Jerusalem“; Figura etymologica zur Verstärkung des Verbs.</w:t>
      </w:r>
    </w:p>
  </w:footnote>
  <w:footnote w:id="2717">
    <w:p>
      <w:pPr>
        <w:pStyle w:val="Funote"/>
        <w:rPr/>
      </w:pPr>
      <w:r>
        <w:rPr/>
        <w:footnoteRef/>
        <w:tab/>
        <w:t>Textkritik: Der masoretische Text überliefert ist deshalb. Allerdings zerstört deshalb im Hebräischen das Metrum; vielleicht ist es eine alte Glosse (Randnotiz), die versehentlich in den Text geraten ist.</w:t>
      </w:r>
    </w:p>
  </w:footnote>
  <w:footnote w:id="2718">
    <w:p>
      <w:pPr>
        <w:pStyle w:val="Funote"/>
        <w:rPr/>
      </w:pPr>
      <w:r>
        <w:rPr>
          <w:i/>
        </w:rPr>
        <w:footnoteRef/>
        <w:tab/>
        <w:t>Gespött</w:t>
      </w:r>
      <w:r>
        <w:rPr/>
        <w:t xml:space="preserve"> - Die Bedeutung von </w:t>
      </w:r>
      <w:r>
        <w:rPr>
          <w:rtl w:val="true"/>
          <w:lang w:bidi="he-IL"/>
        </w:rPr>
        <w:t>נִידָה</w:t>
      </w:r>
      <w:r>
        <w:rPr/>
        <w:t xml:space="preserve"> </w:t>
      </w:r>
      <w:r>
        <w:rPr/>
        <w:t xml:space="preserve">(nîdā) ist umstritten: Manche leiten es von der Wurzel </w:t>
      </w:r>
      <w:r>
        <w:rPr>
          <w:rtl w:val="true"/>
          <w:lang w:bidi="he-IL"/>
        </w:rPr>
        <w:t>נדד</w:t>
      </w:r>
      <w:r>
        <w:rPr/>
        <w:t xml:space="preserve"> </w:t>
      </w:r>
      <w:r>
        <w:rPr/>
        <w:t xml:space="preserve">(ndd) ab und übersetzen </w:t>
      </w:r>
      <w:r>
        <w:rPr>
          <w:i/>
        </w:rPr>
        <w:t>Abscheu, Unreinheit</w:t>
      </w:r>
      <w:r>
        <w:rPr/>
        <w:t xml:space="preserve">; es wäre dann ein Synonym zu </w:t>
      </w:r>
      <w:r>
        <w:rPr>
          <w:rtl w:val="true"/>
          <w:lang w:bidi="he-IL"/>
        </w:rPr>
        <w:t>נִדָּה</w:t>
      </w:r>
      <w:r>
        <w:rPr/>
        <w:t xml:space="preserve"> </w:t>
      </w:r>
      <w:r>
        <w:rPr/>
        <w:t xml:space="preserve">(niddā). Andere leiten es von der Wurzel </w:t>
      </w:r>
      <w:r>
        <w:rPr>
          <w:rtl w:val="true"/>
          <w:lang w:bidi="he-IL"/>
        </w:rPr>
        <w:t>נוד</w:t>
      </w:r>
      <w:r>
        <w:rPr/>
        <w:t xml:space="preserve"> </w:t>
      </w:r>
      <w:r>
        <w:rPr/>
        <w:t xml:space="preserve">(nud) ab und übersetzen </w:t>
      </w:r>
      <w:r>
        <w:rPr>
          <w:i/>
        </w:rPr>
        <w:t>Kopfschütteln</w:t>
      </w:r>
      <w:r>
        <w:rPr/>
        <w:t>, was ein Ausdruck von Verachtung und Spott war.</w:t>
      </w:r>
    </w:p>
  </w:footnote>
  <w:footnote w:id="2719">
    <w:p>
      <w:pPr>
        <w:pStyle w:val="Funote"/>
        <w:rPr/>
      </w:pPr>
      <w:r>
        <w:rPr>
          <w:i/>
        </w:rPr>
        <w:footnoteRef/>
        <w:tab/>
        <w:t>sie nackt gesehen</w:t>
      </w:r>
      <w:r>
        <w:rPr/>
        <w:t xml:space="preserve"> - W.: „ihre Scham (Genitalbereich) gesehen“. Das Aufdecken der Scham galt als schlimme Schande (vgl. Jes 47,3 Jer 23,26 Hes 16,37 Nah 3,5).</w:t>
      </w:r>
    </w:p>
  </w:footnote>
  <w:footnote w:id="2720">
    <w:p>
      <w:pPr>
        <w:pStyle w:val="Funote"/>
        <w:rPr/>
      </w:pPr>
      <w:r>
        <w:rPr/>
        <w:footnoteRef/>
        <w:tab/>
        <w:t xml:space="preserve">Auf der Bildebene bezeichnet </w:t>
      </w:r>
      <w:r>
        <w:rPr>
          <w:i/>
        </w:rPr>
        <w:t>Unreinheit</w:t>
      </w:r>
      <w:r>
        <w:rPr/>
        <w:t xml:space="preserve"> Menstruationsblut, das eine Frau kultisch unrein machte (vgl. Lev 15,19). Auf der Sachebene steht </w:t>
      </w:r>
      <w:r>
        <w:rPr>
          <w:i/>
        </w:rPr>
        <w:t>Unreinheit</w:t>
      </w:r>
      <w:r>
        <w:rPr/>
        <w:t xml:space="preserve"> für Judas Bundesbruch durch Kompromisse in Kultus und Politik.</w:t>
      </w:r>
    </w:p>
  </w:footnote>
  <w:footnote w:id="2721">
    <w:p>
      <w:pPr>
        <w:pStyle w:val="Funote"/>
        <w:rPr/>
      </w:pPr>
      <w:r>
        <w:rPr/>
        <w:footnoteRef/>
        <w:tab/>
        <w:t>d.h. die Folgen ihres Tuns. Kraus S. 25: "</w:t>
      </w:r>
      <w:r>
        <w:rPr>
          <w:rtl w:val="true"/>
          <w:lang w:bidi="he-IL"/>
        </w:rPr>
        <w:t>אחרית</w:t>
      </w:r>
      <w:r>
        <w:rPr/>
        <w:t xml:space="preserve"> </w:t>
      </w:r>
      <w:r>
        <w:rPr/>
        <w:t>ist das letzte, alles Leben und alle Geschichte bestimmende Handeln Gottes (Dtn 32,29 Ps 73,17)."</w:t>
      </w:r>
    </w:p>
  </w:footnote>
  <w:footnote w:id="2722">
    <w:p>
      <w:pPr>
        <w:pStyle w:val="Funote"/>
        <w:rPr/>
      </w:pPr>
      <w:r>
        <w:rPr/>
        <w:footnoteRef/>
        <w:tab/>
        <w:t xml:space="preserve">Das hebräische Verb </w:t>
      </w:r>
      <w:r>
        <w:rPr>
          <w:rtl w:val="true"/>
          <w:lang w:bidi="he-IL"/>
        </w:rPr>
        <w:t>ירד</w:t>
      </w:r>
      <w:r>
        <w:rPr/>
        <w:t xml:space="preserve"> </w:t>
      </w:r>
      <w:r>
        <w:rPr/>
        <w:t>bezeichnet hier den Niedergang einer belagerten Stadt (vgl. Dtn 28,52; 20,20)</w:t>
      </w:r>
    </w:p>
  </w:footnote>
  <w:footnote w:id="2723">
    <w:p>
      <w:pPr>
        <w:pStyle w:val="Funote"/>
        <w:rPr/>
      </w:pPr>
      <w:r>
        <w:rPr/>
        <w:footnoteRef/>
        <w:tab/>
        <w:t>Textkritik - LUT übersetzt sie ist heruntergestoßen und scheint als einzige deutsche Übersetzung dem Vorschlag im Apparat der BHS (</w:t>
      </w:r>
      <w:r>
        <w:rPr>
          <w:rtl w:val="true"/>
          <w:lang w:bidi="he-IL"/>
        </w:rPr>
        <w:t>וַתּוּרַד</w:t>
      </w:r>
      <w:r>
        <w:rPr/>
        <w:t>) gefolgt zu sein; dem masoretischen Text und der Mehrheit der antiken Versionen zu misstrauen ist unnötig.</w:t>
      </w:r>
    </w:p>
  </w:footnote>
  <w:footnote w:id="2724">
    <w:p>
      <w:pPr>
        <w:pStyle w:val="Funote"/>
        <w:rPr/>
      </w:pPr>
      <w:r>
        <w:rPr>
          <w:i/>
        </w:rPr>
        <w:footnoteRef/>
        <w:tab/>
        <w:t>allen Schätzen Zions</w:t>
      </w:r>
      <w:r>
        <w:rPr/>
        <w:t xml:space="preserve"> - wörtl.: </w:t>
      </w:r>
      <w:r>
        <w:rPr>
          <w:i/>
        </w:rPr>
        <w:t>all ihren Schätzen</w:t>
      </w:r>
      <w:r>
        <w:rPr/>
        <w:t>, womit vor allem (aber nicht nur) die Schätze des Tempels gemeint sein dürften (vgl. 2Kö 24,13).</w:t>
      </w:r>
    </w:p>
  </w:footnote>
  <w:footnote w:id="2725">
    <w:p>
      <w:pPr>
        <w:pStyle w:val="Funote"/>
        <w:rPr/>
      </w:pPr>
      <w:r>
        <w:rPr/>
        <w:footnoteRef/>
        <w:tab/>
        <w:t xml:space="preserve">Das hinzugefügte </w:t>
      </w:r>
      <w:r>
        <w:rPr>
          <w:i/>
        </w:rPr>
        <w:t>wirklich</w:t>
      </w:r>
      <w:r>
        <w:rPr/>
        <w:t xml:space="preserve"> soll das ungläubige Entsetzen andeuten, das im hebräischen Text vielleicht in der Unebenmäßigkeit im Satzbau (Inkonzinnität) angedeutet ist.</w:t>
      </w:r>
    </w:p>
  </w:footnote>
  <w:footnote w:id="2726">
    <w:p>
      <w:pPr>
        <w:pStyle w:val="Funote"/>
        <w:rPr/>
      </w:pPr>
      <w:r>
        <w:rPr>
          <w:i/>
        </w:rPr>
        <w:footnoteRef/>
        <w:tab/>
        <w:t>Gottesdienst</w:t>
      </w:r>
      <w:r>
        <w:rPr/>
        <w:t xml:space="preserve"> - W.: „Versammlung“; mit </w:t>
      </w:r>
      <w:r>
        <w:rPr>
          <w:rtl w:val="true"/>
          <w:lang w:bidi="he-IL"/>
        </w:rPr>
        <w:t>קָהָל</w:t>
      </w:r>
      <w:r>
        <w:rPr/>
        <w:t xml:space="preserve"> </w:t>
      </w:r>
      <w:r>
        <w:rPr/>
        <w:t xml:space="preserve">ist das versammelte Volk als politische und kultische Gemeinschaft gemeint, was kaum wirklich zu trennen ist. </w:t>
      </w:r>
      <w:r>
        <w:rPr>
          <w:i/>
        </w:rPr>
        <w:t>In die Versammlung kommen</w:t>
      </w:r>
      <w:r>
        <w:rPr/>
        <w:t xml:space="preserve"> ist in 10c parallel zu 10b zu verstehen (</w:t>
      </w:r>
      <w:r>
        <w:rPr>
          <w:i/>
        </w:rPr>
        <w:t>in das Heiligtum kommen</w:t>
      </w:r>
      <w:r>
        <w:rPr/>
        <w:t xml:space="preserve">) und daher sinngemäß als </w:t>
      </w:r>
      <w:r>
        <w:rPr>
          <w:i/>
        </w:rPr>
        <w:t>Gottesdienst</w:t>
      </w:r>
      <w:r>
        <w:rPr/>
        <w:t xml:space="preserve"> oder </w:t>
      </w:r>
      <w:r>
        <w:rPr>
          <w:i/>
        </w:rPr>
        <w:t>Versammlungsort</w:t>
      </w:r>
      <w:r>
        <w:rPr/>
        <w:t xml:space="preserve"> zu übersetzen.</w:t>
      </w:r>
    </w:p>
  </w:footnote>
  <w:footnote w:id="2727">
    <w:p>
      <w:pPr>
        <w:pStyle w:val="Funote"/>
        <w:rPr/>
      </w:pPr>
      <w:r>
        <w:rPr/>
        <w:footnoteRef/>
        <w:tab/>
        <w:t>Der Beter erinnert Gott, dass er sein eigenes Gebot außer Kraft gesetzt hat, indem er die Babylonier und ihre Verbündeten in den Tempel eindringen ließ. Dieser Widerspruch verstört ihn zutiefst. Interessanterweise wendet er sich in dieser Verstörung direkt an Gott.</w:t>
      </w:r>
    </w:p>
  </w:footnote>
  <w:footnote w:id="2728">
    <w:p>
      <w:pPr>
        <w:pStyle w:val="Funote"/>
        <w:rPr/>
      </w:pPr>
      <w:r>
        <w:rPr>
          <w:i/>
        </w:rPr>
        <w:footnoteRef/>
        <w:tab/>
        <w:t>ihre Bewohner</w:t>
      </w:r>
      <w:r>
        <w:rPr/>
        <w:t xml:space="preserve"> - W.: „ihr Volk“.</w:t>
      </w:r>
    </w:p>
  </w:footnote>
  <w:footnote w:id="2729">
    <w:p>
      <w:pPr>
        <w:pStyle w:val="Funote"/>
        <w:rPr/>
      </w:pPr>
      <w:r>
        <w:rPr>
          <w:i/>
        </w:rPr>
        <w:footnoteRef/>
        <w:tab/>
        <w:t>gegeben haben sie</w:t>
      </w:r>
      <w:r>
        <w:rPr/>
        <w:t xml:space="preserve"> - Da das hebräische Perfekt auch das Fehlen von Veränderung bezeichnen kann, übersetzen manche: </w:t>
      </w:r>
      <w:r>
        <w:rPr>
          <w:i/>
        </w:rPr>
        <w:t>sie geben (immer noch)</w:t>
      </w:r>
      <w:r>
        <w:rPr/>
        <w:t>.</w:t>
      </w:r>
    </w:p>
  </w:footnote>
  <w:footnote w:id="2730">
    <w:p>
      <w:pPr>
        <w:pStyle w:val="Funote"/>
        <w:rPr/>
      </w:pPr>
      <w:r>
        <w:rPr/>
        <w:footnoteRef/>
        <w:tab/>
        <w:t>Textkritik - Die Vulgata überliefert dederunt pretiosa quaeque (sie gaben alle Kostbarkeiten), hatte in ihrer hebräische</w:t>
      </w:r>
      <w:r>
        <w:rPr>
          <w:rtl w:val="true"/>
          <w:lang w:bidi="he-IL"/>
        </w:rPr>
        <w:t>נ</w:t>
      </w:r>
      <w:r>
        <w:rPr/>
        <w:t xml:space="preserve"> </w:t>
      </w:r>
      <w:r>
        <w:rPr/>
        <w:t xml:space="preserve">Vorlage demnach wohl </w:t>
      </w:r>
      <w:r>
        <w:rPr>
          <w:rtl w:val="true"/>
          <w:lang w:bidi="he-IL"/>
        </w:rPr>
        <w:t>נתנו כל מחמ</w:t>
      </w:r>
      <w:r>
        <w:rPr>
          <w:rtl w:val="true"/>
          <w:lang w:val="he-IL"/>
        </w:rPr>
        <w:t>(</w:t>
      </w:r>
      <w:r>
        <w:rPr>
          <w:rtl w:val="true"/>
          <w:lang w:bidi="he-IL"/>
        </w:rPr>
        <w:t>ו</w:t>
      </w:r>
      <w:r>
        <w:rPr>
          <w:rtl w:val="true"/>
          <w:lang w:val="he-IL"/>
        </w:rPr>
        <w:t>)</w:t>
      </w:r>
      <w:r>
        <w:rPr>
          <w:rtl w:val="true"/>
          <w:lang w:bidi="he-IL"/>
        </w:rPr>
        <w:t>דים</w:t>
      </w:r>
      <w:r>
        <w:rPr/>
        <w:t>.</w:t>
      </w:r>
    </w:p>
  </w:footnote>
  <w:footnote w:id="2731">
    <w:p>
      <w:pPr>
        <w:pStyle w:val="Funote"/>
        <w:rPr/>
      </w:pPr>
      <w:r>
        <w:rPr>
          <w:i/>
        </w:rPr>
        <w:footnoteRef/>
        <w:tab/>
        <w:t>um am Leben zu bleiben</w:t>
      </w:r>
      <w:r>
        <w:rPr/>
        <w:t xml:space="preserve"> - wörtl.: um das Leben (die Seele) zurückzubringen; die Wendung hat in der Bibel noch häufiger die oben übersetzte Bedeutung.</w:t>
      </w:r>
    </w:p>
  </w:footnote>
  <w:footnote w:id="2732">
    <w:p>
      <w:pPr>
        <w:pStyle w:val="Funote"/>
        <w:rPr/>
      </w:pPr>
      <w:r>
        <w:rPr>
          <w:i/>
        </w:rPr>
        <w:footnoteRef/>
        <w:tab/>
        <w:t>dass</w:t>
      </w:r>
      <w:r>
        <w:rPr/>
        <w:t xml:space="preserve"> - od.: denn</w:t>
      </w:r>
    </w:p>
  </w:footnote>
  <w:footnote w:id="2733">
    <w:p>
      <w:pPr>
        <w:pStyle w:val="Funote"/>
        <w:rPr/>
      </w:pPr>
      <w:r>
        <w:rPr/>
        <w:footnoteRef/>
        <w:tab/>
        <w:t xml:space="preserve">Textkritik - Der Versanfang scheint fehlerhaft überliefert zu sein; alle Versuche, ihm einen Sinn zu geben, überzeugen nicht wirklich: 1. berührt es euch nicht? - Im Hebräischen fehlt die Fragepartikel! - 2. Nichts dergleichen möge euch treffen (Gute Nachricht Bibel). Beides erscheint weit hergeholt angesichts des überlieferten Textbestandes. Als Annahme (Konjektur) für den ursprünglichen Wortlaut wurde </w:t>
      </w:r>
      <w:r>
        <w:rPr>
          <w:rtl w:val="true"/>
          <w:lang w:bidi="he-IL"/>
        </w:rPr>
        <w:t>לְכוּ</w:t>
      </w:r>
      <w:r>
        <w:rPr/>
        <w:t xml:space="preserve"> </w:t>
      </w:r>
      <w:r>
        <w:rPr/>
        <w:t xml:space="preserve">(ləḵû) vorgeschlagen: Kommt (los!) alle, die ihr ... . Wie es zum überlieferten Text kam, ist damit nicht geklärt. Bedenkenswert scheint mir die Annahme der Jerusalemer Bibel, dass nicht für euch eine Randglosse darstellt, die den Leser schützen soll. Dafür spricht, 1. dass 13a ohne nicht für euch wieder ins Metrum passt, 2. dass plene geschriebenes </w:t>
      </w:r>
      <w:r>
        <w:rPr>
          <w:rtl w:val="true"/>
          <w:lang w:bidi="he-IL"/>
        </w:rPr>
        <w:t>לוֹא</w:t>
      </w:r>
      <w:r>
        <w:rPr/>
        <w:t xml:space="preserve"> </w:t>
      </w:r>
      <w:r>
        <w:rPr/>
        <w:t xml:space="preserve">(lô = nicht) auf eine späte Abfassungszeit deutet (sonst in Klgl immer </w:t>
      </w:r>
      <w:r>
        <w:rPr>
          <w:rtl w:val="true"/>
          <w:lang w:bidi="he-IL"/>
        </w:rPr>
        <w:t>לֹא</w:t>
      </w:r>
      <w:r>
        <w:rPr/>
        <w:t xml:space="preserve"> </w:t>
      </w:r>
      <w:r>
        <w:rPr/>
        <w:t>lō).</w:t>
      </w:r>
    </w:p>
  </w:footnote>
  <w:footnote w:id="2734">
    <w:p>
      <w:pPr>
        <w:pStyle w:val="Funote"/>
        <w:rPr/>
      </w:pPr>
      <w:r>
        <w:rPr/>
        <w:footnoteRef/>
        <w:tab/>
        <w:t>Jerusalem wendet sich wie eine Bettlerin an die Vorübergehenden.</w:t>
      </w:r>
    </w:p>
  </w:footnote>
  <w:footnote w:id="2735">
    <w:p>
      <w:pPr>
        <w:pStyle w:val="Funote"/>
        <w:rPr/>
      </w:pPr>
      <w:r>
        <w:rPr>
          <w:i/>
        </w:rPr>
        <w:footnoteRef/>
        <w:tab/>
        <w:t>Zorn</w:t>
      </w:r>
      <w:r>
        <w:rPr/>
        <w:t xml:space="preserve"> - Die traditionelle Übersetzung "Zornesglut / glühender Zorn" kann als Steigerung zum bloßen Zorn missverstanden werden. </w:t>
      </w:r>
      <w:r>
        <w:rPr>
          <w:rtl w:val="true"/>
          <w:lang w:bidi="he-IL"/>
        </w:rPr>
        <w:t>חָרוֹן אַף</w:t>
      </w:r>
      <w:r>
        <w:rPr/>
        <w:t xml:space="preserve"> </w:t>
      </w:r>
      <w:r>
        <w:rPr/>
        <w:t xml:space="preserve">(ḥārōn ap) bezeichnet das Erröten und das damit verbundene Gefühl von Wärme in der und um die Nase. Beide Wörter, </w:t>
      </w:r>
      <w:r>
        <w:rPr>
          <w:rtl w:val="true"/>
          <w:lang w:bidi="he-IL"/>
        </w:rPr>
        <w:t>אַף</w:t>
      </w:r>
      <w:r>
        <w:rPr/>
        <w:t xml:space="preserve"> </w:t>
      </w:r>
      <w:r>
        <w:rPr/>
        <w:t xml:space="preserve">(ap = Nase) und </w:t>
      </w:r>
      <w:r>
        <w:rPr>
          <w:rtl w:val="true"/>
          <w:lang w:bidi="he-IL"/>
        </w:rPr>
        <w:t>חָרוֹן</w:t>
      </w:r>
      <w:r>
        <w:rPr/>
        <w:t xml:space="preserve"> </w:t>
      </w:r>
      <w:r>
        <w:rPr/>
        <w:t xml:space="preserve">(ḥārōn = Hitze), können dann für sich allein schon die Bedeutung </w:t>
      </w:r>
      <w:r>
        <w:rPr>
          <w:i/>
        </w:rPr>
        <w:t>Zorn</w:t>
      </w:r>
      <w:r>
        <w:rPr/>
        <w:t xml:space="preserve"> annehmen, ohne dass ein Unterschied zu ihrer Kombination vorliegt.</w:t>
      </w:r>
    </w:p>
  </w:footnote>
  <w:footnote w:id="2736">
    <w:p>
      <w:pPr>
        <w:pStyle w:val="Funote"/>
        <w:rPr/>
      </w:pPr>
      <w:r>
        <w:rPr/>
        <w:footnoteRef/>
        <w:tab/>
        <w:t>aus der Höhe - d.h. aus dem Himmel (vgl. Jes 33,5; 57,15 Ps 10,5); damit wird das Subjekt eindeutig mit JHWH identifiziert.</w:t>
      </w:r>
    </w:p>
  </w:footnote>
  <w:footnote w:id="2737">
    <w:p>
      <w:pPr>
        <w:pStyle w:val="Funote"/>
        <w:rPr/>
      </w:pPr>
      <w:r>
        <w:rPr/>
        <w:footnoteRef/>
        <w:tab/>
        <w:t>Textkritik - und ließ es herabkommen [auf mich] (und trat es nieder) - Die masoretische Textüberlieferung lautet: und trat es nieder (</w:t>
      </w:r>
      <w:r>
        <w:rPr>
          <w:rtl w:val="true"/>
          <w:lang w:bidi="he-IL"/>
        </w:rPr>
        <w:t>וַיִּרְדֶּנָּה</w:t>
      </w:r>
      <w:r>
        <w:rPr/>
        <w:t xml:space="preserve"> </w:t>
      </w:r>
      <w:r>
        <w:rPr/>
        <w:t>wajjirdǽnnā); worauf sich „es“ beziehen soll, ist dann unklar. Bei anderer Vokalisation (</w:t>
      </w:r>
      <w:r>
        <w:rPr>
          <w:rtl w:val="true"/>
          <w:lang w:bidi="he-IL"/>
        </w:rPr>
        <w:t>וַיֹּרִדֶּנָּה</w:t>
      </w:r>
      <w:r>
        <w:rPr/>
        <w:t xml:space="preserve"> </w:t>
      </w:r>
      <w:r>
        <w:rPr/>
        <w:t xml:space="preserve">wajjōridǽnnā) lautet die Übersetzung und er ließ es herabkommen, in der es sich auf Feuer (im Heb. Sg. f.) bezieht. Gestützt wird diese Übersetzung durch 4QLam und die LXX, die </w:t>
      </w:r>
      <w:r>
        <w:rPr>
          <w:lang w:val="el-GR"/>
        </w:rPr>
        <w:t>κατήγαγεν αὐτό</w:t>
      </w:r>
      <w:r>
        <w:rPr/>
        <w:t xml:space="preserve"> (katḗgagen autó = er brachte es herab) überliefert. Nach BHQ folgen wir dieser Lesart. Das in manchen Übersetzungen zu lesende und es vernichtete sie nimmt Feuer als Subjekt; „Feuer“ ist im Heb. aber meist Fem. und nur manchmal Mask., daher ist das unwahrscheinlich.</w:t>
      </w:r>
    </w:p>
  </w:footnote>
  <w:footnote w:id="2738">
    <w:p>
      <w:pPr>
        <w:pStyle w:val="Funote"/>
        <w:rPr/>
      </w:pPr>
      <w:r>
        <w:rPr/>
        <w:footnoteRef/>
        <w:tab/>
        <w:t>Ausgespannte Netze sind in der Bibel häufiger eine Metapher für Unheil, das jemandem bereitet wird. So übersetzt, stellen die Netze ein unüberwindliches Hindernis dar, die Fliehende muss zurückgehen, dem Verfolger entgegen(!). Andere Übersetzer lassen die Gejagte ins Netz geraten und übersetzen 13b</w:t>
      </w:r>
      <w:r>
        <w:rPr>
          <w:lang w:val="el-GR"/>
        </w:rPr>
        <w:t>β</w:t>
      </w:r>
      <w:r>
        <w:rPr/>
        <w:t xml:space="preserve"> </w:t>
      </w:r>
      <w:r>
        <w:rPr>
          <w:i/>
        </w:rPr>
        <w:t>rücklings riss er mich nieder</w:t>
      </w:r>
      <w:r>
        <w:rPr/>
        <w:t xml:space="preserve"> (vgl. Einheitsübersetzung). Jedoch passt diese Formulierung kaum zu jemandem, der in ein Netz gerät und im vollen Lauf doch wohl vorwärts stürzt.</w:t>
      </w:r>
    </w:p>
  </w:footnote>
  <w:footnote w:id="2739">
    <w:p>
      <w:pPr>
        <w:pStyle w:val="Funote"/>
        <w:rPr/>
      </w:pPr>
      <w:r>
        <w:rPr>
          <w:i/>
        </w:rPr>
        <w:footnoteRef/>
        <w:tab/>
        <w:t>machte einsam</w:t>
      </w:r>
      <w:r>
        <w:rPr/>
        <w:t xml:space="preserve"> - Die hebräische Wurzel </w:t>
      </w:r>
      <w:r>
        <w:rPr>
          <w:rtl w:val="true"/>
          <w:lang w:bidi="he-IL"/>
        </w:rPr>
        <w:t>שׁמם</w:t>
      </w:r>
      <w:r>
        <w:rPr/>
        <w:t xml:space="preserve"> </w:t>
      </w:r>
      <w:r>
        <w:rPr/>
        <w:t xml:space="preserve">(šmm) bezeichnet objektiv die </w:t>
      </w:r>
      <w:r>
        <w:rPr>
          <w:i/>
        </w:rPr>
        <w:t>Verwüstung</w:t>
      </w:r>
      <w:r>
        <w:rPr/>
        <w:t xml:space="preserve"> (eines Landes, einer Stadt) und als Folge der Verwüstung </w:t>
      </w:r>
      <w:r>
        <w:rPr>
          <w:i/>
        </w:rPr>
        <w:t>Verödung</w:t>
      </w:r>
      <w:r>
        <w:rPr/>
        <w:t xml:space="preserve"> und </w:t>
      </w:r>
      <w:r>
        <w:rPr>
          <w:i/>
        </w:rPr>
        <w:t>Entvölkerung</w:t>
      </w:r>
      <w:r>
        <w:rPr/>
        <w:t xml:space="preserve">; subjektiv bezeichnet sie das </w:t>
      </w:r>
      <w:r>
        <w:rPr>
          <w:i/>
        </w:rPr>
        <w:t>Entsetzen</w:t>
      </w:r>
      <w:r>
        <w:rPr/>
        <w:t>, das solch eine Verwüstung im Menschen hervorruft.</w:t>
      </w:r>
    </w:p>
  </w:footnote>
  <w:footnote w:id="2740">
    <w:p>
      <w:pPr>
        <w:pStyle w:val="Funote"/>
        <w:rPr/>
      </w:pPr>
      <w:r>
        <w:rPr>
          <w:i/>
        </w:rPr>
        <w:footnoteRef/>
        <w:tab/>
        <w:t>gemieden</w:t>
      </w:r>
      <w:r>
        <w:rPr/>
        <w:t xml:space="preserve"> - Als </w:t>
      </w:r>
      <w:r>
        <w:rPr>
          <w:rtl w:val="true"/>
          <w:lang w:bidi="he-IL"/>
        </w:rPr>
        <w:t>דָּוָה</w:t>
      </w:r>
      <w:r>
        <w:rPr/>
        <w:t xml:space="preserve"> </w:t>
      </w:r>
      <w:r>
        <w:rPr/>
        <w:t>(dāwā) wird die Frau während ihrer Menstruation bezeichnet (Lev 15,33; 20,18); in dieser Zeit ist sie unrein und darf nicht berührt werden.</w:t>
      </w:r>
    </w:p>
  </w:footnote>
  <w:footnote w:id="2741">
    <w:p>
      <w:pPr>
        <w:pStyle w:val="Funote"/>
        <w:rPr/>
      </w:pPr>
      <w:r>
        <w:rPr/>
        <w:footnoteRef/>
        <w:tab/>
        <w:t>d.h. für immer</w:t>
      </w:r>
    </w:p>
  </w:footnote>
  <w:footnote w:id="2742">
    <w:p>
      <w:pPr>
        <w:pStyle w:val="Funote"/>
        <w:rPr/>
      </w:pPr>
      <w:r>
        <w:rPr/>
        <w:footnoteRef/>
        <w:tab/>
        <w:t xml:space="preserve">In drei Bildern schildert Jerusalem ihr Los: 1. im Bild der Kranken (13a; vgl. Hi 30,30b Ps 102,4 Jer 20,9); 2. im Bild der Gejagten (13b); 3. im Bild der Einsamen (13c). </w:t>
      </w:r>
    </w:p>
  </w:footnote>
  <w:footnote w:id="2743">
    <w:p>
      <w:pPr>
        <w:pStyle w:val="Funote"/>
        <w:rPr/>
      </w:pPr>
      <w:r>
        <w:rPr/>
        <w:footnoteRef/>
        <w:tab/>
        <w:t xml:space="preserve">Textkritik: angebunden - Heb. </w:t>
      </w:r>
      <w:r>
        <w:rPr>
          <w:rtl w:val="true"/>
          <w:lang w:bidi="he-IL"/>
        </w:rPr>
        <w:t>נשקד</w:t>
      </w:r>
      <w:r>
        <w:rPr/>
        <w:t xml:space="preserve"> </w:t>
      </w:r>
      <w:r>
        <w:rPr/>
        <w:t xml:space="preserve">(nśqd/nšqd). Im MT ist es überliefert als </w:t>
      </w:r>
      <w:r>
        <w:rPr>
          <w:rtl w:val="true"/>
          <w:lang w:bidi="he-IL"/>
        </w:rPr>
        <w:t>נִשְׂקַד</w:t>
      </w:r>
      <w:r>
        <w:rPr/>
        <w:t xml:space="preserve"> </w:t>
      </w:r>
      <w:r>
        <w:rPr/>
        <w:t xml:space="preserve">(niśqad); dieses Wort findet sich sonst nicht in der Bibel; seine Bed. muss also aus dem Kontext erschlossen werden: „angebunden“. Die Übersetzer der LXX, Syr und der Vulgata haben es offensichtlich als </w:t>
      </w:r>
      <w:r>
        <w:rPr>
          <w:rtl w:val="true"/>
          <w:lang w:bidi="he-IL"/>
        </w:rPr>
        <w:t>נִשְׁקַד</w:t>
      </w:r>
      <w:r>
        <w:rPr/>
        <w:t xml:space="preserve"> </w:t>
      </w:r>
      <w:r>
        <w:rPr/>
        <w:t xml:space="preserve">(nišqad = er wurde bewacht) gedeutet; diese Schreibweise findet sich auch in einigen Handschriften und so wird das Wort auch im Midrasch gedeutet. Darauf folgt das Wort </w:t>
      </w:r>
      <w:r>
        <w:rPr>
          <w:rtl w:val="true"/>
          <w:lang w:bidi="he-IL"/>
        </w:rPr>
        <w:t>על</w:t>
      </w:r>
      <w:r>
        <w:rPr/>
        <w:t xml:space="preserve"> </w:t>
      </w:r>
      <w:r>
        <w:rPr/>
        <w:t xml:space="preserve">(ʻl). Dieses kann als </w:t>
      </w:r>
      <w:r>
        <w:rPr>
          <w:rtl w:val="true"/>
          <w:lang w:bidi="he-IL"/>
        </w:rPr>
        <w:t>עַל</w:t>
      </w:r>
      <w:r>
        <w:rPr/>
        <w:t xml:space="preserve"> </w:t>
      </w:r>
      <w:r>
        <w:rPr/>
        <w:t xml:space="preserve">(ʻal = auf, über) - so LXX und viele hebr. Handschriften - oder als </w:t>
      </w:r>
      <w:r>
        <w:rPr>
          <w:rtl w:val="true"/>
          <w:lang w:bidi="he-IL"/>
        </w:rPr>
        <w:t>עֹל</w:t>
      </w:r>
      <w:r>
        <w:rPr/>
        <w:t xml:space="preserve"> </w:t>
      </w:r>
      <w:r>
        <w:rPr/>
        <w:t>(ʻōl = Joch) gelesenen werden - so der masoretische Text und die Vulgata. Zwar bietet die LXX ein für die ersten zwei Wörter naheliegendes, aber für 14a/b keineswegs unproblematisches Textverständnis: Es wurde über meine Vergehen gewacht; sie wurden zusammengeflochten, sie sind hinaufgestiegen auf meinen Nacken. Der masoretische Text hingegen benutzt das Bild des Jochs, das JHWH seinem Volk wegen seiner Vergehen angelegt hat. Mit dem Joch ist die Unterjochung im Exil gemeint.</w:t>
      </w:r>
    </w:p>
  </w:footnote>
  <w:footnote w:id="2744">
    <w:p>
      <w:pPr>
        <w:pStyle w:val="Funote"/>
        <w:rPr/>
      </w:pPr>
      <w:r>
        <w:rPr>
          <w:i/>
        </w:rPr>
        <w:footnoteRef/>
        <w:tab/>
        <w:t>durch seine Hand</w:t>
      </w:r>
      <w:r>
        <w:rPr/>
        <w:t xml:space="preserve"> - od.: </w:t>
      </w:r>
      <w:r>
        <w:rPr>
          <w:i/>
        </w:rPr>
        <w:t>in seine Seite</w:t>
      </w:r>
      <w:r>
        <w:rPr/>
        <w:t xml:space="preserve"> mit Bezug auf das Joch.</w:t>
      </w:r>
    </w:p>
  </w:footnote>
  <w:footnote w:id="2745">
    <w:p>
      <w:pPr>
        <w:pStyle w:val="Funote"/>
        <w:rPr/>
      </w:pPr>
      <w:r>
        <w:rPr/>
        <w:footnoteRef/>
        <w:tab/>
        <w:t xml:space="preserve">wörtl.: </w:t>
      </w:r>
      <w:r>
        <w:rPr>
          <w:i/>
        </w:rPr>
        <w:t>sind hinaufgegangen auf meinen Nacken</w:t>
      </w:r>
      <w:r>
        <w:rPr/>
        <w:t>.</w:t>
      </w:r>
    </w:p>
  </w:footnote>
  <w:footnote w:id="2746">
    <w:p>
      <w:pPr>
        <w:pStyle w:val="Funote"/>
        <w:rPr/>
      </w:pPr>
      <w:r>
        <w:rPr>
          <w:i/>
        </w:rPr>
        <w:footnoteRef/>
        <w:tab/>
        <w:t>er (es)</w:t>
      </w:r>
      <w:r>
        <w:rPr/>
        <w:t xml:space="preserve"> - Subjekt ist entweder Gott oder das Joch.</w:t>
      </w:r>
    </w:p>
  </w:footnote>
  <w:footnote w:id="2747">
    <w:p>
      <w:pPr>
        <w:pStyle w:val="Funote"/>
        <w:rPr/>
      </w:pPr>
      <w:r>
        <w:rPr/>
        <w:footnoteRef/>
        <w:tab/>
        <w:t>wörtl.: es ließ straucheln meine Kraft.</w:t>
      </w:r>
    </w:p>
  </w:footnote>
  <w:footnote w:id="2748">
    <w:p>
      <w:pPr>
        <w:pStyle w:val="Funote"/>
        <w:rPr/>
      </w:pPr>
      <w:r>
        <w:rPr/>
        <w:footnoteRef/>
        <w:tab/>
        <w:t xml:space="preserve">verworfen hat - Unsicheres Wort, das sich nur zwei Mal in der Bibel findet (noch Ps 119,118). Andere übersetzen </w:t>
      </w:r>
      <w:r>
        <w:rPr>
          <w:rtl w:val="true"/>
          <w:lang w:bidi="he-IL"/>
        </w:rPr>
        <w:t>סלה</w:t>
      </w:r>
      <w:r>
        <w:rPr/>
        <w:t xml:space="preserve"> </w:t>
      </w:r>
      <w:r>
        <w:rPr/>
        <w:t>(sālāh) mit wegschleudern (o.ä.); vgl. LXX (</w:t>
      </w:r>
      <w:r>
        <w:rPr>
          <w:lang w:val="el-GR"/>
        </w:rPr>
        <w:t>ἐξῆρεν</w:t>
      </w:r>
      <w:r>
        <w:rPr/>
        <w:t xml:space="preserve"> - beseitigt hat) und das akkadische Verb salû (wegschleudern). Syr und Tg übersetzen „niedertreten“, was darauf hinweisen könnte, dass im ursprünglichen Text </w:t>
      </w:r>
      <w:r>
        <w:rPr>
          <w:rtl w:val="true"/>
          <w:lang w:bidi="he-IL"/>
        </w:rPr>
        <w:t>סלל</w:t>
      </w:r>
      <w:r>
        <w:rPr/>
        <w:t xml:space="preserve"> </w:t>
      </w:r>
      <w:r>
        <w:rPr/>
        <w:t>(sll) stand.</w:t>
      </w:r>
    </w:p>
  </w:footnote>
  <w:footnote w:id="2749">
    <w:p>
      <w:pPr>
        <w:pStyle w:val="Funote"/>
        <w:rPr/>
      </w:pPr>
      <w:r>
        <w:rPr>
          <w:i/>
        </w:rPr>
        <w:footnoteRef/>
        <w:tab/>
        <w:t>Jemandem die Kelter treten</w:t>
      </w:r>
      <w:r>
        <w:rPr/>
        <w:t xml:space="preserve"> bedeutet </w:t>
      </w:r>
      <w:r>
        <w:rPr>
          <w:i/>
        </w:rPr>
        <w:t>unter jemandem ein Blutbad anrichten.</w:t>
      </w:r>
    </w:p>
  </w:footnote>
  <w:footnote w:id="2750">
    <w:p>
      <w:pPr>
        <w:pStyle w:val="Funote"/>
        <w:rPr/>
      </w:pPr>
      <w:r>
        <w:rPr>
          <w:i/>
        </w:rPr>
        <w:footnoteRef/>
        <w:tab/>
        <w:t>Jungfrau</w:t>
      </w:r>
      <w:r>
        <w:rPr/>
        <w:t xml:space="preserve"> und </w:t>
      </w:r>
      <w:r>
        <w:rPr>
          <w:i/>
        </w:rPr>
        <w:t>Tochter</w:t>
      </w:r>
      <w:r>
        <w:rPr/>
        <w:t xml:space="preserve"> werden beide im Hebräischen zur Personifikation von Länder- und Städtenamen verwendet, ohne dass damit eine ethische Qualifikation ― etwa </w:t>
      </w:r>
      <w:r>
        <w:rPr>
          <w:i/>
        </w:rPr>
        <w:t>rein, unschuldig</w:t>
      </w:r>
      <w:r>
        <w:rPr/>
        <w:t xml:space="preserve"> ― verbunden wäre.</w:t>
      </w:r>
    </w:p>
  </w:footnote>
  <w:footnote w:id="2751">
    <w:p>
      <w:pPr>
        <w:pStyle w:val="Funote"/>
        <w:rPr/>
      </w:pPr>
      <w:r>
        <w:rPr/>
        <w:footnoteRef/>
        <w:tab/>
        <w:t>Man beachte die bittere Ironie (vgl. Vers 4c</w:t>
      </w:r>
      <w:r>
        <w:rPr>
          <w:lang w:val="el-GR"/>
        </w:rPr>
        <w:t>γ</w:t>
      </w:r>
      <w:r>
        <w:rPr/>
        <w:t>) in den jeweiligen Halbversen: (15a) Gott in meiner Mitte … hat verworfen ― (15b) eine Festversammlung … um zu zerschlagen ― (15c) Kelter treten (= richten) … Juda (und nicht ihre Feinde).</w:t>
      </w:r>
    </w:p>
  </w:footnote>
  <w:footnote w:id="2752">
    <w:p>
      <w:pPr>
        <w:pStyle w:val="Funote"/>
        <w:rPr/>
      </w:pPr>
      <w:r>
        <w:rPr/>
        <w:footnoteRef/>
        <w:tab/>
        <w:t>Textkritik: Die Reihenfolge der Verse 16 und 17 in Klgl 1 ist unsicher. Das Alphabet war im Alten Israel offenbar in zwei Varianten verbreitet; in der einen folgte Pe auf `Ajin, in der anderen `Ajin auf Pe. Nach MT ist in Klgl 1 die Reihenfolge V. 16 (die `Ajin-Strophe) - V. 17 (die Pe-Strophe); nach 4QLam V. 17 - V. 16, dort folgt also wie in Klgl 2-4 `Ajin auf Pe. Das lässt sich entweder so erklären, das 4QLam die Reihenfolge der Verse von Klgl 1 nachträglich an Klgl 2-4 angepasst hat oder dass MT die Reihenfolge der Verse nachträglich an die verbreitetere Version des Alphabets angeglichen hat. Textkritisch ist diese Frage nicht entscheidbar (so auch Schäfer 2006, S. 244f.); wir orientieren uns in der Reihenfolge am MT.</w:t>
      </w:r>
    </w:p>
  </w:footnote>
  <w:footnote w:id="2753">
    <w:p>
      <w:pPr>
        <w:pStyle w:val="Funote"/>
        <w:rPr/>
      </w:pPr>
      <w:r>
        <w:rPr/>
        <w:footnoteRef/>
        <w:tab/>
        <w:t>Textkritik: mein Auge {mein Auge} - In MT steht das Wort „mein-Auge“ zweimal nebeneinander. 4QLam, LXX, Syr und VUL haben es nur einmal; ein Schreiber hat also wahrscheinlich das ursprünglich eine „mein-Auge“ doppelt geschrieben. Vgl. allerdings Tg („meine zwei beiden Augen“); 4QLam: („meine beiden Augen“); auch einige LXX-Handschriften und Syr haben das Wort im Plural statt im Sg. und auch LXXO war die Fassung mit doppeltem „mein-Auge“ bekannt. Vgl. außerdem noch 2 Kön 4,19 („mein Kopf, mein Kopf“); Jer 4,19 („meine Eingeweide, meine Eingeweide“) - ganz sicher es also nicht, dass der ursprüngliche Text nur ein „mein Auge“ hatte.</w:t>
      </w:r>
    </w:p>
  </w:footnote>
  <w:footnote w:id="2754">
    <w:p>
      <w:pPr>
        <w:pStyle w:val="Funote"/>
        <w:rPr/>
      </w:pPr>
      <w:r>
        <w:rPr/>
        <w:footnoteRef/>
        <w:tab/>
        <w:t>zerfließt - wörtl. steigt herab</w:t>
      </w:r>
    </w:p>
  </w:footnote>
  <w:footnote w:id="2755">
    <w:p>
      <w:pPr>
        <w:pStyle w:val="Funote"/>
        <w:rPr/>
      </w:pPr>
      <w:r>
        <w:rPr>
          <w:i/>
        </w:rPr>
        <w:footnoteRef/>
        <w:tab/>
        <w:t>Jakob</w:t>
      </w:r>
      <w:r>
        <w:rPr/>
        <w:t xml:space="preserve"> - Bezeichnung für das Volk Israel, die auf den gleichnamigen Patriarchen zurückgeht.</w:t>
      </w:r>
    </w:p>
  </w:footnote>
  <w:footnote w:id="2756">
    <w:p>
      <w:pPr>
        <w:pStyle w:val="Funote"/>
        <w:rPr/>
      </w:pPr>
      <w:r>
        <w:rPr>
          <w:i/>
        </w:rPr>
        <w:footnoteRef/>
        <w:tab/>
        <w:t>Mund</w:t>
      </w:r>
      <w:r>
        <w:rPr/>
        <w:t xml:space="preserve"> steht hier wie öfter synekdochisch für das, was aus diesem Mund kommt: für Gottes Weisungen und Gebote.</w:t>
      </w:r>
    </w:p>
  </w:footnote>
  <w:footnote w:id="2757">
    <w:p>
      <w:pPr>
        <w:pStyle w:val="Funote"/>
        <w:rPr/>
      </w:pPr>
      <w:r>
        <w:rPr>
          <w:i/>
        </w:rPr>
        <w:footnoteRef/>
        <w:tab/>
        <w:t>jungen Frauen und Männer</w:t>
      </w:r>
      <w:r>
        <w:rPr/>
        <w:t xml:space="preserve"> - Die hebräischen Begriffe bezeichnen noch nicht Verheiratete.</w:t>
      </w:r>
    </w:p>
  </w:footnote>
  <w:footnote w:id="2758">
    <w:p>
      <w:pPr>
        <w:pStyle w:val="Funote"/>
        <w:rPr/>
      </w:pPr>
      <w:r>
        <w:rPr>
          <w:i/>
        </w:rPr>
        <w:footnoteRef/>
        <w:tab/>
        <w:t>Priester und Älteste</w:t>
      </w:r>
      <w:r>
        <w:rPr/>
        <w:t xml:space="preserve"> stehen als pars pro toto für das ganze Volk. Wenn sie schon hungern, lässt sich erahnen, wie schlimm es um das einfache Volk steht.</w:t>
      </w:r>
    </w:p>
  </w:footnote>
  <w:footnote w:id="2759">
    <w:p>
      <w:pPr>
        <w:pStyle w:val="Funote"/>
        <w:rPr/>
      </w:pPr>
      <w:r>
        <w:rPr/>
        <w:footnoteRef/>
        <w:tab/>
        <w:t xml:space="preserve">Textkritik: LXX + Syr fügen hinzu: „und fanden keine“. Dieser Überlieferung zu folgen ist unnötig (gegen Kraus S. 18), wenn man das Impf. </w:t>
      </w:r>
      <w:r>
        <w:rPr>
          <w:lang w:bidi="he-IL"/>
        </w:rPr>
        <w:t>ּ</w:t>
      </w:r>
      <w:r>
        <w:rPr>
          <w:rtl w:val="true"/>
          <w:lang w:bidi="he-IL"/>
        </w:rPr>
        <w:t>וְיָשִׁיבו</w:t>
      </w:r>
      <w:r>
        <w:rPr/>
        <w:t xml:space="preserve"> </w:t>
      </w:r>
      <w:r>
        <w:rPr/>
        <w:t>(wəjāšîbû) final übersetzt (vgl. GKC §107q).</w:t>
      </w:r>
    </w:p>
  </w:footnote>
  <w:footnote w:id="2760">
    <w:p>
      <w:pPr>
        <w:pStyle w:val="Funote"/>
        <w:rPr/>
      </w:pPr>
      <w:r>
        <w:rPr/>
        <w:footnoteRef/>
        <w:tab/>
        <w:t xml:space="preserve">aufgewühlt ― od.: glüht. Ges18 unterscheidet zwei Wurzeln </w:t>
      </w:r>
      <w:r>
        <w:rPr>
          <w:rtl w:val="true"/>
          <w:lang w:bidi="he-IL"/>
        </w:rPr>
        <w:t>חמר</w:t>
      </w:r>
      <w:r>
        <w:rPr/>
        <w:t xml:space="preserve"> </w:t>
      </w:r>
      <w:r>
        <w:rPr/>
        <w:t xml:space="preserve">(ḥāmar): 1. aufwühlen, gären (u.a. zur Bezeichnung von Schaumwein) 2. rot sein, ohne </w:t>
      </w:r>
      <w:r>
        <w:rPr>
          <w:rtl w:val="true"/>
          <w:lang w:bidi="he-IL"/>
        </w:rPr>
        <w:t>חֳמַרְמָרוּ</w:t>
      </w:r>
      <w:r>
        <w:rPr/>
        <w:t xml:space="preserve"> </w:t>
      </w:r>
      <w:r>
        <w:rPr/>
        <w:t>(ḥŏmarmārû) in Klgl 1,20 einer der beiden Wurzeln sicher zuzuordnen. Der Unterschied ist am Ende nicht groß, in beiden Fällen wird große Angst oder Erregung ausgedrückt.</w:t>
      </w:r>
    </w:p>
  </w:footnote>
  <w:footnote w:id="2761">
    <w:p>
      <w:pPr>
        <w:pStyle w:val="Funote"/>
        <w:rPr/>
      </w:pPr>
      <w:r>
        <w:rPr/>
        <w:footnoteRef/>
        <w:tab/>
        <w:t xml:space="preserve">Viele Übersetzungen bieten: </w:t>
      </w:r>
      <w:r>
        <w:rPr>
          <w:i/>
        </w:rPr>
        <w:t>drinnen der Tod</w:t>
      </w:r>
      <w:r>
        <w:rPr/>
        <w:t xml:space="preserve"> bzw. </w:t>
      </w:r>
      <w:r>
        <w:rPr>
          <w:i/>
        </w:rPr>
        <w:t>drinnen (herrscht) der Tod</w:t>
      </w:r>
      <w:r>
        <w:rPr/>
        <w:t xml:space="preserve">, müssen dazu aber das </w:t>
      </w:r>
      <w:r>
        <w:rPr>
          <w:i/>
        </w:rPr>
        <w:t>wie</w:t>
      </w:r>
      <w:r>
        <w:rPr/>
        <w:t xml:space="preserve"> (</w:t>
      </w:r>
      <w:r>
        <w:rPr>
          <w:rtl w:val="true"/>
          <w:lang w:bidi="he-IL"/>
        </w:rPr>
        <w:t>כְּ</w:t>
      </w:r>
      <w:r>
        <w:rPr/>
        <w:t xml:space="preserve">/kǝ) im hebräischen Text ignorieren. Vielleicht heißt </w:t>
      </w:r>
      <w:r>
        <w:rPr>
          <w:rtl w:val="true"/>
          <w:lang w:bidi="he-IL"/>
        </w:rPr>
        <w:t>כַּמָּוֶת</w:t>
      </w:r>
      <w:r>
        <w:rPr/>
        <w:t xml:space="preserve"> </w:t>
      </w:r>
      <w:r>
        <w:rPr/>
        <w:t xml:space="preserve">(kammāwät) </w:t>
      </w:r>
      <w:r>
        <w:rPr>
          <w:i/>
        </w:rPr>
        <w:t>als ob eine Seuche (wütet)</w:t>
      </w:r>
      <w:r>
        <w:rPr/>
        <w:t>.</w:t>
      </w:r>
    </w:p>
  </w:footnote>
  <w:footnote w:id="2762">
    <w:p>
      <w:pPr>
        <w:pStyle w:val="Funote"/>
        <w:rPr/>
      </w:pPr>
      <w:r>
        <w:rPr/>
        <w:footnoteRef/>
        <w:tab/>
        <w:t xml:space="preserve">Sie haben gehört - nämlich die Feinde (vgl. 21b), oder allgemein man. Textkritik: Einige vermuten wegen Syr („Höre!“), dass hier ursprünglich ein Imp. Sg. gestanden habe: </w:t>
      </w:r>
      <w:r>
        <w:rPr>
          <w:rtl w:val="true"/>
          <w:lang w:bidi="he-IL"/>
        </w:rPr>
        <w:t>שְׁמַע</w:t>
      </w:r>
      <w:r>
        <w:rPr/>
        <w:t xml:space="preserve"> </w:t>
      </w:r>
      <w:r>
        <w:rPr/>
        <w:t xml:space="preserve">(šǝmaʻ = höre) statt </w:t>
      </w:r>
      <w:r>
        <w:rPr>
          <w:rtl w:val="true"/>
          <w:lang w:bidi="he-IL"/>
        </w:rPr>
        <w:t>שָׁמְעוּ</w:t>
      </w:r>
      <w:r>
        <w:rPr/>
        <w:t xml:space="preserve"> </w:t>
      </w:r>
      <w:r>
        <w:rPr/>
        <w:t>(šamǝʻû; so z.B. BHS, Gordis 1974, S. 160; Hillers 1972, S. 14f.; EÜ). Ebenso in Zeile 5: „Bringe“ (nach Syr, so BHS, EÜ u.a.), das andere als sog. „prekatives Perfekt“ deuten und auf dieser Basis ebenso übersetzen (z.B. Gordis 1974, S. 160; Hillers 1972, S. 15). Die LXX hat Imp. Pl. überliefert: Hört.</w:t>
      </w:r>
    </w:p>
  </w:footnote>
  <w:footnote w:id="2763">
    <w:p>
      <w:pPr>
        <w:pStyle w:val="Funote"/>
        <w:rPr/>
      </w:pPr>
      <w:r>
        <w:rPr/>
        <w:footnoteRef/>
        <w:tab/>
        <w:t>du brachtest ..., aber sie werden sein - andere übersetzen: Bringst du den Tag … dann werden sie mir gleich sein (beigeordneter Bedingungssatz, vgl. GKC §159 b/h). Andere übersetzen: „Bringe...!“ (s. vorige FN). Für die obige Übersetzung spricht, dass der angekündigte Tag besser zu dem gegenwärtigen Unheil passt, als in ihm eine Gerichtsdrohung gegen die Feinde zu sehen, die hier sehr unvermittelt käme.</w:t>
      </w:r>
    </w:p>
  </w:footnote>
  <w:footnote w:id="2764">
    <w:p>
      <w:pPr>
        <w:pStyle w:val="Funote"/>
        <w:rPr/>
      </w:pPr>
      <w:r>
        <w:rPr/>
        <w:footnoteRef/>
        <w:tab/>
        <w:t>wörtl.: nicht gedacht</w:t>
      </w:r>
    </w:p>
  </w:footnote>
  <w:footnote w:id="2765">
    <w:p>
      <w:pPr>
        <w:pStyle w:val="Funote"/>
        <w:rPr/>
      </w:pPr>
      <w:r>
        <w:rPr/>
        <w:footnoteRef/>
        <w:tab/>
        <w:t>Textkritik ― Der masoretische Text ist unverständlich (gegen Kraus, der die Inkongruenz der Genera nicht beachtet): stehend (Mask.) seine Rechte (Fem.). Die Übersetzung folgt dem Vorschlag der BHK.</w:t>
      </w:r>
    </w:p>
  </w:footnote>
  <w:footnote w:id="2766">
    <w:p>
      <w:pPr>
        <w:pStyle w:val="Funote"/>
        <w:rPr/>
      </w:pPr>
      <w:r>
        <w:rPr/>
        <w:footnoteRef/>
        <w:tab/>
        <w:t xml:space="preserve">Der masoretische Text überliefert: </w:t>
      </w:r>
      <w:r>
        <w:rPr>
          <w:i/>
        </w:rPr>
        <w:t>wie ein Gegner und er tötete</w:t>
      </w:r>
      <w:r>
        <w:rPr/>
        <w:t>. Die Übersetzung folgt dem Vorschlag der BHK.</w:t>
      </w:r>
    </w:p>
  </w:footnote>
  <w:footnote w:id="2767">
    <w:p>
      <w:pPr>
        <w:pStyle w:val="Funote"/>
        <w:rPr/>
      </w:pPr>
      <w:r>
        <w:rPr>
          <w:i/>
        </w:rPr>
        <w:footnoteRef/>
        <w:tab/>
        <w:t>Augenweide</w:t>
      </w:r>
      <w:r>
        <w:rPr/>
        <w:t xml:space="preserve"> - wörtl.: </w:t>
      </w:r>
      <w:r>
        <w:rPr>
          <w:i/>
        </w:rPr>
        <w:t>Lust [des] Auges</w:t>
      </w:r>
      <w:r>
        <w:rPr/>
        <w:t xml:space="preserve"> = die Bewohner Jerusalems bzw. Judas.</w:t>
      </w:r>
    </w:p>
  </w:footnote>
  <w:footnote w:id="2768">
    <w:p>
      <w:pPr>
        <w:pStyle w:val="Funote"/>
        <w:rPr/>
      </w:pPr>
      <w:r>
        <w:rPr>
          <w:i/>
        </w:rPr>
        <w:footnoteRef/>
        <w:tab/>
        <w:t>Zelt der Tochter Zion</w:t>
      </w:r>
      <w:r>
        <w:rPr/>
        <w:t xml:space="preserve"> bezeichnet Jerusalem</w:t>
      </w:r>
    </w:p>
  </w:footnote>
  <w:footnote w:id="2769">
    <w:p>
      <w:pPr>
        <w:pStyle w:val="Funote"/>
        <w:rPr/>
      </w:pPr>
      <w:r>
        <w:rPr/>
        <w:footnoteRef/>
        <w:tab/>
        <w:t>d.h. der Tochter Zion (4c)</w:t>
      </w:r>
    </w:p>
  </w:footnote>
  <w:footnote w:id="2770">
    <w:p>
      <w:pPr>
        <w:pStyle w:val="Funote"/>
        <w:rPr/>
      </w:pPr>
      <w:r>
        <w:rPr>
          <w:i/>
        </w:rPr>
        <w:footnoteRef/>
        <w:tab/>
        <w:t>Hütte</w:t>
      </w:r>
      <w:r>
        <w:rPr/>
        <w:t xml:space="preserve"> ― Wie aus 6b hervorgeht (</w:t>
      </w:r>
      <w:r>
        <w:rPr>
          <w:i/>
        </w:rPr>
        <w:t>Versammlungstätte</w:t>
      </w:r>
      <w:r>
        <w:rPr/>
        <w:t xml:space="preserve">) ist mit </w:t>
      </w:r>
      <w:r>
        <w:rPr>
          <w:i/>
        </w:rPr>
        <w:t>Hütte</w:t>
      </w:r>
      <w:r>
        <w:rPr/>
        <w:t xml:space="preserve"> der Tempel gemeint.</w:t>
      </w:r>
    </w:p>
  </w:footnote>
  <w:footnote w:id="2771">
    <w:p>
      <w:pPr>
        <w:pStyle w:val="Funote"/>
        <w:rPr/>
      </w:pPr>
      <w:r>
        <w:rPr/>
        <w:footnoteRef/>
        <w:tab/>
        <w:t xml:space="preserve">wie einen Weinstock ― So LXX. Der masoretische Text überliefert wie den Garten bzw. bei Änderung der Vokalisation wie einen Garten. Der LXX hat ein leicht veränderter Text - </w:t>
      </w:r>
      <w:r>
        <w:rPr>
          <w:rtl w:val="true"/>
          <w:lang w:bidi="he-IL"/>
        </w:rPr>
        <w:t>גפן</w:t>
      </w:r>
      <w:r>
        <w:rPr/>
        <w:t xml:space="preserve"> </w:t>
      </w:r>
      <w:r>
        <w:rPr/>
        <w:t xml:space="preserve">(géfen) statt </w:t>
      </w:r>
      <w:r>
        <w:rPr>
          <w:rtl w:val="true"/>
          <w:lang w:bidi="he-IL"/>
        </w:rPr>
        <w:t>גן</w:t>
      </w:r>
      <w:r>
        <w:rPr/>
        <w:t xml:space="preserve"> </w:t>
      </w:r>
      <w:r>
        <w:rPr/>
        <w:t>(gan) - vorgelegen. Zum Bild des Weinstocks vgl. Ps 80,9-17.</w:t>
      </w:r>
    </w:p>
  </w:footnote>
  <w:footnote w:id="2772">
    <w:p>
      <w:pPr>
        <w:pStyle w:val="Funote"/>
        <w:rPr/>
      </w:pPr>
      <w:r>
        <w:rPr/>
        <w:footnoteRef/>
        <w:tab/>
        <w:t xml:space="preserve">preisgeben ― </w:t>
      </w:r>
      <w:r>
        <w:rPr>
          <w:rtl w:val="true"/>
          <w:lang w:bidi="he-IL"/>
        </w:rPr>
        <w:t>חמס</w:t>
      </w:r>
      <w:r>
        <w:rPr/>
        <w:t xml:space="preserve"> </w:t>
      </w:r>
      <w:r>
        <w:rPr/>
        <w:t xml:space="preserve">(ḥāmas) wird meist mit Gewalt antun übersetzt. Stellen wie Hi 15,33 Jer 18,22 - parallel zu </w:t>
      </w:r>
      <w:r>
        <w:rPr>
          <w:rtl w:val="true"/>
          <w:lang w:bidi="he-IL"/>
        </w:rPr>
        <w:t>גלה</w:t>
      </w:r>
      <w:r>
        <w:rPr/>
        <w:t xml:space="preserve"> </w:t>
      </w:r>
      <w:r>
        <w:rPr/>
        <w:t xml:space="preserve">(gāla = aufdecken) - und die Übersetzung der LXX mit </w:t>
      </w:r>
      <w:r>
        <w:rPr>
          <w:lang w:val="el-GR"/>
        </w:rPr>
        <w:t>διαπεταννύναι</w:t>
      </w:r>
      <w:r>
        <w:rPr/>
        <w:t xml:space="preserve"> (ausbreiten, öffnen) legen jedoch entblößen, des Schutzes berauben als Grundbedeutung nahe. Die Zerstörung des Tempels würde dann mit dem Einreißen der Mauer eines Weingartens verglichen.</w:t>
      </w:r>
    </w:p>
  </w:footnote>
  <w:footnote w:id="2773">
    <w:p>
      <w:pPr>
        <w:pStyle w:val="Funote"/>
        <w:rPr/>
      </w:pPr>
      <w:r>
        <w:rPr/>
        <w:footnoteRef/>
        <w:tab/>
        <w:t>Der Altar steht als pars pro toto für den gesamten Tempel.</w:t>
      </w:r>
    </w:p>
  </w:footnote>
  <w:footnote w:id="2774">
    <w:p>
      <w:pPr>
        <w:pStyle w:val="Funote"/>
        <w:rPr/>
      </w:pPr>
      <w:r>
        <w:rPr/>
        <w:footnoteRef/>
        <w:tab/>
        <w:t>d.i. Zions</w:t>
      </w:r>
    </w:p>
  </w:footnote>
  <w:footnote w:id="2775">
    <w:p>
      <w:pPr>
        <w:pStyle w:val="Funote"/>
        <w:rPr/>
      </w:pPr>
      <w:r>
        <w:rPr/>
        <w:footnoteRef/>
        <w:tab/>
        <w:t xml:space="preserve">wörtl. </w:t>
      </w:r>
      <w:r>
        <w:rPr>
          <w:i/>
        </w:rPr>
        <w:t>sie riefen</w:t>
      </w:r>
    </w:p>
  </w:footnote>
  <w:footnote w:id="2776">
    <w:p>
      <w:pPr>
        <w:pStyle w:val="Funote"/>
        <w:rPr/>
      </w:pPr>
      <w:r>
        <w:rPr/>
        <w:footnoteRef/>
        <w:tab/>
        <w:t>In bitterer Ironie vergleicht der Dichter das Kriegsgeschrei bzw. die Angstrufe bei der Eroberung des Tempels mit den Festtagslärm früherer Tage.</w:t>
      </w:r>
    </w:p>
  </w:footnote>
  <w:footnote w:id="2777">
    <w:p>
      <w:pPr>
        <w:pStyle w:val="Funote"/>
        <w:rPr/>
      </w:pPr>
      <w:r>
        <w:rPr>
          <w:i/>
        </w:rPr>
        <w:footnoteRef/>
        <w:tab/>
        <w:t>Messschnur spannen</w:t>
      </w:r>
      <w:r>
        <w:rPr/>
        <w:t xml:space="preserve"> ist Synonym zu </w:t>
      </w:r>
      <w:r>
        <w:rPr>
          <w:i/>
        </w:rPr>
        <w:t>ersinnen, planen</w:t>
      </w:r>
      <w:r>
        <w:rPr/>
        <w:t xml:space="preserve"> in 8a.</w:t>
      </w:r>
    </w:p>
  </w:footnote>
  <w:footnote w:id="2778">
    <w:p>
      <w:pPr>
        <w:pStyle w:val="Funote"/>
        <w:rPr/>
      </w:pPr>
      <w:r>
        <w:rPr/>
        <w:footnoteRef/>
        <w:tab/>
        <w:t>Nämlich um ihre Mannschaften, die getötet worden sind.</w:t>
      </w:r>
    </w:p>
  </w:footnote>
  <w:footnote w:id="2779">
    <w:p>
      <w:pPr>
        <w:pStyle w:val="Funote"/>
        <w:rPr/>
      </w:pPr>
      <w:r>
        <w:rPr>
          <w:i/>
        </w:rPr>
        <w:footnoteRef/>
        <w:tab/>
        <w:t>Wall</w:t>
      </w:r>
      <w:r>
        <w:rPr/>
        <w:t xml:space="preserve"> ― Gemeint ist die Mauer vor der eigentlichen Stadtmauer. Andere übersetzen </w:t>
      </w:r>
      <w:r>
        <w:rPr>
          <w:i/>
        </w:rPr>
        <w:t>Heer</w:t>
      </w:r>
      <w:r>
        <w:rPr/>
        <w:t xml:space="preserve"> in der Annahme, dass es sich bei </w:t>
      </w:r>
      <w:r>
        <w:rPr>
          <w:rtl w:val="true"/>
          <w:lang w:bidi="he-IL"/>
        </w:rPr>
        <w:t>חֵל</w:t>
      </w:r>
      <w:r>
        <w:rPr/>
        <w:t xml:space="preserve"> </w:t>
      </w:r>
      <w:r>
        <w:rPr/>
        <w:t xml:space="preserve">(ḥēl) um eine orthographische Variante zu </w:t>
      </w:r>
      <w:r>
        <w:rPr>
          <w:rtl w:val="true"/>
          <w:lang w:bidi="he-IL"/>
        </w:rPr>
        <w:t>חֵיל</w:t>
      </w:r>
      <w:r>
        <w:rPr/>
        <w:t xml:space="preserve"> </w:t>
      </w:r>
      <w:r>
        <w:rPr/>
        <w:t>(ḥêl = Heer) handelt</w:t>
      </w:r>
    </w:p>
  </w:footnote>
  <w:footnote w:id="2780">
    <w:p>
      <w:pPr>
        <w:pStyle w:val="Funote"/>
        <w:rPr/>
      </w:pPr>
      <w:r>
        <w:rPr>
          <w:i/>
        </w:rPr>
        <w:footnoteRef/>
        <w:tab/>
        <w:t>gaben sie nach</w:t>
      </w:r>
      <w:r>
        <w:rPr/>
        <w:t xml:space="preserve"> ― eig. </w:t>
      </w:r>
      <w:r>
        <w:rPr>
          <w:i/>
        </w:rPr>
        <w:t>verwelkten sie</w:t>
      </w:r>
    </w:p>
  </w:footnote>
  <w:footnote w:id="2781">
    <w:p>
      <w:pPr>
        <w:pStyle w:val="Funote"/>
        <w:rPr/>
      </w:pPr>
      <w:r>
        <w:rPr>
          <w:i/>
        </w:rPr>
        <w:footnoteRef/>
        <w:tab/>
        <w:t>Auf der Erde sitzen</w:t>
      </w:r>
      <w:r>
        <w:rPr/>
        <w:t xml:space="preserve"> war ein Zeichen von Trauer (vgl. Jes 29,4).</w:t>
      </w:r>
    </w:p>
  </w:footnote>
  <w:footnote w:id="2782">
    <w:p>
      <w:pPr>
        <w:pStyle w:val="Funote"/>
        <w:rPr/>
      </w:pPr>
      <w:r>
        <w:rPr/>
        <w:footnoteRef/>
        <w:tab/>
        <w:t xml:space="preserve">wörtl. </w:t>
      </w:r>
      <w:r>
        <w:rPr>
          <w:i/>
        </w:rPr>
        <w:t>und verstört sind</w:t>
      </w:r>
    </w:p>
  </w:footnote>
  <w:footnote w:id="2783">
    <w:p>
      <w:pPr>
        <w:pStyle w:val="Funote"/>
        <w:rPr/>
      </w:pPr>
      <w:r>
        <w:rPr/>
        <w:footnoteRef/>
        <w:tab/>
        <w:t>Zeichen von Trauer und Reue.</w:t>
      </w:r>
    </w:p>
  </w:footnote>
  <w:footnote w:id="2784">
    <w:p>
      <w:pPr>
        <w:pStyle w:val="Funote"/>
        <w:rPr/>
      </w:pPr>
      <w:r>
        <w:rPr/>
        <w:footnoteRef/>
        <w:tab/>
        <w:t>Das Ausschütten innerer Organe ist in der herbäischen Bibel Ausdruck, dass jmd tödlich getroffen ist (vgl. Hi 16,13). Nach Kraus (S. 40) ist die Leber Sitz der innersten Empfindungen.</w:t>
      </w:r>
    </w:p>
  </w:footnote>
  <w:footnote w:id="2785">
    <w:p>
      <w:pPr>
        <w:pStyle w:val="Funote"/>
        <w:rPr/>
      </w:pPr>
      <w:r>
        <w:rPr/>
        <w:footnoteRef/>
        <w:tab/>
        <w:t>D.h. mit deinem Untergang.</w:t>
      </w:r>
    </w:p>
  </w:footnote>
  <w:footnote w:id="2786">
    <w:p>
      <w:pPr>
        <w:pStyle w:val="Funote"/>
        <w:rPr/>
      </w:pPr>
      <w:r>
        <w:rPr>
          <w:i/>
        </w:rPr>
        <w:footnoteRef/>
        <w:tab/>
        <w:t>um dich zu trösten</w:t>
      </w:r>
      <w:r>
        <w:rPr/>
        <w:t xml:space="preserve"> ― und dich [damit] trösten.</w:t>
      </w:r>
    </w:p>
  </w:footnote>
  <w:footnote w:id="2787">
    <w:p>
      <w:pPr>
        <w:pStyle w:val="Funote"/>
        <w:rPr/>
      </w:pPr>
      <w:r>
        <w:rPr/>
        <w:footnoteRef/>
        <w:tab/>
        <w:t>od.: salzlos, fade</w:t>
      </w:r>
    </w:p>
  </w:footnote>
  <w:footnote w:id="2788">
    <w:p>
      <w:pPr>
        <w:pStyle w:val="Funote"/>
        <w:rPr/>
      </w:pPr>
      <w:r>
        <w:rPr/>
        <w:footnoteRef/>
        <w:tab/>
        <w:t>wörtl.: sie deckten nicht auf [die Hülle] über deiner Schuld.</w:t>
      </w:r>
    </w:p>
  </w:footnote>
  <w:footnote w:id="2789">
    <w:p>
      <w:pPr>
        <w:pStyle w:val="Funote"/>
        <w:rPr/>
      </w:pPr>
      <w:r>
        <w:rPr/>
        <w:footnoteRef/>
        <w:tab/>
        <w:t>wörtl.: schauten</w:t>
      </w:r>
    </w:p>
  </w:footnote>
  <w:footnote w:id="2790">
    <w:p>
      <w:pPr>
        <w:pStyle w:val="Funote"/>
        <w:rPr/>
      </w:pPr>
      <w:r>
        <w:rPr/>
        <w:footnoteRef/>
        <w:tab/>
        <w:t xml:space="preserve">Bei anderer Vokalisation: </w:t>
      </w:r>
      <w:r>
        <w:rPr>
          <w:i/>
        </w:rPr>
        <w:t>Orakel, Lüge und Verführung.</w:t>
      </w:r>
    </w:p>
  </w:footnote>
  <w:footnote w:id="2791">
    <w:p>
      <w:pPr>
        <w:pStyle w:val="Funote"/>
        <w:rPr/>
      </w:pPr>
      <w:r>
        <w:rPr/>
        <w:footnoteRef/>
        <w:tab/>
        <w:t>klatschen ... zischen: beides Ausdrücke der Schadenfreude.</w:t>
      </w:r>
    </w:p>
  </w:footnote>
  <w:footnote w:id="2792">
    <w:p>
      <w:pPr>
        <w:pStyle w:val="Funote"/>
        <w:rPr/>
      </w:pPr>
      <w:r>
        <w:rPr/>
        <w:footnoteRef/>
        <w:tab/>
        <w:t>deine: im Hebräischen Femininum mit Bezug auf die Stadt Jerusalem</w:t>
      </w:r>
    </w:p>
  </w:footnote>
  <w:footnote w:id="2793">
    <w:p>
      <w:pPr>
        <w:pStyle w:val="Funote"/>
        <w:rPr/>
      </w:pPr>
      <w:r>
        <w:rPr/>
        <w:footnoteRef/>
        <w:tab/>
        <w:t>wir haben (es) erreicht: Andere übersetzen „wir haben ihn (d.h. den erhofften Tag) erreicht“</w:t>
      </w:r>
    </w:p>
  </w:footnote>
  <w:footnote w:id="2794">
    <w:p>
      <w:pPr>
        <w:pStyle w:val="Funote"/>
        <w:rPr/>
      </w:pPr>
      <w:r>
        <w:rPr/>
        <w:footnoteRef/>
        <w:tab/>
        <w:t>das er angeordnet hat: Gordis bezieht dies auf den Tempel und nicht auf das Wort. Dann lautet die Übersetzung: Was er angeordnet hat ..., das riss er ein ...</w:t>
      </w:r>
    </w:p>
  </w:footnote>
  <w:footnote w:id="2795">
    <w:p>
      <w:pPr>
        <w:pStyle w:val="Funote"/>
        <w:rPr/>
      </w:pPr>
      <w:r>
        <w:rPr/>
        <w:footnoteRef/>
        <w:tab/>
        <w:t>Horn: ein bildhafter Ausdruck für Macht</w:t>
      </w:r>
    </w:p>
  </w:footnote>
  <w:footnote w:id="2796">
    <w:p>
      <w:pPr>
        <w:pStyle w:val="Funote"/>
        <w:rPr/>
      </w:pPr>
      <w:r>
        <w:rPr/>
        <w:footnoteRef/>
        <w:tab/>
        <w:t>ihr: im Hebr. Plural; gemeint sind die Bewohner Jerusalems</w:t>
      </w:r>
    </w:p>
  </w:footnote>
  <w:footnote w:id="2797">
    <w:p>
      <w:pPr>
        <w:pStyle w:val="Funote"/>
        <w:rPr/>
      </w:pPr>
      <w:r>
        <w:rPr/>
        <w:footnoteRef/>
        <w:tab/>
        <w:t>schreit: Andere deuten das hebräische Perfekt an dieser Stelle als Vergangenheitstempus: schrie</w:t>
      </w:r>
    </w:p>
  </w:footnote>
  <w:footnote w:id="2798">
    <w:p>
      <w:pPr>
        <w:pStyle w:val="Funote"/>
        <w:rPr/>
      </w:pPr>
      <w:r>
        <w:rPr/>
        <w:footnoteRef/>
        <w:tab/>
        <w:t xml:space="preserve">Ihr Herz schreit ... Stadtmauer ...: So der masoretische Text. Zahlreiche Übersetzungen und Kommentatoren halten diese Überlieferung von Vers 18a für korrupt. Unter den verschiedenen Verbesserungsvorschlägen hat die Änderung von </w:t>
      </w:r>
      <w:r>
        <w:rPr>
          <w:rtl w:val="true"/>
          <w:lang w:bidi="he-IL"/>
        </w:rPr>
        <w:t>צָעַק</w:t>
      </w:r>
      <w:r>
        <w:rPr/>
        <w:t xml:space="preserve"> </w:t>
      </w:r>
      <w:r>
        <w:rPr/>
        <w:t xml:space="preserve">(schreit/schrie) in </w:t>
      </w:r>
      <w:r>
        <w:rPr>
          <w:rtl w:val="true"/>
          <w:lang w:bidi="he-IL"/>
        </w:rPr>
        <w:t>צַעֲקִי</w:t>
      </w:r>
      <w:r>
        <w:rPr/>
        <w:t xml:space="preserve"> </w:t>
      </w:r>
      <w:r>
        <w:rPr/>
        <w:t xml:space="preserve">(schrei!) und die Tilgung von </w:t>
      </w:r>
      <w:r>
        <w:rPr>
          <w:rtl w:val="true"/>
          <w:lang w:bidi="he-IL"/>
        </w:rPr>
        <w:t>חוֹמַת</w:t>
      </w:r>
      <w:r>
        <w:rPr/>
        <w:t xml:space="preserve"> </w:t>
      </w:r>
      <w:r>
        <w:rPr/>
        <w:t>(Mauer) Eingang in viele Übersetzungen gefunden. Neuere Übersetzungen (z.B. NZB, Lu2017) folgen wieder dem masoretischen Text.</w:t>
      </w:r>
    </w:p>
  </w:footnote>
  <w:footnote w:id="2799">
    <w:p>
      <w:pPr>
        <w:pStyle w:val="Funote"/>
        <w:rPr/>
      </w:pPr>
      <w:r>
        <w:rPr/>
        <w:footnoteRef/>
        <w:tab/>
        <w:t>Augapfel: wörtlich die Tochter deines Auges</w:t>
      </w:r>
    </w:p>
  </w:footnote>
  <w:footnote w:id="2800">
    <w:p>
      <w:pPr>
        <w:pStyle w:val="Funote"/>
        <w:rPr/>
      </w:pPr>
      <w:r>
        <w:rPr/>
        <w:footnoteRef/>
        <w:tab/>
        <w:t>klage ... gieße ... erhebe: Diese Imperative haben im Hebräischen feminines Geschlecht, so dass auch hier Jerusalem als Subjekt zu denken ist.</w:t>
      </w:r>
    </w:p>
  </w:footnote>
  <w:footnote w:id="2801">
    <w:p>
      <w:pPr>
        <w:pStyle w:val="Funote"/>
        <w:rPr/>
      </w:pPr>
      <w:r>
        <w:rPr/>
        <w:footnoteRef/>
        <w:tab/>
        <w:t>Auffälligerweise ist Vers 19 vierzeilig. Da die vierte Zeile jedoch von allen Textzeugen überliefert wird und auch inhaltlich keine Fragen aufwirft, gibt es keinen Grund sie zu tilgen.</w:t>
      </w:r>
    </w:p>
  </w:footnote>
  <w:footnote w:id="2802">
    <w:p>
      <w:pPr>
        <w:pStyle w:val="Funote"/>
        <w:rPr/>
      </w:pPr>
      <w:r>
        <w:rPr/>
        <w:footnoteRef/>
        <w:tab/>
        <w:t xml:space="preserve">umsorgten: andere übersetzen „gesund geborenen“ o.ä. </w:t>
      </w:r>
      <w:r>
        <w:rPr>
          <w:rtl w:val="true"/>
          <w:lang w:bidi="he-IL"/>
        </w:rPr>
        <w:t>טִפֻּחִים</w:t>
      </w:r>
      <w:r>
        <w:rPr/>
        <w:t xml:space="preserve"> </w:t>
      </w:r>
      <w:r>
        <w:rPr/>
        <w:t>kommt nur hier in der hebräischen Bibel vor.</w:t>
      </w:r>
    </w:p>
  </w:footnote>
  <w:footnote w:id="2803">
    <w:p>
      <w:pPr>
        <w:pStyle w:val="Funote"/>
        <w:rPr/>
      </w:pPr>
      <w:r>
        <w:rPr/>
        <w:footnoteRef/>
        <w:tab/>
        <w:t>junge Frauen ... junge Männer: Im Hebräischen sind damit noch nicht Verheiratete gemeint.</w:t>
      </w:r>
    </w:p>
  </w:footnote>
  <w:footnote w:id="2804">
    <w:p>
      <w:pPr>
        <w:pStyle w:val="Funote"/>
        <w:rPr/>
      </w:pPr>
      <w:r>
        <w:rPr/>
        <w:footnoteRef/>
        <w:tab/>
        <w:t xml:space="preserve">Diese Übersetzung ist der Versuch den masoretischen Text von Vers 22a ohne Eingriffe und Sonderbedeutungen folgendermaßen zu verstehen: Gott hat öffentlich beschlossen, dass die Einwohner Jerusalems in der eigenen Stadt und ringumher Fremdlinge sein sollen. Andere deuten </w:t>
      </w:r>
      <w:r>
        <w:rPr>
          <w:rtl w:val="true"/>
          <w:lang w:bidi="he-IL"/>
        </w:rPr>
        <w:t>מְגוּרַי</w:t>
      </w:r>
      <w:r>
        <w:rPr/>
        <w:t xml:space="preserve"> </w:t>
      </w:r>
      <w:r>
        <w:rPr/>
        <w:t xml:space="preserve">(meine Fremdlingschaft) als Plural von </w:t>
      </w:r>
      <w:r>
        <w:rPr>
          <w:rtl w:val="true"/>
          <w:lang w:bidi="he-IL"/>
        </w:rPr>
        <w:t>מָגוֹר</w:t>
      </w:r>
      <w:r>
        <w:rPr/>
        <w:t xml:space="preserve"> </w:t>
      </w:r>
      <w:r>
        <w:rPr/>
        <w:t xml:space="preserve">(Grauen, Schrecken). Gordis vermutet ein Wortspiel und übersetzt </w:t>
      </w:r>
      <w:r>
        <w:rPr>
          <w:rtl w:val="true"/>
          <w:lang w:bidi="he-IL"/>
        </w:rPr>
        <w:t>מְגוּרַי</w:t>
      </w:r>
      <w:r>
        <w:rPr/>
        <w:t xml:space="preserve"> </w:t>
      </w:r>
      <w:r>
        <w:rPr/>
        <w:t>als „neighbors (terrors)“.</w:t>
      </w:r>
    </w:p>
  </w:footnote>
  <w:footnote w:id="2805">
    <w:p>
      <w:pPr>
        <w:pStyle w:val="Funote"/>
        <w:rPr/>
      </w:pPr>
      <w:r>
        <w:rPr/>
        <w:footnoteRef/>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806">
    <w:p>
      <w:pPr>
        <w:pStyle w:val="Funote"/>
        <w:rPr/>
      </w:pPr>
      <w:r>
        <w:rPr/>
        <w:footnoteRef/>
        <w:tab/>
        <w:t>Mitgefühl ist im dt. Sg., im hebr. Pl.</w:t>
      </w:r>
    </w:p>
  </w:footnote>
  <w:footnote w:id="2807">
    <w:p>
      <w:pPr>
        <w:pStyle w:val="Funote"/>
        <w:rPr/>
      </w:pPr>
      <w:r>
        <w:rPr/>
        <w:footnoteRef/>
        <w:tab/>
        <w:t>Impf. hi.</w:t>
      </w:r>
    </w:p>
  </w:footnote>
  <w:footnote w:id="2808">
    <w:p>
      <w:pPr>
        <w:pStyle w:val="Funote"/>
        <w:rPr/>
      </w:pPr>
      <w:r>
        <w:rPr/>
        <w:footnoteRef/>
        <w:tab/>
        <w:t>Partizip q. mit Suffix, hier relativisch aufgelöst</w:t>
      </w:r>
    </w:p>
  </w:footnote>
  <w:footnote w:id="2809">
    <w:p>
      <w:pPr>
        <w:pStyle w:val="Funote"/>
        <w:rPr/>
      </w:pPr>
      <w:r>
        <w:rPr/>
        <w:footnoteRef/>
        <w:tab/>
        <w:t>„</w:t>
      </w:r>
      <w:r>
        <w:rPr/>
        <w:t>harrend“ ist Adjektiv, „still“ ist Adverb das das Adjektiv näher bestimmt</w:t>
      </w:r>
    </w:p>
  </w:footnote>
  <w:footnote w:id="2810">
    <w:p>
      <w:pPr>
        <w:pStyle w:val="Funote"/>
        <w:rPr/>
      </w:pPr>
      <w:r>
        <w:rPr/>
        <w:footnoteRef/>
        <w:tab/>
        <w:t>[Status: Ungeprüft]</w:t>
      </w:r>
    </w:p>
  </w:footnote>
  <w:footnote w:id="2811">
    <w:p>
      <w:pPr>
        <w:pStyle w:val="Funote"/>
        <w:rPr/>
      </w:pPr>
      <w:r>
        <w:rPr>
          <w:i/>
        </w:rPr>
        <w:footnoteRef/>
        <w:tab/>
        <w:t>gesalzen</w:t>
      </w:r>
      <w:r>
        <w:rPr/>
        <w:t xml:space="preserve"> - im Alten Israel war es Brauch, Säuglinge direkt nach der Geburt zu salzen, um so die Haut des Säuglings zu kräftigen (ein im alten Orient weit verbreiteter Aberglaube); vgl. </w:t>
      </w:r>
      <w:hyperlink r:id="rId201">
        <w:r>
          <w:rPr>
            <w:rStyle w:val="Internetverknpfung"/>
          </w:rPr>
          <w:t>Preuss 1911, S. 467</w:t>
        </w:r>
      </w:hyperlink>
      <w:r>
        <w:rPr/>
        <w:t>; so auch schon </w:t>
      </w:r>
      <w:r>
        <w:fldChar w:fldCharType="begin"/>
      </w:r>
      <w:r>
        <w:instrText> HYPERLINK "http://www.chabad.org/library/bible_cdo/aid/16114" \l "showrashi=true"</w:instrText>
      </w:r>
      <w:r>
        <w:fldChar w:fldCharType="separate"/>
      </w:r>
      <w:r>
        <w:rPr>
          <w:rStyle w:val="Internetverknpfung"/>
        </w:rPr>
        <w:t>Raschi</w:t>
      </w:r>
      <w:r>
        <w:fldChar w:fldCharType="end"/>
      </w:r>
      <w:r>
        <w:rPr/>
        <w:t>.</w:t>
      </w:r>
    </w:p>
  </w:footnote>
  <w:footnote w:id="2812">
    <w:p>
      <w:pPr>
        <w:pStyle w:val="Funote"/>
        <w:rPr/>
      </w:pPr>
      <w:r>
        <w:rPr/>
        <w:footnoteRef/>
        <w:tab/>
        <w:t>[Status: Ungeprüft]</w:t>
      </w:r>
    </w:p>
  </w:footnote>
  <w:footnote w:id="2813">
    <w:p>
      <w:pPr>
        <w:pStyle w:val="Funote"/>
        <w:rPr/>
      </w:pPr>
      <w:r>
        <w:rPr/>
        <w:footnoteRef/>
        <w:tab/>
        <w:t>Gesenius (17.Aufl.) gibt stattdessen an: die Scheusale seiner Lust</w:t>
      </w:r>
    </w:p>
  </w:footnote>
  <w:footnote w:id="2814">
    <w:p>
      <w:pPr>
        <w:pStyle w:val="Funote"/>
        <w:rPr/>
      </w:pPr>
      <w:r>
        <w:rPr/>
        <w:footnoteRef/>
        <w:tab/>
        <w:t>Andere Übersetzung fügen hier z.B. „gnädig“ ein.</w:t>
      </w:r>
    </w:p>
  </w:footnote>
  <w:footnote w:id="2815">
    <w:p>
      <w:pPr>
        <w:pStyle w:val="Funote"/>
        <w:rPr/>
      </w:pPr>
      <w:r>
        <w:rPr/>
        <w:footnoteRef/>
        <w:tab/>
        <w:t xml:space="preserve">Hier steht im Hebräischen ein Infinitiv, also wörtlich: zu erkennen/zu wissen - ohne weiteres Bezugswort. Gängige Bibelübersetzungen ergänzen ein „man“ oder ein „ihr“. Wegen der </w:t>
      </w:r>
    </w:p>
  </w:footnote>
  <w:footnote w:id="2816">
    <w:p>
      <w:pPr>
        <w:pStyle w:val="Funote"/>
        <w:rPr/>
      </w:pPr>
      <w:r>
        <w:rPr/>
        <w:footnoteRef/>
        <w:tab/>
        <w:t>andere Übersetzung fügen hier z.B. „gnädig“ ein.</w:t>
      </w:r>
    </w:p>
  </w:footnote>
  <w:footnote w:id="2817">
    <w:p>
      <w:pPr>
        <w:pStyle w:val="Funote"/>
        <w:rPr/>
      </w:pPr>
      <w:r>
        <w:rPr/>
        <w:footnoteRef/>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818">
    <w:p>
      <w:pPr>
        <w:pStyle w:val="Funote"/>
        <w:rPr/>
      </w:pPr>
      <w:r>
        <w:rPr/>
        <w:footnoteRef/>
        <w:tab/>
        <w:t>Oder: Nicht nach meinen Rechtssätzen handelten.</w:t>
      </w:r>
    </w:p>
  </w:footnote>
  <w:footnote w:id="2819">
    <w:p>
      <w:pPr>
        <w:pStyle w:val="Funote"/>
        <w:rPr/>
      </w:pPr>
      <w:r>
        <w:rPr/>
        <w:footnoteRef/>
        <w:tab/>
        <w:t>Es wir hier vermutlich auf Vers 31 Bezug genommen. Für die Verständlichkeit wurde das Feuer hier ergänzt</w:t>
      </w:r>
    </w:p>
  </w:footnote>
  <w:footnote w:id="2820">
    <w:p>
      <w:pPr>
        <w:pStyle w:val="Funote"/>
        <w:rPr/>
      </w:pPr>
      <w:r>
        <w:rPr/>
        <w:footnoteRef/>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821">
    <w:p>
      <w:pPr>
        <w:pStyle w:val="Funote"/>
        <w:rPr/>
      </w:pPr>
      <w:r>
        <w:rPr/>
        <w:footnoteRef/>
        <w:tab/>
        <w:t>Eigentlich eine Zusammensetzung aus zwei Substantiven: Beruhigendes/Beschwichtigendes und Geruch.</w:t>
      </w:r>
    </w:p>
  </w:footnote>
  <w:footnote w:id="2822">
    <w:p>
      <w:pPr>
        <w:pStyle w:val="Funote"/>
        <w:rPr/>
      </w:pPr>
      <w:r>
        <w:rPr/>
        <w:footnoteRef/>
        <w:tab/>
        <w:t>Die figura etymologica verstärkt die Aussage.</w:t>
      </w:r>
    </w:p>
  </w:footnote>
  <w:footnote w:id="2823">
    <w:p>
      <w:pPr>
        <w:pStyle w:val="Funote"/>
        <w:rPr/>
      </w:pPr>
      <w:r>
        <w:rPr/>
        <w:footnoteRef/>
        <w:tab/>
        <w:t>[Status: Ungeprüft]</w:t>
      </w:r>
    </w:p>
  </w:footnote>
  <w:footnote w:id="2824">
    <w:p>
      <w:pPr>
        <w:pStyle w:val="Funote"/>
        <w:rPr/>
      </w:pPr>
      <w:r>
        <w:rPr/>
        <w:footnoteRef/>
        <w:tab/>
        <w:t xml:space="preserve">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 </w:t>
      </w:r>
    </w:p>
  </w:footnote>
  <w:footnote w:id="2825">
    <w:p>
      <w:pPr>
        <w:pStyle w:val="Funote"/>
        <w:rPr/>
      </w:pPr>
      <w:r>
        <w:rPr/>
        <w:footnoteRef/>
        <w:tab/>
        <w:t xml:space="preserve">Von hier an ist der Text Aramäisch (Dan 2,4b-7,28). Neben diesem Abschnitt aus dem Danielbuch sind auch Esra 4,8-6,18; 7,12-26 auf Aramäisch verfasst bzw. aus aramäischen Quellen zitiert (zudem Jer 10,11 und ein Teil von Gen 31,47). </w:t>
      </w:r>
    </w:p>
  </w:footnote>
  <w:footnote w:id="2826">
    <w:p>
      <w:pPr>
        <w:pStyle w:val="Funote"/>
        <w:rPr/>
      </w:pPr>
      <w:r>
        <w:rPr/>
        <w:footnoteRef/>
        <w:tab/>
        <w:t>W. „Oh König, lebe {für} ewig!“</w:t>
      </w:r>
    </w:p>
  </w:footnote>
  <w:footnote w:id="2827">
    <w:p>
      <w:pPr>
        <w:pStyle w:val="Funote"/>
        <w:rPr/>
      </w:pPr>
      <w:r>
        <w:rPr/>
        <w:footnoteRef/>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828">
    <w:p>
      <w:pPr>
        <w:pStyle w:val="Funote"/>
        <w:rPr/>
      </w:pPr>
      <w:r>
        <w:rPr/>
        <w:footnoteRef/>
        <w:tab/>
        <w:t xml:space="preserve">D.h. „werdet ihr in Stücke gerissen/gehauen werden“ (vgl. Koch 2005, 90). </w:t>
      </w:r>
    </w:p>
  </w:footnote>
  <w:footnote w:id="2829">
    <w:p>
      <w:pPr>
        <w:pStyle w:val="Funote"/>
        <w:rPr/>
      </w:pPr>
      <w:r>
        <w:rPr>
          <w:i/>
        </w:rPr>
        <w:footnoteRef/>
        <w:tab/>
        <w:t>Müllhaufen (Latrinen, Trümmerhaufen)</w:t>
      </w:r>
      <w:r>
        <w:rPr/>
        <w:t xml:space="preserve"> Die Übersetzung dieses unbekannten Worts beruht auf Herleitungen, die auf einen widerwärtigen Ort wie einen Müllhaufen oder eine öffentliche Latrine schließen lassen. Die eigentliche Bedeutung könnte ganz anders lauten (Koch 2005, 90). </w:t>
      </w:r>
    </w:p>
  </w:footnote>
  <w:footnote w:id="2830">
    <w:p>
      <w:pPr>
        <w:pStyle w:val="Funote"/>
        <w:rPr/>
      </w:pPr>
      <w:r>
        <w:rPr/>
        <w:footnoteRef/>
        <w:tab/>
        <w:t xml:space="preserve">Ein unbekanntes Wort (Sg.). </w:t>
      </w:r>
      <w:r>
        <w:rPr>
          <w:i/>
        </w:rPr>
        <w:t>Belohnungen</w:t>
      </w:r>
      <w:r>
        <w:rPr/>
        <w:t xml:space="preserve"> nach DBL Aramaic, GesD tendiert zu „Geschenk, Gabe“, Koch 2011, 90 übersetzt „Ehrenurkunden/Kostbarkeiten“. </w:t>
      </w:r>
    </w:p>
  </w:footnote>
  <w:footnote w:id="2831">
    <w:p>
      <w:pPr>
        <w:pStyle w:val="Funote"/>
        <w:rPr/>
      </w:pPr>
      <w:r>
        <w:rPr/>
        <w:footnoteRef/>
        <w:tab/>
        <w:t xml:space="preserve">Die Einfügung von „jetzt“ und „versucht“ ist aufgrund des Partizips sowie sinngemäß angebracht. Der König erkennt also, was gerade vor sich geht: Die Wahrsager versuchen Zeit zu gewinnen. </w:t>
      </w:r>
    </w:p>
  </w:footnote>
  <w:footnote w:id="2832">
    <w:p>
      <w:pPr>
        <w:pStyle w:val="Funote"/>
        <w:rPr/>
      </w:pPr>
      <w:r>
        <w:rPr/>
        <w:footnoteRef/>
        <w:tab/>
        <w:t>S. die Fußnote in V. 5. Der Satz wird in V. 9 fortgesetzt (Koch 2005, 91). NLB (vgl. GNB): »dass ich meine Drohungen wahr machen werde.«</w:t>
      </w:r>
    </w:p>
  </w:footnote>
  <w:footnote w:id="2833">
    <w:p>
      <w:pPr>
        <w:pStyle w:val="Funote"/>
        <w:rPr/>
      </w:pPr>
      <w:r>
        <w:rPr/>
        <w:footnoteRef/>
        <w:tab/>
        <w:t xml:space="preserve">D.h. „kann das nur eines heißen“. Oder: „dass es nur ein … gibt, wenn ihr … nicht mitteilt. Aber (und) ihr habt euch [offenbar] abgesprochen...“ Der Vorwurf der bewussten Lüge ab 9b wäre dann nicht das Urteil, sondern eine daran angeschlossene Vermutung (so Koch 2005, 91, Zür). </w:t>
      </w:r>
    </w:p>
  </w:footnote>
  <w:footnote w:id="2834">
    <w:p>
      <w:pPr>
        <w:pStyle w:val="Funote"/>
        <w:rPr/>
      </w:pPr>
      <w:r>
        <w:rPr/>
        <w:footnoteRef/>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835">
    <w:p>
      <w:pPr>
        <w:pStyle w:val="Funote"/>
        <w:rPr/>
      </w:pPr>
      <w:r>
        <w:rPr>
          <w:i/>
        </w:rPr>
        <w:footnoteRef/>
        <w:tab/>
        <w:t>auf dem trockenen Land</w:t>
      </w:r>
      <w:r>
        <w:rPr/>
        <w:t xml:space="preserve"> Eine emphatische Metonymie des Subjekts für „auf der ganzen (bewohnbaren) Erde“. </w:t>
      </w:r>
    </w:p>
  </w:footnote>
  <w:footnote w:id="2836">
    <w:p>
      <w:pPr>
        <w:pStyle w:val="Funote"/>
        <w:rPr/>
      </w:pPr>
      <w:r>
        <w:rPr/>
        <w:footnoteRef/>
        <w:tab/>
        <w:t>W. »die Aufgabe (Wort, Sache) des Königs« GNB: »diese Forderung erfüllen«</w:t>
      </w:r>
    </w:p>
  </w:footnote>
  <w:footnote w:id="2837">
    <w:p>
      <w:pPr>
        <w:pStyle w:val="Funote"/>
        <w:rPr/>
      </w:pPr>
      <w:r>
        <w:rPr/>
        <w:footnoteRef/>
        <w:tab/>
        <w:t>W. »eine Aufgabe (Sache, Wort) wie diese (eine solche)« EÜ: »ein solches Ansinnen«</w:t>
      </w:r>
    </w:p>
  </w:footnote>
  <w:footnote w:id="2838">
    <w:p>
      <w:pPr>
        <w:pStyle w:val="Funote"/>
        <w:rPr/>
      </w:pPr>
      <w:r>
        <w:rPr/>
        <w:footnoteRef/>
        <w:tab/>
        <w:t>W. „Die Sache (Aufgabe, das Wort), die der König verlangt (fordert)“</w:t>
      </w:r>
    </w:p>
  </w:footnote>
  <w:footnote w:id="2839">
    <w:p>
      <w:pPr>
        <w:pStyle w:val="Funote"/>
        <w:rPr/>
      </w:pPr>
      <w:r>
        <w:rPr/>
        <w:footnoteRef/>
        <w:tab/>
        <w:t>Hier sind wohl die babylonischen Götter gemeint, es lässt sich jedoch nicht ausschließen (und ist auch grammatisch denkbar), dass von JHWH die Rede ist.</w:t>
      </w:r>
    </w:p>
  </w:footnote>
  <w:footnote w:id="2840">
    <w:p>
      <w:pPr>
        <w:pStyle w:val="Funote"/>
        <w:rPr/>
      </w:pPr>
      <w:r>
        <w:rPr>
          <w:i/>
        </w:rPr>
        <w:footnoteRef/>
        <w:tab/>
        <w:t>Fleisch</w:t>
      </w:r>
      <w:r>
        <w:rPr/>
        <w:t xml:space="preserve"> Metonymie der Adjunktion für die Sterblichen, d.h. „die Götter leben nicht unter den Menschen (Sterblichen)“.</w:t>
      </w:r>
    </w:p>
  </w:footnote>
  <w:footnote w:id="2841">
    <w:p>
      <w:pPr>
        <w:pStyle w:val="Funote"/>
        <w:rPr/>
      </w:pPr>
      <w:r>
        <w:rPr>
          <w:i/>
        </w:rPr>
        <w:footnoteRef/>
        <w:tab/>
        <w:t>wütend und sehr zornig</w:t>
      </w:r>
      <w:r>
        <w:rPr/>
        <w:t xml:space="preserve">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 xml:space="preserve">sehr eine sehr große Wut aus, die sich auch an seinem folgenden Befehl erkennen lässt. </w:t>
      </w:r>
    </w:p>
  </w:footnote>
  <w:footnote w:id="2842">
    <w:p>
      <w:pPr>
        <w:pStyle w:val="Funote"/>
        <w:rPr/>
      </w:pPr>
      <w:r>
        <w:rPr>
          <w:i/>
        </w:rPr>
        <w:footnoteRef/>
        <w:tab/>
        <w:t>Weisen</w:t>
      </w:r>
      <w:r>
        <w:rPr/>
        <w:t xml:space="preserve">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 </w:t>
      </w:r>
    </w:p>
  </w:footnote>
  <w:footnote w:id="2843">
    <w:p>
      <w:pPr>
        <w:pStyle w:val="Funote"/>
        <w:rPr/>
      </w:pPr>
      <w:r>
        <w:rPr/>
        <w:footnoteRef/>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844">
    <w:p>
      <w:pPr>
        <w:pStyle w:val="Funote"/>
        <w:rPr/>
      </w:pPr>
      <w:r>
        <w:rPr/>
        <w:footnoteRef/>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845">
    <w:p>
      <w:pPr>
        <w:pStyle w:val="Funote"/>
        <w:rPr/>
      </w:pPr>
      <w:r>
        <w:rPr/>
        <w:footnoteRef/>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846">
    <w:p>
      <w:pPr>
        <w:pStyle w:val="Funote"/>
        <w:rPr/>
      </w:pPr>
      <w:r>
        <w:rPr/>
        <w:footnoteRef/>
        <w:tab/>
        <w:t xml:space="preserve">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 </w:t>
      </w:r>
    </w:p>
  </w:footnote>
  <w:footnote w:id="2847">
    <w:p>
      <w:pPr>
        <w:pStyle w:val="Funote"/>
        <w:rPr/>
      </w:pPr>
      <w:r>
        <w:rPr/>
        <w:footnoteRef/>
        <w:tab/>
        <w:t xml:space="preserve">Die Bedeutung des Adjektivs muss rekonstruiert werden. </w:t>
      </w:r>
      <w:r>
        <w:rPr>
          <w:i/>
        </w:rPr>
        <w:t>übereilte</w:t>
      </w:r>
      <w:r>
        <w:rPr/>
        <w:t xml:space="preserve"> ist die bevorzugte Herleitung Kochs, der für die vermutete Bedeutung „streng“ (die meisten Übersetzungen) zu wenig Belege findet (Koch 2005, 93).</w:t>
      </w:r>
    </w:p>
  </w:footnote>
  <w:footnote w:id="2848">
    <w:p>
      <w:pPr>
        <w:pStyle w:val="Funote"/>
        <w:rPr/>
      </w:pPr>
      <w:r>
        <w:rPr/>
        <w:footnoteRef/>
        <w:tab/>
        <w:t>Ohne die vokativische Übersetzung (vgl. erste Fußnote) ist es auch möglich, die Frage indirekt zu übersetzen (EÜ, vgl. GNB).</w:t>
      </w:r>
    </w:p>
  </w:footnote>
  <w:footnote w:id="2849">
    <w:p>
      <w:pPr>
        <w:pStyle w:val="Funote"/>
        <w:rPr/>
      </w:pPr>
      <w:r>
        <w:rPr/>
        <w:footnoteRef/>
        <w:tab/>
        <w:t xml:space="preserve">Daniel kennt also den Erlass, erfährt aber erst jetzt die Geschichte, die dahinter steht, und kann die richtige Entscheidung treffen (vgl. Koch 2005, 157f.). </w:t>
      </w:r>
    </w:p>
  </w:footnote>
  <w:footnote w:id="2850">
    <w:p>
      <w:pPr>
        <w:pStyle w:val="Funote"/>
        <w:rPr/>
      </w:pPr>
      <w:r>
        <w:rPr/>
        <w:footnoteRef/>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851">
    <w:p>
      <w:pPr>
        <w:pStyle w:val="Funote"/>
        <w:rPr/>
      </w:pPr>
      <w:r>
        <w:rPr/>
        <w:footnoteRef/>
        <w:tab/>
        <w:t>Oder schöner „ersuchte beim König um eine Audienz“.</w:t>
      </w:r>
    </w:p>
  </w:footnote>
  <w:footnote w:id="2852">
    <w:p>
      <w:pPr>
        <w:pStyle w:val="Funote"/>
        <w:rPr/>
      </w:pPr>
      <w:r>
        <w:rPr/>
        <w:footnoteRef/>
        <w:tab/>
        <w:t xml:space="preserve">Meist als </w:t>
      </w:r>
      <w:r>
        <w:rPr>
          <w:i/>
        </w:rPr>
        <w:t>Geheimnis</w:t>
      </w:r>
      <w:r>
        <w:rPr/>
        <w:t xml:space="preserve"> übersetzt, doch vgl. DBL Aramaic, </w:t>
      </w:r>
      <w:r>
        <w:rPr>
          <w:rtl w:val="true"/>
          <w:lang w:bidi="he-IL"/>
        </w:rPr>
        <w:t>רָז</w:t>
      </w:r>
      <w:r>
        <w:rPr/>
        <w:t>: „</w:t>
      </w:r>
      <w:r>
        <w:rPr>
          <w:b/>
        </w:rPr>
        <w:t>mystery</w:t>
      </w:r>
      <w:r>
        <w:rPr/>
        <w:t xml:space="preserve">, secret, i.e., information or omens so enigmatic or baffling that only revelation from God can make it understandable “ Es geht hier also vordergründig um unerreichbares, rätselhaftes Wissen, nicht um ein Geheimnis (das ja nur eins des Königs wäre). </w:t>
      </w:r>
    </w:p>
  </w:footnote>
  <w:footnote w:id="2853">
    <w:p>
      <w:pPr>
        <w:pStyle w:val="Funote"/>
        <w:rPr/>
      </w:pPr>
      <w:r>
        <w:rPr/>
        <w:footnoteRef/>
        <w:tab/>
        <w:t xml:space="preserve">Unpersönliche Formulierung. Vgl. Fußnote in V. 13. </w:t>
      </w:r>
    </w:p>
  </w:footnote>
  <w:footnote w:id="2854">
    <w:p>
      <w:pPr>
        <w:pStyle w:val="Funote"/>
        <w:rPr/>
      </w:pPr>
      <w:r>
        <w:rPr/>
        <w:footnoteRef/>
        <w:tab/>
        <w:t>[Status: Ungeprüft]</w:t>
      </w:r>
    </w:p>
  </w:footnote>
  <w:footnote w:id="2855">
    <w:p>
      <w:pPr>
        <w:pStyle w:val="Funote"/>
        <w:rPr/>
      </w:pPr>
      <w:r>
        <w:rPr/>
        <w:footnoteRef/>
        <w:tab/>
        <w:t>[Status: Ungeprüft]</w:t>
      </w:r>
    </w:p>
  </w:footnote>
  <w:footnote w:id="2856">
    <w:p>
      <w:pPr>
        <w:pStyle w:val="Funote"/>
        <w:rPr/>
      </w:pPr>
      <w:r>
        <w:rPr/>
        <w:footnoteRef/>
        <w:tab/>
        <w:t>Übersetzung stammt aus Gesesius.</w:t>
      </w:r>
    </w:p>
  </w:footnote>
  <w:footnote w:id="2857">
    <w:p>
      <w:pPr>
        <w:pStyle w:val="Funote"/>
        <w:rPr/>
      </w:pPr>
      <w:r>
        <w:rPr/>
        <w:footnoteRef/>
        <w:tab/>
        <w:t>Übersetzung stammt aus Gesesius.</w:t>
      </w:r>
    </w:p>
  </w:footnote>
  <w:footnote w:id="2858">
    <w:p>
      <w:pPr>
        <w:pStyle w:val="Funote"/>
        <w:rPr/>
      </w:pPr>
      <w:r>
        <w:rPr/>
        <w:footnoteRef/>
        <w:tab/>
        <w:t>Hier stellt sich die Frage, wer mit er gemeint ist. Ist es einer der Männer oder Daniel selbst?</w:t>
      </w:r>
    </w:p>
  </w:footnote>
  <w:footnote w:id="2859">
    <w:p>
      <w:pPr>
        <w:pStyle w:val="Funote"/>
        <w:rPr/>
      </w:pPr>
      <w:r>
        <w:rPr/>
        <w:footnoteRef/>
        <w:tab/>
        <w:t>Gesenius übersetzt „Linnen“.</w:t>
      </w:r>
    </w:p>
  </w:footnote>
  <w:footnote w:id="2860">
    <w:p>
      <w:pPr>
        <w:pStyle w:val="Funote"/>
        <w:rPr/>
      </w:pPr>
      <w:r>
        <w:rPr/>
        <w:footnoteRef/>
        <w:tab/>
        <w:t>Gesenius übersetzt „Linnen“.</w:t>
      </w:r>
    </w:p>
  </w:footnote>
  <w:footnote w:id="2861">
    <w:p>
      <w:pPr>
        <w:pStyle w:val="Funote"/>
        <w:rPr/>
      </w:pPr>
      <w:r>
        <w:rPr/>
        <w:footnoteRef/>
        <w:tab/>
        <w:t>Ges: „ein Jahr und zwei Jahre“.</w:t>
      </w:r>
    </w:p>
  </w:footnote>
  <w:footnote w:id="2862">
    <w:p>
      <w:pPr>
        <w:pStyle w:val="Funote"/>
        <w:rPr/>
      </w:pPr>
      <w:r>
        <w:rPr/>
        <w:footnoteRef/>
        <w:tab/>
        <w:t>Hier steht eigentlich ein Kohortativ. Wie ist der genau zu übersetzen?</w:t>
      </w:r>
    </w:p>
  </w:footnote>
  <w:footnote w:id="2863">
    <w:p>
      <w:pPr>
        <w:pStyle w:val="Funote"/>
        <w:rPr/>
      </w:pPr>
      <w:r>
        <w:rPr/>
        <w:footnoteRef/>
        <w:tab/>
        <w:t>Gesesius: „Anteil am Messiasreich“</w:t>
      </w:r>
    </w:p>
  </w:footnote>
  <w:footnote w:id="2864">
    <w:p>
      <w:pPr>
        <w:pStyle w:val="Funote"/>
        <w:rPr/>
      </w:pPr>
      <w:r>
        <w:rPr>
          <w:rtl w:val="true"/>
          <w:lang w:bidi="he-IL"/>
        </w:rPr>
        <w:footnoteRef/>
        <w:tab/>
        <w:t>תַּלְאֻבות</w:t>
      </w:r>
      <w:r>
        <w:rPr/>
        <w:t xml:space="preserve"> </w:t>
      </w:r>
      <w:r>
        <w:rPr/>
        <w:t>übersetzt Elberfelder mit „Gluten“.</w:t>
      </w:r>
    </w:p>
  </w:footnote>
  <w:footnote w:id="2865">
    <w:p>
      <w:pPr>
        <w:pStyle w:val="Funote"/>
        <w:rPr/>
      </w:pPr>
      <w:r>
        <w:rPr/>
        <w:footnoteRef/>
        <w:tab/>
        <w:t>[Status: Ungeprüft]</w:t>
      </w:r>
    </w:p>
  </w:footnote>
  <w:footnote w:id="2866">
    <w:p>
      <w:pPr>
        <w:pStyle w:val="Funote"/>
        <w:rPr/>
      </w:pPr>
      <w:r>
        <w:rPr/>
        <w:footnoteRef/>
        <w:tab/>
        <w:t>Eigentlich Singular, jedoch im Sinne von pars pro toto.</w:t>
      </w:r>
    </w:p>
  </w:footnote>
  <w:footnote w:id="2867">
    <w:p>
      <w:pPr>
        <w:pStyle w:val="Funote"/>
        <w:rPr/>
      </w:pPr>
      <w:r>
        <w:rPr/>
        <w:footnoteRef/>
        <w:tab/>
        <w:t>[Status: Ungeprüft]</w:t>
      </w:r>
    </w:p>
  </w:footnote>
  <w:footnote w:id="2868">
    <w:p>
      <w:pPr>
        <w:pStyle w:val="Funote"/>
        <w:rPr/>
      </w:pPr>
      <w:r>
        <w:rPr/>
        <w:footnoteRef/>
        <w:tab/>
        <w:t>D.h. Widderhorn.</w:t>
      </w:r>
    </w:p>
  </w:footnote>
  <w:footnote w:id="2869">
    <w:p>
      <w:pPr>
        <w:pStyle w:val="Funote"/>
        <w:rPr/>
      </w:pPr>
      <w:r>
        <w:rPr/>
        <w:footnoteRef/>
        <w:tab/>
        <w:t>Das Verbum „schafat“, von dem das Substantiv gebildet ist, kann auch „herrschen“ bedeuten. Somit ist mit „Richter“ eine Herrscherrolle subsistiert.</w:t>
      </w:r>
    </w:p>
  </w:footnote>
  <w:footnote w:id="2870">
    <w:p>
      <w:pPr>
        <w:pStyle w:val="Funote"/>
        <w:rPr/>
      </w:pPr>
      <w:r>
        <w:rPr/>
        <w:footnoteRef/>
        <w:tab/>
        <w:t>Wörtlich: „…wegen ihres Verkaufens für Silber den Gerechten“.</w:t>
      </w:r>
    </w:p>
  </w:footnote>
  <w:footnote w:id="2871">
    <w:p>
      <w:pPr>
        <w:pStyle w:val="Funote"/>
        <w:rPr/>
      </w:pPr>
      <w:r>
        <w:rPr/>
        <w:footnoteRef/>
        <w:tab/>
        <w:t>Bei der Verbindung von „qum“ und „nabim“ handelt es sich um eine deuteronomistische Formulierung, vgl. Dtn 13,2; 18,15 und 18,18.</w:t>
      </w:r>
    </w:p>
  </w:footnote>
  <w:footnote w:id="2872">
    <w:p>
      <w:pPr>
        <w:pStyle w:val="Funote"/>
        <w:rPr/>
      </w:pPr>
      <w:r>
        <w:rPr/>
        <w:footnoteRef/>
        <w:tab/>
        <w:t>D.h. Gottgeweihte.</w:t>
      </w:r>
    </w:p>
  </w:footnote>
  <w:footnote w:id="2873">
    <w:p>
      <w:pPr>
        <w:pStyle w:val="Funote"/>
        <w:rPr/>
      </w:pPr>
      <w:r>
        <w:rPr/>
        <w:footnoteRef/>
        <w:tab/>
        <w:t>Oder: „Keinesfalls dürft ihr weissagen“.</w:t>
      </w:r>
    </w:p>
  </w:footnote>
  <w:footnote w:id="2874">
    <w:p>
      <w:pPr>
        <w:pStyle w:val="Funote"/>
        <w:rPr/>
      </w:pPr>
      <w:r>
        <w:rPr/>
        <w:footnoteRef/>
        <w:tab/>
        <w:t>Oder: „der schnell auf seinen Füßen [ist]“.</w:t>
      </w:r>
    </w:p>
  </w:footnote>
  <w:footnote w:id="2875">
    <w:p>
      <w:pPr>
        <w:pStyle w:val="Funote"/>
        <w:rPr/>
      </w:pPr>
      <w:r>
        <w:rPr/>
        <w:footnoteRef/>
        <w:tab/>
        <w:t>Es könnte hier ein Wagengespann gemeint sein.</w:t>
      </w:r>
    </w:p>
  </w:footnote>
  <w:footnote w:id="2876">
    <w:p>
      <w:pPr>
        <w:pStyle w:val="Funote"/>
        <w:rPr/>
      </w:pPr>
      <w:r>
        <w:rPr/>
        <w:footnoteRef/>
        <w:tab/>
        <w:t>[Status: Ungeprüft]</w:t>
      </w:r>
    </w:p>
  </w:footnote>
  <w:footnote w:id="2877">
    <w:p>
      <w:pPr>
        <w:pStyle w:val="Funote"/>
        <w:rPr/>
      </w:pPr>
      <w:r>
        <w:rPr/>
        <w:footnoteRef/>
        <w:tab/>
        <w:t>abgeleitet aus einer Figura Ethymologica, bestehend aus Inf. abs. + Verneinung + finites Verb, wörtlich etwa: zu fangen hat sie nicht gefangen.</w:t>
      </w:r>
    </w:p>
  </w:footnote>
  <w:footnote w:id="2878">
    <w:p>
      <w:pPr>
        <w:pStyle w:val="Funote"/>
        <w:rPr/>
      </w:pPr>
      <w:r>
        <w:rPr/>
        <w:footnoteRef/>
        <w:tab/>
        <w:t>Partizip, wörtlich: „dessen ich ein Anhebender bin“.</w:t>
      </w:r>
    </w:p>
  </w:footnote>
  <w:footnote w:id="2879">
    <w:p>
      <w:pPr>
        <w:pStyle w:val="Funote"/>
        <w:rPr/>
      </w:pPr>
      <w:r>
        <w:rPr/>
        <w:footnoteRef/>
        <w:tab/>
        <w:t>Partizip, wörtlich: „es gibt nicht einen sie Aufrichtenden“.</w:t>
      </w:r>
    </w:p>
  </w:footnote>
  <w:footnote w:id="2880">
    <w:p>
      <w:pPr>
        <w:pStyle w:val="Funote"/>
        <w:rPr/>
      </w:pPr>
      <w:r>
        <w:rPr/>
        <w:footnoteRef/>
        <w:tab/>
        <w:t>Partizip, wörtlich: „die Ausziehende von Tausend“.</w:t>
      </w:r>
    </w:p>
  </w:footnote>
  <w:footnote w:id="2881">
    <w:p>
      <w:pPr>
        <w:pStyle w:val="Funote"/>
        <w:rPr/>
      </w:pPr>
      <w:r>
        <w:rPr/>
        <w:footnoteRef/>
        <w:tab/>
        <w:t>Partizip, wörtlich: „die Ausziehende von Hundert“.</w:t>
      </w:r>
    </w:p>
  </w:footnote>
  <w:footnote w:id="2882">
    <w:p>
      <w:pPr>
        <w:pStyle w:val="Funote"/>
        <w:rPr/>
      </w:pPr>
      <w:r>
        <w:rPr/>
        <w:footnoteRef/>
        <w:tab/>
        <w:t>„</w:t>
      </w:r>
      <w:r>
        <w:rPr/>
        <w:t>Haus Gottes“. So wird das Wortspiel in diesem Vers möglich.</w:t>
      </w:r>
    </w:p>
  </w:footnote>
  <w:footnote w:id="2883">
    <w:p>
      <w:pPr>
        <w:pStyle w:val="Funote"/>
        <w:rPr/>
      </w:pPr>
      <w:r>
        <w:rPr/>
        <w:footnoteRef/>
        <w:tab/>
        <w:t>Als wörtl. wäre hier „Stein-Kreis“ oder „umzingelt von Steinen“ möglich.</w:t>
      </w:r>
    </w:p>
  </w:footnote>
  <w:footnote w:id="2884">
    <w:p>
      <w:pPr>
        <w:pStyle w:val="Funote"/>
        <w:rPr/>
      </w:pPr>
      <w:r>
        <w:rPr/>
        <w:footnoteRef/>
        <w:tab/>
        <w:t>Wörtl. Brunnen der Sieben (Schwüre), vgl. Gen 21,22-34.</w:t>
      </w:r>
    </w:p>
  </w:footnote>
  <w:footnote w:id="2885">
    <w:p>
      <w:pPr>
        <w:pStyle w:val="Funote"/>
        <w:rPr/>
      </w:pPr>
      <w:r>
        <w:rPr/>
        <w:footnoteRef/>
        <w:tab/>
        <w:t>„</w:t>
      </w:r>
      <w:r>
        <w:rPr/>
        <w:t xml:space="preserve">ist er“ ist eine Umschreibung für </w:t>
      </w:r>
      <w:r>
        <w:rPr>
          <w:rtl w:val="true"/>
          <w:lang w:bidi="he-IL"/>
        </w:rPr>
        <w:t>לוׄ</w:t>
      </w:r>
      <w:r>
        <w:rPr/>
        <w:t>, wörtlich „zu ihm“, „ihm zueigen“.</w:t>
      </w:r>
    </w:p>
  </w:footnote>
  <w:footnote w:id="2886">
    <w:p>
      <w:pPr>
        <w:pStyle w:val="Funote"/>
        <w:rPr/>
      </w:pPr>
      <w:r>
        <w:rPr/>
        <w:footnoteRef/>
        <w:tab/>
        <w:t>[Status: Ungeprüft]</w:t>
      </w:r>
    </w:p>
  </w:footnote>
  <w:footnote w:id="2887">
    <w:p>
      <w:pPr>
        <w:pStyle w:val="Funote"/>
        <w:rPr/>
      </w:pPr>
      <w:r>
        <w:rPr/>
        <w:footnoteRef/>
        <w:tab/>
        <w:t>Gemeint ist das Gras neben der Heuernte</w:t>
      </w:r>
    </w:p>
  </w:footnote>
  <w:footnote w:id="2888">
    <w:p>
      <w:pPr>
        <w:pStyle w:val="Funote"/>
        <w:rPr/>
      </w:pPr>
      <w:r>
        <w:rPr/>
        <w:footnoteRef/>
        <w:tab/>
        <w:t>Das Verb meint, im forensischen Sinn zu streiten</w:t>
      </w:r>
    </w:p>
  </w:footnote>
  <w:footnote w:id="2889">
    <w:p>
      <w:pPr>
        <w:pStyle w:val="Funote"/>
        <w:rPr/>
      </w:pPr>
      <w:r>
        <w:rPr/>
        <w:footnoteRef/>
        <w:tab/>
        <w:t>Oder: der Herr JHWH rief einen Feuerregen</w:t>
      </w:r>
    </w:p>
  </w:footnote>
  <w:footnote w:id="2890">
    <w:p>
      <w:pPr>
        <w:pStyle w:val="Funote"/>
        <w:rPr/>
      </w:pPr>
      <w:r>
        <w:rPr/>
        <w:footnoteRef/>
        <w:tab/>
        <w:t>im Sinne eines Senkbleis</w:t>
      </w:r>
    </w:p>
  </w:footnote>
  <w:footnote w:id="2891">
    <w:p>
      <w:pPr>
        <w:pStyle w:val="Funote"/>
        <w:rPr/>
      </w:pPr>
      <w:r>
        <w:rPr/>
        <w:footnoteRef/>
        <w:tab/>
        <w:t>Bamot kann einfach (Berg-)Höhen meinen, aber auch Höhenheiligtümer, die dem reinen JHWH-Kult nicht entsprachen.</w:t>
      </w:r>
    </w:p>
  </w:footnote>
  <w:footnote w:id="2892">
    <w:p>
      <w:pPr>
        <w:pStyle w:val="Funote"/>
        <w:rPr/>
      </w:pPr>
      <w:r>
        <w:rPr/>
        <w:footnoteRef/>
        <w:tab/>
        <w:t>d.h. Feigen anritzen, damit sie süßer werden. Eine damals sehr schlecht bezahlte Arbeit.</w:t>
      </w:r>
    </w:p>
  </w:footnote>
  <w:footnote w:id="2893">
    <w:p>
      <w:pPr>
        <w:pStyle w:val="Funote"/>
        <w:rPr/>
      </w:pPr>
      <w:r>
        <w:rPr/>
        <w:footnoteRef/>
        <w:tab/>
        <w:t>Wörtlich: „von hinter“.</w:t>
      </w:r>
    </w:p>
  </w:footnote>
  <w:footnote w:id="2894">
    <w:p>
      <w:pPr>
        <w:pStyle w:val="Funote"/>
        <w:rPr/>
      </w:pPr>
      <w:r>
        <w:rPr/>
        <w:footnoteRef/>
        <w:tab/>
        <w:t>Partizip, also wörtlich: „Du [bist] ein Sprechender“.</w:t>
      </w:r>
    </w:p>
  </w:footnote>
  <w:footnote w:id="2895">
    <w:p>
      <w:pPr>
        <w:pStyle w:val="Funote"/>
        <w:rPr/>
      </w:pPr>
      <w:r>
        <w:rPr/>
        <w:footnoteRef/>
        <w:tab/>
        <w:t>Das Verbum meint eigentlich nicht „weissagen“, sondern „herabtropfen lassen“, im Sinne von: die Rede über die Lippen tropfen/strömen lassen.</w:t>
      </w:r>
    </w:p>
  </w:footnote>
  <w:footnote w:id="2896">
    <w:p>
      <w:pPr>
        <w:pStyle w:val="Funote"/>
        <w:rPr/>
      </w:pPr>
      <w:r>
        <w:rPr/>
        <w:footnoteRef/>
        <w:tab/>
        <w:t>[Status: Ungeprüft]</w:t>
      </w:r>
    </w:p>
  </w:footnote>
  <w:footnote w:id="2897">
    <w:p>
      <w:pPr>
        <w:pStyle w:val="Funote"/>
        <w:rPr/>
      </w:pPr>
      <w:r>
        <w:rPr/>
        <w:footnoteRef/>
        <w:tab/>
        <w:t>Vers 3b ist schwer textnah zu übersetzen. Wörtlich steht dort: „Viele Leichen - an allen Orten - sie werfen schweigend.“</w:t>
      </w:r>
    </w:p>
  </w:footnote>
  <w:footnote w:id="2898">
    <w:p>
      <w:pPr>
        <w:pStyle w:val="Funote"/>
        <w:rPr/>
      </w:pPr>
      <w:r>
        <w:rPr/>
        <w:footnoteRef/>
        <w:tab/>
        <w:t>Es kann auch heißen: „…den Unterdrückten im Land ein Ende macht.“</w:t>
      </w:r>
    </w:p>
  </w:footnote>
  <w:footnote w:id="2899">
    <w:p>
      <w:pPr>
        <w:pStyle w:val="Funote"/>
        <w:rPr/>
      </w:pPr>
      <w:r>
        <w:rPr/>
        <w:footnoteRef/>
        <w:tab/>
        <w:t>So von einer vorexilischen Entstehung ausgegangen wird, meint Sabbat in diesem Zusammenhang nicht den wöchentlichen Ruhetag, sondern ist eine andere Bezeichnung für Vollmond.</w:t>
      </w:r>
    </w:p>
  </w:footnote>
  <w:footnote w:id="2900">
    <w:p>
      <w:pPr>
        <w:pStyle w:val="Funote"/>
        <w:rPr/>
      </w:pPr>
      <w:r>
        <w:rPr/>
        <w:footnoteRef/>
        <w:tab/>
        <w:t>D.h.: Getreidemaß.</w:t>
      </w:r>
    </w:p>
  </w:footnote>
  <w:footnote w:id="2901">
    <w:p>
      <w:pPr>
        <w:pStyle w:val="Funote"/>
        <w:rPr/>
      </w:pPr>
      <w:r>
        <w:rPr/>
        <w:footnoteRef/>
        <w:tab/>
        <w:t>wörtlich: „der Waage Trug“.</w:t>
      </w:r>
    </w:p>
  </w:footnote>
  <w:footnote w:id="2902">
    <w:p>
      <w:pPr>
        <w:pStyle w:val="Funote"/>
        <w:rPr/>
      </w:pPr>
      <w:r>
        <w:rPr/>
        <w:footnoteRef/>
        <w:tab/>
        <w:t>[Status: Ungeprüft]</w:t>
      </w:r>
    </w:p>
  </w:footnote>
  <w:footnote w:id="2903">
    <w:p>
      <w:pPr>
        <w:pStyle w:val="Funote"/>
        <w:rPr/>
      </w:pPr>
      <w:r>
        <w:rPr/>
        <w:footnoteRef/>
        <w:tab/>
        <w:t xml:space="preserve">hebr. für Unterwelt/Totenreich. siehe: </w:t>
      </w:r>
      <w:hyperlink r:id="rId202">
        <w:r>
          <w:rPr>
            <w:rStyle w:val="Internetverknpfung"/>
          </w:rPr>
          <w:t>Scheol</w:t>
        </w:r>
      </w:hyperlink>
    </w:p>
  </w:footnote>
  <w:footnote w:id="2904">
    <w:p>
      <w:pPr>
        <w:pStyle w:val="Funote"/>
        <w:rPr/>
      </w:pPr>
      <w:r>
        <w:rPr/>
        <w:footnoteRef/>
        <w:tab/>
        <w:t>Obergemach/Söller ist eine andere Lesart</w:t>
      </w:r>
    </w:p>
  </w:footnote>
  <w:footnote w:id="2905">
    <w:p>
      <w:pPr>
        <w:pStyle w:val="Funote"/>
        <w:rPr/>
      </w:pPr>
      <w:r>
        <w:rPr/>
        <w:footnoteRef/>
        <w:tab/>
        <w:t>wörtl. der Treter der Weintrauben an den Sähenden des Samens</w:t>
      </w:r>
    </w:p>
  </w:footnote>
  <w:footnote w:id="2906">
    <w:p>
      <w:pPr>
        <w:pStyle w:val="Funote"/>
        <w:rPr/>
      </w:pPr>
      <w:r>
        <w:rPr/>
        <w:footnoteRef/>
        <w:tab/>
        <w:t>hier ist eindeutig der Wein der Weinberge gemeint</w:t>
      </w:r>
    </w:p>
  </w:footnote>
  <w:footnote w:id="2907">
    <w:p>
      <w:pPr>
        <w:pStyle w:val="Funote"/>
        <w:rPr/>
      </w:pPr>
      <w:r>
        <w:rPr/>
        <w:footnoteRef/>
        <w:tab/>
        <w:t>[Status: Zuverlässig]</w:t>
      </w:r>
    </w:p>
  </w:footnote>
  <w:footnote w:id="2908">
    <w:p>
      <w:pPr>
        <w:pStyle w:val="Funote"/>
        <w:rPr/>
      </w:pPr>
      <w:r>
        <w:rPr>
          <w:i/>
        </w:rPr>
        <w:footnoteRef/>
        <w:tab/>
        <w:t>Jona</w:t>
      </w:r>
      <w:r>
        <w:rPr/>
        <w:t xml:space="preserve"> wird sonst nur in </w:t>
      </w:r>
      <w:hyperlink r:id="rId203">
        <w:r>
          <w:rPr>
            <w:rStyle w:val="Internetverknpfung"/>
          </w:rPr>
          <w:t>2. Könige 14,25</w:t>
        </w:r>
      </w:hyperlink>
      <w:r>
        <w:rPr/>
        <w:t xml:space="preserve"> erwähnt und dort als Prophet bezeichnet. Er lebte im 8. Jahrhundert v. Chr. (Price 1978, 50). Die Sprache des Jonabuchs deutet darauf hin, dass es wesentlich später (6.–4. Jh. v. Chr.) geschrieben wurde (Golka </w:t>
      </w:r>
      <w:r>
        <w:rPr>
          <w:position w:val="7"/>
          <w:sz w:val="16"/>
        </w:rPr>
        <w:t>2</w:t>
      </w:r>
      <w:r>
        <w:rPr/>
        <w:t xml:space="preserve">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w:t>
      </w:r>
      <w:r>
        <w:rPr>
          <w:position w:val="7"/>
          <w:sz w:val="16"/>
        </w:rPr>
        <w:t>2</w:t>
      </w:r>
      <w:r>
        <w:rPr/>
        <w:t>2007, 48)</w:t>
        <w:br/>
      </w:r>
      <w:r>
        <w:rPr>
          <w:i/>
        </w:rPr>
        <w:t>Und das Wort Gottes kam</w:t>
      </w:r>
      <w:r>
        <w:rPr/>
        <w:t xml:space="preserve"> kann daher im Sinne von „Es war einmal …“ verstanden werden (Golka </w:t>
      </w:r>
      <w:r>
        <w:rPr>
          <w:position w:val="7"/>
          <w:sz w:val="16"/>
        </w:rPr>
        <w:t>2</w:t>
      </w:r>
      <w:r>
        <w:rPr/>
        <w:t>2007, 48). Eine noch bessere deutsche Übertragung wäre vielleicht: „Eines Tages...“ oder „Einmal...“ (Price 1978, 48). So erklärt sich der Anfang mit „und“.</w:t>
      </w:r>
    </w:p>
  </w:footnote>
  <w:footnote w:id="2909">
    <w:p>
      <w:pPr>
        <w:pStyle w:val="Funote"/>
        <w:rPr/>
      </w:pPr>
      <w:r>
        <w:rPr>
          <w:i/>
        </w:rPr>
        <w:footnoteRef/>
        <w:tab/>
        <w:t>rufe [die Anklage] gegen sie</w:t>
      </w:r>
      <w:r>
        <w:rPr/>
        <w:t xml:space="preserve"> Die Formulierung „rufen gegen“ (</w:t>
      </w:r>
      <w:r>
        <w:rPr>
          <w:rtl w:val="true"/>
          <w:lang w:bidi="he-IL"/>
        </w:rPr>
        <w:t>קרא על</w:t>
      </w:r>
      <w:r>
        <w:rPr/>
        <w:t>) wird an anderen Stellen der hebräischen Bibel zur Bezeichnung von Anklagen (</w:t>
      </w:r>
      <w:hyperlink r:id="rId204">
        <w:r>
          <w:rPr>
            <w:rStyle w:val="Internetverknpfung"/>
          </w:rPr>
          <w:t>Dtn 15,9</w:t>
        </w:r>
      </w:hyperlink>
      <w:r>
        <w:rPr/>
        <w:t xml:space="preserve">, </w:t>
      </w:r>
      <w:hyperlink r:id="rId205">
        <w:r>
          <w:rPr>
            <w:rStyle w:val="Internetverknpfung"/>
          </w:rPr>
          <w:t>Dtn 24,15</w:t>
        </w:r>
      </w:hyperlink>
      <w:r>
        <w:rPr/>
        <w:t xml:space="preserve">, </w:t>
      </w:r>
      <w:hyperlink r:id="rId206">
        <w:r>
          <w:rPr>
            <w:rStyle w:val="Internetverknpfung"/>
          </w:rPr>
          <w:t>1 Kön 13,2</w:t>
        </w:r>
      </w:hyperlink>
      <w:r>
        <w:rPr/>
        <w:t>) und Angriffsrufen (</w:t>
      </w:r>
      <w:r>
        <w:fldChar w:fldCharType="begin"/>
      </w:r>
      <w:r>
        <w:instrText> HYPERLINK "file:///wiki/Klagelieder_1" \l "S15"</w:instrText>
      </w:r>
      <w:r>
        <w:fldChar w:fldCharType="separate"/>
      </w:r>
      <w:r>
        <w:rPr>
          <w:rStyle w:val="Internetverknpfung"/>
        </w:rPr>
        <w:t>Klgl 1:15</w:t>
      </w:r>
      <w:r>
        <w:fldChar w:fldCharType="end"/>
      </w:r>
      <w:r>
        <w:rPr/>
        <w:t xml:space="preserve">, </w:t>
      </w:r>
      <w:hyperlink r:id="rId207">
        <w:r>
          <w:rPr>
            <w:rStyle w:val="Internetverknpfung"/>
          </w:rPr>
          <w:t>Ez 38,21</w:t>
        </w:r>
      </w:hyperlink>
      <w:r>
        <w:rPr/>
        <w:t>) verwendet.</w:t>
      </w:r>
    </w:p>
  </w:footnote>
  <w:footnote w:id="2910">
    <w:p>
      <w:pPr>
        <w:pStyle w:val="Funote"/>
        <w:rPr/>
      </w:pPr>
      <w:r>
        <w:rPr>
          <w:i/>
        </w:rPr>
        <w:footnoteRef/>
        <w:tab/>
        <w:t>ihre</w:t>
      </w:r>
      <w:r>
        <w:rPr/>
        <w:t xml:space="preserve"> bezieht sich im Hebräischen nicht auf die Stadt, sondern auf ein nicht genanntes Objekt in der dritten Person Plural, wahrscheinlich ihre Bewohner (Hebr. </w:t>
      </w:r>
      <w:r>
        <w:rPr>
          <w:rtl w:val="true"/>
          <w:lang w:bidi="he-IL"/>
        </w:rPr>
        <w:t>יֹשְׁבִים</w:t>
      </w:r>
      <w:r>
        <w:rPr/>
        <w:t xml:space="preserve">; </w:t>
      </w:r>
      <w:hyperlink r:id="rId208">
        <w:r>
          <w:rPr>
            <w:rStyle w:val="Internetverknpfung"/>
          </w:rPr>
          <w:t>Constructio ad sensum</w:t>
        </w:r>
      </w:hyperlink>
      <w:r>
        <w:rPr/>
        <w:t>). Am Sinn ändert das jedoch nichts.</w:t>
      </w:r>
    </w:p>
  </w:footnote>
  <w:footnote w:id="2911">
    <w:p>
      <w:pPr>
        <w:pStyle w:val="Funote"/>
        <w:rPr/>
      </w:pPr>
      <w:r>
        <w:rPr>
          <w:i/>
        </w:rPr>
        <w:footnoteRef/>
        <w:tab/>
        <w:t>Tarschisch</w:t>
      </w:r>
      <w:r>
        <w:rPr/>
        <w:t xml:space="preserve"> war vermutlich ein Ort an der spanischen Küste, also in entgegengesetzter Richtung und am anderen Ende des Mittelmeers (vgl. Price 1978, 52).</w:t>
      </w:r>
    </w:p>
  </w:footnote>
  <w:footnote w:id="2912">
    <w:p>
      <w:pPr>
        <w:pStyle w:val="Funote"/>
        <w:rPr/>
      </w:pPr>
      <w:r>
        <w:rPr>
          <w:i/>
        </w:rPr>
        <w:footnoteRef/>
        <w:tab/>
        <w:t>traf auf</w:t>
      </w:r>
      <w:r>
        <w:rPr/>
        <w:t xml:space="preserve"> Oder „fand“. Gemeint ist jedoch nicht das Ergebnis einer Suche, sondern ein Finden im Sinne des zufälligen Antreffens (Price 1978, 52). </w:t>
      </w:r>
    </w:p>
  </w:footnote>
  <w:footnote w:id="2913">
    <w:p>
      <w:pPr>
        <w:pStyle w:val="Funote"/>
        <w:rPr/>
      </w:pPr>
      <w:r>
        <w:rPr>
          <w:i/>
        </w:rPr>
        <w:footnoteRef/>
        <w:tab/>
        <w:t>das im Begriff war ... zu fahren</w:t>
      </w:r>
      <w:r>
        <w:rPr/>
        <w:t xml:space="preserve"> ist die freie Wiedergabe eines Partizips, das etwa so zu verstehen ist. </w:t>
      </w:r>
    </w:p>
  </w:footnote>
  <w:footnote w:id="2914">
    <w:p>
      <w:pPr>
        <w:pStyle w:val="Funote"/>
        <w:rPr/>
      </w:pPr>
      <w:r>
        <w:rPr>
          <w:i/>
        </w:rPr>
        <w:footnoteRef/>
        <w:tab/>
        <w:t>mit ihnen</w:t>
      </w:r>
      <w:r>
        <w:rPr/>
        <w:t xml:space="preserve"> D.h. mit der Besatzung. Aus dieser Wendung lässt sich vielleicht schließen, dass Jona Teil der Besatzung wurde (Price 1978, 52). </w:t>
      </w:r>
    </w:p>
  </w:footnote>
  <w:footnote w:id="2915">
    <w:p>
      <w:pPr>
        <w:pStyle w:val="Funote"/>
        <w:rPr/>
      </w:pPr>
      <w:r>
        <w:rPr/>
        <w:footnoteRef/>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2916">
    <w:p>
      <w:pPr>
        <w:pStyle w:val="Funote"/>
        <w:rPr/>
      </w:pPr>
      <w:r>
        <w:rPr>
          <w:i/>
        </w:rPr>
        <w:footnoteRef/>
        <w:tab/>
        <w:t>ließ ... los</w:t>
      </w:r>
      <w:r>
        <w:rPr/>
        <w:t xml:space="preserve"> W. etwa „schleuderte“. </w:t>
      </w:r>
    </w:p>
  </w:footnote>
  <w:footnote w:id="2917">
    <w:p>
      <w:pPr>
        <w:pStyle w:val="Funote"/>
        <w:rPr/>
      </w:pPr>
      <w:r>
        <w:rPr/>
        <w:footnoteRef/>
        <w:tab/>
        <w:t>Im Hebräischen ist hier ein Anklang oder Wortspiel, der sich auf Deutsch am ehesten mit einem Reim wiedergeben ließe, z.B.: „so kam das Boot in große Not“</w:t>
      </w:r>
    </w:p>
  </w:footnote>
  <w:footnote w:id="2918">
    <w:p>
      <w:pPr>
        <w:pStyle w:val="Funote"/>
        <w:rPr/>
      </w:pPr>
      <w:r>
        <w:rPr>
          <w:i/>
        </w:rPr>
        <w:footnoteRef/>
        <w:tab/>
        <w:t>Gegenstände (Ladung, Ausrüstung)</w:t>
      </w:r>
      <w:r>
        <w:rPr/>
        <w:t xml:space="preserve"> Viele Übersetzungen entscheiden sich für „Ladung“, aber das zugrunde liegende hebräische Wort bezeichnet recht allgemein </w:t>
      </w:r>
      <w:r>
        <w:rPr>
          <w:i/>
        </w:rPr>
        <w:t>Gegenstände</w:t>
      </w:r>
      <w:r>
        <w:rPr/>
        <w:t xml:space="preserve">, bei denen es sich hier sowohl (aber nicht nur) um die Ladung als auch um die Ausrüstung handeln könnte (vgl. Price 1978, 56. </w:t>
      </w:r>
    </w:p>
  </w:footnote>
  <w:footnote w:id="2919">
    <w:p>
      <w:pPr>
        <w:pStyle w:val="Funote"/>
        <w:rPr/>
      </w:pPr>
      <w:r>
        <w:rPr/>
        <w:footnoteRef/>
        <w:tab/>
        <w:t>um [das Schiff] {von ihnen} leichter zu machen W. „um [sich/das Schiff] von ihnen (d.h. ihrer) zu erleichtern“. Einige Übersetzungen: „um die Gefahr zu verringern“ (z.B. GNB).</w:t>
      </w:r>
    </w:p>
  </w:footnote>
  <w:footnote w:id="2920">
    <w:p>
      <w:pPr>
        <w:pStyle w:val="Funote"/>
        <w:rPr/>
      </w:pPr>
      <w:r>
        <w:rPr/>
        <w:footnoteRef/>
        <w:tab/>
        <w:t>in den Rumpf (unter Deck) Das Wort bezeichnet quasi die hinterste Ecke oder den untersten Raum (so EÜ, ELB) des Schiffs, wo Jona seine Ruhe hatte. Wie groß das Schiff war, ist schwer abzuschätzen. GNB: „nach unten“.</w:t>
      </w:r>
    </w:p>
  </w:footnote>
  <w:footnote w:id="2921">
    <w:p>
      <w:pPr>
        <w:pStyle w:val="Funote"/>
        <w:rPr/>
      </w:pPr>
      <w:r>
        <w:rPr>
          <w:i/>
        </w:rPr>
        <w:footnoteRef/>
        <w:tab/>
        <w:t>der Oberste der Seeleute</w:t>
      </w:r>
      <w:r>
        <w:rPr/>
        <w:t xml:space="preserve"> D.h. wohl der Kapitän. </w:t>
      </w:r>
    </w:p>
  </w:footnote>
  <w:footnote w:id="2922">
    <w:p>
      <w:pPr>
        <w:pStyle w:val="Funote"/>
        <w:rPr/>
      </w:pPr>
      <w:r>
        <w:rPr>
          <w:i/>
        </w:rPr>
        <w:footnoteRef/>
        <w:tab/>
        <w:t>kam ... in seine Nähe</w:t>
      </w:r>
      <w:r>
        <w:rPr/>
        <w:t xml:space="preserve"> Das Verb heißt eigentlich „näherkommen“ oder „zu jmdm. kommen“. Hier ist es offenbar so zu verstehen, dass der Mann zufällig auf Jona stieß (Price 1978, 58). </w:t>
      </w:r>
    </w:p>
  </w:footnote>
  <w:footnote w:id="2923">
    <w:p>
      <w:pPr>
        <w:pStyle w:val="Funote"/>
        <w:rPr/>
      </w:pPr>
      <w:r>
        <w:rPr>
          <w:i/>
        </w:rPr>
        <w:footnoteRef/>
        <w:tab/>
        <w:t>Warum schläfst du?</w:t>
      </w:r>
      <w:r>
        <w:rPr/>
        <w:t xml:space="preserve"> Wörtlich: </w:t>
      </w:r>
      <w:r>
        <w:rPr>
          <w:i/>
        </w:rPr>
        <w:t>Was [ist mit] dir, (fest) Schlafender?</w:t>
      </w:r>
      <w:r>
        <w:rPr/>
        <w:t xml:space="preserve"> Die Frage hat einen zurechtweisenden Tonfall (Preice 1978, 58). </w:t>
      </w:r>
    </w:p>
  </w:footnote>
  <w:footnote w:id="2924">
    <w:p>
      <w:pPr>
        <w:pStyle w:val="Funote"/>
        <w:rPr/>
      </w:pPr>
      <w:r>
        <w:rPr>
          <w:i/>
        </w:rPr>
        <w:footnoteRef/>
        <w:tab/>
        <w:t>zueinander</w:t>
      </w:r>
      <w:r>
        <w:rPr/>
        <w:t xml:space="preserve"> W. „einer/ein jeder zu seinem Nachbarn/Nächsten“.</w:t>
      </w:r>
    </w:p>
  </w:footnote>
  <w:footnote w:id="2925">
    <w:p>
      <w:pPr>
        <w:pStyle w:val="Funote"/>
        <w:rPr/>
      </w:pPr>
      <w:r>
        <w:rPr>
          <w:i/>
        </w:rPr>
        <w:footnoteRef/>
        <w:tab/>
        <w:t>wie es kommt, dass</w:t>
      </w:r>
      <w:r>
        <w:rPr/>
        <w:t xml:space="preserve"> (V. 7 und 8) bzw. </w:t>
      </w:r>
      <w:r>
        <w:rPr>
          <w:i/>
        </w:rPr>
        <w:t>wer daran schuld ist, dass</w:t>
      </w:r>
      <w:r>
        <w:rPr/>
        <w:t xml:space="preserve"> (Alternative in V. 7) gibt eine Anhäufung von Partikeln wieder, die sich nicht wörtlich übersetzen lässt. Sie fragt im Grunde nach der Verantwortlichkeit (vgl. GK §150k). </w:t>
      </w:r>
    </w:p>
  </w:footnote>
  <w:footnote w:id="2926">
    <w:p>
      <w:pPr>
        <w:pStyle w:val="Funote"/>
        <w:rPr/>
      </w:pPr>
      <w:r>
        <w:rPr>
          <w:i/>
        </w:rPr>
        <w:footnoteRef/>
        <w:tab/>
        <w:t>Was [ist] dein Beruf</w:t>
      </w:r>
      <w:r>
        <w:rPr/>
        <w:t xml:space="preserve"> oder vielleicht „Was ist deine Mission“ im Sinne von „Was machst du eigentlich auf diesem Schiff?“ (Price 1978, 61). </w:t>
      </w:r>
    </w:p>
  </w:footnote>
  <w:footnote w:id="2927">
    <w:p>
      <w:pPr>
        <w:pStyle w:val="Funote"/>
        <w:rPr/>
      </w:pPr>
      <w:r>
        <w:rPr/>
        <w:footnoteRef/>
        <w:tab/>
        <w:t>„</w:t>
      </w:r>
      <w:r>
        <w:rPr/>
        <w:t xml:space="preserve">Himmelsgott“ ist in der persischen Verwaltungssprache die amtliche Bezeichung für den Gott der Juden (Golka </w:t>
      </w:r>
      <w:r>
        <w:rPr>
          <w:position w:val="7"/>
          <w:sz w:val="16"/>
        </w:rPr>
        <w:t>2</w:t>
      </w:r>
      <w:r>
        <w:rPr/>
        <w:t>2007, 56).</w:t>
      </w:r>
    </w:p>
  </w:footnote>
  <w:footnote w:id="2928">
    <w:p>
      <w:pPr>
        <w:pStyle w:val="Funote"/>
        <w:rPr/>
      </w:pPr>
      <w:r>
        <w:rPr/>
        <w:footnoteRef/>
        <w:tab/>
        <w:t xml:space="preserve">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 </w:t>
      </w:r>
    </w:p>
  </w:footnote>
  <w:footnote w:id="2929">
    <w:p>
      <w:pPr>
        <w:pStyle w:val="Funote"/>
        <w:rPr/>
      </w:pPr>
      <w:r>
        <w:rPr/>
        <w:footnoteRef/>
        <w:tab/>
        <w:t>vor JHWH Die Betonung (Kursivschreibung) ist auf die hebräische Satzstellung zurückzuführen. Dieser Zusammenhang ist also der Grund für das Erschrecken der Seeleute.</w:t>
      </w:r>
    </w:p>
  </w:footnote>
  <w:footnote w:id="2930">
    <w:p>
      <w:pPr>
        <w:pStyle w:val="Funote"/>
        <w:rPr/>
      </w:pPr>
      <w:r>
        <w:rPr/>
        <w:footnoteRef/>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2931">
    <w:p>
      <w:pPr>
        <w:pStyle w:val="Funote"/>
        <w:rPr/>
      </w:pPr>
      <w:r>
        <w:rPr>
          <w:i/>
        </w:rPr>
        <w:footnoteRef/>
        <w:tab/>
        <w:t>stürmte immer heftiger</w:t>
      </w:r>
      <w:r>
        <w:rPr/>
        <w:t xml:space="preserve"> den(V. 11 und V. 13) Hier stehen im Hebräischen zwei Partizipien nebeneinander: „gehend und stürmend“. Das Ptz. „gehend“ von </w:t>
      </w:r>
      <w:r>
        <w:rPr>
          <w:rtl w:val="true"/>
          <w:lang w:bidi="he-IL"/>
        </w:rPr>
        <w:t>הלך</w:t>
      </w:r>
      <w:r>
        <w:rPr/>
        <w:t xml:space="preserve"> </w:t>
      </w:r>
      <w:r>
        <w:rPr/>
        <w:t xml:space="preserve">mit einem anderen Ptz. drückt (sich steigernde) Fortdauer aus (GK §113u; Price 1978, 65f.). </w:t>
      </w:r>
    </w:p>
  </w:footnote>
  <w:footnote w:id="2932">
    <w:p>
      <w:pPr>
        <w:pStyle w:val="Funote"/>
        <w:rPr/>
      </w:pPr>
      <w:r>
        <w:rPr/>
        <w:footnoteRef/>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2933">
    <w:p>
      <w:pPr>
        <w:pStyle w:val="Funote"/>
        <w:rPr/>
      </w:pPr>
      <w:r>
        <w:rPr>
          <w:i/>
        </w:rPr>
        <w:footnoteRef/>
        <w:tab/>
        <w:t>Blut</w:t>
      </w:r>
      <w:r>
        <w:rPr/>
        <w:t xml:space="preserve"> steht stellvertretend für das genommene Leben, für den Tod Jonas, den die Seeleute für sicher halten, wenn sie ihn ins Meer werfen. Das Stilmittel ist wohl eine Metonymie (Konkretes für Abstraktes; Wirkung für Ursache) oder Synekdoche (Generelles für Spezifisches). </w:t>
      </w:r>
    </w:p>
  </w:footnote>
  <w:footnote w:id="2934">
    <w:p>
      <w:pPr>
        <w:pStyle w:val="Funote"/>
        <w:rPr/>
      </w:pPr>
      <w:r>
        <w:rPr/>
        <w:footnoteRef/>
        <w:tab/>
        <w:t xml:space="preserve">Dieser Vers enthält gleich drei figurae etymologicae. W. etwa „Da fürchteten sie große Furcht und da opferten sie Opfer und da gelobten sie Gelübde.“ </w:t>
      </w:r>
      <w:r>
        <w:rPr>
          <w:i/>
        </w:rPr>
        <w:t>Opfer</w:t>
      </w:r>
      <w:r>
        <w:rPr/>
        <w:t xml:space="preserve"> und </w:t>
      </w:r>
      <w:r>
        <w:rPr>
          <w:i/>
        </w:rPr>
        <w:t>Gelübde</w:t>
      </w:r>
      <w:r>
        <w:rPr/>
        <w:t xml:space="preserv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 </w:t>
      </w:r>
    </w:p>
  </w:footnote>
  <w:footnote w:id="2935">
    <w:p>
      <w:pPr>
        <w:pStyle w:val="Funote"/>
        <w:rPr/>
      </w:pPr>
      <w:r>
        <w:rPr/>
        <w:footnoteRef/>
        <w:tab/>
        <w:t>[Status: Ungeprüft]</w:t>
      </w:r>
    </w:p>
  </w:footnote>
  <w:footnote w:id="2936">
    <w:p>
      <w:pPr>
        <w:pStyle w:val="Funote"/>
        <w:rPr/>
      </w:pPr>
      <w:r>
        <w:rPr/>
        <w:footnoteRef/>
        <w:tab/>
        <w:t>„</w:t>
      </w:r>
      <w:r>
        <w:rPr/>
        <w:t>um Hilfe schreien“ ist auf Hebräisch ein Wort.</w:t>
      </w:r>
    </w:p>
  </w:footnote>
  <w:footnote w:id="2937">
    <w:p>
      <w:pPr>
        <w:pStyle w:val="Funote"/>
        <w:rPr/>
      </w:pPr>
      <w:r>
        <w:rPr/>
        <w:footnoteRef/>
        <w:tab/>
        <w:t>Wörtlich: „ins Herz der Meere“</w:t>
      </w:r>
    </w:p>
  </w:footnote>
  <w:footnote w:id="2938">
    <w:p>
      <w:pPr>
        <w:pStyle w:val="Funote"/>
        <w:rPr/>
      </w:pPr>
      <w:r>
        <w:rPr/>
        <w:footnoteRef/>
        <w:tab/>
        <w:t>Dann nominaler Hendiadyoin (vgl. NET Jona 2,3 Fußnote 11).</w:t>
      </w:r>
    </w:p>
  </w:footnote>
  <w:footnote w:id="2939">
    <w:p>
      <w:pPr>
        <w:pStyle w:val="Funote"/>
        <w:rPr/>
      </w:pPr>
      <w:r>
        <w:rPr/>
        <w:footnoteRef/>
        <w:tab/>
        <w:t xml:space="preserve">Hier wird ein eigenständiges Personalpronomen gebraucht, das oft zur Betonung benutzt wird (Übersetzung dann etwa: „ich selbst“). Es ist allerdings kein Bemühen zur Abgrenzung erkennbar; es muss wohl als pleonastisch verstanden werden. </w:t>
      </w:r>
    </w:p>
  </w:footnote>
  <w:footnote w:id="2940">
    <w:p>
      <w:pPr>
        <w:pStyle w:val="Funote"/>
        <w:rPr/>
      </w:pPr>
      <w:r>
        <w:rPr/>
        <w:footnoteRef/>
        <w:tab/>
        <w:t>Viele Übersetzungen (u.a. Lut, EÜ) übersetzen das Verb hier kontextbedingt als „denken“. Auf Hebräisch kann in Gedanken „gesagt“ werden, was auf Deutsch gedacht würde.</w:t>
      </w:r>
    </w:p>
  </w:footnote>
  <w:footnote w:id="2941">
    <w:p>
      <w:pPr>
        <w:pStyle w:val="Funote"/>
        <w:rPr/>
      </w:pPr>
      <w:r>
        <w:rPr/>
        <w:footnoteRef/>
        <w:tab/>
        <w:t>Oder: „Ich dachte, ich war verstoßen“, was das Perfekt des folgenden Verbs besser berücksichtigt.</w:t>
      </w:r>
    </w:p>
  </w:footnote>
  <w:footnote w:id="2942">
    <w:p>
      <w:pPr>
        <w:pStyle w:val="Funote"/>
        <w:rPr/>
      </w:pPr>
      <w:r>
        <w:rPr/>
        <w:footnoteRef/>
        <w:tab/>
        <w:t>D.h. aus dem Sichtbereich; w. „von vor deinen Augen {weg}“.</w:t>
      </w:r>
    </w:p>
  </w:footnote>
  <w:footnote w:id="2943">
    <w:p>
      <w:pPr>
        <w:pStyle w:val="Funote"/>
        <w:rPr/>
      </w:pPr>
      <w:r>
        <w:rPr/>
        <w:footnoteRef/>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2944">
    <w:p>
      <w:pPr>
        <w:pStyle w:val="Funote"/>
        <w:rPr/>
      </w:pPr>
      <w:r>
        <w:rPr/>
        <w:footnoteRef/>
        <w:tab/>
        <w:t>Oder wie manche Übersetzungen (LUT, GNB, NET): „Ich dachte, ich war verstoßen ... würde nicht wieder anschauen“ als direkt angehängte Fortsetzung von 5a (indirekte Rede).</w:t>
      </w:r>
    </w:p>
  </w:footnote>
  <w:footnote w:id="2945">
    <w:p>
      <w:pPr>
        <w:pStyle w:val="Funote"/>
        <w:rPr/>
      </w:pPr>
      <w:r>
        <w:rPr/>
        <w:footnoteRef/>
        <w:tab/>
        <w:t>Wörtl. „leeren Windhauch“, was bei Kohelet „das Eitle“ ist</w:t>
      </w:r>
    </w:p>
  </w:footnote>
  <w:footnote w:id="2946">
    <w:p>
      <w:pPr>
        <w:pStyle w:val="Funote"/>
        <w:rPr/>
      </w:pPr>
      <w:r>
        <w:rPr/>
        <w:footnoteRef/>
        <w:tab/>
        <w:t>[Status: Ungeprüft]</w:t>
      </w:r>
    </w:p>
  </w:footnote>
  <w:footnote w:id="2947">
    <w:p>
      <w:pPr>
        <w:pStyle w:val="Funote"/>
        <w:rPr/>
      </w:pPr>
      <w:r>
        <w:rPr/>
        <w:footnoteRef/>
        <w:tab/>
        <w:t>„</w:t>
      </w:r>
      <w:r>
        <w:rPr/>
        <w:t>Rufen“ und „Botschaft“ sind im Hebräischen von derselben Wurzel, d.h. es liegt eine figura ethymologica vor.</w:t>
      </w:r>
    </w:p>
  </w:footnote>
  <w:footnote w:id="2948">
    <w:p>
      <w:pPr>
        <w:pStyle w:val="Funote"/>
        <w:rPr/>
      </w:pPr>
      <w:r>
        <w:rPr/>
        <w:footnoteRef/>
        <w:tab/>
        <w:t>Wörtl.: „eine Reise(strecke) von drei Tagen“.</w:t>
      </w:r>
    </w:p>
  </w:footnote>
  <w:footnote w:id="2949">
    <w:p>
      <w:pPr>
        <w:pStyle w:val="Funote"/>
        <w:rPr/>
      </w:pPr>
      <w:r>
        <w:rPr/>
        <w:footnoteRef/>
        <w:tab/>
        <w:t>Nach dem Kontext eingefügt.</w:t>
      </w:r>
    </w:p>
  </w:footnote>
  <w:footnote w:id="2950">
    <w:p>
      <w:pPr>
        <w:pStyle w:val="Funote"/>
        <w:rPr/>
      </w:pPr>
      <w:r>
        <w:rPr/>
        <w:footnoteRef/>
        <w:tab/>
        <w:t>Wörtl.: „die Reise(strecke) eines Tages“.</w:t>
      </w:r>
    </w:p>
  </w:footnote>
  <w:footnote w:id="2951">
    <w:p>
      <w:pPr>
        <w:pStyle w:val="Funote"/>
        <w:rPr/>
      </w:pPr>
      <w:r>
        <w:rPr/>
        <w:footnoteRef/>
        <w:tab/>
        <w:t>Wörtl. „berührte“.</w:t>
      </w:r>
    </w:p>
  </w:footnote>
  <w:footnote w:id="2952">
    <w:p>
      <w:pPr>
        <w:pStyle w:val="Funote"/>
        <w:rPr/>
      </w:pPr>
      <w:r>
        <w:rPr/>
        <w:footnoteRef/>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2953">
    <w:p>
      <w:pPr>
        <w:pStyle w:val="Funote"/>
        <w:rPr/>
      </w:pPr>
      <w:r>
        <w:rPr/>
        <w:footnoteRef/>
        <w:tab/>
        <w:t>[Status: Ungeprüft]</w:t>
      </w:r>
    </w:p>
  </w:footnote>
  <w:footnote w:id="2954">
    <w:p>
      <w:pPr>
        <w:pStyle w:val="Funote"/>
        <w:rPr/>
      </w:pPr>
      <w:r>
        <w:rPr/>
        <w:footnoteRef/>
        <w:tab/>
        <w:t>Wieder eine fig. ethym., wörtl.: „er wütete große Wut“</w:t>
      </w:r>
    </w:p>
  </w:footnote>
  <w:footnote w:id="2955">
    <w:p>
      <w:pPr>
        <w:pStyle w:val="Funote"/>
        <w:rPr/>
      </w:pPr>
      <w:r>
        <w:rPr/>
        <w:footnoteRef/>
        <w:tab/>
        <w:t>Wörtl.: „er freute sich große Freude“</w:t>
      </w:r>
    </w:p>
  </w:footnote>
  <w:footnote w:id="2956">
    <w:p>
      <w:pPr>
        <w:pStyle w:val="Funote"/>
        <w:rPr/>
      </w:pPr>
      <w:r>
        <w:rPr/>
        <w:footnoteRef/>
        <w:tab/>
        <w:t>„</w:t>
      </w:r>
      <w:r>
        <w:rPr/>
        <w:t>Sohn von“ drückt im Hebräischen auch das Alter aus; Die Rizinusstaude wurde also nur einen Tag alt, war eine „Eintagsfliege“.</w:t>
      </w:r>
    </w:p>
  </w:footnote>
  <w:footnote w:id="2957">
    <w:p>
      <w:pPr>
        <w:pStyle w:val="Funote"/>
        <w:rPr/>
      </w:pPr>
      <w:r>
        <w:rPr/>
        <w:footnoteRef/>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2958">
    <w:p>
      <w:pPr>
        <w:pStyle w:val="Funote"/>
        <w:rPr/>
      </w:pPr>
      <w:r>
        <w:rPr/>
        <w:footnoteRef/>
        <w:tab/>
        <w:t>Hier und im folgenden ist wörtlich eigentlich „Wer“ zu übersetzeten. In der Verwendung von „Wer“ anstatt was kommt die Denweise zum Ausdruck, dass der Täter personell mitgedacht wird.</w:t>
      </w:r>
    </w:p>
  </w:footnote>
  <w:footnote w:id="2959">
    <w:p>
      <w:pPr>
        <w:pStyle w:val="Funote"/>
        <w:rPr/>
      </w:pPr>
      <w:r>
        <w:rPr/>
        <w:footnoteRef/>
        <w:tab/>
        <w:t>[Status: Ungeprüft]</w:t>
      </w:r>
    </w:p>
  </w:footnote>
  <w:footnote w:id="2960">
    <w:p>
      <w:pPr>
        <w:pStyle w:val="Funote"/>
        <w:rPr/>
      </w:pPr>
      <w:r>
        <w:rPr/>
        <w:footnoteRef/>
        <w:tab/>
        <w:t xml:space="preserve">Bei dem Wort für „Anhöhe“ hat der hebräische Text sprachliche Anklänge an das Wort </w:t>
      </w:r>
      <w:r>
        <w:rPr>
          <w:rtl w:val="true"/>
          <w:lang w:bidi="he-IL"/>
        </w:rPr>
        <w:t>מ֥וֹת</w:t>
      </w:r>
      <w:r>
        <w:rPr/>
        <w:t xml:space="preserve"> </w:t>
      </w:r>
      <w:r>
        <w:rPr/>
        <w:t>(Tod).</w:t>
      </w:r>
    </w:p>
  </w:footnote>
  <w:footnote w:id="2961">
    <w:p>
      <w:pPr>
        <w:pStyle w:val="Funote"/>
        <w:rPr/>
      </w:pPr>
      <w:r>
        <w:rPr/>
        <w:footnoteRef/>
        <w:tab/>
        <w:t>[Status: Zuverlässig]</w:t>
      </w:r>
    </w:p>
  </w:footnote>
  <w:footnote w:id="2962">
    <w:p>
      <w:pPr>
        <w:pStyle w:val="Funote"/>
        <w:rPr/>
      </w:pPr>
      <w:r>
        <w:rPr>
          <w:i/>
        </w:rPr>
        <w:footnoteRef/>
        <w:tab/>
        <w:t>in zukünftigen (späteren, letzten) Tagen (zu einer späteren Zeit, am Ende der Zeit)</w:t>
      </w:r>
      <w:r>
        <w:rPr/>
        <w:t xml:space="preserve"> Die so übersetzte Phrase </w:t>
      </w:r>
      <w:r>
        <w:rPr>
          <w:rtl w:val="true"/>
          <w:lang w:bidi="he-IL"/>
        </w:rPr>
        <w:t>בְּאַחֲרִ֣ית הַיָּמִ֗ים</w:t>
      </w:r>
      <w:r>
        <w:rPr/>
        <w:t xml:space="preserve"> </w:t>
      </w:r>
      <w:r>
        <w:rPr/>
        <w:t xml:space="preserve">kommt im AT 13 mal vor. Entgegen der aus der </w:t>
      </w:r>
      <w:hyperlink r:id="rId209">
        <w:r>
          <w:rPr>
            <w:rStyle w:val="Internetverknpfung"/>
          </w:rPr>
          <w:t>LXX</w:t>
        </w:r>
      </w:hyperlink>
      <w:r>
        <w:rPr/>
        <w:t xml:space="preserve"> übernommenen geläufigen Übersetzung „in den letzten Tagen“ bezeichnet sie an keiner Stelle eine „letzte“ Zeit, sondern eher allgemein eine zukünftige, „spätere“ Zeit im Vergleich zur Gegenwart. Diese Zukunft folgt in den Prophetentexten auf eine von Gott durch sein aktives Wirken herbeigeführte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 </w:t>
      </w:r>
    </w:p>
  </w:footnote>
  <w:footnote w:id="2963">
    <w:p>
      <w:pPr>
        <w:pStyle w:val="Funote"/>
        <w:rPr/>
      </w:pPr>
      <w:r>
        <w:rPr>
          <w:i/>
        </w:rPr>
        <w:footnoteRef/>
        <w:tab/>
        <w:t>Berg [mit dem] Haus</w:t>
      </w:r>
      <w:r>
        <w:rPr/>
        <w:t xml:space="preserve"> Appositiver Genitiv, der das Objekt näher identifiziert. </w:t>
      </w:r>
    </w:p>
  </w:footnote>
  <w:footnote w:id="2964">
    <w:p>
      <w:pPr>
        <w:pStyle w:val="Funote"/>
        <w:rPr/>
      </w:pPr>
      <w:r>
        <w:rPr>
          <w:i/>
        </w:rPr>
        <w:footnoteRef/>
        <w:tab/>
        <w:t>als Herausragender (Wichtigster, Höchster, Gipfel, Anführer) der Berge</w:t>
      </w:r>
      <w:r>
        <w:rPr/>
        <w:t xml:space="preserv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 xml:space="preserve">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w:t>
      </w:r>
      <w:r>
        <w:rPr>
          <w:i/>
        </w:rPr>
        <w:t>höher</w:t>
      </w:r>
      <w:r>
        <w:rPr/>
        <w:t xml:space="preserve">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 </w:t>
      </w:r>
    </w:p>
  </w:footnote>
  <w:footnote w:id="2965">
    <w:p>
      <w:pPr>
        <w:pStyle w:val="Funote"/>
        <w:rPr/>
      </w:pPr>
      <w:r>
        <w:rPr/>
        <w:footnoteRef/>
        <w:tab/>
        <w:t>wird … gefestigt sein Die meisten Übersetzungen formulieren „fest stehen“ oder „fest gegründet sein“. Der Gebrauch des Partizips mit einer Futurform hebt die Dauerhaftigkeit des Vorgangs hervor (Joüon/Muraoka, §121e). Theoretisch möglich wäre auch die im Kontext jedoch unsinnige Übersetzung „sich auf dem Gipfel/Wichtigsten der Berge befinden“ (dazu s. die vorige Fußnote).</w:t>
      </w:r>
    </w:p>
  </w:footnote>
  <w:footnote w:id="2966">
    <w:p>
      <w:pPr>
        <w:pStyle w:val="Funote"/>
        <w:rPr/>
      </w:pPr>
      <w:r>
        <w:rPr>
          <w:i/>
        </w:rPr>
        <w:footnoteRef/>
        <w:tab/>
        <w:t>anhand seiner Wege</w:t>
      </w:r>
      <w:r>
        <w:rPr/>
        <w:t xml:space="preserve"> und </w:t>
      </w:r>
      <w:r>
        <w:rPr>
          <w:i/>
        </w:rPr>
        <w:t>nach seiner Art leben/auf seinen Pfaden wandeln</w:t>
      </w:r>
      <w:r>
        <w:rPr/>
        <w:t xml:space="preserve"> sind parallel und sagen mit anderen Worten das gleiche aus. Die beiden Zeilen sind wiederum parallel zu den beiden folgenden Zeilen, wo (wiederum mit gleicher Aussage in anderen Worten) von </w:t>
      </w:r>
      <w:r>
        <w:rPr>
          <w:i/>
        </w:rPr>
        <w:t>Weisung/Torah</w:t>
      </w:r>
      <w:r>
        <w:rPr/>
        <w:t xml:space="preserve"> und </w:t>
      </w:r>
      <w:r>
        <w:rPr>
          <w:i/>
        </w:rPr>
        <w:t>JHWHs Botschaft aus Jerusalem</w:t>
      </w:r>
      <w:r>
        <w:rPr/>
        <w:t xml:space="preserve">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w:t>
      </w:r>
      <w:r>
        <w:fldChar w:fldCharType="begin"/>
      </w:r>
      <w:r>
        <w:instrText> HYPERLINK "file:///wiki/Lukas_24" \l "s47"</w:instrText>
      </w:r>
      <w:r>
        <w:fldChar w:fldCharType="separate"/>
      </w:r>
      <w:r>
        <w:rPr>
          <w:rStyle w:val="Internetverknpfung"/>
        </w:rPr>
        <w:t>Lk 24,47</w:t>
      </w:r>
      <w:r>
        <w:fldChar w:fldCharType="end"/>
      </w:r>
      <w:r>
        <w:rPr/>
        <w:t xml:space="preserve">). </w:t>
      </w:r>
    </w:p>
  </w:footnote>
  <w:footnote w:id="2967">
    <w:p>
      <w:pPr>
        <w:pStyle w:val="Funote"/>
        <w:rPr/>
      </w:pPr>
      <w:r>
        <w:rPr/>
        <w:footnoteRef/>
        <w:tab/>
        <w:t xml:space="preserve">Zum Schlusszeichen: Ob die Aussage der Pilger vor oder hinter die letzten beiden Zeilen von V. 2 endet, ist inhaltlich unerheblich. Sie liefern (mit </w:t>
      </w:r>
      <w:r>
        <w:rPr>
          <w:rtl w:val="true"/>
          <w:lang w:bidi="he-IL"/>
        </w:rPr>
        <w:t>כִּי</w:t>
      </w:r>
      <w:r>
        <w:rPr/>
        <w:t xml:space="preserve"> </w:t>
      </w:r>
      <w:r>
        <w:rPr>
          <w:i/>
        </w:rPr>
        <w:t>denn</w:t>
      </w:r>
      <w:r>
        <w:rPr/>
        <w:t xml:space="preserve">) die Grundlage für den in so großen Worten beschriebenen prophetischen Völkerzug zum Zion. Beide Möglichkeiten sind denkbar: dass die Angehörigen der anderen Völker sich auch diese Begründung zurufen, oder dass der Prophet sie als Erklärung für ihr Verhalten festhält. </w:t>
      </w:r>
    </w:p>
  </w:footnote>
  <w:footnote w:id="2968">
    <w:p>
      <w:pPr>
        <w:pStyle w:val="Funote"/>
        <w:rPr/>
      </w:pPr>
      <w:r>
        <w:rPr>
          <w:i/>
        </w:rPr>
        <w:footnoteRef/>
        <w:tab/>
        <w:t>[das] Schwert erheben</w:t>
      </w:r>
      <w:r>
        <w:rPr/>
        <w:t xml:space="preserve"> Es handelt sich um eine Metonymie der Adjunktion für die Provokation oder das Führen eines Kriegs. Dazu passt der parallele zweite Versteil. </w:t>
      </w:r>
    </w:p>
  </w:footnote>
  <w:footnote w:id="2969">
    <w:p>
      <w:pPr>
        <w:pStyle w:val="Funote"/>
        <w:rPr/>
      </w:pPr>
      <w:r>
        <w:rPr>
          <w:i/>
        </w:rPr>
        <w:footnoteRef/>
        <w:tab/>
        <w:t>niemanden, der [ihnen] Angst einflößt ([sie] aufstört, zum Zittern bringt)</w:t>
      </w:r>
      <w:r>
        <w:rPr/>
        <w:t xml:space="preserve"> Dieses als Nebensatz aufgelöste substantivierte Partizip Hifil bedeutet in der Grundform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 </w:t>
      </w:r>
    </w:p>
  </w:footnote>
  <w:footnote w:id="2970">
    <w:p>
      <w:pPr>
        <w:pStyle w:val="Funote"/>
        <w:rPr/>
      </w:pPr>
      <w:r>
        <w:rPr>
          <w:i/>
        </w:rPr>
        <w:footnoteRef/>
        <w:tab/>
        <w:t>die Hinkenden</w:t>
      </w:r>
      <w:r>
        <w:rPr/>
        <w:t xml:space="preserve"> und </w:t>
      </w:r>
      <w:r>
        <w:rPr>
          <w:i/>
        </w:rPr>
        <w:t>die Vertriebenen</w:t>
      </w:r>
      <w:r>
        <w:rPr/>
        <w:t xml:space="preserve">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 </w:t>
      </w:r>
    </w:p>
  </w:footnote>
  <w:footnote w:id="2971">
    <w:p>
      <w:pPr>
        <w:pStyle w:val="Funote"/>
        <w:rPr/>
      </w:pPr>
      <w:r>
        <w:rPr>
          <w:i/>
        </w:rPr>
        <w:footnoteRef/>
        <w:tab/>
        <w:t>will ich zusammenführen … sammeln</w:t>
      </w:r>
      <w:r>
        <w:rPr/>
        <w:t xml:space="preserve"> Kohortativ (Imperativ der 1. Person), hier modal übersetzt. </w:t>
      </w:r>
    </w:p>
  </w:footnote>
  <w:footnote w:id="2972">
    <w:p>
      <w:pPr>
        <w:pStyle w:val="Funote"/>
        <w:rPr/>
      </w:pPr>
      <w:r>
        <w:rPr/>
        <w:footnoteRef/>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2973">
    <w:p>
      <w:pPr>
        <w:pStyle w:val="Funote"/>
        <w:rPr/>
      </w:pPr>
      <w:r>
        <w:rPr>
          <w:i/>
        </w:rPr>
        <w:footnoteRef/>
        <w:tab/>
        <w:t>mächtigen Nation</w:t>
      </w:r>
      <w:r>
        <w:rPr/>
        <w:t xml:space="preserve"> Hier wird die Formulierung aus V. 3 aufgegriffen. </w:t>
      </w:r>
    </w:p>
  </w:footnote>
  <w:footnote w:id="2974">
    <w:p>
      <w:pPr>
        <w:pStyle w:val="Funote"/>
        <w:spacing w:before="0" w:after="283"/>
        <w:rPr/>
      </w:pPr>
      <w:r>
        <w:rPr>
          <w:i/>
        </w:rPr>
        <w:footnoteRef/>
        <w:tab/>
        <w:t>Turm der Herde (Migdal Eder)</w:t>
      </w:r>
      <w:r>
        <w:rPr/>
        <w:t xml:space="preserve"> (Hebr. </w:t>
      </w:r>
      <w:r>
        <w:rPr>
          <w:rtl w:val="true"/>
          <w:lang w:bidi="he-IL"/>
        </w:rPr>
        <w:t>מִגְדַּל־עֵדֶר</w:t>
      </w:r>
      <w:r>
        <w:rPr/>
        <w:t xml:space="preserve">) Je nach Interpretation ein poetischer Name für Jerusalem oder ein entsprechender Ortsname (wie in Gen 35,21). In dieser dreifachen Anrede scheint es jedoch am einfachsten und logischsten anzunehmen, dass sich wie </w:t>
      </w:r>
      <w:r>
        <w:rPr>
          <w:i/>
        </w:rPr>
        <w:t>Tochter Zions</w:t>
      </w:r>
      <w:r>
        <w:rPr/>
        <w:t xml:space="preserve"> auch </w:t>
      </w:r>
      <w:r>
        <w:rPr>
          <w:i/>
        </w:rPr>
        <w:t>Turm der Herde</w:t>
      </w:r>
      <w:r>
        <w:rPr/>
        <w:t xml:space="preserve"> und </w:t>
      </w:r>
      <w:r>
        <w:rPr>
          <w:i/>
        </w:rPr>
        <w:t>Ophel</w:t>
      </w:r>
      <w:r>
        <w:rPr/>
        <w:t xml:space="preserve"> auf Jerusalem beziehen (bzw. metonymisch auf den israelitischen König; so Waltke, Micah, S. 229-31; Kessler, Micha, S. 199; Andersen, Micah, S. 439). Das AT bezeichnet den König häufiger als Hirten seines Volkes. Der Turm Davids aus Hld 4,4 könnte </w:t>
      </w:r>
    </w:p>
    <w:p>
      <w:pPr>
        <w:pStyle w:val="Textkrper"/>
        <w:rPr/>
      </w:pPr>
      <w:r>
        <w:rPr>
          <w:i/>
        </w:rPr>
        <w:tab/>
        <w:t>Ophel</w:t>
      </w:r>
      <w:r>
        <w:rPr/>
        <w:t xml:space="preserve"> (Hebr. </w:t>
      </w:r>
      <w:r>
        <w:rPr>
          <w:rtl w:val="true"/>
          <w:lang w:bidi="he-IL"/>
        </w:rPr>
        <w:t>עֹפֶל</w:t>
      </w:r>
      <w:r>
        <w:rPr/>
        <w:t xml:space="preserve">) kommt im AT achtmal vor und bezeichnet einen Ort in Jerusalem, nämlich eine Hügelfestung in der alten Davidsstadt (Wolff, Micha, S. 96). Obwohl der Bezug nicht ganz sicher ist, ist er der am besten belegte. </w:t>
      </w:r>
    </w:p>
    <w:p>
      <w:pPr>
        <w:pStyle w:val="Textkrper"/>
        <w:spacing w:before="0" w:after="283"/>
        <w:rPr/>
      </w:pPr>
      <w:r>
        <w:rPr>
          <w:i/>
        </w:rPr>
        <w:tab/>
        <w:t>Tochter Zions</w:t>
      </w:r>
      <w:r>
        <w:rPr/>
        <w:t xml:space="preserve"> Eine im AT häufige poetische Bezeichnung Jerusalems. </w:t>
      </w:r>
      <w:r>
        <w:rPr>
          <w:i/>
        </w:rPr>
        <w:t>Zion</w:t>
      </w:r>
      <w:r>
        <w:rPr/>
        <w:t xml:space="preserve"> ist der Tempelhügel. </w:t>
      </w:r>
    </w:p>
  </w:footnote>
  <w:footnote w:id="2975">
    <w:p>
      <w:pPr>
        <w:pStyle w:val="Funote"/>
        <w:rPr/>
      </w:pPr>
      <w:r>
        <w:rPr>
          <w:i/>
        </w:rPr>
        <w:footnoteRef/>
        <w:tab/>
        <w:t>Tochter Jerusalems</w:t>
      </w:r>
      <w:r>
        <w:rPr/>
        <w:t xml:space="preserve"> Wie </w:t>
      </w:r>
      <w:r>
        <w:rPr>
          <w:i/>
        </w:rPr>
        <w:t>Tochter Zions</w:t>
      </w:r>
      <w:r>
        <w:rPr/>
        <w:t xml:space="preserve"> eine poetische Bezeichnung Jerusalems (s. vorige Fußnote). </w:t>
      </w:r>
    </w:p>
  </w:footnote>
  <w:footnote w:id="2976">
    <w:p>
      <w:pPr>
        <w:pStyle w:val="Funote"/>
        <w:rPr/>
      </w:pPr>
      <w:r>
        <w:rPr/>
        <w:footnoteRef/>
        <w:tab/>
        <w:t>[Status: Ungeprüft]</w:t>
      </w:r>
    </w:p>
  </w:footnote>
  <w:footnote w:id="2977">
    <w:p>
      <w:pPr>
        <w:pStyle w:val="Funote"/>
        <w:rPr/>
      </w:pPr>
      <w:r>
        <w:rPr/>
        <w:footnoteRef/>
        <w:tab/>
        <w:t>[Status: Ungeprüft]</w:t>
      </w:r>
    </w:p>
  </w:footnote>
  <w:footnote w:id="2978">
    <w:p>
      <w:pPr>
        <w:pStyle w:val="Funote"/>
        <w:rPr/>
      </w:pPr>
      <w:r>
        <w:rPr/>
        <w:footnoteRef/>
        <w:tab/>
        <w:t>[Status: Ungeprüft]</w:t>
      </w:r>
    </w:p>
  </w:footnote>
  <w:footnote w:id="2979">
    <w:p>
      <w:pPr>
        <w:pStyle w:val="Funote"/>
        <w:rPr/>
      </w:pPr>
      <w:r>
        <w:rPr/>
        <w:footnoteRef/>
        <w:tab/>
        <w:t>[Status: Ungeprüft]</w:t>
      </w:r>
    </w:p>
  </w:footnote>
  <w:footnote w:id="2980">
    <w:p>
      <w:pPr>
        <w:pStyle w:val="Funote"/>
        <w:rPr/>
      </w:pPr>
      <w:r>
        <w:rPr>
          <w:rtl w:val="true"/>
          <w:lang w:bidi="he-IL"/>
        </w:rPr>
        <w:footnoteRef/>
        <w:tab/>
        <w:t>מַלְכָּם</w:t>
      </w:r>
      <w:r>
        <w:rPr/>
        <w:t xml:space="preserve"> </w:t>
      </w:r>
      <w:r>
        <w:rPr/>
        <w:t xml:space="preserve">= ihr König, vermutlich ein Anspielung auf </w:t>
      </w:r>
      <w:r>
        <w:rPr>
          <w:rtl w:val="true"/>
          <w:lang w:bidi="he-IL"/>
        </w:rPr>
        <w:t>מִלְכֹּם</w:t>
      </w:r>
      <w:r>
        <w:rPr/>
        <w:t>, der Name einer ammonitischen Gottheit.</w:t>
      </w:r>
    </w:p>
  </w:footnote>
  <w:footnote w:id="2981">
    <w:p>
      <w:pPr>
        <w:pStyle w:val="Funote"/>
        <w:rPr/>
      </w:pPr>
      <w:r>
        <w:rPr/>
        <w:footnoteRef/>
        <w:tab/>
        <w:t>[Status: Ungeprüft]</w:t>
      </w:r>
    </w:p>
  </w:footnote>
  <w:footnote w:id="2982">
    <w:p>
      <w:pPr>
        <w:pStyle w:val="Funote"/>
        <w:rPr/>
      </w:pPr>
      <w:r>
        <w:rPr/>
        <w:footnoteRef/>
        <w:tab/>
        <w:t xml:space="preserve">Da keine Ordinalzahl verwendet wurde, heißt es wörtlich „Tag eins“ (vgl. </w:t>
      </w:r>
      <w:r>
        <w:fldChar w:fldCharType="begin"/>
      </w:r>
      <w:r>
        <w:instrText> HYPERLINK "file:///wiki/Genesis_1" \l "s5"</w:instrText>
      </w:r>
      <w:r>
        <w:fldChar w:fldCharType="separate"/>
      </w:r>
      <w:r>
        <w:rPr>
          <w:rStyle w:val="Internetverknpfung"/>
        </w:rPr>
        <w:t>Gen 1,5</w:t>
      </w:r>
      <w:r>
        <w:fldChar w:fldCharType="end"/>
      </w:r>
      <w:r>
        <w:rPr/>
        <w:t>).</w:t>
      </w:r>
    </w:p>
  </w:footnote>
  <w:footnote w:id="2983">
    <w:p>
      <w:pPr>
        <w:pStyle w:val="Funote"/>
        <w:rPr/>
      </w:pPr>
      <w:r>
        <w:rPr/>
        <w:footnoteRef/>
        <w:tab/>
        <w:t>Datierung: 29. August 520 v.Chr.</w:t>
      </w:r>
    </w:p>
  </w:footnote>
  <w:footnote w:id="2984">
    <w:p>
      <w:pPr>
        <w:pStyle w:val="Funote"/>
        <w:rPr/>
      </w:pPr>
      <w:r>
        <w:rPr/>
        <w:footnoteRef/>
        <w:tab/>
        <w:t xml:space="preserve">Das Wort </w:t>
      </w:r>
      <w:r>
        <w:rPr>
          <w:rtl w:val="true"/>
          <w:lang w:bidi="he-IL"/>
        </w:rPr>
        <w:t>פֶּחַה</w:t>
      </w:r>
      <w:r>
        <w:rPr/>
        <w:t xml:space="preserve"> </w:t>
      </w:r>
      <w:r>
        <w:rPr/>
        <w:t>(</w:t>
      </w:r>
      <w:r>
        <w:rPr>
          <w:i/>
        </w:rPr>
        <w:t>pæchah</w:t>
      </w:r>
      <w:r>
        <w:rPr/>
        <w:t xml:space="preserve">), kommt aus dem akkadischen </w:t>
      </w:r>
      <w:r>
        <w:rPr>
          <w:i/>
        </w:rPr>
        <w:t>pāḫatu</w:t>
      </w:r>
      <w:r>
        <w:rPr/>
        <w:t xml:space="preserve"> und bedeutet „Amtsbezirk“ oder auch „Provinz“ - der Vorsteher eines solchen Bezirkes wird demnach als </w:t>
      </w:r>
      <w:r>
        <w:rPr>
          <w:i/>
        </w:rPr>
        <w:t>bēl pāḫati</w:t>
      </w:r>
      <w:r>
        <w:rPr/>
        <w:t xml:space="preserve"> bezeichnet. Ob </w:t>
      </w:r>
      <w:r>
        <w:rPr>
          <w:i/>
        </w:rPr>
        <w:t>pæchah</w:t>
      </w:r>
      <w:r>
        <w:rPr/>
        <w:t xml:space="preserve"> mit „Statthalter“ übersetzt werden kann, wie es in den traditionellen Übersetzungen der Fall ist, ist in der Forschung umstritten.</w:t>
      </w:r>
    </w:p>
  </w:footnote>
  <w:footnote w:id="2985">
    <w:p>
      <w:pPr>
        <w:pStyle w:val="Funote"/>
        <w:rPr/>
      </w:pPr>
      <w:r>
        <w:rPr/>
        <w:footnoteRef/>
        <w:tab/>
        <w:t>Wörtlich: „ein Mann“.</w:t>
      </w:r>
    </w:p>
  </w:footnote>
  <w:footnote w:id="2986">
    <w:p>
      <w:pPr>
        <w:pStyle w:val="Funote"/>
        <w:rPr/>
      </w:pPr>
      <w:r>
        <w:rPr/>
        <w:footnoteRef/>
        <w:tab/>
        <w:t>Datierung: 17. Oktober 520 v.Chr.</w:t>
      </w:r>
    </w:p>
  </w:footnote>
  <w:footnote w:id="2987">
    <w:p>
      <w:pPr>
        <w:pStyle w:val="Funote"/>
        <w:rPr/>
      </w:pPr>
      <w:r>
        <w:rPr/>
        <w:footnoteRef/>
        <w:tab/>
        <w:t>[Status: Ungeprüft]</w:t>
      </w:r>
    </w:p>
  </w:footnote>
  <w:footnote w:id="2988">
    <w:p>
      <w:pPr>
        <w:pStyle w:val="Funote"/>
        <w:rPr/>
      </w:pPr>
      <w:r>
        <w:rPr/>
        <w:footnoteRef/>
        <w:tab/>
        <w:t>Datierung: 17. Oktober 520 v.Chr.</w:t>
      </w:r>
    </w:p>
  </w:footnote>
  <w:footnote w:id="2989">
    <w:p>
      <w:pPr>
        <w:pStyle w:val="Funote"/>
        <w:rPr/>
      </w:pPr>
      <w:r>
        <w:rPr/>
        <w:footnoteRef/>
        <w:tab/>
        <w:t>Datierung: 18. Dezember 520 v.Chr.</w:t>
      </w:r>
    </w:p>
  </w:footnote>
  <w:footnote w:id="2990">
    <w:p>
      <w:pPr>
        <w:pStyle w:val="Funote"/>
        <w:rPr/>
      </w:pPr>
      <w:r>
        <w:rPr/>
        <w:footnoteRef/>
        <w:tab/>
        <w:t xml:space="preserve">Im MT steht hier </w:t>
      </w:r>
      <w:r>
        <w:rPr>
          <w:rtl w:val="true"/>
          <w:lang w:bidi="he-IL"/>
        </w:rPr>
        <w:t>תֹּורָה</w:t>
      </w:r>
      <w:r>
        <w:rPr/>
        <w:t>.</w:t>
      </w:r>
    </w:p>
  </w:footnote>
  <w:footnote w:id="2991">
    <w:p>
      <w:pPr>
        <w:pStyle w:val="Funote"/>
        <w:rPr/>
      </w:pPr>
      <w:r>
        <w:rPr/>
        <w:footnoteRef/>
        <w:tab/>
        <w:t>Präposition in Verbindung mit einem Inf. constr. mit Suffix der 3. Person maskulinum Plural (</w:t>
      </w:r>
      <w:r>
        <w:rPr>
          <w:rtl w:val="true"/>
          <w:lang w:bidi="he-IL"/>
        </w:rPr>
        <w:t>מִֽהְיֹותָ֥ם</w:t>
      </w:r>
      <w:r>
        <w:rPr/>
        <w:t>).</w:t>
      </w:r>
    </w:p>
  </w:footnote>
  <w:footnote w:id="2992">
    <w:p>
      <w:pPr>
        <w:pStyle w:val="Funote"/>
        <w:rPr/>
      </w:pPr>
      <w:r>
        <w:rPr/>
        <w:footnoteRef/>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2993">
    <w:p>
      <w:pPr>
        <w:pStyle w:val="Funote"/>
        <w:rPr/>
      </w:pPr>
      <w:r>
        <w:rPr/>
        <w:footnoteRef/>
        <w:tab/>
        <w:t>Gemeint ist das Verwelken von Gewächsen.</w:t>
      </w:r>
    </w:p>
  </w:footnote>
  <w:footnote w:id="2994">
    <w:p>
      <w:pPr>
        <w:pStyle w:val="Funote"/>
        <w:rPr/>
      </w:pPr>
      <w:r>
        <w:rPr/>
        <w:footnoteRef/>
        <w:tab/>
        <w:t>Wörtlich: „und nichts in Bezug auf euch zu mir“.</w:t>
      </w:r>
    </w:p>
  </w:footnote>
  <w:footnote w:id="2995">
    <w:p>
      <w:pPr>
        <w:pStyle w:val="Funote"/>
        <w:rPr/>
      </w:pPr>
      <w:r>
        <w:rPr/>
        <w:footnoteRef/>
        <w:tab/>
        <w:t>Vgl. V. 10.</w:t>
      </w:r>
    </w:p>
  </w:footnote>
  <w:footnote w:id="2996">
    <w:p>
      <w:pPr>
        <w:pStyle w:val="Funote"/>
        <w:rPr/>
      </w:pPr>
      <w:r>
        <w:rPr/>
        <w:footnoteRef/>
        <w:tab/>
        <w:t xml:space="preserve">Hier wird der </w:t>
      </w:r>
      <w:hyperlink r:id="rId210">
        <w:r>
          <w:rPr>
            <w:rStyle w:val="Internetverknpfung"/>
            <w:i/>
          </w:rPr>
          <w:t>futurus instanz</w:t>
        </w:r>
      </w:hyperlink>
      <w:r>
        <w:rPr/>
        <w:t xml:space="preserve"> als Ausdruck der unmittelbaren Zukunft benutzt.</w:t>
      </w:r>
    </w:p>
  </w:footnote>
  <w:footnote w:id="2997">
    <w:p>
      <w:pPr>
        <w:pStyle w:val="Funote"/>
        <w:rPr/>
      </w:pPr>
      <w:r>
        <w:rPr/>
        <w:footnoteRef/>
        <w:tab/>
        <w:t>[Status: Ungeprüft]</w:t>
      </w:r>
    </w:p>
  </w:footnote>
  <w:footnote w:id="2998">
    <w:p>
      <w:pPr>
        <w:pStyle w:val="Funote"/>
        <w:rPr/>
      </w:pPr>
      <w:r>
        <w:rPr/>
        <w:footnoteRef/>
        <w:tab/>
        <w:t>Datierung: Oktober/November 520 v. Chr.</w:t>
      </w:r>
    </w:p>
  </w:footnote>
  <w:footnote w:id="2999">
    <w:p>
      <w:pPr>
        <w:pStyle w:val="Funote"/>
        <w:rPr/>
      </w:pPr>
      <w:r>
        <w:rPr>
          <w:i/>
        </w:rPr>
        <w:footnoteRef/>
        <w:tab/>
        <w:t>Figura ethymologica</w:t>
      </w:r>
      <w:r>
        <w:rPr/>
        <w:t>, mögliche Übertragung: „hegt Zorn“.</w:t>
      </w:r>
    </w:p>
  </w:footnote>
  <w:footnote w:id="3000">
    <w:p>
      <w:pPr>
        <w:pStyle w:val="Funote"/>
        <w:rPr/>
      </w:pPr>
      <w:r>
        <w:rPr/>
        <w:footnoteRef/>
        <w:tab/>
        <w:t>Wörtlich: „wovon gilt, dass (Relativpartikel) die ersten Propheten zu ihnen riefen“.</w:t>
      </w:r>
    </w:p>
  </w:footnote>
  <w:footnote w:id="3001">
    <w:p>
      <w:pPr>
        <w:pStyle w:val="Funote"/>
        <w:rPr/>
      </w:pPr>
      <w:r>
        <w:rPr/>
        <w:footnoteRef/>
        <w:tab/>
        <w:t>Datierung: 15. Februar 519 v. Chr.</w:t>
      </w:r>
    </w:p>
  </w:footnote>
  <w:footnote w:id="3002">
    <w:p>
      <w:pPr>
        <w:pStyle w:val="Funote"/>
        <w:rPr/>
      </w:pPr>
      <w:r>
        <w:rPr/>
        <w:footnoteRef/>
        <w:tab/>
        <w:t>Partizip mask. singl.</w:t>
      </w:r>
    </w:p>
  </w:footnote>
  <w:footnote w:id="3003">
    <w:p>
      <w:pPr>
        <w:pStyle w:val="Funote"/>
        <w:rPr/>
      </w:pPr>
      <w:r>
        <w:rPr/>
        <w:footnoteRef/>
        <w:tab/>
        <w:t>Oder ein Ort bei Jerusalem.</w:t>
      </w:r>
    </w:p>
  </w:footnote>
  <w:footnote w:id="3004">
    <w:p>
      <w:pPr>
        <w:pStyle w:val="Funote"/>
        <w:rPr/>
      </w:pPr>
      <w:r>
        <w:rPr/>
        <w:footnoteRef/>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3005">
    <w:p>
      <w:pPr>
        <w:pStyle w:val="Funote"/>
        <w:rPr/>
      </w:pPr>
      <w:r>
        <w:rPr/>
        <w:footnoteRef/>
        <w:tab/>
        <w:t>In dem Sinne von „jmd. seinen Zorn spüren lassen“ oder auch „verwünschen“.</w:t>
      </w:r>
    </w:p>
  </w:footnote>
  <w:footnote w:id="3006">
    <w:p>
      <w:pPr>
        <w:pStyle w:val="Funote"/>
        <w:rPr/>
      </w:pPr>
      <w:r>
        <w:rPr/>
        <w:footnoteRef/>
        <w:tab/>
        <w:t>Eigentliche Bedeutung des Nomens: „in Mutterleibern“, wobei sich die Wortwurzel von „sich erbarmen“ ableitet.</w:t>
      </w:r>
    </w:p>
  </w:footnote>
  <w:footnote w:id="3007">
    <w:p>
      <w:pPr>
        <w:pStyle w:val="Funote"/>
        <w:rPr/>
      </w:pPr>
      <w:r>
        <w:rPr/>
        <w:footnoteRef/>
        <w:tab/>
        <w:t>Die LXX liest „erbarmen“; eine ähnliche Übersetzung lässt auch die Nif'al-Form des Verbs zu.</w:t>
      </w:r>
    </w:p>
  </w:footnote>
  <w:footnote w:id="3008">
    <w:p>
      <w:pPr>
        <w:pStyle w:val="Funote"/>
        <w:rPr/>
      </w:pPr>
      <w:r>
        <w:rPr/>
        <w:footnoteRef/>
        <w:tab/>
        <w:t>[Status: Zuverlässig]</w:t>
      </w:r>
    </w:p>
  </w:footnote>
  <w:footnote w:id="3009">
    <w:p>
      <w:pPr>
        <w:pStyle w:val="Funote"/>
        <w:rPr/>
      </w:pPr>
      <w:r>
        <w:rPr/>
        <w:footnoteRef/>
        <w:tab/>
        <w:t>Kann auch „worfeln“ bedeuten; vgl. Koh 20,8.</w:t>
      </w:r>
    </w:p>
  </w:footnote>
  <w:footnote w:id="3010">
    <w:p>
      <w:pPr>
        <w:pStyle w:val="Funote"/>
        <w:rPr/>
      </w:pPr>
      <w:r>
        <w:rPr/>
        <w:footnoteRef/>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3011">
    <w:p>
      <w:pPr>
        <w:pStyle w:val="Funote"/>
        <w:rPr/>
      </w:pPr>
      <w:r>
        <w:rPr/>
        <w:footnoteRef/>
        <w:tab/>
        <w:t>Auch: mit Steinen beschmeißen.</w:t>
      </w:r>
    </w:p>
  </w:footnote>
  <w:footnote w:id="3012">
    <w:p>
      <w:pPr>
        <w:pStyle w:val="Funote"/>
        <w:rPr/>
      </w:pPr>
      <w:r>
        <w:rPr>
          <w:rtl w:val="true"/>
          <w:lang w:bidi="he-IL"/>
        </w:rPr>
        <w:footnoteRef/>
        <w:tab/>
        <w:t>הַגֹּויִם</w:t>
      </w:r>
      <w:r>
        <w:rPr/>
        <w:t xml:space="preserve"> </w:t>
      </w:r>
      <w:r>
        <w:rPr/>
        <w:t>meint die fremden, nicht jüdischen Völker.</w:t>
      </w:r>
    </w:p>
  </w:footnote>
  <w:footnote w:id="3013">
    <w:p>
      <w:pPr>
        <w:pStyle w:val="Funote"/>
        <w:rPr/>
      </w:pPr>
      <w:r>
        <w:rPr/>
        <w:footnoteRef/>
        <w:tab/>
        <w:t>Die anderen dt. Übersetzungen sagen: „zu messen“; die hier verwendete Übersetzung folgt Gesenius</w:t>
      </w:r>
      <w:r>
        <w:rPr>
          <w:position w:val="7"/>
          <w:sz w:val="16"/>
        </w:rPr>
        <w:t>17</w:t>
      </w:r>
      <w:r>
        <w:rPr/>
        <w:t>, S. 387.</w:t>
      </w:r>
    </w:p>
  </w:footnote>
  <w:footnote w:id="3014">
    <w:p>
      <w:pPr>
        <w:pStyle w:val="Funote"/>
        <w:rPr/>
      </w:pPr>
      <w:r>
        <w:rPr/>
        <w:footnoteRef/>
        <w:tab/>
        <w:t>Also für Jerusalem.</w:t>
      </w:r>
    </w:p>
  </w:footnote>
  <w:footnote w:id="3015">
    <w:p>
      <w:pPr>
        <w:pStyle w:val="Funote"/>
        <w:rPr/>
      </w:pPr>
      <w:r>
        <w:rPr/>
        <w:footnoteRef/>
        <w:tab/>
        <w:t xml:space="preserve">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 </w:t>
      </w:r>
    </w:p>
  </w:footnote>
  <w:footnote w:id="3016">
    <w:p>
      <w:pPr>
        <w:pStyle w:val="Funote"/>
        <w:rPr/>
      </w:pPr>
      <w:r>
        <w:rPr/>
        <w:footnoteRef/>
        <w:tab/>
        <w:t>Alternativübersetzung: »[nach] Zion entkomme« (Menge, GNB, ESV, NRSV).</w:t>
      </w:r>
    </w:p>
  </w:footnote>
  <w:footnote w:id="3017">
    <w:p>
      <w:pPr>
        <w:pStyle w:val="Funote"/>
        <w:rPr/>
      </w:pPr>
      <w:r>
        <w:rPr/>
        <w:footnoteRef/>
        <w:tab/>
        <w:t xml:space="preserve">Attributives </w:t>
      </w:r>
      <w:hyperlink r:id="rId211">
        <w:r>
          <w:rPr>
            <w:rStyle w:val="Internetverknpfung"/>
          </w:rPr>
          <w:t>Ptz.</w:t>
        </w:r>
      </w:hyperlink>
      <w:r>
        <w:rPr/>
        <w:t>.</w:t>
      </w:r>
    </w:p>
  </w:footnote>
  <w:footnote w:id="3018">
    <w:p>
      <w:pPr>
        <w:pStyle w:val="Funote"/>
        <w:rPr/>
      </w:pPr>
      <w:r>
        <w:rPr/>
        <w:footnoteRef/>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3019">
    <w:p>
      <w:pPr>
        <w:pStyle w:val="Funote"/>
        <w:rPr/>
      </w:pPr>
      <w:r>
        <w:rPr/>
        <w:footnoteRef/>
        <w:tab/>
        <w:t xml:space="preserve">Subst. </w:t>
      </w:r>
      <w:hyperlink r:id="rId212">
        <w:r>
          <w:rPr>
            <w:rStyle w:val="Internetverknpfung"/>
          </w:rPr>
          <w:t>Ptz.</w:t>
        </w:r>
      </w:hyperlink>
      <w:r>
        <w:rPr/>
        <w:t xml:space="preserve"> Pl.</w:t>
      </w:r>
    </w:p>
  </w:footnote>
  <w:footnote w:id="3020">
    <w:p>
      <w:pPr>
        <w:pStyle w:val="Funote"/>
        <w:rPr/>
      </w:pPr>
      <w:r>
        <w:rPr/>
        <w:footnoteRef/>
        <w:tab/>
        <w:t xml:space="preserve">Attributives </w:t>
      </w:r>
      <w:hyperlink r:id="rId213">
        <w:r>
          <w:rPr>
            <w:rStyle w:val="Internetverknpfung"/>
          </w:rPr>
          <w:t>Ptz.</w:t>
        </w:r>
      </w:hyperlink>
      <w:r>
        <w:rPr/>
        <w:t>.</w:t>
      </w:r>
    </w:p>
  </w:footnote>
  <w:footnote w:id="3021">
    <w:p>
      <w:pPr>
        <w:pStyle w:val="Funote"/>
        <w:rPr/>
      </w:pPr>
      <w:r>
        <w:rPr/>
        <w:footnoteRef/>
        <w:tab/>
        <w:t>Wörtlich: „Zentrum/Pupille seines Auges“.</w:t>
      </w:r>
    </w:p>
  </w:footnote>
  <w:footnote w:id="3022">
    <w:p>
      <w:pPr>
        <w:pStyle w:val="Funote"/>
        <w:rPr/>
      </w:pPr>
      <w:r>
        <w:rPr/>
        <w:footnoteRef/>
        <w:tab/>
        <w:t>„</w:t>
      </w:r>
      <w:r>
        <w:rPr/>
        <w:t xml:space="preserve">Siehe“ wirkt hier als Marker einer Ankündigung. Könnte den Aspekt der Unmittelbarkeit der angekündigten Handlung ausdrücken, steht hier wohl hauptsächlich zwecks Nachdruck. </w:t>
      </w:r>
    </w:p>
  </w:footnote>
  <w:footnote w:id="3023">
    <w:p>
      <w:pPr>
        <w:pStyle w:val="Funote"/>
        <w:rPr/>
      </w:pPr>
      <w:r>
        <w:rPr/>
        <w:footnoteRef/>
        <w:tab/>
        <w:t xml:space="preserve">Prädikatives </w:t>
      </w:r>
      <w:hyperlink r:id="rId214">
        <w:r>
          <w:rPr>
            <w:rStyle w:val="Internetverknpfung"/>
          </w:rPr>
          <w:t>Ptz.</w:t>
        </w:r>
      </w:hyperlink>
      <w:r>
        <w:rPr/>
        <w:t>; auch futurisch „werde schütteln“.</w:t>
      </w:r>
    </w:p>
  </w:footnote>
  <w:footnote w:id="3024">
    <w:p>
      <w:pPr>
        <w:pStyle w:val="Funote"/>
        <w:rPr/>
      </w:pPr>
      <w:r>
        <w:rPr/>
        <w:footnoteRef/>
        <w:tab/>
        <w:t>D.h. „ich werde sie bestrafen“ (s. NET Sach 2,9 Fußnote 12).</w:t>
      </w:r>
    </w:p>
  </w:footnote>
  <w:footnote w:id="3025">
    <w:p>
      <w:pPr>
        <w:pStyle w:val="Funote"/>
        <w:rPr/>
      </w:pPr>
      <w:r>
        <w:rPr/>
        <w:footnoteRef/>
        <w:tab/>
        <w:t>Direkter Rückbezug zu „ausplündern“ in V. 12 durch Verwendung derselben Wurzel (</w:t>
      </w:r>
      <w:r>
        <w:rPr>
          <w:rtl w:val="true"/>
          <w:lang w:bidi="he-IL"/>
        </w:rPr>
        <w:t>שלל</w:t>
      </w:r>
      <w:r>
        <w:rPr/>
        <w:t>).</w:t>
      </w:r>
    </w:p>
  </w:footnote>
  <w:footnote w:id="3026">
    <w:p>
      <w:pPr>
        <w:pStyle w:val="Funote"/>
        <w:rPr/>
      </w:pPr>
      <w:r>
        <w:rPr/>
        <w:footnoteRef/>
        <w:tab/>
        <w:t>„</w:t>
      </w:r>
      <w:r>
        <w:rPr/>
        <w:t xml:space="preserve">Siehe“ wirkt hier als Marker einer Ankündigung. Könnte den Aspekt der Unmittelbarkeit der angekündigten Handlung ausdrücken, steht hier wohl hauptsächlich zwecks Nachdruck. </w:t>
      </w:r>
    </w:p>
  </w:footnote>
  <w:footnote w:id="3027">
    <w:p>
      <w:pPr>
        <w:pStyle w:val="Funote"/>
        <w:rPr/>
      </w:pPr>
      <w:r>
        <w:rPr/>
        <w:footnoteRef/>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3028">
    <w:p>
      <w:pPr>
        <w:pStyle w:val="Funote"/>
        <w:rPr/>
      </w:pPr>
      <w:r>
        <w:rPr/>
        <w:footnoteRef/>
        <w:tab/>
        <w:t>Selbe Wendung wie in 1,17; wirkt als Klammer um die Kapitel 1-2.</w:t>
      </w:r>
    </w:p>
  </w:footnote>
  <w:footnote w:id="3029">
    <w:p>
      <w:pPr>
        <w:pStyle w:val="Funote"/>
        <w:rPr/>
      </w:pPr>
      <w:r>
        <w:rPr/>
        <w:footnoteRef/>
        <w:tab/>
        <w:t>[Status: Ungeprüft]</w:t>
      </w:r>
    </w:p>
  </w:footnote>
  <w:footnote w:id="3030">
    <w:p>
      <w:pPr>
        <w:pStyle w:val="Funote"/>
        <w:rPr/>
      </w:pPr>
      <w:r>
        <w:rPr/>
        <w:footnoteRef/>
        <w:tab/>
        <w:t xml:space="preserve">Hif'il Impf. Cons. mit Suff. 1. Pers. Sg. von </w:t>
      </w:r>
      <w:r>
        <w:rPr>
          <w:rtl w:val="true"/>
          <w:lang w:bidi="he-IL"/>
        </w:rPr>
        <w:t>ראה</w:t>
      </w:r>
      <w:r>
        <w:rPr/>
        <w:t>.</w:t>
      </w:r>
    </w:p>
  </w:footnote>
  <w:footnote w:id="3031">
    <w:p>
      <w:pPr>
        <w:pStyle w:val="Funote"/>
        <w:rPr/>
      </w:pPr>
      <w:r>
        <w:rPr/>
        <w:footnoteRef/>
        <w:tab/>
        <w:t xml:space="preserve">Kal Pt. m. von </w:t>
      </w:r>
      <w:r>
        <w:rPr>
          <w:rtl w:val="true"/>
          <w:lang w:bidi="he-IL"/>
        </w:rPr>
        <w:t>בחר</w:t>
      </w:r>
      <w:r>
        <w:rPr/>
        <w:t>.</w:t>
      </w:r>
    </w:p>
  </w:footnote>
  <w:footnote w:id="3032">
    <w:p>
      <w:pPr>
        <w:pStyle w:val="Funote"/>
        <w:rPr/>
      </w:pPr>
      <w:r>
        <w:rPr/>
        <w:footnoteRef/>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3033">
    <w:p>
      <w:pPr>
        <w:pStyle w:val="Funote"/>
        <w:rPr/>
      </w:pPr>
      <w:r>
        <w:rPr/>
        <w:footnoteRef/>
        <w:tab/>
        <w:t xml:space="preserve">Kal Pt. m. von </w:t>
      </w:r>
      <w:r>
        <w:rPr>
          <w:rtl w:val="true"/>
          <w:lang w:bidi="he-IL"/>
        </w:rPr>
        <w:t>עמד</w:t>
      </w:r>
      <w:r>
        <w:rPr/>
        <w:t>, parataktisch aufgelöst mit „und“. Die Kopula wurde darum mit „auch“ übersetzt.</w:t>
      </w:r>
    </w:p>
  </w:footnote>
  <w:footnote w:id="3034">
    <w:p>
      <w:pPr>
        <w:pStyle w:val="Funote"/>
        <w:rPr/>
      </w:pPr>
      <w:r>
        <w:rPr/>
        <w:footnoteRef/>
        <w:tab/>
        <w:t xml:space="preserve">Kal Inf. mit Suff. 3. Pers. Sg. von </w:t>
      </w:r>
      <w:r>
        <w:rPr>
          <w:rtl w:val="true"/>
          <w:lang w:bidi="he-IL"/>
        </w:rPr>
        <w:t>שׂטן</w:t>
      </w:r>
      <w:r>
        <w:rPr/>
        <w:t>; aus dieser Wurzel stammt auch das Wort „Satan“.</w:t>
      </w:r>
    </w:p>
  </w:footnote>
  <w:footnote w:id="3035">
    <w:p>
      <w:pPr>
        <w:pStyle w:val="Funote"/>
        <w:rPr/>
      </w:pPr>
      <w:r>
        <w:rPr/>
        <w:footnoteRef/>
        <w:tab/>
        <w:t xml:space="preserve">Kal Impf. von </w:t>
      </w:r>
      <w:r>
        <w:rPr>
          <w:rtl w:val="true"/>
          <w:lang w:bidi="he-IL"/>
        </w:rPr>
        <w:t>גער</w:t>
      </w:r>
      <w:r>
        <w:rPr/>
        <w:t>, ist wie Jussiv zu übersetzen.</w:t>
      </w:r>
    </w:p>
  </w:footnote>
  <w:footnote w:id="3036">
    <w:p>
      <w:pPr>
        <w:pStyle w:val="Funote"/>
        <w:rPr/>
      </w:pPr>
      <w:r>
        <w:rPr/>
        <w:footnoteRef/>
        <w:tab/>
        <w:t xml:space="preserve">Kal Impf. Cons. von </w:t>
      </w:r>
      <w:r>
        <w:rPr>
          <w:rtl w:val="true"/>
          <w:lang w:bidi="he-IL"/>
        </w:rPr>
        <w:t>גער</w:t>
      </w:r>
      <w:r>
        <w:rPr/>
        <w:t>.</w:t>
      </w:r>
    </w:p>
  </w:footnote>
  <w:footnote w:id="3037">
    <w:p>
      <w:pPr>
        <w:pStyle w:val="Funote"/>
        <w:rPr/>
      </w:pPr>
      <w:r>
        <w:rPr/>
        <w:footnoteRef/>
        <w:tab/>
        <w:t xml:space="preserve">Kal Pt. m. von </w:t>
      </w:r>
      <w:r>
        <w:rPr>
          <w:rtl w:val="true"/>
          <w:lang w:bidi="he-IL"/>
        </w:rPr>
        <w:t>בחר</w:t>
      </w:r>
      <w:r>
        <w:rPr/>
        <w:t>.</w:t>
      </w:r>
    </w:p>
  </w:footnote>
  <w:footnote w:id="3038">
    <w:p>
      <w:pPr>
        <w:pStyle w:val="Funote"/>
        <w:rPr/>
      </w:pPr>
      <w:r>
        <w:rPr/>
        <w:footnoteRef/>
        <w:tab/>
        <w:t xml:space="preserve">Hof'al Pt. m. von </w:t>
      </w:r>
      <w:r>
        <w:rPr>
          <w:rtl w:val="true"/>
          <w:lang w:bidi="he-IL"/>
        </w:rPr>
        <w:t>נצל</w:t>
      </w:r>
      <w:r>
        <w:rPr/>
        <w:t>.</w:t>
      </w:r>
    </w:p>
  </w:footnote>
  <w:footnote w:id="3039">
    <w:p>
      <w:pPr>
        <w:pStyle w:val="Funote"/>
        <w:rPr/>
      </w:pPr>
      <w:r>
        <w:rPr/>
        <w:footnoteRef/>
        <w:tab/>
        <w:t xml:space="preserve">Verbaladjektiv von </w:t>
      </w:r>
      <w:r>
        <w:rPr>
          <w:rtl w:val="true"/>
          <w:lang w:bidi="he-IL"/>
        </w:rPr>
        <w:t>לבשׁ</w:t>
      </w:r>
      <w:r>
        <w:rPr/>
        <w:t>.</w:t>
      </w:r>
    </w:p>
  </w:footnote>
  <w:footnote w:id="3040">
    <w:p>
      <w:pPr>
        <w:pStyle w:val="Funote"/>
        <w:rPr/>
      </w:pPr>
      <w:r>
        <w:rPr/>
        <w:footnoteRef/>
        <w:tab/>
        <w:t xml:space="preserve">Adj. zu </w:t>
      </w:r>
      <w:r>
        <w:rPr>
          <w:rtl w:val="true"/>
          <w:lang w:bidi="he-IL"/>
        </w:rPr>
        <w:t>צֵאָה</w:t>
      </w:r>
      <w:r>
        <w:rPr/>
        <w:t>. Die Bedeutung lautet eigentlich: „kotig“.</w:t>
      </w:r>
    </w:p>
  </w:footnote>
  <w:footnote w:id="3041">
    <w:p>
      <w:pPr>
        <w:pStyle w:val="Funote"/>
        <w:rPr/>
      </w:pPr>
      <w:r>
        <w:rPr/>
        <w:footnoteRef/>
        <w:tab/>
        <w:t>Ob das Subjekt JHWH oder der angelus interpres aus Vers 3 ist, wird in der exegetischen Literatur unterschiedlich beantwortet.</w:t>
      </w:r>
    </w:p>
  </w:footnote>
  <w:footnote w:id="3042">
    <w:p>
      <w:pPr>
        <w:pStyle w:val="Funote"/>
        <w:rPr/>
      </w:pPr>
      <w:r>
        <w:rPr/>
        <w:footnoteRef/>
        <w:tab/>
        <w:t xml:space="preserve">Kal Pt. Pl. m. von </w:t>
      </w:r>
      <w:r>
        <w:rPr>
          <w:rtl w:val="true"/>
          <w:lang w:bidi="he-IL"/>
        </w:rPr>
        <w:t>עמד</w:t>
      </w:r>
      <w:r>
        <w:rPr/>
        <w:t>.</w:t>
      </w:r>
    </w:p>
  </w:footnote>
  <w:footnote w:id="3043">
    <w:p>
      <w:pPr>
        <w:pStyle w:val="Funote"/>
        <w:rPr/>
      </w:pPr>
      <w:r>
        <w:rPr/>
        <w:footnoteRef/>
        <w:tab/>
        <w:t xml:space="preserve">Hif'il Imp. Pl. von </w:t>
      </w:r>
      <w:r>
        <w:rPr>
          <w:rtl w:val="true"/>
          <w:lang w:bidi="he-IL"/>
        </w:rPr>
        <w:t>סור</w:t>
      </w:r>
      <w:r>
        <w:rPr/>
        <w:t>.</w:t>
      </w:r>
    </w:p>
  </w:footnote>
  <w:footnote w:id="3044">
    <w:p>
      <w:pPr>
        <w:pStyle w:val="Funote"/>
        <w:rPr/>
      </w:pPr>
      <w:r>
        <w:rPr/>
        <w:footnoteRef/>
        <w:tab/>
        <w:t xml:space="preserve">Kal Imp. Sg. von </w:t>
      </w:r>
      <w:r>
        <w:rPr>
          <w:rtl w:val="true"/>
          <w:lang w:bidi="he-IL"/>
        </w:rPr>
        <w:t>ראה</w:t>
      </w:r>
      <w:r>
        <w:rPr/>
        <w:t>.</w:t>
      </w:r>
    </w:p>
  </w:footnote>
  <w:footnote w:id="3045">
    <w:p>
      <w:pPr>
        <w:pStyle w:val="Funote"/>
        <w:rPr/>
      </w:pPr>
      <w:r>
        <w:rPr/>
        <w:footnoteRef/>
        <w:tab/>
        <w:t xml:space="preserve">Hif'il Pf. von </w:t>
      </w:r>
      <w:r>
        <w:rPr>
          <w:rtl w:val="true"/>
          <w:lang w:bidi="he-IL"/>
        </w:rPr>
        <w:t>עבר</w:t>
      </w:r>
      <w:r>
        <w:rPr/>
        <w:t>.</w:t>
      </w:r>
    </w:p>
  </w:footnote>
  <w:footnote w:id="3046">
    <w:p>
      <w:pPr>
        <w:pStyle w:val="Funote"/>
        <w:rPr/>
      </w:pPr>
      <w:r>
        <w:rPr/>
        <w:footnoteRef/>
        <w:tab/>
        <w:t xml:space="preserve">Hif'il Inf abs. von </w:t>
      </w:r>
      <w:r>
        <w:rPr>
          <w:rtl w:val="true"/>
          <w:lang w:bidi="he-IL"/>
        </w:rPr>
        <w:t>לבשׁ</w:t>
      </w:r>
      <w:r>
        <w:rPr/>
        <w:t>.</w:t>
      </w:r>
    </w:p>
  </w:footnote>
  <w:footnote w:id="3047">
    <w:p>
      <w:pPr>
        <w:pStyle w:val="Funote"/>
        <w:rPr/>
      </w:pPr>
      <w:r>
        <w:rPr/>
        <w:footnoteRef/>
        <w:tab/>
        <w:t>Gesenius</w:t>
      </w:r>
      <w:r>
        <w:rPr>
          <w:position w:val="7"/>
          <w:sz w:val="16"/>
        </w:rPr>
        <w:t>17</w:t>
      </w:r>
      <w:r>
        <w:rPr/>
        <w:t xml:space="preserve"> übersetzt „köstliche Kleider“; vgl. S. 414.</w:t>
      </w:r>
    </w:p>
  </w:footnote>
  <w:footnote w:id="3048">
    <w:p>
      <w:pPr>
        <w:pStyle w:val="Funote"/>
        <w:rPr/>
      </w:pPr>
      <w:r>
        <w:rPr/>
        <w:footnoteRef/>
        <w:tab/>
        <w:t>So die Lesart des Marotetischen Textes. Andere Textzeugen (S, T, V und LXX) lesen: „Und er sprach: ...“</w:t>
      </w:r>
    </w:p>
  </w:footnote>
  <w:footnote w:id="3049">
    <w:p>
      <w:pPr>
        <w:pStyle w:val="Funote"/>
        <w:rPr/>
      </w:pPr>
      <w:r>
        <w:rPr/>
        <w:footnoteRef/>
        <w:tab/>
        <w:t xml:space="preserve">Kal Jussiv von </w:t>
      </w:r>
      <w:r>
        <w:rPr>
          <w:rtl w:val="true"/>
          <w:lang w:bidi="he-IL"/>
        </w:rPr>
        <w:t>שׂים</w:t>
      </w:r>
      <w:r>
        <w:rPr/>
        <w:t>.</w:t>
      </w:r>
    </w:p>
  </w:footnote>
  <w:footnote w:id="3050">
    <w:p>
      <w:pPr>
        <w:pStyle w:val="Funote"/>
        <w:rPr/>
      </w:pPr>
      <w:r>
        <w:rPr/>
        <w:footnoteRef/>
        <w:tab/>
        <w:t>Im Sinne von „kultisch rein“.</w:t>
      </w:r>
    </w:p>
  </w:footnote>
  <w:footnote w:id="3051">
    <w:p>
      <w:pPr>
        <w:pStyle w:val="Funote"/>
        <w:rPr/>
      </w:pPr>
      <w:r>
        <w:rPr/>
        <w:footnoteRef/>
        <w:tab/>
        <w:t>Gemeint ist wohl die Kopfbedeckung des Hohenpriesters.</w:t>
      </w:r>
    </w:p>
  </w:footnote>
  <w:footnote w:id="3052">
    <w:p>
      <w:pPr>
        <w:pStyle w:val="Funote"/>
        <w:rPr/>
      </w:pPr>
      <w:r>
        <w:rPr/>
        <w:footnoteRef/>
        <w:tab/>
        <w:t>Das Partizip wurde paraktisch mit „während“ übersetzt. Die Kopula zu Beginn wurde mit „auch“ aufgelöst.</w:t>
      </w:r>
    </w:p>
  </w:footnote>
  <w:footnote w:id="3053">
    <w:p>
      <w:pPr>
        <w:pStyle w:val="Funote"/>
        <w:rPr/>
      </w:pPr>
      <w:r>
        <w:rPr/>
        <w:footnoteRef/>
        <w:tab/>
        <w:t xml:space="preserve">Hif'il Impf. Cons. von </w:t>
      </w:r>
      <w:r>
        <w:rPr>
          <w:rtl w:val="true"/>
          <w:lang w:bidi="he-IL"/>
        </w:rPr>
        <w:t>עוד</w:t>
      </w:r>
      <w:r>
        <w:rPr/>
        <w:t>.</w:t>
      </w:r>
    </w:p>
  </w:footnote>
  <w:footnote w:id="3054">
    <w:p>
      <w:pPr>
        <w:pStyle w:val="Funote"/>
        <w:rPr/>
      </w:pPr>
      <w:r>
        <w:rPr/>
        <w:footnoteRef/>
        <w:tab/>
        <w:t xml:space="preserve">Kal Impf. von </w:t>
      </w:r>
      <w:r>
        <w:rPr>
          <w:rtl w:val="true"/>
          <w:lang w:bidi="he-IL"/>
        </w:rPr>
        <w:t>הלך</w:t>
      </w:r>
      <w:r>
        <w:rPr/>
        <w:t>.</w:t>
      </w:r>
    </w:p>
  </w:footnote>
  <w:footnote w:id="3055">
    <w:p>
      <w:pPr>
        <w:pStyle w:val="Funote"/>
        <w:rPr/>
      </w:pPr>
      <w:r>
        <w:rPr/>
        <w:footnoteRef/>
        <w:tab/>
        <w:t>Im MT eine unsichere Pluralform.</w:t>
      </w:r>
    </w:p>
  </w:footnote>
  <w:footnote w:id="3056">
    <w:p>
      <w:pPr>
        <w:pStyle w:val="Funote"/>
        <w:rPr/>
      </w:pPr>
      <w:r>
        <w:rPr/>
        <w:footnoteRef/>
        <w:tab/>
        <w:t>Kann auch mit „begegnen“ übersetzt werden.</w:t>
      </w:r>
    </w:p>
  </w:footnote>
  <w:footnote w:id="3057">
    <w:p>
      <w:pPr>
        <w:pStyle w:val="Funote"/>
        <w:rPr/>
      </w:pPr>
      <w:r>
        <w:rPr/>
        <w:footnoteRef/>
        <w:tab/>
        <w:t>[Status: Ungeprüft]</w:t>
      </w:r>
    </w:p>
  </w:footnote>
  <w:footnote w:id="3058">
    <w:p>
      <w:pPr>
        <w:pStyle w:val="Funote"/>
        <w:rPr/>
      </w:pPr>
      <w:r>
        <w:rPr/>
        <w:footnoteRef/>
        <w:tab/>
        <w:t>Wörtlich: „…, was jene diese?“.</w:t>
      </w:r>
    </w:p>
  </w:footnote>
  <w:footnote w:id="3059">
    <w:p>
      <w:pPr>
        <w:pStyle w:val="Funote"/>
        <w:rPr/>
      </w:pPr>
      <w:r>
        <w:rPr/>
        <w:footnoteRef/>
        <w:tab/>
        <w:t>Wörtlich: „oberster/erster/höchster Stein“.</w:t>
      </w:r>
    </w:p>
  </w:footnote>
  <w:footnote w:id="3060">
    <w:p>
      <w:pPr>
        <w:pStyle w:val="Funote"/>
        <w:rPr/>
      </w:pPr>
      <w:r>
        <w:rPr/>
        <w:footnoteRef/>
        <w:tab/>
        <w:t>Streng genommen müsste durch das Waw-Konsekutivum „und sie freuten sich“ übersetzt werden.</w:t>
      </w:r>
    </w:p>
  </w:footnote>
  <w:footnote w:id="3061">
    <w:p>
      <w:pPr>
        <w:pStyle w:val="Funote"/>
        <w:rPr/>
      </w:pPr>
      <w:r>
        <w:rPr/>
        <w:footnoteRef/>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3062">
    <w:p>
      <w:pPr>
        <w:pStyle w:val="Funote"/>
        <w:rPr/>
      </w:pPr>
      <w:r>
        <w:rPr/>
        <w:footnoteRef/>
        <w:tab/>
        <w:t>[Status: Ungeprüft]</w:t>
      </w:r>
    </w:p>
  </w:footnote>
  <w:footnote w:id="3063">
    <w:p>
      <w:pPr>
        <w:pStyle w:val="Funote"/>
        <w:rPr/>
      </w:pPr>
      <w:r>
        <w:rPr/>
        <w:footnoteRef/>
        <w:tab/>
        <w:t>Qal Part. Pl. fem.</w:t>
      </w:r>
    </w:p>
  </w:footnote>
  <w:footnote w:id="3064">
    <w:p>
      <w:pPr>
        <w:pStyle w:val="Funote"/>
        <w:rPr/>
      </w:pPr>
      <w:r>
        <w:rPr/>
        <w:footnoteRef/>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3065">
    <w:p>
      <w:pPr>
        <w:pStyle w:val="Funote"/>
        <w:rPr/>
      </w:pPr>
      <w:r>
        <w:rPr/>
        <w:footnoteRef/>
        <w:tab/>
        <w:t>Qal Part. Pl. fem.</w:t>
      </w:r>
    </w:p>
  </w:footnote>
  <w:footnote w:id="3066">
    <w:p>
      <w:pPr>
        <w:pStyle w:val="Funote"/>
        <w:rPr/>
      </w:pPr>
      <w:r>
        <w:rPr/>
        <w:footnoteRef/>
        <w:tab/>
        <w:t>Hitpa'el Part. Pl. fem., hier parataktisch übersetzt.</w:t>
      </w:r>
    </w:p>
  </w:footnote>
  <w:footnote w:id="3067">
    <w:p>
      <w:pPr>
        <w:pStyle w:val="Funote"/>
        <w:rPr/>
      </w:pPr>
      <w:r>
        <w:rPr/>
        <w:footnoteRef/>
        <w:tab/>
        <w:t>Siehe Diskussionseite.</w:t>
      </w:r>
    </w:p>
  </w:footnote>
  <w:footnote w:id="3068">
    <w:p>
      <w:pPr>
        <w:pStyle w:val="Funote"/>
        <w:rPr/>
      </w:pPr>
      <w:r>
        <w:rPr/>
        <w:footnoteRef/>
        <w:tab/>
        <w:t>Qal Part. Pl. fem., hier parataktisch übersetzt.</w:t>
      </w:r>
    </w:p>
  </w:footnote>
  <w:footnote w:id="3069">
    <w:p>
      <w:pPr>
        <w:pStyle w:val="Funote"/>
        <w:rPr/>
      </w:pPr>
      <w:r>
        <w:rPr/>
        <w:footnoteRef/>
        <w:tab/>
        <w:t>Perfekt consecutivum, ebenso die nachfolgenden Verben.</w:t>
      </w:r>
    </w:p>
  </w:footnote>
  <w:footnote w:id="3070">
    <w:p>
      <w:pPr>
        <w:pStyle w:val="Funote"/>
        <w:rPr/>
      </w:pPr>
      <w:r>
        <w:rPr/>
        <w:footnoteRef/>
        <w:tab/>
        <w:t>Die Wortverbindung kann evtl. auch „westlich“ oder „Westen“ bedeuten; vgl. Gesenius</w:t>
      </w:r>
      <w:r>
        <w:rPr>
          <w:position w:val="7"/>
          <w:sz w:val="16"/>
        </w:rPr>
        <w:t>17</w:t>
      </w:r>
      <w:r>
        <w:rPr/>
        <w:t xml:space="preserve"> S. 26.</w:t>
      </w:r>
    </w:p>
  </w:footnote>
  <w:footnote w:id="3071">
    <w:p>
      <w:pPr>
        <w:pStyle w:val="Funote"/>
        <w:rPr/>
      </w:pPr>
      <w:r>
        <w:rPr/>
        <w:footnoteRef/>
        <w:tab/>
        <w:t>Die eigentliche Wortbedeutung ist „suchen“. Um eine etwas antiquierte Wendung wie „sie suchten zu erreichen“ oder „trachteten“, wurde das Wort mit „wollen“ übertragen.</w:t>
      </w:r>
    </w:p>
  </w:footnote>
  <w:footnote w:id="3072">
    <w:p>
      <w:pPr>
        <w:pStyle w:val="Funote"/>
        <w:rPr/>
      </w:pPr>
      <w:r>
        <w:rPr/>
        <w:footnoteRef/>
        <w:tab/>
        <w:t xml:space="preserve">Im Hebräischen steht hier das Wort </w:t>
      </w:r>
      <w:r>
        <w:rPr>
          <w:rtl w:val="true"/>
          <w:lang w:bidi="he-IL"/>
        </w:rPr>
        <w:t>הַגֹּולָה</w:t>
      </w:r>
      <w:r>
        <w:rPr/>
        <w:t>, das „Exil“ und als Kollektivbezeichnung auch „Exulanten“ bedeutet.</w:t>
      </w:r>
    </w:p>
  </w:footnote>
  <w:footnote w:id="3073">
    <w:p>
      <w:pPr>
        <w:pStyle w:val="Funote"/>
        <w:rPr/>
      </w:pPr>
      <w:r>
        <w:rPr/>
        <w:footnoteRef/>
        <w:tab/>
        <w:t>Perfekt consecutivum mit Bezug auf den Imperativ von Vers 10a</w:t>
      </w:r>
      <w:r>
        <w:rPr>
          <w:lang w:val="el-GR"/>
        </w:rPr>
        <w:t>α</w:t>
      </w:r>
      <w:r>
        <w:rPr/>
        <w:t>. Dasselbe gilt für die nachfolgenden Imperative.</w:t>
      </w:r>
    </w:p>
  </w:footnote>
  <w:footnote w:id="3074">
    <w:p>
      <w:pPr>
        <w:pStyle w:val="Funote"/>
        <w:rPr/>
      </w:pPr>
      <w:r>
        <w:rPr/>
        <w:footnoteRef/>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3075">
    <w:p>
      <w:pPr>
        <w:pStyle w:val="Funote"/>
        <w:rPr/>
      </w:pPr>
      <w:r>
        <w:rPr/>
        <w:footnoteRef/>
        <w:tab/>
        <w:t>Dieses Verb hat dieselbe Wurzel wie der „Spross“ (</w:t>
      </w:r>
      <w:r>
        <w:rPr>
          <w:rtl w:val="true"/>
          <w:lang w:bidi="he-IL"/>
        </w:rPr>
        <w:t>צֶמַח</w:t>
      </w:r>
      <w:r>
        <w:rPr/>
        <w:t>).</w:t>
      </w:r>
    </w:p>
  </w:footnote>
  <w:footnote w:id="3076">
    <w:p>
      <w:pPr>
        <w:pStyle w:val="Funote"/>
        <w:rPr/>
      </w:pPr>
      <w:r>
        <w:rPr/>
        <w:footnoteRef/>
        <w:tab/>
        <w:t xml:space="preserve">An dieser Stelle steht die finite Verbform </w:t>
      </w:r>
      <w:r>
        <w:rPr>
          <w:rtl w:val="true"/>
          <w:lang w:bidi="he-IL"/>
        </w:rPr>
        <w:t>הָיָה</w:t>
      </w:r>
      <w:r>
        <w:rPr/>
        <w:t>.</w:t>
      </w:r>
    </w:p>
  </w:footnote>
  <w:footnote w:id="3077">
    <w:p>
      <w:pPr>
        <w:pStyle w:val="Funote"/>
        <w:rPr/>
      </w:pPr>
      <w:r>
        <w:rPr/>
        <w:footnoteRef/>
        <w:tab/>
        <w:t>Andere Übersetzungsmöglichkeit: „auch (und) wird er Priester auf seinem Thron sein“.</w:t>
      </w:r>
    </w:p>
  </w:footnote>
  <w:footnote w:id="3078">
    <w:p>
      <w:pPr>
        <w:pStyle w:val="Funote"/>
        <w:rPr/>
      </w:pPr>
      <w:r>
        <w:rPr/>
        <w:footnoteRef/>
        <w:tab/>
        <w:t>„</w:t>
      </w:r>
      <w:r>
        <w:rPr/>
        <w:t>Kronen“ steht im Plural, das Verb jedoch im Singular. Hier wurde es pluralisch wiedergegeben, obwohl wörtlich dort steht: „die Kronen ist“.</w:t>
      </w:r>
    </w:p>
  </w:footnote>
  <w:footnote w:id="3079">
    <w:p>
      <w:pPr>
        <w:pStyle w:val="Funote"/>
        <w:rPr/>
      </w:pPr>
      <w:r>
        <w:rPr/>
        <w:footnoteRef/>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3080">
    <w:p>
      <w:pPr>
        <w:pStyle w:val="Funote"/>
        <w:rPr/>
      </w:pPr>
      <w:r>
        <w:rPr/>
        <w:footnoteRef/>
        <w:tab/>
        <w:t>Also diejenigen, die weit entfernt sind. Gemeint sind die Exulanten. Eine andere Übersetzungsmöglichkeit ist: „Und [von] ferne werden…“</w:t>
      </w:r>
    </w:p>
  </w:footnote>
  <w:footnote w:id="3081">
    <w:p>
      <w:pPr>
        <w:pStyle w:val="Funote"/>
        <w:rPr>
          <w:lang w:bidi="he-IL"/>
        </w:rPr>
      </w:pPr>
      <w:r>
        <w:rPr>
          <w:rtl w:val="true"/>
          <w:lang w:bidi="he-IL"/>
        </w:rPr>
        <w:footnoteRef/>
        <w:tab/>
        <w:t>נְאֻם־יְהוָה</w:t>
      </w:r>
    </w:p>
  </w:footnote>
  <w:footnote w:id="3082">
    <w:p>
      <w:pPr>
        <w:pStyle w:val="Funote"/>
        <w:rPr/>
      </w:pPr>
      <w:r>
        <w:rPr/>
        <w:footnoteRef/>
        <w:tab/>
        <w:t xml:space="preserve">Vermutlich: „[überlasse] seinen Besitz den Schakalen der Wüste“. Weder die Schakale noch die Wüste stehen im </w:t>
      </w:r>
      <w:hyperlink r:id="rId215">
        <w:r>
          <w:rPr>
            <w:rStyle w:val="Internetverknpfung"/>
          </w:rPr>
          <w:t>Status constructus</w:t>
        </w:r>
      </w:hyperlink>
      <w:r>
        <w:rPr/>
        <w:t xml:space="preserve"> </w:t>
      </w:r>
    </w:p>
  </w:footnote>
  <w:footnote w:id="3083">
    <w:p>
      <w:pPr>
        <w:pStyle w:val="Funote"/>
        <w:rPr/>
      </w:pPr>
      <w:r>
        <w:rPr/>
        <w:footnoteRef/>
        <w:tab/>
        <w:t>[Status: Ungeprüft]</w:t>
      </w:r>
    </w:p>
  </w:footnote>
  <w:footnote w:id="3084">
    <w:p>
      <w:pPr>
        <w:pStyle w:val="Funote"/>
        <w:rPr/>
      </w:pPr>
      <w:r>
        <w:rPr/>
        <w:footnoteRef/>
        <w:tab/>
        <w:t xml:space="preserve">S. </w:t>
      </w:r>
      <w:hyperlink r:id="rId216">
        <w:r>
          <w:rPr>
            <w:rStyle w:val="Internetverknpfung"/>
          </w:rPr>
          <w:t>Diskussion:Matthäus_1</w:t>
        </w:r>
      </w:hyperlink>
    </w:p>
  </w:footnote>
  <w:footnote w:id="3085">
    <w:p>
      <w:pPr>
        <w:pStyle w:val="Funote"/>
        <w:rPr/>
      </w:pPr>
      <w:r>
        <w:rPr/>
        <w:footnoteRef/>
        <w:tab/>
        <w:t>Gemeint ist nicht die Verwandtschaft 1. Grades, sondern so etwas wie „Nachkomme“ oder „Spross“.</w:t>
      </w:r>
    </w:p>
  </w:footnote>
  <w:footnote w:id="3086">
    <w:p>
      <w:pPr>
        <w:pStyle w:val="Funote"/>
        <w:rPr/>
      </w:pPr>
      <w:r>
        <w:rPr/>
        <w:footnoteRef/>
        <w:tab/>
        <w:t>GNB: „Von Abraham stammte Isaak“.</w:t>
      </w:r>
    </w:p>
  </w:footnote>
  <w:footnote w:id="3087">
    <w:p>
      <w:pPr>
        <w:pStyle w:val="Funote"/>
        <w:rPr/>
      </w:pPr>
      <w:r>
        <w:rPr/>
        <w:footnoteRef/>
        <w:tab/>
        <w:t>In ein anderes Land versetzen. Ausdrücke mit Wertung: (Gewaltsame) Deportation, Verschleppung, Verbannung, Gefangenschaft.</w:t>
      </w:r>
    </w:p>
  </w:footnote>
  <w:footnote w:id="3088">
    <w:p>
      <w:pPr>
        <w:pStyle w:val="Funote"/>
        <w:rPr/>
      </w:pPr>
      <w:r>
        <w:rPr/>
        <w:footnoteRef/>
        <w:tab/>
        <w:t>Das griechische Wort bedeutet sowohl zeugen als auch gebären und hervorbringen.</w:t>
      </w:r>
    </w:p>
  </w:footnote>
  <w:footnote w:id="3089">
    <w:p>
      <w:pPr>
        <w:pStyle w:val="Funote"/>
        <w:rPr/>
      </w:pPr>
      <w:r>
        <w:rPr/>
        <w:footnoteRef/>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3090">
    <w:p>
      <w:pPr>
        <w:pStyle w:val="Funote"/>
        <w:rPr/>
      </w:pPr>
      <w:r>
        <w:rPr/>
        <w:footnoteRef/>
        <w:tab/>
        <w:t>Textkritik: „Seine Geburt“ (ohne Namensnennung).</w:t>
      </w:r>
    </w:p>
  </w:footnote>
  <w:footnote w:id="3091">
    <w:p>
      <w:pPr>
        <w:pStyle w:val="Funote"/>
        <w:rPr/>
      </w:pPr>
      <w:r>
        <w:rPr/>
        <w:footnoteRef/>
        <w:tab/>
        <w:t>Partizip Aorist Passiv</w:t>
      </w:r>
    </w:p>
  </w:footnote>
  <w:footnote w:id="3092">
    <w:p>
      <w:pPr>
        <w:pStyle w:val="Funote"/>
        <w:rPr/>
      </w:pPr>
      <w:r>
        <w:rPr/>
        <w:footnoteRef/>
        <w:tab/>
        <w:t>Infinitiv Aorist</w:t>
      </w:r>
    </w:p>
  </w:footnote>
  <w:footnote w:id="3093">
    <w:p>
      <w:pPr>
        <w:pStyle w:val="Funote"/>
        <w:rPr/>
      </w:pPr>
      <w:r>
        <w:rPr/>
        <w:footnoteRef/>
        <w:tab/>
        <w:t>Im gr. Text wird der Heilige Geist am Ende des Satzes erwähnt, um zu betonen, dass das Kind von ihm gezeugt ist und nicht von einem Menschen.</w:t>
      </w:r>
    </w:p>
  </w:footnote>
  <w:footnote w:id="3094">
    <w:p>
      <w:pPr>
        <w:pStyle w:val="Funote"/>
        <w:rPr/>
      </w:pPr>
      <w:r>
        <w:rPr/>
        <w:footnoteRef/>
        <w:tab/>
        <w:t>Wörtlich: „Mann“ oder „Gatte“. Ihre Beziehung befindet sich in dem Stadium zwischen „schon verlobt“, aber noch nicht „die Ehe eingegangen“. GNB: „Josef, dem sie durch Verlobung schon rechtsgültig verbunden war“.</w:t>
      </w:r>
    </w:p>
  </w:footnote>
  <w:footnote w:id="3095">
    <w:p>
      <w:pPr>
        <w:pStyle w:val="Funote"/>
        <w:rPr/>
      </w:pPr>
      <w:r>
        <w:rPr/>
        <w:footnoteRef/>
        <w:tab/>
        <w:t>Partizip Präsenz</w:t>
      </w:r>
    </w:p>
  </w:footnote>
  <w:footnote w:id="3096">
    <w:p>
      <w:pPr>
        <w:pStyle w:val="Funote"/>
        <w:rPr/>
      </w:pPr>
      <w:r>
        <w:rPr/>
        <w:footnoteRef/>
        <w:tab/>
        <w:t>Partizip Präsenz</w:t>
      </w:r>
    </w:p>
  </w:footnote>
  <w:footnote w:id="3097">
    <w:p>
      <w:pPr>
        <w:pStyle w:val="Funote"/>
        <w:rPr/>
      </w:pPr>
      <w:r>
        <w:rPr/>
        <w:footnoteRef/>
        <w:tab/>
        <w:t>Partizip Aorist Passiv</w:t>
      </w:r>
    </w:p>
  </w:footnote>
  <w:footnote w:id="3098">
    <w:p>
      <w:pPr>
        <w:pStyle w:val="Funote"/>
        <w:rPr/>
      </w:pPr>
      <w:r>
        <w:rPr/>
        <w:footnoteRef/>
        <w:tab/>
        <w:t>Wörtlich: „Frau“ oder „Gattin“. Ihre Beziehung befindet sich in dem Stadium zwischen „schon verlobt“, aber noch nicht „die Ehe eingegangen“.</w:t>
      </w:r>
    </w:p>
  </w:footnote>
  <w:footnote w:id="3099">
    <w:p>
      <w:pPr>
        <w:pStyle w:val="Funote"/>
        <w:rPr/>
      </w:pPr>
      <w:r>
        <w:rPr/>
        <w:footnoteRef/>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3100">
    <w:p>
      <w:pPr>
        <w:pStyle w:val="Funote"/>
        <w:rPr/>
      </w:pPr>
      <w:r>
        <w:rPr/>
        <w:footnoteRef/>
        <w:tab/>
        <w:t>Steht im gr. sehr pointiert am Anfang des Satzes, also mit dem Beiklang: „Er und kein anderer“.</w:t>
      </w:r>
    </w:p>
  </w:footnote>
  <w:footnote w:id="3101">
    <w:p>
      <w:pPr>
        <w:pStyle w:val="Funote"/>
        <w:rPr/>
      </w:pPr>
      <w:r>
        <w:rPr/>
        <w:footnoteRef/>
        <w:tab/>
        <w:t xml:space="preserve">Der Name „Jesus“ geht zurück auf das hebräische Wort </w:t>
      </w:r>
      <w:r>
        <w:rPr>
          <w:rtl w:val="true"/>
          <w:lang w:bidi="he-IL"/>
        </w:rPr>
        <w:t>ישע</w:t>
      </w:r>
      <w:r>
        <w:rPr/>
        <w:t>, was soviel wie „retten“ oder „freisetzen“ bedeutet.</w:t>
      </w:r>
    </w:p>
  </w:footnote>
  <w:footnote w:id="3102">
    <w:p>
      <w:pPr>
        <w:pStyle w:val="Funote"/>
        <w:rPr/>
      </w:pPr>
      <w:r>
        <w:rPr/>
        <w:footnoteRef/>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3103">
    <w:p>
      <w:pPr>
        <w:pStyle w:val="Funote"/>
        <w:rPr/>
      </w:pPr>
      <w:r>
        <w:rPr/>
        <w:footnoteRef/>
        <w:tab/>
        <w:t>Wörtlich: „durch den Propheten“. Welcher Prophet tatsächlich gemeint ist, muss der Leser aus dem Zusammenhang erschließen.</w:t>
      </w:r>
    </w:p>
  </w:footnote>
  <w:footnote w:id="3104">
    <w:p>
      <w:pPr>
        <w:pStyle w:val="Funote"/>
        <w:rPr/>
      </w:pPr>
      <w:r>
        <w:rPr/>
        <w:footnoteRef/>
        <w:tab/>
        <w:t>Textkritik: Einige Handschriften ergänzen den Namen des Propheten: „Jesaja“.</w:t>
      </w:r>
    </w:p>
  </w:footnote>
  <w:footnote w:id="3105">
    <w:p>
      <w:pPr>
        <w:pStyle w:val="Funote"/>
        <w:rPr/>
      </w:pPr>
      <w:r>
        <w:rPr/>
        <w:footnoteRef/>
        <w:tab/>
        <w:t>Partizip Präsens</w:t>
      </w:r>
    </w:p>
  </w:footnote>
  <w:footnote w:id="3106">
    <w:p>
      <w:pPr>
        <w:pStyle w:val="Funote"/>
        <w:rPr/>
      </w:pPr>
      <w:r>
        <w:rPr/>
        <w:footnoteRef/>
        <w:tab/>
        <w:t xml:space="preserve">Der hebr. Ausdruck im zitierten Text lautet </w:t>
      </w:r>
      <w:r>
        <w:rPr>
          <w:rtl w:val="true"/>
          <w:lang w:bidi="he-IL"/>
        </w:rPr>
        <w:t>הָעַלְמָ֗ה</w:t>
      </w:r>
      <w:r>
        <w:rPr/>
        <w:t>, was ein „mannbares unverehelichtes jugendliches Frauenzimmer“ meint (KEK, Mayer 1864, S. 64).</w:t>
      </w:r>
    </w:p>
  </w:footnote>
  <w:footnote w:id="3107">
    <w:p>
      <w:pPr>
        <w:pStyle w:val="Funote"/>
        <w:rPr/>
      </w:pPr>
      <w:r>
        <w:rPr/>
        <w:footnoteRef/>
        <w:tab/>
        <w:t>Eigentlich Futur: „wird schwanger sein“. Der alttestamentliche Text nimmt das prophetisch vorweg, was sich jetzt ereignet (KEK, Mayer 1864, S. 66).</w:t>
      </w:r>
    </w:p>
  </w:footnote>
  <w:footnote w:id="3108">
    <w:p>
      <w:pPr>
        <w:pStyle w:val="Funote"/>
        <w:rPr/>
      </w:pPr>
      <w:r>
        <w:rPr/>
        <w:footnoteRef/>
        <w:tab/>
        <w:t xml:space="preserve">Hebr. </w:t>
      </w:r>
      <w:r>
        <w:rPr>
          <w:rtl w:val="true"/>
          <w:lang w:bidi="he-IL"/>
        </w:rPr>
        <w:t>עִמָּנוּ אֵל</w:t>
      </w:r>
      <w:r>
        <w:rPr/>
        <w:t>: „mit uns [ist] Gott“</w:t>
      </w:r>
    </w:p>
  </w:footnote>
  <w:footnote w:id="3109">
    <w:p>
      <w:pPr>
        <w:pStyle w:val="Funote"/>
        <w:rPr/>
      </w:pPr>
      <w:r>
        <w:rPr/>
        <w:footnoteRef/>
        <w:tab/>
        <w:t>Schreibweise unklar: Einheitsübersetzung schreibt „Immanuel“ (ohne Trema), Loccumer Richtlinien schreiben „Immanuël“ (mit Trema)</w:t>
      </w:r>
    </w:p>
  </w:footnote>
  <w:footnote w:id="3110">
    <w:p>
      <w:pPr>
        <w:pStyle w:val="Funote"/>
        <w:rPr/>
      </w:pPr>
      <w:r>
        <w:rPr/>
        <w:footnoteRef/>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3111">
    <w:p>
      <w:pPr>
        <w:pStyle w:val="Funote"/>
        <w:rPr/>
      </w:pPr>
      <w:r>
        <w:rPr/>
        <w:footnoteRef/>
        <w:tab/>
        <w:t>Partizip Aorist. Aufgelöst: „Nachdem er aus dem Schlaf aufgewacht war“.</w:t>
      </w:r>
    </w:p>
  </w:footnote>
  <w:footnote w:id="3112">
    <w:p>
      <w:pPr>
        <w:pStyle w:val="Funote"/>
        <w:rPr/>
      </w:pPr>
      <w:r>
        <w:rPr/>
        <w:footnoteRef/>
        <w:tab/>
        <w:t>Atl. bzw. semitisierender Euphemismus für "schlief nicht mit ihr".</w:t>
      </w:r>
    </w:p>
  </w:footnote>
  <w:footnote w:id="3113">
    <w:p>
      <w:pPr>
        <w:pStyle w:val="Funote"/>
        <w:rPr/>
      </w:pPr>
      <w:r>
        <w:rPr/>
        <w:footnoteRef/>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3114">
    <w:p>
      <w:pPr>
        <w:pStyle w:val="Funote"/>
        <w:rPr/>
      </w:pPr>
      <w:r>
        <w:rPr/>
        <w:footnoteRef/>
        <w:tab/>
        <w:t>Textkritik: Einige Handschriften ausführlicher: „ihren erstgeborenen Sohn“.</w:t>
      </w:r>
    </w:p>
  </w:footnote>
  <w:footnote w:id="3115">
    <w:p>
      <w:pPr>
        <w:pStyle w:val="Funote"/>
        <w:rPr/>
      </w:pPr>
      <w:r>
        <w:rPr/>
        <w:footnoteRef/>
        <w:tab/>
        <w:t>[Status: Ungeprüft]</w:t>
      </w:r>
    </w:p>
  </w:footnote>
  <w:footnote w:id="3116">
    <w:p>
      <w:pPr>
        <w:pStyle w:val="Funote"/>
        <w:rPr/>
      </w:pPr>
      <w:r>
        <w:rPr/>
        <w:footnoteRef/>
        <w:tab/>
        <w:t xml:space="preserve">Partizip Aorist, hier ist wohl ein zeitlicher Sprung, deswegen auch (leicht) Nachzeitig übersetzbar (Newman, UBS Handbook, S. 33) </w:t>
      </w:r>
    </w:p>
  </w:footnote>
  <w:footnote w:id="3117">
    <w:p>
      <w:pPr>
        <w:pStyle w:val="Funote"/>
        <w:rPr/>
      </w:pPr>
      <w:r>
        <w:rPr/>
        <w:footnoteRef/>
        <w:tab/>
        <w:t>Wörtlich: im Betlehem des Judäa. Der chorografische Genitiv meint: Judäa ist das Land, in dem sich die Stadt Bethlehem befindet (BDR, §164.3).</w:t>
      </w:r>
    </w:p>
  </w:footnote>
  <w:footnote w:id="3118">
    <w:p>
      <w:pPr>
        <w:pStyle w:val="Funote"/>
        <w:rPr/>
      </w:pPr>
      <w:r>
        <w:rPr/>
        <w:footnoteRef/>
        <w:tab/>
        <w:t>„</w:t>
      </w:r>
      <w:r>
        <w:rPr/>
        <w:t xml:space="preserve">Herodes der Große“, </w:t>
      </w:r>
    </w:p>
  </w:footnote>
  <w:footnote w:id="3119">
    <w:p>
      <w:pPr>
        <w:pStyle w:val="Funote"/>
        <w:rPr/>
      </w:pPr>
      <w:r>
        <w:rPr/>
        <w:footnoteRef/>
        <w:tab/>
        <w:t xml:space="preserve">Priester, die sich mit Astrologie beschäftigen (KEK, Mayer 1864, S. 72). „Angehörige einer vornehmen babylonischen Priester- und Gelehrtenklasse“ (Rienecker 2008, S. 36), also Adlige, die auch naturwissenschaftlich und astronomisch geschult sind. Zum Wort allgemein s. </w:t>
      </w:r>
      <w:hyperlink r:id="rId217">
        <w:r>
          <w:rPr>
            <w:rStyle w:val="Internetverknpfung"/>
          </w:rPr>
          <w:t>Magier</w:t>
        </w:r>
      </w:hyperlink>
      <w:r>
        <w:rPr/>
        <w:t>.</w:t>
      </w:r>
    </w:p>
  </w:footnote>
  <w:footnote w:id="3120">
    <w:p>
      <w:pPr>
        <w:pStyle w:val="Funote"/>
        <w:rPr/>
      </w:pPr>
      <w:r>
        <w:rPr/>
        <w:footnoteRef/>
        <w:tab/>
        <w:t>„</w:t>
      </w:r>
      <w:r>
        <w:rPr/>
        <w:t>What is meant by the East is not known precisely, though most commentators assume Babylonia is intended“ (Newman, S. 33) Die Übersetzung „aus dem Osten“ scheint also am treffendsten zu sein.</w:t>
      </w:r>
    </w:p>
  </w:footnote>
  <w:footnote w:id="3121">
    <w:p>
      <w:pPr>
        <w:pStyle w:val="Funote"/>
        <w:rPr/>
      </w:pPr>
      <w:r>
        <w:rPr/>
        <w:footnoteRef/>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3122">
    <w:p>
      <w:pPr>
        <w:pStyle w:val="Funote"/>
        <w:rPr/>
      </w:pPr>
      <w:r>
        <w:rPr/>
        <w:footnoteRef/>
        <w:tab/>
        <w:t>Nach Rienecker ist hier die Übersetzung „huldigen“ am umfassendsten, da alle anderen Begriffe nur die äußere Umschreibung der allumfassenden Unterwerfung seien (Rienecker 2008, S. 36)</w:t>
      </w:r>
    </w:p>
  </w:footnote>
  <w:footnote w:id="3123">
    <w:p>
      <w:pPr>
        <w:pStyle w:val="Funote"/>
        <w:rPr/>
      </w:pPr>
      <w:r>
        <w:rPr/>
        <w:footnoteRef/>
        <w:tab/>
        <w:t>Partizip Präsens</w:t>
      </w:r>
    </w:p>
  </w:footnote>
  <w:footnote w:id="3124">
    <w:p>
      <w:pPr>
        <w:pStyle w:val="Funote"/>
        <w:rPr/>
      </w:pPr>
      <w:r>
        <w:rPr/>
        <w:footnoteRef/>
        <w:tab/>
        <w:t>Ist an eine Sitzung des Hohen Rats/Sanhedrins gedacht (KEK, Mayer 1864, S. 76)? Laut Rienecker handelt es sich um eine feststehende Formulierung dafür (WSB, Rienecker, S. 37).</w:t>
      </w:r>
    </w:p>
  </w:footnote>
  <w:footnote w:id="3125">
    <w:p>
      <w:pPr>
        <w:pStyle w:val="Funote"/>
        <w:rPr/>
      </w:pPr>
      <w:r>
        <w:rPr/>
        <w:footnoteRef/>
        <w:tab/>
        <w:t xml:space="preserve">Technischer Fachbegriff der Schriftgelehrten (Bauer zu </w:t>
      </w:r>
      <w:r>
        <w:rPr>
          <w:lang w:val="el-GR"/>
        </w:rPr>
        <w:t>γράΦω</w:t>
      </w:r>
      <w:r>
        <w:rPr/>
        <w:t>).</w:t>
      </w:r>
    </w:p>
  </w:footnote>
  <w:footnote w:id="3126">
    <w:p>
      <w:pPr>
        <w:pStyle w:val="Funote"/>
        <w:rPr/>
      </w:pPr>
      <w:r>
        <w:rPr/>
        <w:footnoteRef/>
        <w:tab/>
        <w:t>Die göttliche Botschaft stammt von Gott, wird aber durch einen Propheten weiterverbreitet.</w:t>
      </w:r>
    </w:p>
  </w:footnote>
  <w:footnote w:id="3127">
    <w:p>
      <w:pPr>
        <w:pStyle w:val="Funote"/>
        <w:rPr/>
      </w:pPr>
      <w:r>
        <w:rPr/>
        <w:footnoteRef/>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3128">
    <w:p>
      <w:pPr>
        <w:pStyle w:val="Funote"/>
        <w:rPr/>
      </w:pPr>
      <w:r>
        <w:rPr/>
        <w:footnoteRef/>
        <w:tab/>
        <w:t xml:space="preserve">Partizip von </w:t>
      </w:r>
      <w:r>
        <w:rPr>
          <w:lang w:val="el-GR"/>
        </w:rPr>
        <w:t>ἡγέομαι</w:t>
      </w:r>
      <w:r>
        <w:rPr/>
        <w:t xml:space="preserve">, nicht </w:t>
      </w:r>
      <w:r>
        <w:rPr>
          <w:lang w:val="el-GR"/>
        </w:rPr>
        <w:t>ἡγεμῶν</w:t>
      </w:r>
      <w:r>
        <w:rPr/>
        <w:t>.</w:t>
      </w:r>
    </w:p>
  </w:footnote>
  <w:footnote w:id="3129">
    <w:p>
      <w:pPr>
        <w:pStyle w:val="Funote"/>
        <w:rPr/>
      </w:pPr>
      <w:r>
        <w:rPr/>
        <w:footnoteRef/>
        <w:tab/>
        <w:t xml:space="preserve">Eine freie Wiedergabe von </w:t>
      </w:r>
      <w:r>
        <w:fldChar w:fldCharType="begin"/>
      </w:r>
      <w:r>
        <w:instrText> HYPERLINK "file:///wiki/Micha_5" \l "s1"</w:instrText>
      </w:r>
      <w:r>
        <w:fldChar w:fldCharType="separate"/>
      </w:r>
      <w:r>
        <w:rPr>
          <w:rStyle w:val="Internetverknpfung"/>
        </w:rPr>
        <w:t>Mi 5,1.3</w:t>
      </w:r>
      <w:r>
        <w:fldChar w:fldCharType="end"/>
      </w:r>
      <w:r>
        <w:rPr/>
        <w:t>.</w:t>
      </w:r>
    </w:p>
  </w:footnote>
  <w:footnote w:id="3130">
    <w:p>
      <w:pPr>
        <w:pStyle w:val="Funote"/>
        <w:rPr/>
      </w:pPr>
      <w:r>
        <w:rPr/>
        <w:footnoteRef/>
        <w:tab/>
        <w:t>Partizip Aorist. Vorzeitig: „Nachdem Herodes die Magier heimlich [zu sich] gerufen hatte.“</w:t>
      </w:r>
    </w:p>
  </w:footnote>
  <w:footnote w:id="3131">
    <w:p>
      <w:pPr>
        <w:pStyle w:val="Funote"/>
        <w:rPr/>
      </w:pPr>
      <w:r>
        <w:rPr/>
        <w:footnoteRef/>
        <w:tab/>
        <w:t>Partizip Präs.</w:t>
      </w:r>
    </w:p>
  </w:footnote>
  <w:footnote w:id="3132">
    <w:p>
      <w:pPr>
        <w:pStyle w:val="Funote"/>
        <w:rPr/>
      </w:pPr>
      <w:r>
        <w:rPr/>
        <w:footnoteRef/>
        <w:tab/>
        <w:t>Partizip Aorist. Also eigentlich vorzeitig: „Nachdem er sie nach Bethlehem geschickt hatte, sagte er...“. Vielleicht so: „Er schickte sie nach Bethlehem und erwähnte dabei noch beiläufig...“?</w:t>
      </w:r>
    </w:p>
  </w:footnote>
  <w:footnote w:id="3133">
    <w:p>
      <w:pPr>
        <w:pStyle w:val="Funote"/>
        <w:rPr/>
      </w:pPr>
      <w:r>
        <w:rPr/>
        <w:footnoteRef/>
        <w:tab/>
        <w:t>Kein Imperativ, sondern Konjunktiv.</w:t>
      </w:r>
    </w:p>
  </w:footnote>
  <w:footnote w:id="3134">
    <w:p>
      <w:pPr>
        <w:pStyle w:val="Funote"/>
        <w:rPr/>
      </w:pPr>
      <w:r>
        <w:rPr>
          <w:lang w:val="el-GR"/>
        </w:rPr>
        <w:footnoteRef/>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3135">
    <w:p>
      <w:pPr>
        <w:pStyle w:val="Funote"/>
        <w:rPr/>
      </w:pPr>
      <w:r>
        <w:rPr/>
        <w:footnoteRef/>
        <w:tab/>
        <w:t>Partizip Aorist</w:t>
      </w:r>
    </w:p>
  </w:footnote>
  <w:footnote w:id="3136">
    <w:p>
      <w:pPr>
        <w:pStyle w:val="Funote"/>
        <w:rPr/>
      </w:pPr>
      <w:r>
        <w:rPr/>
        <w:footnoteRef/>
        <w:tab/>
        <w:t>Impf.</w:t>
      </w:r>
    </w:p>
  </w:footnote>
  <w:footnote w:id="3137">
    <w:p>
      <w:pPr>
        <w:pStyle w:val="Funote"/>
        <w:rPr/>
      </w:pPr>
      <w:r>
        <w:rPr/>
        <w:footnoteRef/>
        <w:tab/>
        <w:t>Impf.</w:t>
      </w:r>
    </w:p>
  </w:footnote>
  <w:footnote w:id="3138">
    <w:p>
      <w:pPr>
        <w:pStyle w:val="Funote"/>
        <w:rPr/>
      </w:pPr>
      <w:r>
        <w:rPr/>
        <w:footnoteRef/>
        <w:tab/>
        <w:t>Partizip Aorist, hier als Partizip übersetzt. Eventl. "indem sie niederfielen"?</w:t>
      </w:r>
    </w:p>
  </w:footnote>
  <w:footnote w:id="3139">
    <w:p>
      <w:pPr>
        <w:pStyle w:val="Funote"/>
        <w:rPr/>
      </w:pPr>
      <w:r>
        <w:rPr/>
        <w:footnoteRef/>
        <w:tab/>
        <w:t xml:space="preserve">Laut Haubeck/Siebenthal 2008 </w:t>
      </w:r>
      <w:r>
        <w:rPr>
          <w:lang w:val="el-GR"/>
        </w:rPr>
        <w:t>κατ’ ὄναρ</w:t>
      </w:r>
      <w:r>
        <w:rPr/>
        <w:t xml:space="preserve"> bei Mt. immer "im Traum"</w:t>
      </w:r>
    </w:p>
  </w:footnote>
  <w:footnote w:id="3140">
    <w:p>
      <w:pPr>
        <w:pStyle w:val="Funote"/>
        <w:rPr/>
      </w:pPr>
      <w:r>
        <w:rPr/>
        <w:footnoteRef/>
        <w:tab/>
        <w:t>Part. Aor. Übersetzung vrmtl. kausal: "Weil ihnen in einem Traum befohlen wurde"</w:t>
      </w:r>
    </w:p>
  </w:footnote>
  <w:footnote w:id="3141">
    <w:p>
      <w:pPr>
        <w:pStyle w:val="Funote"/>
        <w:rPr/>
      </w:pPr>
      <w:r>
        <w:rPr/>
        <w:footnoteRef/>
        <w:tab/>
        <w:t>Aor. Inf. Übersetzung als NcI, da Part. Aor. im Nom.</w:t>
      </w:r>
    </w:p>
  </w:footnote>
  <w:footnote w:id="3142">
    <w:p>
      <w:pPr>
        <w:pStyle w:val="Funote"/>
        <w:rPr/>
      </w:pPr>
      <w:r>
        <w:rPr/>
        <w:footnoteRef/>
        <w:tab/>
        <w:t>Vgl. Anmerkungen zu Mt 2,12</w:t>
      </w:r>
    </w:p>
  </w:footnote>
  <w:footnote w:id="3143">
    <w:p>
      <w:pPr>
        <w:pStyle w:val="Funote"/>
        <w:rPr/>
      </w:pPr>
      <w:r>
        <w:rPr/>
        <w:footnoteRef/>
        <w:tab/>
        <w:t>Eig. Partizip: "sagend"</w:t>
      </w:r>
    </w:p>
  </w:footnote>
  <w:footnote w:id="3144">
    <w:p>
      <w:pPr>
        <w:pStyle w:val="Funote"/>
        <w:rPr/>
      </w:pPr>
      <w:r>
        <w:rPr/>
        <w:footnoteRef/>
        <w:tab/>
        <w:t>hier könnte eine sinngemäße Ergänzung stehen: „es“ oder den Gegensatz implizierend „anderes“. Haubeck/Siebenthal schlägt vor: „bis ich's dir sage“ (Haubeck/Siebthal 2008, S. 8)</w:t>
      </w:r>
    </w:p>
  </w:footnote>
  <w:footnote w:id="3145">
    <w:p>
      <w:pPr>
        <w:pStyle w:val="Funote"/>
        <w:rPr/>
      </w:pPr>
      <w:r>
        <w:rPr/>
        <w:footnoteRef/>
        <w:tab/>
        <w:t>AcI</w:t>
      </w:r>
    </w:p>
  </w:footnote>
  <w:footnote w:id="3146">
    <w:p>
      <w:pPr>
        <w:pStyle w:val="Funote"/>
        <w:rPr/>
      </w:pPr>
      <w:r>
        <w:rPr/>
        <w:footnoteRef/>
        <w:tab/>
        <w:t>Rienecker weist auf den identischen Aufbau von den Teilen in Vers 13 und 14: Das deute auf eine große Eile hin (Rienecker 2008, S. 44).</w:t>
      </w:r>
    </w:p>
  </w:footnote>
  <w:footnote w:id="3147">
    <w:p>
      <w:pPr>
        <w:pStyle w:val="Funote"/>
        <w:rPr/>
      </w:pPr>
      <w:r>
        <w:rPr/>
        <w:footnoteRef/>
        <w:tab/>
        <w:t>Impf.</w:t>
      </w:r>
    </w:p>
  </w:footnote>
  <w:footnote w:id="3148">
    <w:p>
      <w:pPr>
        <w:pStyle w:val="Funote"/>
        <w:rPr/>
      </w:pPr>
      <w:r>
        <w:rPr/>
        <w:footnoteRef/>
        <w:tab/>
        <w:t>Partizip Aorist</w:t>
      </w:r>
    </w:p>
  </w:footnote>
  <w:footnote w:id="3149">
    <w:p>
      <w:pPr>
        <w:pStyle w:val="Funote"/>
        <w:rPr/>
      </w:pPr>
      <w:r>
        <w:rPr/>
        <w:footnoteRef/>
        <w:tab/>
        <w:t>Nach Rienecker im Gr. eine direkte übersetzung von Hos 11,1 aus dem Hebräischen (Rienecker 2008, S. 44)</w:t>
      </w:r>
    </w:p>
  </w:footnote>
  <w:footnote w:id="3150">
    <w:p>
      <w:pPr>
        <w:pStyle w:val="Funote"/>
        <w:rPr/>
      </w:pPr>
      <w:r>
        <w:rPr/>
        <w:footnoteRef/>
        <w:tab/>
        <w:t>Part. Aor. vermutlich am besten übersetzen mit lassen</w:t>
      </w:r>
    </w:p>
  </w:footnote>
  <w:footnote w:id="3151">
    <w:p>
      <w:pPr>
        <w:pStyle w:val="Funote"/>
        <w:rPr/>
      </w:pPr>
      <w:r>
        <w:rPr/>
        <w:footnoteRef/>
        <w:tab/>
        <w:t>Aor. Inf.</w:t>
      </w:r>
    </w:p>
  </w:footnote>
  <w:footnote w:id="3152">
    <w:p>
      <w:pPr>
        <w:pStyle w:val="Funote"/>
        <w:rPr/>
      </w:pPr>
      <w:r>
        <w:rPr/>
        <w:footnoteRef/>
        <w:tab/>
        <w:t>Vgl. Vers 13 für Formen, Satz ist gleich aufgebaut</w:t>
      </w:r>
    </w:p>
  </w:footnote>
  <w:footnote w:id="3153">
    <w:p>
      <w:pPr>
        <w:pStyle w:val="Funote"/>
        <w:rPr/>
      </w:pPr>
      <w:r>
        <w:rPr/>
        <w:footnoteRef/>
        <w:tab/>
        <w:t>Perfekt, resultativer Aspekt für die Gegenwart</w:t>
      </w:r>
    </w:p>
  </w:footnote>
  <w:footnote w:id="3154">
    <w:p>
      <w:pPr>
        <w:pStyle w:val="Funote"/>
        <w:rPr/>
      </w:pPr>
      <w:r>
        <w:rPr/>
        <w:footnoteRef/>
        <w:tab/>
        <w:t>atl. Idiom für „nach dem Leben trachten“(Haubeck/Siebthal 2007, S. 9)</w:t>
      </w:r>
    </w:p>
  </w:footnote>
  <w:footnote w:id="3155">
    <w:p>
      <w:pPr>
        <w:pStyle w:val="Funote"/>
        <w:rPr/>
      </w:pPr>
      <w:r>
        <w:rPr/>
        <w:footnoteRef/>
        <w:tab/>
        <w:t>Aor. Inf.</w:t>
      </w:r>
    </w:p>
  </w:footnote>
  <w:footnote w:id="3156">
    <w:p>
      <w:pPr>
        <w:pStyle w:val="Funote"/>
        <w:rPr/>
      </w:pPr>
      <w:r>
        <w:rPr/>
        <w:footnoteRef/>
        <w:tab/>
        <w:t>Part. Aor. Passiv, eventl. auch temporal "als ihm eine Weisung gegeben wurde..."</w:t>
      </w:r>
    </w:p>
  </w:footnote>
  <w:footnote w:id="3157">
    <w:p>
      <w:pPr>
        <w:pStyle w:val="Funote"/>
        <w:rPr/>
      </w:pPr>
      <w:r>
        <w:rPr/>
        <w:footnoteRef/>
        <w:tab/>
        <w:t>Dieses findet sich so nicht im AT, Rienecker vermutet ein Wortspiel in Anlehnung an Jes 11,1 (Rienecker 2008, S. 49), Haubeck/Siebenthal vermuten hingegen eine Zusammenfassung verschiedener prophetischer Aussagen (Haubeck/Siebthal 2007, S. 10)</w:t>
      </w:r>
    </w:p>
  </w:footnote>
  <w:footnote w:id="3158">
    <w:p>
      <w:pPr>
        <w:pStyle w:val="Funote"/>
        <w:rPr/>
      </w:pPr>
      <w:r>
        <w:rPr/>
        <w:footnoteRef/>
        <w:tab/>
        <w:t>[Status: Ungeprüft]</w:t>
      </w:r>
    </w:p>
  </w:footnote>
  <w:footnote w:id="3159">
    <w:p>
      <w:pPr>
        <w:pStyle w:val="Funote"/>
        <w:rPr/>
      </w:pPr>
      <w:r>
        <w:rPr/>
        <w:footnoteRef/>
        <w:tab/>
        <w:t>Wird das Partizip mit dem Prädikat des Wortes zu „predigte“ vermengt, fällt es weg. Sonst „tritt auf ... um zu verkündigen“</w:t>
      </w:r>
    </w:p>
  </w:footnote>
  <w:footnote w:id="3160">
    <w:p>
      <w:pPr>
        <w:pStyle w:val="Funote"/>
        <w:rPr/>
      </w:pPr>
      <w:r>
        <w:rPr/>
        <w:footnoteRef/>
        <w:tab/>
        <w:t xml:space="preserve">Im Sinne des AT ist wohl eher eine Bekehrung gemeint, weniger ein Buße tun (Rienecker 2008, S. 52) </w:t>
      </w:r>
    </w:p>
  </w:footnote>
  <w:footnote w:id="3161">
    <w:p>
      <w:pPr>
        <w:pStyle w:val="Funote"/>
        <w:rPr/>
      </w:pPr>
      <w:r>
        <w:rPr/>
        <w:footnoteRef/>
        <w:tab/>
        <w:t>Wörtlich: Bringt rechte Frucht der Umkehr(Buße) hervor!</w:t>
      </w:r>
    </w:p>
  </w:footnote>
  <w:footnote w:id="3162">
    <w:p>
      <w:pPr>
        <w:pStyle w:val="Funote"/>
        <w:rPr/>
      </w:pPr>
      <w:r>
        <w:rPr/>
        <w:footnoteRef/>
        <w:tab/>
        <w:t>Oder: „wenn er nicht ... hervorbringt“</w:t>
      </w:r>
    </w:p>
  </w:footnote>
  <w:footnote w:id="3163">
    <w:p>
      <w:pPr>
        <w:pStyle w:val="Funote"/>
        <w:rPr/>
      </w:pPr>
      <w:r>
        <w:rPr/>
        <w:footnoteRef/>
        <w:tab/>
        <w:t>s.o.</w:t>
      </w:r>
    </w:p>
  </w:footnote>
  <w:footnote w:id="3164">
    <w:p>
      <w:pPr>
        <w:pStyle w:val="Funote"/>
        <w:rPr/>
      </w:pPr>
      <w:r>
        <w:rPr/>
        <w:footnoteRef/>
        <w:tab/>
        <w:t>Leichtester Dienst von Haussklaven (Rienecker 2008, S. 60)</w:t>
      </w:r>
    </w:p>
  </w:footnote>
  <w:footnote w:id="3165">
    <w:p>
      <w:pPr>
        <w:pStyle w:val="Funote"/>
        <w:rPr/>
      </w:pPr>
      <w:r>
        <w:rPr/>
        <w:footnoteRef/>
        <w:tab/>
        <w:t>oder: wurde, da Aor. aber Passiv.</w:t>
      </w:r>
    </w:p>
  </w:footnote>
  <w:footnote w:id="3166">
    <w:p>
      <w:pPr>
        <w:pStyle w:val="Funote"/>
        <w:rPr/>
      </w:pPr>
      <w:r>
        <w:rPr/>
        <w:footnoteRef/>
        <w:tab/>
        <w:t>[Status: Ungeprüft]</w:t>
      </w:r>
    </w:p>
  </w:footnote>
  <w:footnote w:id="3167">
    <w:p>
      <w:pPr>
        <w:pStyle w:val="Funote"/>
        <w:rPr/>
      </w:pPr>
      <w:r>
        <w:rPr/>
        <w:footnoteRef/>
        <w:tab/>
        <w:t>Hier steht ein Infinitiv, vermutlich Final am besten zu übersetzen. Alternativ: „um vom.... versucht zu werden....“</w:t>
      </w:r>
    </w:p>
  </w:footnote>
  <w:footnote w:id="3168">
    <w:p>
      <w:pPr>
        <w:pStyle w:val="Funote"/>
        <w:rPr/>
      </w:pPr>
      <w:r>
        <w:rPr/>
        <w:footnoteRef/>
        <w:tab/>
        <w:t>eigentlich Partizip. Hier final, man könnte auch temporal übersetzen: „Nachdem er...“ wobei das nachzeitig wäre, das weitere Verb aber auch Aorist.</w:t>
      </w:r>
    </w:p>
  </w:footnote>
  <w:footnote w:id="3169">
    <w:p>
      <w:pPr>
        <w:pStyle w:val="Funote"/>
        <w:rPr/>
      </w:pPr>
      <w:r>
        <w:rPr/>
        <w:footnoteRef/>
        <w:tab/>
        <w:t>Eig. Partizip</w:t>
      </w:r>
    </w:p>
  </w:footnote>
  <w:footnote w:id="3170">
    <w:p>
      <w:pPr>
        <w:pStyle w:val="Funote"/>
        <w:rPr/>
      </w:pPr>
      <w:r>
        <w:rPr/>
        <w:footnoteRef/>
        <w:tab/>
        <w:t>wörtl.: sagte antwortend</w:t>
      </w:r>
    </w:p>
  </w:footnote>
  <w:footnote w:id="3171">
    <w:p>
      <w:pPr>
        <w:pStyle w:val="Funote"/>
        <w:rPr/>
      </w:pPr>
      <w:r>
        <w:rPr/>
        <w:footnoteRef/>
        <w:tab/>
        <w:t>Partizip. Wörtlich: herauskommend</w:t>
      </w:r>
    </w:p>
  </w:footnote>
  <w:footnote w:id="3172">
    <w:p>
      <w:pPr>
        <w:pStyle w:val="Funote"/>
        <w:rPr/>
      </w:pPr>
      <w:r>
        <w:rPr/>
        <w:footnoteRef/>
        <w:tab/>
        <w:t>Gemeint ist wohl: Die Zinne auf dem Tempel, bzw. den Rand des Daches des Tempels</w:t>
      </w:r>
    </w:p>
  </w:footnote>
  <w:footnote w:id="3173">
    <w:p>
      <w:pPr>
        <w:pStyle w:val="Funote"/>
        <w:rPr/>
      </w:pPr>
      <w:r>
        <w:rPr/>
        <w:footnoteRef/>
        <w:tab/>
        <w:t>Eig. Futur, aber mit Verneinung oft Gebot</w:t>
      </w:r>
    </w:p>
  </w:footnote>
  <w:footnote w:id="3174">
    <w:p>
      <w:pPr>
        <w:pStyle w:val="Funote"/>
        <w:rPr/>
      </w:pPr>
      <w:r>
        <w:rPr/>
        <w:footnoteRef/>
        <w:tab/>
        <w:t>Dieses Partizip sollte man auflösen. Da beide Worte die Bedeutung "niederknien" haben vlt. einfach final: „wenn du niederfällst und mich anbetest“ oder „wenn du, in dem du niederfällst, mich anbetest“</w:t>
      </w:r>
    </w:p>
  </w:footnote>
  <w:footnote w:id="3175">
    <w:p>
      <w:pPr>
        <w:pStyle w:val="Funote"/>
        <w:rPr/>
      </w:pPr>
      <w:r>
        <w:rPr/>
        <w:footnoteRef/>
        <w:tab/>
        <w:t>Fut. mit Befehlsbedeutung</w:t>
      </w:r>
    </w:p>
  </w:footnote>
  <w:footnote w:id="3176">
    <w:p>
      <w:pPr>
        <w:pStyle w:val="Funote"/>
        <w:rPr/>
      </w:pPr>
      <w:r>
        <w:rPr/>
        <w:footnoteRef/>
        <w:tab/>
        <w:t>Part., wörtlich: „gehört habend“</w:t>
      </w:r>
    </w:p>
  </w:footnote>
  <w:footnote w:id="3177">
    <w:p>
      <w:pPr>
        <w:pStyle w:val="Funote"/>
        <w:rPr/>
      </w:pPr>
      <w:r>
        <w:rPr/>
        <w:footnoteRef/>
        <w:tab/>
        <w:t>Eig. Partizip: „Nazareth verlassend“</w:t>
      </w:r>
    </w:p>
  </w:footnote>
  <w:footnote w:id="3178">
    <w:p>
      <w:pPr>
        <w:pStyle w:val="Funote"/>
        <w:rPr/>
      </w:pPr>
      <w:r>
        <w:rPr/>
        <w:footnoteRef/>
        <w:tab/>
        <w:t>Eig. Partizip: „gehend“</w:t>
      </w:r>
    </w:p>
  </w:footnote>
  <w:footnote w:id="3179">
    <w:p>
      <w:pPr>
        <w:pStyle w:val="Funote"/>
        <w:rPr/>
      </w:pPr>
      <w:r>
        <w:rPr/>
        <w:footnoteRef/>
        <w:tab/>
        <w:t>wörtlich „in den Grenzen“</w:t>
      </w:r>
    </w:p>
  </w:footnote>
  <w:footnote w:id="3180">
    <w:p>
      <w:pPr>
        <w:pStyle w:val="Funote"/>
        <w:rPr/>
      </w:pPr>
      <w:r>
        <w:rPr/>
        <w:footnoteRef/>
        <w:tab/>
        <w:t>„</w:t>
      </w:r>
      <w:r>
        <w:rPr/>
        <w:t>zum…hin“ Hebraismus, wörtlich „einen Weg“</w:t>
      </w:r>
    </w:p>
  </w:footnote>
  <w:footnote w:id="3181">
    <w:p>
      <w:pPr>
        <w:pStyle w:val="Funote"/>
        <w:rPr/>
      </w:pPr>
      <w:r>
        <w:rPr/>
        <w:footnoteRef/>
        <w:tab/>
        <w:t>Partizip. Alternative Übersetzung: „den dort Wohnenden“</w:t>
      </w:r>
    </w:p>
  </w:footnote>
  <w:footnote w:id="3182">
    <w:p>
      <w:pPr>
        <w:pStyle w:val="Funote"/>
        <w:rPr/>
      </w:pPr>
      <w:r>
        <w:rPr/>
        <w:footnoteRef/>
        <w:tab/>
        <w:t>Plural, gemeint sind die verschiedenen Sphären des Himmels (Quelle??)</w:t>
      </w:r>
    </w:p>
  </w:footnote>
  <w:footnote w:id="3183">
    <w:p>
      <w:pPr>
        <w:pStyle w:val="Funote"/>
        <w:rPr/>
      </w:pPr>
      <w:r>
        <w:rPr/>
        <w:footnoteRef/>
        <w:tab/>
        <w:t>Partizip Präsens, Übersetzung hier gleichzeitig</w:t>
      </w:r>
    </w:p>
  </w:footnote>
  <w:footnote w:id="3184">
    <w:p>
      <w:pPr>
        <w:pStyle w:val="Funote"/>
        <w:rPr/>
      </w:pPr>
      <w:r>
        <w:rPr/>
        <w:footnoteRef/>
        <w:tab/>
        <w:t>Partizip. Wörtlich „den genannten“</w:t>
      </w:r>
    </w:p>
  </w:footnote>
  <w:footnote w:id="3185">
    <w:p>
      <w:pPr>
        <w:pStyle w:val="Funote"/>
        <w:rPr/>
      </w:pPr>
      <w:r>
        <w:rPr/>
        <w:footnoteRef/>
        <w:tab/>
        <w:t>Partizip. Vielleicht besser: „während“? Wohl aber temporal, eventl. kausal</w:t>
      </w:r>
    </w:p>
  </w:footnote>
  <w:footnote w:id="3186">
    <w:p>
      <w:pPr>
        <w:pStyle w:val="Funote"/>
        <w:rPr/>
      </w:pPr>
      <w:r>
        <w:rPr/>
        <w:footnoteRef/>
        <w:tab/>
        <w:t>Gemeint ist wohl etwas wie: „Auf, folgt mir nach!“</w:t>
      </w:r>
    </w:p>
  </w:footnote>
  <w:footnote w:id="3187">
    <w:p>
      <w:pPr>
        <w:pStyle w:val="Funote"/>
        <w:rPr/>
      </w:pPr>
      <w:r>
        <w:rPr/>
        <w:footnoteRef/>
        <w:tab/>
        <w:t>Eig. Partizip: „Diese aber, sofort die Netze zurücklassend...“. Übersetzung vlt. kausal (indem) oder einfach auflösen</w:t>
      </w:r>
    </w:p>
  </w:footnote>
  <w:footnote w:id="3188">
    <w:p>
      <w:pPr>
        <w:pStyle w:val="Funote"/>
        <w:rPr/>
      </w:pPr>
      <w:r>
        <w:rPr/>
        <w:footnoteRef/>
        <w:tab/>
        <w:t>Partizip. Übersetzung aufgelöst oder temporal („während er von dort weiterging“ oder „als...“</w:t>
      </w:r>
    </w:p>
  </w:footnote>
  <w:footnote w:id="3189">
    <w:p>
      <w:pPr>
        <w:pStyle w:val="Funote"/>
        <w:rPr/>
      </w:pPr>
      <w:r>
        <w:rPr/>
        <w:footnoteRef/>
        <w:tab/>
        <w:t>Partizip, hier temporal</w:t>
      </w:r>
    </w:p>
  </w:footnote>
  <w:footnote w:id="3190">
    <w:p>
      <w:pPr>
        <w:pStyle w:val="Funote"/>
        <w:rPr/>
      </w:pPr>
      <w:r>
        <w:rPr/>
        <w:footnoteRef/>
        <w:tab/>
        <w:t>Partizip. Vgl. Vers 20)</w:t>
      </w:r>
    </w:p>
  </w:footnote>
  <w:footnote w:id="3191">
    <w:p>
      <w:pPr>
        <w:pStyle w:val="Funote"/>
        <w:rPr/>
      </w:pPr>
      <w:r>
        <w:rPr/>
        <w:footnoteRef/>
        <w:tab/>
        <w:t>Partizip. Eventl. auch „um...zu“</w:t>
      </w:r>
    </w:p>
  </w:footnote>
  <w:footnote w:id="3192">
    <w:p>
      <w:pPr>
        <w:pStyle w:val="Funote"/>
        <w:rPr/>
      </w:pPr>
      <w:r>
        <w:rPr/>
        <w:footnoteRef/>
        <w:tab/>
        <w:t>Partizip. Eventl. auch „um...zu“</w:t>
      </w:r>
    </w:p>
  </w:footnote>
  <w:footnote w:id="3193">
    <w:p>
      <w:pPr>
        <w:pStyle w:val="Funote"/>
        <w:rPr/>
      </w:pPr>
      <w:r>
        <w:rPr/>
        <w:footnoteRef/>
        <w:tab/>
        <w:t>Partizip</w:t>
      </w:r>
    </w:p>
  </w:footnote>
  <w:footnote w:id="3194">
    <w:p>
      <w:pPr>
        <w:pStyle w:val="Funote"/>
        <w:rPr/>
      </w:pPr>
      <w:r>
        <w:rPr/>
        <w:footnoteRef/>
        <w:tab/>
        <w:t>Partizip</w:t>
      </w:r>
    </w:p>
  </w:footnote>
  <w:footnote w:id="3195">
    <w:p>
      <w:pPr>
        <w:pStyle w:val="Funote"/>
        <w:rPr/>
      </w:pPr>
      <w:r>
        <w:rPr/>
        <w:footnoteRef/>
        <w:tab/>
        <w:t xml:space="preserve">Griech. für „[Gebiet der] zehn Städte“, ein heidnisch bewohntes Gebiet östlich des Toten Meeres. </w:t>
      </w:r>
    </w:p>
  </w:footnote>
  <w:footnote w:id="3196">
    <w:p>
      <w:pPr>
        <w:pStyle w:val="Funote"/>
        <w:rPr/>
      </w:pPr>
      <w:r>
        <w:rPr/>
        <w:footnoteRef/>
        <w:tab/>
        <w:t>[Status: Ungeprüft]</w:t>
      </w:r>
    </w:p>
  </w:footnote>
  <w:footnote w:id="3197">
    <w:p>
      <w:pPr>
        <w:pStyle w:val="Funote"/>
        <w:rPr/>
      </w:pPr>
      <w:r>
        <w:rPr/>
        <w:footnoteRef/>
        <w:tab/>
        <w:t>Partizip. Wörtlich: „die Volksmenge erblickend...“</w:t>
      </w:r>
    </w:p>
  </w:footnote>
  <w:footnote w:id="3198">
    <w:p>
      <w:pPr>
        <w:pStyle w:val="Funote"/>
        <w:rPr/>
      </w:pPr>
      <w:r>
        <w:rPr/>
        <w:footnoteRef/>
        <w:tab/>
        <w:t>Partizip. Alternativ: „als er sich setzte“</w:t>
      </w:r>
    </w:p>
  </w:footnote>
  <w:footnote w:id="3199">
    <w:p>
      <w:pPr>
        <w:pStyle w:val="Funote"/>
        <w:rPr/>
      </w:pPr>
      <w:r>
        <w:rPr/>
        <w:footnoteRef/>
        <w:tab/>
        <w:t xml:space="preserve">Beschreibendes adv. </w:t>
      </w:r>
      <w:hyperlink r:id="rId218">
        <w:r>
          <w:rPr>
            <w:rStyle w:val="Internetverknpfung"/>
          </w:rPr>
          <w:t>Partizip</w:t>
        </w:r>
      </w:hyperlink>
      <w:r>
        <w:rPr/>
        <w:t xml:space="preserve"> Aorist Aktiv, gleichgeordnet aufgelöst. Redewendung, die eine feierliche Rede einleitet (Haubeck/Siebthal 2007, S. 18)</w:t>
      </w:r>
    </w:p>
  </w:footnote>
  <w:footnote w:id="3200">
    <w:p>
      <w:pPr>
        <w:pStyle w:val="Funote"/>
        <w:rPr/>
      </w:pPr>
      <w:r>
        <w:rPr/>
        <w:footnoteRef/>
        <w:tab/>
        <w:t>Gemeint ist wohl die Haltung gegenüber Gott bzw. die Beziehung mit ihm. „sie sind sich bewusst, dass sie m[it] leeren Händen vor ihm [Gott] stehen u[nd] daher ganz auf seine Hilfe angewiesen sind“ (Haubeck/Siebthal 2007, S. 18)</w:t>
      </w:r>
    </w:p>
  </w:footnote>
  <w:footnote w:id="3201">
    <w:p>
      <w:pPr>
        <w:pStyle w:val="Funote"/>
        <w:rPr/>
      </w:pPr>
      <w:r>
        <w:rPr/>
        <w:footnoteRef/>
        <w:tab/>
        <w:t>Aber auch: Frömmigkeit, Aufrichtigkeit, dem Willen Gott entsprechend!</w:t>
      </w:r>
    </w:p>
  </w:footnote>
  <w:footnote w:id="3202">
    <w:p>
      <w:pPr>
        <w:pStyle w:val="Funote"/>
        <w:rPr/>
      </w:pPr>
      <w:hyperlink r:id="rId219">
        <w:r>
          <w:rPr>
            <w:rStyle w:val="Internetverknpfung"/>
          </w:rPr>
          <w:footnoteRef/>
          <w:tab/>
          <w:t>generisches Maskulinum</w:t>
        </w:r>
      </w:hyperlink>
    </w:p>
  </w:footnote>
  <w:footnote w:id="3203">
    <w:p>
      <w:pPr>
        <w:pStyle w:val="Funote"/>
        <w:rPr/>
      </w:pPr>
      <w:r>
        <w:rPr/>
        <w:footnoteRef/>
        <w:tab/>
        <w:t>Eig. „Arbeitslohn“ (Haubeck/Siebenthal 2008, S. 20)</w:t>
      </w:r>
    </w:p>
  </w:footnote>
  <w:footnote w:id="3204">
    <w:p>
      <w:pPr>
        <w:pStyle w:val="Funote"/>
        <w:rPr/>
      </w:pPr>
      <w:r>
        <w:rPr/>
        <w:footnoteRef/>
        <w:tab/>
        <w:t>Steht betont.</w:t>
      </w:r>
    </w:p>
  </w:footnote>
  <w:footnote w:id="3205">
    <w:p>
      <w:pPr>
        <w:pStyle w:val="Funote"/>
        <w:rPr/>
      </w:pPr>
      <w:r>
        <w:rPr/>
        <w:footnoteRef/>
        <w:tab/>
        <w:t>Alle drei Varianten sind möglich, auch wenn sie sich sehr unterscheiden. Die letzte Variante geht von einem passivum divinum aus.</w:t>
      </w:r>
    </w:p>
  </w:footnote>
  <w:footnote w:id="3206">
    <w:p>
      <w:pPr>
        <w:pStyle w:val="Funote"/>
        <w:rPr/>
      </w:pPr>
      <w:r>
        <w:rPr/>
        <w:footnoteRef/>
        <w:tab/>
        <w:t>Steht betont.</w:t>
      </w:r>
    </w:p>
  </w:footnote>
  <w:footnote w:id="3207">
    <w:p>
      <w:pPr>
        <w:pStyle w:val="Funote"/>
        <w:rPr/>
      </w:pPr>
      <w:r>
        <w:rPr/>
        <w:footnoteRef/>
        <w:tab/>
        <w:t>Das Griech. Wort kommt vom Lat. modium und bezeichnet eine Maßeinheit von ca. 8 ¾ Litern - groß genug, um eine Öllampe darunter zu stellen.</w:t>
      </w:r>
    </w:p>
  </w:footnote>
  <w:footnote w:id="3208">
    <w:p>
      <w:pPr>
        <w:pStyle w:val="Funote"/>
        <w:rPr/>
      </w:pPr>
      <w:r>
        <w:rPr/>
        <w:footnoteRef/>
        <w:tab/>
        <w:t>Steht betont.</w:t>
      </w:r>
    </w:p>
  </w:footnote>
  <w:footnote w:id="3209">
    <w:p>
      <w:pPr>
        <w:pStyle w:val="Funote"/>
        <w:rPr/>
      </w:pPr>
      <w:r>
        <w:rPr/>
        <w:footnoteRef/>
        <w:tab/>
        <w:t xml:space="preserve">Hier wird immer die Konstruktion </w:t>
      </w:r>
      <w:r>
        <w:rPr>
          <w:lang w:val="el-GR"/>
        </w:rPr>
        <w:t>ἔνοχος ἔσται</w:t>
      </w:r>
      <w:r>
        <w:rPr/>
        <w:t xml:space="preserve"> verwendet: Ist festgehalten/schuldig(Verfallen dem ... </w:t>
      </w:r>
    </w:p>
  </w:footnote>
  <w:footnote w:id="3210">
    <w:p>
      <w:pPr>
        <w:pStyle w:val="Funote"/>
        <w:rPr/>
      </w:pPr>
      <w:r>
        <w:rPr/>
        <w:footnoteRef/>
        <w:tab/>
        <w:t>Opfergabe, Geschenk</w:t>
      </w:r>
    </w:p>
  </w:footnote>
  <w:footnote w:id="3211">
    <w:p>
      <w:pPr>
        <w:pStyle w:val="Funote"/>
        <w:rPr/>
      </w:pPr>
      <w:r>
        <w:rPr/>
        <w:footnoteRef/>
        <w:tab/>
        <w:t>Hingehen oder gehen, weggehen</w:t>
      </w:r>
    </w:p>
  </w:footnote>
  <w:footnote w:id="3212">
    <w:p>
      <w:pPr>
        <w:pStyle w:val="Funote"/>
        <w:rPr/>
      </w:pPr>
      <w:r>
        <w:rPr/>
        <w:footnoteRef/>
        <w:tab/>
        <w:t>Eigentlich Partizip. Andere Übersetzungsmöglichkeiten „Sei jemand, der...“</w:t>
      </w:r>
    </w:p>
  </w:footnote>
  <w:footnote w:id="3213">
    <w:p>
      <w:pPr>
        <w:pStyle w:val="Funote"/>
        <w:rPr/>
      </w:pPr>
      <w:r>
        <w:rPr/>
        <w:footnoteRef/>
        <w:tab/>
        <w:t xml:space="preserve">Die Konstruktion </w:t>
      </w:r>
      <w:r>
        <w:rPr>
          <w:lang w:val="el-GR"/>
        </w:rPr>
        <w:t>πρὸς τὸ</w:t>
      </w:r>
      <w:r>
        <w:rPr/>
        <w:t xml:space="preserve"> bedeutet wohl „Wobei“ oder „und dabei“</w:t>
      </w:r>
    </w:p>
  </w:footnote>
  <w:footnote w:id="3214">
    <w:p>
      <w:pPr>
        <w:pStyle w:val="Funote"/>
        <w:rPr/>
      </w:pPr>
      <w:r>
        <w:rPr/>
        <w:footnoteRef/>
        <w:tab/>
        <w:t>Siebenthal weist auf den Befehlscharakter hin: abhängiger begehrssatz mit Infinitiv (Haubeck/Siebthal 2008, S. 25)</w:t>
      </w:r>
    </w:p>
  </w:footnote>
  <w:footnote w:id="3215">
    <w:p>
      <w:pPr>
        <w:pStyle w:val="Funote"/>
        <w:rPr/>
      </w:pPr>
      <w:r>
        <w:rPr/>
        <w:footnoteRef/>
        <w:tab/>
        <w:t>Gemeint ist wohl Gott (Haubeck/Siebthal 2008, S. 25)</w:t>
      </w:r>
    </w:p>
  </w:footnote>
  <w:footnote w:id="3216">
    <w:p>
      <w:pPr>
        <w:pStyle w:val="Funote"/>
        <w:rPr/>
      </w:pPr>
      <w:r>
        <w:rPr/>
        <w:footnoteRef/>
        <w:tab/>
        <w:t xml:space="preserve">die zwei Infinitive stehen </w:t>
      </w:r>
      <w:r>
        <w:rPr>
          <w:lang w:val="el-GR"/>
        </w:rPr>
        <w:t>θέλοντί</w:t>
      </w:r>
      <w:r>
        <w:rPr/>
        <w:t xml:space="preserve"> beigestellt, sinngemäß natürlich „um dein Gewand zu nehmen“</w:t>
      </w:r>
    </w:p>
  </w:footnote>
  <w:footnote w:id="3217">
    <w:p>
      <w:pPr>
        <w:pStyle w:val="Funote"/>
        <w:rPr/>
      </w:pPr>
      <w:r>
        <w:rPr/>
        <w:footnoteRef/>
        <w:tab/>
        <w:t xml:space="preserve">Das Wort </w:t>
      </w:r>
      <w:r>
        <w:rPr>
          <w:lang w:val="el-GR"/>
        </w:rPr>
        <w:t>ἀγγαρεύω</w:t>
      </w:r>
      <w:r>
        <w:rPr/>
        <w:t xml:space="preserve"> bezeichnet häufig erzwungene Dienste zugunsten des römischen Militärs. In seinem Kommentar hält Ulrich Luz (</w:t>
      </w:r>
      <w:r>
        <w:rPr>
          <w:position w:val="7"/>
          <w:sz w:val="16"/>
        </w:rPr>
        <w:t>5</w:t>
      </w:r>
      <w:r>
        <w:rPr/>
        <w:t>2002, 386) eine Anspielung hierauf für denkbar, aber nicht für gesichert. Siebenthal geht von einer Zwangsarbeit für den Beförderungsdienst aus (Haubeck/Siebthal 2008, S. 27)</w:t>
      </w:r>
    </w:p>
  </w:footnote>
  <w:footnote w:id="3218">
    <w:p>
      <w:pPr>
        <w:pStyle w:val="Funote"/>
        <w:rPr/>
      </w:pPr>
      <w:r>
        <w:rPr/>
        <w:footnoteRef/>
        <w:tab/>
        <w:t>Partizip, dass man hier sinnvoll nur final auflösen kann</w:t>
      </w:r>
    </w:p>
  </w:footnote>
  <w:footnote w:id="3219">
    <w:p>
      <w:pPr>
        <w:pStyle w:val="Funote"/>
        <w:rPr/>
      </w:pPr>
      <w:r>
        <w:rPr/>
        <w:footnoteRef/>
        <w:tab/>
        <w:t>Hier steht Futur, das aber ein Gebot ausdrückt</w:t>
      </w:r>
    </w:p>
  </w:footnote>
  <w:footnote w:id="3220">
    <w:p>
      <w:pPr>
        <w:pStyle w:val="Funote"/>
        <w:rPr/>
      </w:pPr>
      <w:r>
        <w:rPr/>
        <w:footnoteRef/>
        <w:tab/>
        <w:t>[Status: Ungeprüft]</w:t>
      </w:r>
    </w:p>
  </w:footnote>
  <w:footnote w:id="3221">
    <w:p>
      <w:pPr>
        <w:pStyle w:val="Funote"/>
        <w:rPr/>
      </w:pPr>
      <w:r>
        <w:rPr/>
        <w:footnoteRef/>
        <w:tab/>
        <w:t>Diese Formulierung entspricht natürlich dem „herausposaunen“ - „rede nicht darüber, was (wie viel) du gespendet hast“</w:t>
      </w:r>
    </w:p>
  </w:footnote>
  <w:footnote w:id="3222">
    <w:p>
      <w:pPr>
        <w:pStyle w:val="Funote"/>
        <w:rPr/>
      </w:pPr>
      <w:r>
        <w:rPr/>
        <w:footnoteRef/>
        <w:tab/>
        <w:t>perfektisches Präs. also auch möglich: „sie haben den Lohn (damit schon) erhalten“(Haubeck/Siebthal 2007, 28f)</w:t>
      </w:r>
    </w:p>
  </w:footnote>
  <w:footnote w:id="3223">
    <w:p>
      <w:pPr>
        <w:pStyle w:val="Funote"/>
        <w:rPr/>
      </w:pPr>
      <w:r>
        <w:rPr/>
        <w:footnoteRef/>
        <w:tab/>
        <w:t>Gemeint ist wohl: linke Hand</w:t>
      </w:r>
    </w:p>
  </w:footnote>
  <w:footnote w:id="3224">
    <w:p>
      <w:pPr>
        <w:pStyle w:val="Funote"/>
        <w:rPr/>
      </w:pPr>
      <w:r>
        <w:rPr/>
        <w:footnoteRef/>
        <w:tab/>
        <w:t>perfektisches Präs. also auch möglich: „sie haben den Lohn (damit schon) erhalten“(Haubeck/Siebthal 2007, 28f)</w:t>
      </w:r>
    </w:p>
  </w:footnote>
  <w:footnote w:id="3225">
    <w:p>
      <w:pPr>
        <w:pStyle w:val="Funote"/>
        <w:rPr/>
      </w:pPr>
      <w:r>
        <w:rPr/>
        <w:footnoteRef/>
        <w:tab/>
        <w:t>eventl. konativ „wenn du ... möchtes“(Haubeck/Siebthal 2007, 29)</w:t>
      </w:r>
    </w:p>
  </w:footnote>
  <w:footnote w:id="3226">
    <w:p>
      <w:pPr>
        <w:pStyle w:val="Funote"/>
        <w:rPr/>
      </w:pPr>
      <w:r>
        <w:rPr/>
        <w:footnoteRef/>
        <w:tab/>
        <w:t>[Status: Zuverlässig]</w:t>
      </w:r>
    </w:p>
  </w:footnote>
  <w:footnote w:id="3227">
    <w:p>
      <w:pPr>
        <w:pStyle w:val="Funote"/>
        <w:rPr/>
      </w:pPr>
      <w:r>
        <w:rPr/>
        <w:footnoteRef/>
        <w:tab/>
        <w:t>Ihr steht im Griechischen betont am Ende des Satzes und grenzt so die Jünger von den „plappernden Heuchlern“ ab (Hagner 1993, S. 147): Im Gegensatz zu diesen sollen die Jünger „folgendermaßen beten“.</w:t>
      </w:r>
    </w:p>
  </w:footnote>
  <w:footnote w:id="3228">
    <w:p>
      <w:pPr>
        <w:pStyle w:val="Funote"/>
        <w:rPr/>
      </w:pPr>
      <w:r>
        <w:rPr/>
        <w:footnoteRef/>
        <w:tab/>
      </w:r>
      <w:r>
        <w:rPr>
          <w:i/>
        </w:rPr>
        <w:t>im Himmel</w:t>
      </w:r>
      <w:r>
        <w:rPr/>
        <w:t xml:space="preserve"> - W. „in den Himmeln“; idiomatischer Plural, der sich häufiger im NT findet (wohl ein Semitismus). In der LF sollte mit Einzahl übersetzt werden.</w:t>
      </w:r>
    </w:p>
  </w:footnote>
  <w:footnote w:id="3229">
    <w:p>
      <w:pPr>
        <w:pStyle w:val="Funote"/>
        <w:rPr/>
      </w:pPr>
      <w:r>
        <w:rPr/>
        <w:footnoteRef/>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Unser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3230">
    <w:p>
      <w:pPr>
        <w:pStyle w:val="Funote"/>
        <w:rPr/>
      </w:pPr>
      <w:r>
        <w:rPr/>
        <w:footnoteRef/>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3231">
    <w:p>
      <w:pPr>
        <w:pStyle w:val="Funote"/>
        <w:rPr/>
      </w:pPr>
      <w:r>
        <w:rPr/>
        <w:footnoteRef/>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3232">
    <w:p>
      <w:pPr>
        <w:pStyle w:val="Funote"/>
        <w:rPr/>
      </w:pPr>
      <w:r>
        <w:rPr/>
        <w:footnoteRef/>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3233">
    <w:p>
      <w:pPr>
        <w:pStyle w:val="Funote"/>
        <w:rPr/>
      </w:pPr>
      <w:r>
        <w:rPr>
          <w:i/>
        </w:rPr>
        <w:footnoteRef/>
        <w:tab/>
        <w:t>kommen</w:t>
      </w:r>
      <w:r>
        <w:rPr/>
        <w:t xml:space="preserve">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3234">
    <w:p>
      <w:pPr>
        <w:pStyle w:val="Funote"/>
        <w:rPr/>
      </w:pPr>
      <w:r>
        <w:rPr/>
        <w:footnoteRef/>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3235">
    <w:p>
      <w:pPr>
        <w:pStyle w:val="Funote"/>
        <w:rPr/>
      </w:pPr>
      <w:r>
        <w:rPr/>
        <w:footnoteRef/>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3236">
    <w:p>
      <w:pPr>
        <w:pStyle w:val="Funote"/>
        <w:rPr/>
      </w:pPr>
      <w:r>
        <w:rPr/>
        <w:footnoteRef/>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3237">
    <w:p>
      <w:pPr>
        <w:pStyle w:val="Funote"/>
        <w:rPr/>
      </w:pPr>
      <w:r>
        <w:rPr/>
        <w:footnoteRef/>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3238">
    <w:p>
      <w:pPr>
        <w:pStyle w:val="Funote"/>
        <w:rPr/>
      </w:pPr>
      <w:r>
        <w:rPr/>
        <w:footnoteRef/>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3239">
    <w:p>
      <w:pPr>
        <w:pStyle w:val="Funote"/>
        <w:rPr/>
      </w:pPr>
      <w:r>
        <w:rPr/>
        <w:footnoteRef/>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3240">
    <w:p>
      <w:pPr>
        <w:pStyle w:val="Funote"/>
        <w:rPr/>
      </w:pPr>
      <w:r>
        <w:rPr/>
        <w:footnoteRef/>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3241">
    <w:p>
      <w:pPr>
        <w:pStyle w:val="Funote"/>
        <w:rPr/>
      </w:pPr>
      <w:r>
        <w:rPr/>
        <w:footnoteRef/>
        <w:tab/>
        <w:t>[Status: Ungeprüft]</w:t>
      </w:r>
    </w:p>
  </w:footnote>
  <w:footnote w:id="3242">
    <w:p>
      <w:pPr>
        <w:pStyle w:val="Funote"/>
        <w:rPr/>
      </w:pPr>
      <w:r>
        <w:rPr/>
        <w:footnoteRef/>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3243">
    <w:p>
      <w:pPr>
        <w:pStyle w:val="Funote"/>
        <w:rPr/>
      </w:pPr>
      <w:r>
        <w:rPr/>
        <w:footnoteRef/>
        <w:tab/>
        <w:t>wörtlich: mit finsterem Blick/ traurig/mürrisch dreinschauend</w:t>
      </w:r>
    </w:p>
  </w:footnote>
  <w:footnote w:id="3244">
    <w:p>
      <w:pPr>
        <w:pStyle w:val="Funote"/>
        <w:rPr/>
      </w:pPr>
      <w:r>
        <w:rPr>
          <w:lang w:val="el-GR"/>
        </w:rPr>
        <w:footnoteRef/>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3245">
    <w:p>
      <w:pPr>
        <w:pStyle w:val="Funote"/>
        <w:rPr/>
      </w:pPr>
      <w:r>
        <w:rPr/>
        <w:footnoteRef/>
        <w:tab/>
        <w:t>wörtlich: damit sie den Leuten als Fastende erscheinen</w:t>
      </w:r>
    </w:p>
  </w:footnote>
  <w:footnote w:id="3246">
    <w:p>
      <w:pPr>
        <w:pStyle w:val="Funote"/>
        <w:rPr/>
      </w:pPr>
      <w:r>
        <w:rPr/>
        <w:footnoteRef/>
        <w:tab/>
        <w:t>nämlich dadurch, dass die Leute ihr Fasten bemerkt haben - d.h. sie haben um der Anerkennung durch die Leute willen gefastet, nicht um Gottes willen</w:t>
      </w:r>
    </w:p>
  </w:footnote>
  <w:footnote w:id="3247">
    <w:p>
      <w:pPr>
        <w:pStyle w:val="Funote"/>
        <w:rPr/>
      </w:pPr>
      <w:r>
        <w:rPr/>
        <w:footnoteRef/>
        <w:tab/>
        <w:t>perfektisches Präs. also auch möglich: „sie haben den Lohn (damit schon) erhalten“(Haubeck/Siebthal 2007, 28f)</w:t>
      </w:r>
    </w:p>
  </w:footnote>
  <w:footnote w:id="3248">
    <w:p>
      <w:pPr>
        <w:pStyle w:val="Funote"/>
        <w:rPr/>
      </w:pPr>
      <w:r>
        <w:rPr/>
        <w:footnoteRef/>
        <w:tab/>
        <w:t>das ist zu frei übersetzt: du bei den Menschen nicht den falschen Eindruck erweckst, dass du ein Fastender bist, sondern zu deinem verborgenen Vater, der dir im Verborgenen zusieht und dir vergibt (vergilt)</w:t>
      </w:r>
    </w:p>
  </w:footnote>
  <w:footnote w:id="3249">
    <w:p>
      <w:pPr>
        <w:pStyle w:val="Funote"/>
        <w:rPr/>
      </w:pPr>
      <w:r>
        <w:rPr/>
        <w:footnoteRef/>
        <w:tab/>
        <w:t>wörtl.: damit du nicht den Leuten als Fastender erscheinst</w:t>
      </w:r>
    </w:p>
  </w:footnote>
  <w:footnote w:id="3250">
    <w:p>
      <w:pPr>
        <w:pStyle w:val="Funote"/>
        <w:rPr/>
      </w:pPr>
      <w:r>
        <w:rPr/>
        <w:footnoteRef/>
        <w:tab/>
        <w:t>Kollektiver Singular</w:t>
      </w:r>
    </w:p>
  </w:footnote>
  <w:footnote w:id="3251">
    <w:p>
      <w:pPr>
        <w:pStyle w:val="Funote"/>
        <w:rPr/>
      </w:pPr>
      <w:r>
        <w:rPr/>
        <w:footnoteRef/>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3252">
    <w:p>
      <w:pPr>
        <w:pStyle w:val="Funote"/>
        <w:rPr/>
      </w:pPr>
      <w:r>
        <w:rPr/>
        <w:footnoteRef/>
        <w:tab/>
        <w:t>wörtl.: durchgraben (von Lehmwänden), aber der Begriff ist zum t.t. für "einbrechen" geworden.</w:t>
      </w:r>
    </w:p>
  </w:footnote>
  <w:footnote w:id="3253">
    <w:p>
      <w:pPr>
        <w:pStyle w:val="Funote"/>
        <w:rPr/>
      </w:pPr>
      <w:r>
        <w:rPr/>
        <w:footnoteRef/>
        <w:tab/>
        <w:t>Kollektiver Singular</w:t>
      </w:r>
    </w:p>
  </w:footnote>
  <w:footnote w:id="3254">
    <w:p>
      <w:pPr>
        <w:pStyle w:val="Funote"/>
        <w:rPr/>
      </w:pPr>
      <w:r>
        <w:rPr>
          <w:lang w:val="el-GR"/>
        </w:rPr>
        <w:footnoteRef/>
        <w:tab/>
        <w:t>ἐστιν</w:t>
      </w:r>
      <w:r>
        <w:rPr/>
        <w:t>: 3.Sg. Präsenz akt.</w:t>
      </w:r>
    </w:p>
  </w:footnote>
  <w:footnote w:id="3255">
    <w:p>
      <w:pPr>
        <w:pStyle w:val="Funote"/>
        <w:rPr/>
      </w:pPr>
      <w:r>
        <w:rPr>
          <w:lang w:val="el-GR"/>
        </w:rPr>
        <w:footnoteRef/>
        <w:tab/>
        <w:t>ἔσται</w:t>
      </w:r>
      <w:r>
        <w:rPr/>
        <w:t>: 3.Sg. Futur med.</w:t>
      </w:r>
    </w:p>
  </w:footnote>
  <w:footnote w:id="3256">
    <w:p>
      <w:pPr>
        <w:pStyle w:val="Funote"/>
        <w:rPr/>
      </w:pPr>
      <w:r>
        <w:rPr/>
        <w:footnoteRef/>
        <w:tab/>
        <w:t>heißt: „niemand kann“ bzw. „niemandem ist es möglich“</w:t>
      </w:r>
    </w:p>
  </w:footnote>
  <w:footnote w:id="3257">
    <w:p>
      <w:pPr>
        <w:pStyle w:val="Funote"/>
        <w:rPr/>
      </w:pPr>
      <w:r>
        <w:rPr/>
        <w:footnoteRef/>
        <w:tab/>
        <w:t>In manchen Handschriften fehlt das Trinken (</w:t>
      </w:r>
      <w:r>
        <w:rPr>
          <w:lang w:val="el-GR"/>
        </w:rPr>
        <w:t>ἢ τί πίητε</w:t>
      </w:r>
      <w:r>
        <w:rPr/>
        <w:t>), das SBLGNT lässt es weg, NA27 setzt es in Klammern.</w:t>
      </w:r>
    </w:p>
  </w:footnote>
  <w:footnote w:id="3258">
    <w:p>
      <w:pPr>
        <w:pStyle w:val="Funote"/>
        <w:rPr/>
      </w:pPr>
      <w:r>
        <w:rPr/>
        <w:footnoteRef/>
        <w:tab/>
        <w:t>Koll. Singular</w:t>
      </w:r>
    </w:p>
  </w:footnote>
  <w:footnote w:id="3259">
    <w:p>
      <w:pPr>
        <w:pStyle w:val="Funote"/>
        <w:rPr/>
      </w:pPr>
      <w:r>
        <w:rPr/>
        <w:footnoteRef/>
        <w:tab/>
        <w:t>„</w:t>
      </w:r>
      <w:r>
        <w:rPr/>
        <w:t>Mehr wert sein“ ist keine wörtliche Übersetzung, aber natürlich die Bedeutung von „</w:t>
      </w:r>
      <w:r>
        <w:rPr>
          <w:lang w:val="el-GR"/>
        </w:rPr>
        <w:t>διαφέρετε αὐτῶν</w:t>
      </w:r>
      <w:r>
        <w:rPr/>
        <w:t>“, „sich von ihnen unterscheiden“</w:t>
      </w:r>
    </w:p>
  </w:footnote>
  <w:footnote w:id="3260">
    <w:p>
      <w:pPr>
        <w:pStyle w:val="Funote"/>
        <w:rPr/>
      </w:pPr>
      <w:r>
        <w:rPr/>
        <w:footnoteRef/>
        <w:tab/>
        <w:t>D.h. „sein Leben auch nur ein bisschen verlängern“ bzw. „einen Tag hinzufügen“.</w:t>
      </w:r>
    </w:p>
  </w:footnote>
  <w:footnote w:id="3261">
    <w:p>
      <w:pPr>
        <w:pStyle w:val="Funote"/>
        <w:rPr/>
      </w:pPr>
      <w:r>
        <w:rPr/>
        <w:footnoteRef/>
        <w:tab/>
        <w:t>Koll. Singular „um Kleideung“</w:t>
      </w:r>
    </w:p>
  </w:footnote>
  <w:footnote w:id="3262">
    <w:p>
      <w:pPr>
        <w:pStyle w:val="Funote"/>
        <w:rPr/>
      </w:pPr>
      <w:r>
        <w:rPr/>
        <w:footnoteRef/>
        <w:tab/>
        <w:t>Feldblumen. „Lilien“ ist nicht gesichert.</w:t>
      </w:r>
    </w:p>
  </w:footnote>
  <w:footnote w:id="3263">
    <w:p>
      <w:pPr>
        <w:pStyle w:val="Funote"/>
        <w:rPr/>
      </w:pPr>
      <w:r>
        <w:rPr/>
        <w:footnoteRef/>
        <w:tab/>
        <w:t>Pars pro toto für „machen sich Kleider“</w:t>
      </w:r>
    </w:p>
  </w:footnote>
  <w:footnote w:id="3264">
    <w:p>
      <w:pPr>
        <w:pStyle w:val="Funote"/>
        <w:rPr/>
      </w:pPr>
      <w:r>
        <w:rPr/>
        <w:footnoteRef/>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3265">
    <w:p>
      <w:pPr>
        <w:pStyle w:val="Funote"/>
        <w:rPr/>
      </w:pPr>
      <w:r>
        <w:rPr/>
        <w:footnoteRef/>
        <w:tab/>
        <w:t>Frei übersetzt: „dafür werden euch alle anderen Dinge gegeben werden“</w:t>
      </w:r>
    </w:p>
  </w:footnote>
  <w:footnote w:id="3266">
    <w:p>
      <w:pPr>
        <w:pStyle w:val="Funote"/>
        <w:rPr/>
      </w:pPr>
      <w:r>
        <w:rPr/>
        <w:footnoteRef/>
        <w:tab/>
        <w:t>Der Versuch, einer wörtlicheren Wiedergabe: „Das dem [einzelnen] Tag zugehörige Schlechte ist genug.“</w:t>
      </w:r>
    </w:p>
  </w:footnote>
  <w:footnote w:id="3267">
    <w:p>
      <w:pPr>
        <w:pStyle w:val="Funote"/>
        <w:rPr/>
      </w:pPr>
      <w:r>
        <w:rPr/>
        <w:footnoteRef/>
        <w:tab/>
        <w:t>[Status: Ungeprüft]</w:t>
      </w:r>
    </w:p>
  </w:footnote>
  <w:footnote w:id="3268">
    <w:p>
      <w:pPr>
        <w:pStyle w:val="Funote"/>
        <w:rPr/>
      </w:pPr>
      <w:r>
        <w:rPr>
          <w:lang w:val="el-GR"/>
        </w:rPr>
        <w:footnoteRef/>
        <w:tab/>
        <w:t>ἐστί</w:t>
      </w:r>
      <w:r>
        <w:rPr/>
        <w:t xml:space="preserve"> ist zu ergänzen</w:t>
      </w:r>
    </w:p>
  </w:footnote>
  <w:footnote w:id="3269">
    <w:p>
      <w:pPr>
        <w:pStyle w:val="Funote"/>
        <w:rPr/>
      </w:pPr>
      <w:r>
        <w:rPr/>
        <w:footnoteRef/>
        <w:tab/>
        <w:t>Konstruktion mit Infinitv</w:t>
      </w:r>
    </w:p>
  </w:footnote>
  <w:footnote w:id="3270">
    <w:p>
      <w:pPr>
        <w:pStyle w:val="Funote"/>
        <w:rPr/>
      </w:pPr>
      <w:r>
        <w:rPr>
          <w:lang w:val="el-GR"/>
        </w:rPr>
        <w:footnoteRef/>
        <w:tab/>
        <w:t>αἰτῶν, ζητῶν</w:t>
      </w:r>
      <w:r>
        <w:rPr/>
        <w:t xml:space="preserve"> und </w:t>
      </w:r>
      <w:r>
        <w:rPr>
          <w:lang w:val="el-GR"/>
        </w:rPr>
        <w:t>κρούοντι</w:t>
      </w:r>
      <w:r>
        <w:rPr/>
        <w:t xml:space="preserve"> sind jeweils Partizipien. Andere Übersetzungsmöglichkeiten: „der Bittende empfängt“</w:t>
      </w:r>
    </w:p>
  </w:footnote>
  <w:footnote w:id="3271">
    <w:p>
      <w:pPr>
        <w:pStyle w:val="Funote"/>
        <w:rPr/>
      </w:pPr>
      <w:r>
        <w:rPr/>
        <w:footnoteRef/>
        <w:tab/>
        <w:t>Partizip, andere Übersetzungsmöglichkeit temporal: „wenn ihr ihn bittet“</w:t>
      </w:r>
    </w:p>
  </w:footnote>
  <w:footnote w:id="3272">
    <w:p>
      <w:pPr>
        <w:pStyle w:val="Funote"/>
        <w:rPr/>
      </w:pPr>
      <w:r>
        <w:rPr/>
        <w:footnoteRef/>
        <w:tab/>
        <w:t>Partizip</w:t>
      </w:r>
    </w:p>
  </w:footnote>
  <w:footnote w:id="3273">
    <w:p>
      <w:pPr>
        <w:pStyle w:val="Funote"/>
        <w:rPr/>
      </w:pPr>
      <w:r>
        <w:rPr/>
        <w:footnoteRef/>
        <w:tab/>
        <w:t>Partizip, wörtlich: führend</w:t>
      </w:r>
    </w:p>
  </w:footnote>
  <w:footnote w:id="3274">
    <w:p>
      <w:pPr>
        <w:pStyle w:val="Funote"/>
        <w:rPr/>
      </w:pPr>
      <w:r>
        <w:rPr/>
        <w:footnoteRef/>
        <w:tab/>
        <w:t>Gemeint sind wohl Taten</w:t>
      </w:r>
    </w:p>
  </w:footnote>
  <w:footnote w:id="3275">
    <w:p>
      <w:pPr>
        <w:pStyle w:val="Funote"/>
        <w:rPr/>
      </w:pPr>
      <w:r>
        <w:rPr/>
        <w:footnoteRef/>
        <w:tab/>
        <w:t>Oder „... kann nicht ....“</w:t>
      </w:r>
    </w:p>
  </w:footnote>
  <w:footnote w:id="3276">
    <w:p>
      <w:pPr>
        <w:pStyle w:val="Funote"/>
        <w:rPr/>
      </w:pPr>
      <w:r>
        <w:rPr/>
        <w:footnoteRef/>
        <w:tab/>
        <w:t>Eig. Infinitiv, aber hier in den Nebensatz eingegliedert</w:t>
      </w:r>
    </w:p>
  </w:footnote>
  <w:footnote w:id="3277">
    <w:p>
      <w:pPr>
        <w:pStyle w:val="Funote"/>
        <w:rPr/>
      </w:pPr>
      <w:r>
        <w:rPr/>
        <w:footnoteRef/>
        <w:tab/>
        <w:t>oder Kollektivum, also Pluralbedeutung</w:t>
      </w:r>
    </w:p>
  </w:footnote>
  <w:footnote w:id="3278">
    <w:p>
      <w:pPr>
        <w:pStyle w:val="Funote"/>
        <w:rPr/>
      </w:pPr>
      <w:r>
        <w:rPr/>
        <w:footnoteRef/>
        <w:tab/>
        <w:t>Partizip. Wörtl. „nicht tragend“ eventl. auch temporal: „wenn er keine guten Früchte trägt“</w:t>
      </w:r>
    </w:p>
  </w:footnote>
  <w:footnote w:id="3279">
    <w:p>
      <w:pPr>
        <w:pStyle w:val="Funote"/>
        <w:rPr/>
      </w:pPr>
      <w:r>
        <w:rPr/>
        <w:footnoteRef/>
        <w:tab/>
        <w:t>Beide Verben Präsens Passiv, eventl. futuristisch übersetzten</w:t>
      </w:r>
    </w:p>
  </w:footnote>
  <w:footnote w:id="3280">
    <w:p>
      <w:pPr>
        <w:pStyle w:val="Funote"/>
        <w:rPr/>
      </w:pPr>
      <w:r>
        <w:rPr/>
        <w:footnoteRef/>
        <w:tab/>
        <w:t>Vgl. Vers 16</w:t>
      </w:r>
    </w:p>
  </w:footnote>
  <w:footnote w:id="3281">
    <w:p>
      <w:pPr>
        <w:pStyle w:val="Funote"/>
        <w:rPr/>
      </w:pPr>
      <w:r>
        <w:rPr/>
        <w:footnoteRef/>
        <w:tab/>
        <w:t>Partizip, hier als Relativsatz aufgelöst</w:t>
      </w:r>
    </w:p>
  </w:footnote>
  <w:footnote w:id="3282">
    <w:p>
      <w:pPr>
        <w:pStyle w:val="Funote"/>
        <w:rPr/>
      </w:pPr>
      <w:r>
        <w:rPr/>
        <w:footnoteRef/>
        <w:tab/>
        <w:t>Partizip, hier als Relativsatz aufgelöst</w:t>
      </w:r>
    </w:p>
  </w:footnote>
  <w:footnote w:id="3283">
    <w:p>
      <w:pPr>
        <w:pStyle w:val="Funote"/>
        <w:rPr/>
      </w:pPr>
      <w:r>
        <w:rPr/>
        <w:footnoteRef/>
        <w:tab/>
        <w:t>Partizip, hier als Relativsatz aufgelöst</w:t>
      </w:r>
    </w:p>
  </w:footnote>
  <w:footnote w:id="3284">
    <w:p>
      <w:pPr>
        <w:pStyle w:val="Funote"/>
        <w:rPr/>
      </w:pPr>
      <w:r>
        <w:rPr/>
        <w:footnoteRef/>
        <w:tab/>
        <w:t>Partizip, hier final aufgelöst</w:t>
      </w:r>
    </w:p>
  </w:footnote>
  <w:footnote w:id="3285">
    <w:p>
      <w:pPr>
        <w:pStyle w:val="Funote"/>
        <w:rPr/>
      </w:pPr>
      <w:r>
        <w:rPr/>
        <w:footnoteRef/>
        <w:tab/>
        <w:t>gemeint bspw. „ihr, die im Widerspruch zu Gottes Gesetz lebt“, „ihr, die fern von Gottes Gesetzen tätig seid“ oder etwas wie „ihr Übertreter des Gesetzes“</w:t>
      </w:r>
    </w:p>
  </w:footnote>
  <w:footnote w:id="3286">
    <w:p>
      <w:pPr>
        <w:pStyle w:val="Funote"/>
        <w:rPr/>
      </w:pPr>
      <w:r>
        <w:rPr/>
        <w:footnoteRef/>
        <w:tab/>
        <w:t>Impf.</w:t>
      </w:r>
    </w:p>
  </w:footnote>
  <w:footnote w:id="3287">
    <w:p>
      <w:pPr>
        <w:pStyle w:val="Funote"/>
        <w:rPr/>
      </w:pPr>
      <w:r>
        <w:rPr/>
        <w:footnoteRef/>
        <w:tab/>
        <w:t>Partizip. Wohl einfach auflösen „denn er lehrte, wie...“</w:t>
      </w:r>
    </w:p>
  </w:footnote>
  <w:footnote w:id="3288">
    <w:p>
      <w:pPr>
        <w:pStyle w:val="Funote"/>
        <w:rPr/>
      </w:pPr>
      <w:r>
        <w:rPr/>
        <w:footnoteRef/>
        <w:tab/>
        <w:t>[Status: Ungeprüft]</w:t>
      </w:r>
    </w:p>
  </w:footnote>
  <w:footnote w:id="3289">
    <w:p>
      <w:pPr>
        <w:pStyle w:val="Funote"/>
        <w:rPr/>
      </w:pPr>
      <w:r>
        <w:rPr/>
        <w:footnoteRef/>
        <w:tab/>
        <w:t>Partizip, hier temporal aufgelöst. Wörtlich: „Herabsteigend vom Berg...“</w:t>
      </w:r>
    </w:p>
  </w:footnote>
  <w:footnote w:id="3290">
    <w:p>
      <w:pPr>
        <w:pStyle w:val="Funote"/>
        <w:rPr/>
      </w:pPr>
      <w:r>
        <w:rPr/>
        <w:footnoteRef/>
        <w:tab/>
        <w:t>Oder: „Unreiner“, mit dem Wort scheinen mehrere Hauterkrankungen, die zur kultischen Unreinheit führten, bezeichnet worden zu sein</w:t>
      </w:r>
    </w:p>
  </w:footnote>
  <w:footnote w:id="3291">
    <w:p>
      <w:pPr>
        <w:pStyle w:val="Funote"/>
        <w:rPr/>
      </w:pPr>
      <w:r>
        <w:rPr/>
        <w:footnoteRef/>
        <w:tab/>
        <w:t>Partizip, hier einfach als finites Verb aufgelöst. Möglicherweise auch temporal auflösbar.</w:t>
      </w:r>
    </w:p>
  </w:footnote>
  <w:footnote w:id="3292">
    <w:p>
      <w:pPr>
        <w:pStyle w:val="Funote"/>
        <w:rPr/>
      </w:pPr>
      <w:r>
        <w:rPr/>
        <w:footnoteRef/>
        <w:tab/>
        <w:t>Partizip, hier einfach als finites Verb aufgelöst.</w:t>
      </w:r>
    </w:p>
  </w:footnote>
  <w:footnote w:id="3293">
    <w:p>
      <w:pPr>
        <w:pStyle w:val="Funote"/>
        <w:rPr/>
      </w:pPr>
      <w:r>
        <w:rPr/>
        <w:footnoteRef/>
        <w:tab/>
        <w:t>Partizip, vlt. auch einfach final auflösen: „er streckte seine Hand aus und berührte ihn“</w:t>
      </w:r>
    </w:p>
  </w:footnote>
  <w:footnote w:id="3294">
    <w:p>
      <w:pPr>
        <w:pStyle w:val="Funote"/>
        <w:rPr/>
      </w:pPr>
      <w:r>
        <w:rPr/>
        <w:footnoteRef/>
        <w:tab/>
        <w:t>gemeint: die Priester. Eventl. „sei“ ergänzen.</w:t>
      </w:r>
    </w:p>
  </w:footnote>
  <w:footnote w:id="3295">
    <w:p>
      <w:pPr>
        <w:pStyle w:val="Funote"/>
        <w:rPr/>
      </w:pPr>
      <w:r>
        <w:rPr/>
        <w:footnoteRef/>
        <w:tab/>
        <w:t>Partizip, vermutlich am besten mit „um...zu“ zu übersetzen oder final auflösen</w:t>
      </w:r>
    </w:p>
  </w:footnote>
  <w:footnote w:id="3296">
    <w:p>
      <w:pPr>
        <w:pStyle w:val="Funote"/>
        <w:rPr/>
      </w:pPr>
      <w:r>
        <w:rPr/>
        <w:footnoteRef/>
        <w:tab/>
        <w:t>Partizip, hier final aufgelöst</w:t>
      </w:r>
    </w:p>
  </w:footnote>
  <w:footnote w:id="3297">
    <w:p>
      <w:pPr>
        <w:pStyle w:val="Funote"/>
        <w:rPr/>
      </w:pPr>
      <w:r>
        <w:rPr/>
        <w:footnoteRef/>
        <w:tab/>
        <w:t>Partizip. Wohl: „hat furchtbare (schreckliche) Schmerzen (Qualen)“</w:t>
      </w:r>
    </w:p>
  </w:footnote>
  <w:footnote w:id="3298">
    <w:p>
      <w:pPr>
        <w:pStyle w:val="Funote"/>
        <w:rPr/>
      </w:pPr>
      <w:r>
        <w:rPr/>
        <w:footnoteRef/>
        <w:tab/>
        <w:t>Partizip. Hier final aufgelöst.</w:t>
      </w:r>
    </w:p>
  </w:footnote>
  <w:footnote w:id="3299">
    <w:p>
      <w:pPr>
        <w:pStyle w:val="Funote"/>
        <w:rPr/>
      </w:pPr>
      <w:r>
        <w:rPr/>
        <w:footnoteRef/>
        <w:tab/>
        <w:t>Partizip. Eigentlich „antwortend“, hier final aufgelöst</w:t>
      </w:r>
    </w:p>
  </w:footnote>
  <w:footnote w:id="3300">
    <w:p>
      <w:pPr>
        <w:pStyle w:val="Funote"/>
        <w:rPr/>
      </w:pPr>
      <w:r>
        <w:rPr/>
        <w:footnoteRef/>
        <w:tab/>
        <w:t>Dies ist der unbestimmte Artikel, ein Zahlwort fehlt hier</w:t>
      </w:r>
    </w:p>
  </w:footnote>
  <w:footnote w:id="3301">
    <w:p>
      <w:pPr>
        <w:pStyle w:val="Funote"/>
        <w:rPr/>
      </w:pPr>
      <w:r>
        <w:rPr/>
        <w:footnoteRef/>
        <w:tab/>
        <w:t>Steht betont</w:t>
      </w:r>
    </w:p>
  </w:footnote>
  <w:footnote w:id="3302">
    <w:p>
      <w:pPr>
        <w:pStyle w:val="Funote"/>
        <w:rPr/>
      </w:pPr>
      <w:r>
        <w:rPr/>
        <w:footnoteRef/>
        <w:tab/>
        <w:t>Partizip. Wörtlich: „unter mir Soldaten habend“</w:t>
      </w:r>
    </w:p>
  </w:footnote>
  <w:footnote w:id="3303">
    <w:p>
      <w:pPr>
        <w:pStyle w:val="Funote"/>
        <w:rPr/>
      </w:pPr>
      <w:r>
        <w:rPr/>
        <w:footnoteRef/>
        <w:tab/>
        <w:t>Partizip;</w:t>
      </w:r>
    </w:p>
  </w:footnote>
  <w:footnote w:id="3304">
    <w:p>
      <w:pPr>
        <w:pStyle w:val="Funote"/>
        <w:rPr/>
      </w:pPr>
      <w:r>
        <w:rPr/>
        <w:footnoteRef/>
        <w:tab/>
        <w:t>Eigentlich Partizip: „den Nachfolgenden“ bzw. „denen, die Jünger sind“</w:t>
      </w:r>
    </w:p>
  </w:footnote>
  <w:footnote w:id="3305">
    <w:p>
      <w:pPr>
        <w:pStyle w:val="Funote"/>
        <w:rPr/>
      </w:pPr>
      <w:r>
        <w:rPr/>
        <w:footnoteRef/>
        <w:tab/>
        <w:t>Partizip, hier temporal aufgelöst</w:t>
      </w:r>
    </w:p>
  </w:footnote>
  <w:footnote w:id="3306">
    <w:p>
      <w:pPr>
        <w:pStyle w:val="Funote"/>
        <w:rPr/>
      </w:pPr>
      <w:r>
        <w:rPr/>
        <w:footnoteRef/>
        <w:tab/>
        <w:t>Beides Partizipien, hier final aufgelöst.</w:t>
      </w:r>
    </w:p>
  </w:footnote>
  <w:footnote w:id="3307">
    <w:p>
      <w:pPr>
        <w:pStyle w:val="Funote"/>
        <w:rPr/>
      </w:pPr>
      <w:r>
        <w:rPr/>
        <w:footnoteRef/>
        <w:tab/>
        <w:t>Partizip;</w:t>
      </w:r>
    </w:p>
  </w:footnote>
  <w:footnote w:id="3308">
    <w:p>
      <w:pPr>
        <w:pStyle w:val="Funote"/>
        <w:rPr/>
      </w:pPr>
      <w:r>
        <w:rPr/>
        <w:footnoteRef/>
        <w:tab/>
        <w:t>Partizip wörtl. „schlechtes habende“</w:t>
      </w:r>
    </w:p>
  </w:footnote>
  <w:footnote w:id="3309">
    <w:p>
      <w:pPr>
        <w:pStyle w:val="Funote"/>
        <w:rPr/>
      </w:pPr>
      <w:r>
        <w:rPr/>
        <w:footnoteRef/>
        <w:tab/>
        <w:t>Siebenthal weist auf das prophetische Perfekt im Hebr. mit futuristischer Bedeutung hin</w:t>
      </w:r>
    </w:p>
  </w:footnote>
  <w:footnote w:id="3310">
    <w:p>
      <w:pPr>
        <w:pStyle w:val="Funote"/>
        <w:rPr/>
      </w:pPr>
      <w:r>
        <w:rPr/>
        <w:footnoteRef/>
        <w:tab/>
        <w:t xml:space="preserve">Partizip. Vlt. auch einfach final: „... kam hinzu ...“ </w:t>
      </w:r>
    </w:p>
  </w:footnote>
  <w:footnote w:id="3311">
    <w:p>
      <w:pPr>
        <w:pStyle w:val="Funote"/>
        <w:rPr/>
      </w:pPr>
      <w:r>
        <w:rPr/>
        <w:footnoteRef/>
        <w:tab/>
        <w:t>Die Partizipkonstruktion „</w:t>
      </w:r>
      <w:r>
        <w:rPr>
          <w:lang w:val="el-GR"/>
        </w:rPr>
        <w:t>ἐμβάντι αὐτῷ</w:t>
      </w:r>
      <w:r>
        <w:rPr/>
        <w:t xml:space="preserve">“ lässt sich nicht wörtlich wiedergeben. Partizip Aorist, also Gleichzeitigkeit zum Hauptsatz. </w:t>
      </w:r>
    </w:p>
  </w:footnote>
  <w:footnote w:id="3312">
    <w:p>
      <w:pPr>
        <w:pStyle w:val="Funote"/>
        <w:rPr/>
      </w:pPr>
      <w:r>
        <w:rPr/>
        <w:footnoteRef/>
        <w:tab/>
        <w:t>Partizip. Wört. „herantretend“</w:t>
      </w:r>
    </w:p>
  </w:footnote>
  <w:footnote w:id="3313">
    <w:p>
      <w:pPr>
        <w:pStyle w:val="Funote"/>
        <w:rPr/>
      </w:pPr>
      <w:r>
        <w:rPr/>
        <w:footnoteRef/>
        <w:tab/>
        <w:t>Hier steht ein Partizip. Möglich auch etwa: „ihr, die ihr von schwachem Vertrauen seid“</w:t>
      </w:r>
    </w:p>
  </w:footnote>
  <w:footnote w:id="3314">
    <w:p>
      <w:pPr>
        <w:pStyle w:val="Funote"/>
        <w:rPr/>
      </w:pPr>
      <w:r>
        <w:rPr/>
        <w:footnoteRef/>
        <w:tab/>
        <w:t>Partizip. Wörtlich: „aufgestanden“</w:t>
      </w:r>
    </w:p>
  </w:footnote>
  <w:footnote w:id="3315">
    <w:p>
      <w:pPr>
        <w:pStyle w:val="Funote"/>
        <w:rPr/>
      </w:pPr>
      <w:r>
        <w:rPr/>
        <w:footnoteRef/>
        <w:tab/>
        <w:t>Partizip, hier temporal aufgelöst</w:t>
      </w:r>
    </w:p>
  </w:footnote>
  <w:footnote w:id="3316">
    <w:p>
      <w:pPr>
        <w:pStyle w:val="Funote"/>
        <w:rPr/>
      </w:pPr>
      <w:r>
        <w:rPr/>
        <w:footnoteRef/>
        <w:tab/>
        <w:t>Partizip. Wörtlich: „aus den Gräbern kommend“</w:t>
      </w:r>
    </w:p>
  </w:footnote>
  <w:footnote w:id="3317">
    <w:p>
      <w:pPr>
        <w:pStyle w:val="Funote"/>
        <w:rPr/>
      </w:pPr>
      <w:r>
        <w:rPr/>
        <w:footnoteRef/>
        <w:tab/>
        <w:t>Wörtlich: Was (haben) wir und du (gemeinsam), ein Ausruf der Ablehnung.</w:t>
      </w:r>
    </w:p>
  </w:footnote>
  <w:footnote w:id="3318">
    <w:p>
      <w:pPr>
        <w:pStyle w:val="Funote"/>
        <w:rPr/>
      </w:pPr>
      <w:r>
        <w:rPr/>
        <w:footnoteRef/>
        <w:tab/>
        <w:t>Gemeint ist wohl: Vor dem Tag des jüngsten Gerichtes</w:t>
      </w:r>
    </w:p>
  </w:footnote>
  <w:footnote w:id="3319">
    <w:p>
      <w:pPr>
        <w:pStyle w:val="Funote"/>
        <w:rPr/>
      </w:pPr>
      <w:r>
        <w:rPr/>
        <w:footnoteRef/>
        <w:tab/>
        <w:t>Hier steht ein Partizip. Wörtlich: „die Hütenden“ oder „die Weidenden“.</w:t>
      </w:r>
    </w:p>
  </w:footnote>
  <w:footnote w:id="3320">
    <w:p>
      <w:pPr>
        <w:pStyle w:val="Funote"/>
        <w:rPr/>
      </w:pPr>
      <w:r>
        <w:rPr/>
        <w:footnoteRef/>
        <w:tab/>
        <w:t>Gemeint ist sinngemäß: „alles, nämlich die Begebenheit mit den Besessenen“ oder „alles, auch das mit den Besessenen“</w:t>
      </w:r>
    </w:p>
  </w:footnote>
  <w:footnote w:id="3321">
    <w:p>
      <w:pPr>
        <w:pStyle w:val="Funote"/>
        <w:rPr/>
      </w:pPr>
      <w:r>
        <w:rPr/>
        <w:footnoteRef/>
        <w:tab/>
        <w:t>Partizip, hier temporal aufgelöst</w:t>
      </w:r>
    </w:p>
  </w:footnote>
  <w:footnote w:id="3322">
    <w:p>
      <w:pPr>
        <w:pStyle w:val="Funote"/>
        <w:rPr/>
      </w:pPr>
      <w:r>
        <w:rPr/>
        <w:footnoteRef/>
        <w:tab/>
        <w:t>[Status: Ungeprüft]</w:t>
      </w:r>
    </w:p>
  </w:footnote>
  <w:footnote w:id="3323">
    <w:p>
      <w:pPr>
        <w:pStyle w:val="Funote"/>
        <w:rPr/>
      </w:pPr>
      <w:r>
        <w:rPr/>
        <w:footnoteRef/>
        <w:tab/>
        <w:t>Partizip. Wörtlich: „liegend“</w:t>
      </w:r>
    </w:p>
  </w:footnote>
  <w:footnote w:id="3324">
    <w:p>
      <w:pPr>
        <w:pStyle w:val="Funote"/>
        <w:rPr/>
      </w:pPr>
      <w:r>
        <w:rPr/>
        <w:footnoteRef/>
        <w:tab/>
        <w:t>Partizip. Eventl. auch temporal.</w:t>
      </w:r>
    </w:p>
  </w:footnote>
  <w:footnote w:id="3325">
    <w:p>
      <w:pPr>
        <w:pStyle w:val="Funote"/>
        <w:rPr/>
      </w:pPr>
      <w:r>
        <w:rPr/>
        <w:footnoteRef/>
        <w:tab/>
        <w:t>Partizip. Wohl temporal: „als er von dort weiterging“</w:t>
      </w:r>
    </w:p>
  </w:footnote>
  <w:footnote w:id="3326">
    <w:p>
      <w:pPr>
        <w:pStyle w:val="Funote"/>
        <w:rPr/>
      </w:pPr>
      <w:r>
        <w:rPr/>
        <w:footnoteRef/>
        <w:tab/>
        <w:t>Partizip: „einen Menschen, der bei der Zollstelle saß“</w:t>
      </w:r>
    </w:p>
  </w:footnote>
  <w:footnote w:id="3327">
    <w:p>
      <w:pPr>
        <w:pStyle w:val="Funote"/>
        <w:rPr/>
      </w:pPr>
      <w:r>
        <w:rPr/>
        <w:footnoteRef/>
        <w:tab/>
        <w:t>Partizip</w:t>
      </w:r>
    </w:p>
  </w:footnote>
  <w:footnote w:id="3328">
    <w:p>
      <w:pPr>
        <w:pStyle w:val="Funote"/>
        <w:rPr/>
      </w:pPr>
      <w:r>
        <w:rPr/>
        <w:footnoteRef/>
        <w:tab/>
        <w:t>Partizip. Vielleicht auch temporal: „als er es hörte“</w:t>
      </w:r>
    </w:p>
  </w:footnote>
  <w:footnote w:id="3329">
    <w:p>
      <w:pPr>
        <w:pStyle w:val="Funote"/>
        <w:rPr/>
      </w:pPr>
      <w:r>
        <w:rPr/>
        <w:footnoteRef/>
        <w:tab/>
        <w:t>Hos. 6,6</w:t>
      </w:r>
    </w:p>
  </w:footnote>
  <w:footnote w:id="3330">
    <w:p>
      <w:pPr>
        <w:pStyle w:val="Funote"/>
        <w:rPr/>
      </w:pPr>
      <w:r>
        <w:rPr/>
        <w:footnoteRef/>
        <w:tab/>
        <w:t>Partizip. Oder: während</w:t>
      </w:r>
    </w:p>
  </w:footnote>
  <w:footnote w:id="3331">
    <w:p>
      <w:pPr>
        <w:pStyle w:val="Funote"/>
        <w:rPr/>
      </w:pPr>
      <w:r>
        <w:rPr/>
        <w:footnoteRef/>
        <w:tab/>
        <w:t>Partizip</w:t>
      </w:r>
    </w:p>
  </w:footnote>
  <w:footnote w:id="3332">
    <w:p>
      <w:pPr>
        <w:pStyle w:val="Funote"/>
        <w:rPr/>
      </w:pPr>
      <w:r>
        <w:rPr/>
        <w:footnoteRef/>
        <w:tab/>
        <w:t>Partizip</w:t>
      </w:r>
    </w:p>
  </w:footnote>
  <w:footnote w:id="3333">
    <w:p>
      <w:pPr>
        <w:pStyle w:val="Funote"/>
        <w:rPr/>
      </w:pPr>
      <w:r>
        <w:rPr/>
        <w:footnoteRef/>
        <w:tab/>
        <w:t>Etwa: Unterwegs</w:t>
      </w:r>
    </w:p>
  </w:footnote>
  <w:footnote w:id="3334">
    <w:p>
      <w:pPr>
        <w:pStyle w:val="Funote"/>
        <w:rPr/>
      </w:pPr>
      <w:r>
        <w:rPr/>
        <w:footnoteRef/>
        <w:tab/>
        <w:t>Partizip</w:t>
      </w:r>
    </w:p>
  </w:footnote>
  <w:footnote w:id="3335">
    <w:p>
      <w:pPr>
        <w:pStyle w:val="Funote"/>
        <w:rPr/>
      </w:pPr>
      <w:r>
        <w:rPr/>
        <w:footnoteRef/>
        <w:tab/>
        <w:t>Partizip</w:t>
      </w:r>
    </w:p>
  </w:footnote>
  <w:footnote w:id="3336">
    <w:p>
      <w:pPr>
        <w:pStyle w:val="Funote"/>
        <w:rPr/>
      </w:pPr>
      <w:r>
        <w:rPr/>
        <w:footnoteRef/>
        <w:tab/>
        <w:t>Partizip</w:t>
      </w:r>
    </w:p>
  </w:footnote>
  <w:footnote w:id="3337">
    <w:p>
      <w:pPr>
        <w:pStyle w:val="Funote"/>
        <w:rPr/>
      </w:pPr>
      <w:r>
        <w:rPr/>
        <w:footnoteRef/>
        <w:tab/>
        <w:t>Siehe Vers 18</w:t>
      </w:r>
    </w:p>
  </w:footnote>
  <w:footnote w:id="3338">
    <w:p>
      <w:pPr>
        <w:pStyle w:val="Funote"/>
        <w:rPr/>
      </w:pPr>
      <w:r>
        <w:rPr/>
        <w:footnoteRef/>
        <w:tab/>
        <w:t>Partizip</w:t>
      </w:r>
    </w:p>
  </w:footnote>
  <w:footnote w:id="3339">
    <w:p>
      <w:pPr>
        <w:pStyle w:val="Funote"/>
        <w:rPr/>
      </w:pPr>
      <w:r>
        <w:rPr/>
        <w:footnoteRef/>
        <w:tab/>
        <w:t>Partizip</w:t>
      </w:r>
    </w:p>
  </w:footnote>
  <w:footnote w:id="3340">
    <w:p>
      <w:pPr>
        <w:pStyle w:val="Funote"/>
        <w:rPr/>
      </w:pPr>
      <w:r>
        <w:rPr/>
        <w:footnoteRef/>
        <w:tab/>
        <w:t>Partizip</w:t>
      </w:r>
    </w:p>
  </w:footnote>
  <w:footnote w:id="3341">
    <w:p>
      <w:pPr>
        <w:pStyle w:val="Funote"/>
        <w:rPr/>
      </w:pPr>
      <w:r>
        <w:rPr/>
        <w:footnoteRef/>
        <w:tab/>
        <w:t>Partizip</w:t>
      </w:r>
    </w:p>
  </w:footnote>
  <w:footnote w:id="3342">
    <w:p>
      <w:pPr>
        <w:pStyle w:val="Funote"/>
        <w:rPr/>
      </w:pPr>
      <w:r>
        <w:rPr/>
        <w:footnoteRef/>
        <w:tab/>
        <w:t>Partizip</w:t>
      </w:r>
    </w:p>
  </w:footnote>
  <w:footnote w:id="3343">
    <w:p>
      <w:pPr>
        <w:pStyle w:val="Funote"/>
        <w:rPr/>
      </w:pPr>
      <w:r>
        <w:rPr/>
        <w:footnoteRef/>
        <w:tab/>
        <w:t>Partizip, wörtlich: lehrend</w:t>
      </w:r>
    </w:p>
  </w:footnote>
  <w:footnote w:id="3344">
    <w:p>
      <w:pPr>
        <w:pStyle w:val="Funote"/>
        <w:rPr/>
      </w:pPr>
      <w:r>
        <w:rPr/>
        <w:footnoteRef/>
        <w:tab/>
        <w:t>Partizip, wörtlich: verkündend</w:t>
      </w:r>
    </w:p>
  </w:footnote>
  <w:footnote w:id="3345">
    <w:p>
      <w:pPr>
        <w:pStyle w:val="Funote"/>
        <w:rPr/>
      </w:pPr>
      <w:r>
        <w:rPr/>
        <w:footnoteRef/>
        <w:tab/>
        <w:t>Partizip, wörtlich: heilend</w:t>
      </w:r>
    </w:p>
  </w:footnote>
  <w:footnote w:id="3346">
    <w:p>
      <w:pPr>
        <w:pStyle w:val="Funote"/>
        <w:rPr/>
      </w:pPr>
      <w:r>
        <w:rPr/>
        <w:footnoteRef/>
        <w:tab/>
        <w:t>Partizip</w:t>
      </w:r>
    </w:p>
  </w:footnote>
  <w:footnote w:id="3347">
    <w:p>
      <w:pPr>
        <w:pStyle w:val="Funote"/>
        <w:rPr/>
      </w:pPr>
      <w:r>
        <w:rPr/>
        <w:footnoteRef/>
        <w:tab/>
        <w:t>[Status: Ungeprüft]</w:t>
      </w:r>
    </w:p>
  </w:footnote>
  <w:footnote w:id="3348">
    <w:p>
      <w:pPr>
        <w:pStyle w:val="Funote"/>
        <w:rPr/>
      </w:pPr>
      <w:r>
        <w:rPr/>
        <w:footnoteRef/>
        <w:tab/>
        <w:t>Partizip Aorist</w:t>
      </w:r>
    </w:p>
  </w:footnote>
  <w:footnote w:id="3349">
    <w:p>
      <w:pPr>
        <w:pStyle w:val="Funote"/>
        <w:rPr/>
      </w:pPr>
      <w:r>
        <w:rPr/>
        <w:footnoteRef/>
        <w:tab/>
        <w:t>Partizip. Oder: der Zwölf, die ausgesendet wurden</w:t>
      </w:r>
    </w:p>
  </w:footnote>
  <w:footnote w:id="3350">
    <w:p>
      <w:pPr>
        <w:pStyle w:val="Funote"/>
        <w:rPr/>
      </w:pPr>
      <w:r>
        <w:rPr/>
        <w:footnoteRef/>
        <w:tab/>
        <w:t>Vrmtl. pars pro toto: Speise, Nahrung - Lebensunterhalt</w:t>
      </w:r>
    </w:p>
  </w:footnote>
  <w:footnote w:id="3351">
    <w:p>
      <w:pPr>
        <w:pStyle w:val="Funote"/>
        <w:rPr/>
      </w:pPr>
      <w:r>
        <w:rPr/>
        <w:footnoteRef/>
        <w:tab/>
        <w:t>Partizip. Wörtlich: hineingehend</w:t>
      </w:r>
    </w:p>
  </w:footnote>
  <w:footnote w:id="3352">
    <w:p>
      <w:pPr>
        <w:pStyle w:val="Funote"/>
        <w:rPr/>
      </w:pPr>
      <w:r>
        <w:rPr/>
        <w:footnoteRef/>
        <w:tab/>
        <w:t>Vrmtl. ein Gruß oder Segenswunsch</w:t>
      </w:r>
    </w:p>
  </w:footnote>
  <w:footnote w:id="3353">
    <w:p>
      <w:pPr>
        <w:pStyle w:val="Funote"/>
        <w:rPr/>
      </w:pPr>
      <w:r>
        <w:rPr/>
        <w:footnoteRef/>
        <w:tab/>
        <w:t>Partizip. Wörtlich: was gesagt wird</w:t>
      </w:r>
    </w:p>
  </w:footnote>
  <w:footnote w:id="3354">
    <w:p>
      <w:pPr>
        <w:pStyle w:val="Funote"/>
        <w:rPr/>
      </w:pPr>
      <w:r>
        <w:rPr/>
        <w:footnoteRef/>
        <w:tab/>
        <w:t>Eigentlich: "einen Menschen"</w:t>
      </w:r>
    </w:p>
  </w:footnote>
  <w:footnote w:id="3355">
    <w:p>
      <w:pPr>
        <w:pStyle w:val="Funote"/>
        <w:rPr/>
      </w:pPr>
      <w:r>
        <w:rPr/>
        <w:footnoteRef/>
        <w:tab/>
        <w:t>Gemeint ist wohl "Schwiegertochter"</w:t>
      </w:r>
    </w:p>
  </w:footnote>
  <w:footnote w:id="3356">
    <w:p>
      <w:pPr>
        <w:pStyle w:val="Funote"/>
        <w:rPr/>
      </w:pPr>
      <w:r>
        <w:rPr/>
        <w:footnoteRef/>
        <w:tab/>
        <w:t>Vgl. Mi 7,6</w:t>
      </w:r>
    </w:p>
  </w:footnote>
  <w:footnote w:id="3357">
    <w:p>
      <w:pPr>
        <w:pStyle w:val="Funote"/>
        <w:rPr/>
      </w:pPr>
      <w:r>
        <w:rPr/>
        <w:footnoteRef/>
        <w:tab/>
        <w:t>wörtl.: Seele</w:t>
      </w:r>
    </w:p>
  </w:footnote>
  <w:footnote w:id="3358">
    <w:p>
      <w:pPr>
        <w:pStyle w:val="Funote"/>
        <w:rPr/>
      </w:pPr>
      <w:r>
        <w:rPr/>
        <w:footnoteRef/>
        <w:tab/>
        <w:t>Wört.: wegen seines prophetischen Namens</w:t>
      </w:r>
    </w:p>
  </w:footnote>
  <w:footnote w:id="3359">
    <w:p>
      <w:pPr>
        <w:pStyle w:val="Funote"/>
        <w:rPr/>
      </w:pPr>
      <w:r>
        <w:rPr/>
        <w:footnoteRef/>
        <w:tab/>
        <w:t>s.o.</w:t>
      </w:r>
    </w:p>
  </w:footnote>
  <w:footnote w:id="3360">
    <w:p>
      <w:pPr>
        <w:pStyle w:val="Funote"/>
        <w:rPr/>
      </w:pPr>
      <w:r>
        <w:rPr/>
        <w:footnoteRef/>
        <w:tab/>
        <w:t>[Status: Ungeprüft]</w:t>
      </w:r>
    </w:p>
  </w:footnote>
  <w:footnote w:id="3361">
    <w:p>
      <w:pPr>
        <w:pStyle w:val="Funote"/>
        <w:rPr/>
      </w:pPr>
      <w:r>
        <w:rPr/>
        <w:footnoteRef/>
        <w:tab/>
        <w:t>Das "du" steht betont</w:t>
      </w:r>
    </w:p>
  </w:footnote>
  <w:footnote w:id="3362">
    <w:p>
      <w:pPr>
        <w:pStyle w:val="Funote"/>
        <w:rPr/>
      </w:pPr>
      <w:r>
        <w:rPr/>
        <w:footnoteRef/>
        <w:tab/>
        <w:t>Mal 3,1</w:t>
      </w:r>
    </w:p>
  </w:footnote>
  <w:footnote w:id="3363">
    <w:p>
      <w:pPr>
        <w:pStyle w:val="Funote"/>
        <w:rPr/>
      </w:pPr>
      <w:r>
        <w:rPr/>
        <w:footnoteRef/>
        <w:tab/>
        <w:t xml:space="preserve">Diese Stelle ist nicht ganz eindeuig. Alternativ: bis zum heutigen Tag wird dem Königreich der Himmeln Gewalt angetan. </w:t>
      </w:r>
      <w:r>
        <w:rPr>
          <w:lang w:val="el-GR"/>
        </w:rPr>
        <w:t>βιάζεται</w:t>
      </w:r>
      <w:r>
        <w:rPr/>
        <w:t xml:space="preserve"> ist Medium.</w:t>
      </w:r>
    </w:p>
  </w:footnote>
  <w:footnote w:id="3364">
    <w:p>
      <w:pPr>
        <w:pStyle w:val="Funote"/>
        <w:rPr/>
      </w:pPr>
      <w:r>
        <w:rPr/>
        <w:footnoteRef/>
        <w:tab/>
        <w:t>Unklar ob zeitlich oder ausschließlich gemeint ist.</w:t>
      </w:r>
    </w:p>
  </w:footnote>
  <w:footnote w:id="3365">
    <w:p>
      <w:pPr>
        <w:pStyle w:val="Funote"/>
        <w:rPr/>
      </w:pPr>
      <w:r>
        <w:rPr/>
        <w:footnoteRef/>
        <w:tab/>
        <w:t>Partizip. Wörtlich: der Ohren habende</w:t>
      </w:r>
    </w:p>
  </w:footnote>
  <w:footnote w:id="3366">
    <w:p>
      <w:pPr>
        <w:pStyle w:val="Funote"/>
        <w:rPr/>
      </w:pPr>
      <w:r>
        <w:rPr/>
        <w:footnoteRef/>
        <w:tab/>
        <w:t>Beides Partizipien. Vlt. "Denn Johannes aß weder noch trank er"</w:t>
      </w:r>
    </w:p>
  </w:footnote>
  <w:footnote w:id="3367">
    <w:p>
      <w:pPr>
        <w:pStyle w:val="Funote"/>
        <w:rPr/>
      </w:pPr>
      <w:r>
        <w:rPr/>
        <w:footnoteRef/>
        <w:tab/>
        <w:t>Partizipien, s.o.</w:t>
      </w:r>
    </w:p>
  </w:footnote>
  <w:footnote w:id="3368">
    <w:p>
      <w:pPr>
        <w:pStyle w:val="Funote"/>
        <w:rPr/>
      </w:pPr>
      <w:r>
        <w:rPr/>
        <w:footnoteRef/>
        <w:tab/>
        <w:t>[Status: Ungeprüft]</w:t>
      </w:r>
    </w:p>
  </w:footnote>
  <w:footnote w:id="3369">
    <w:p>
      <w:pPr>
        <w:pStyle w:val="Funote"/>
        <w:rPr/>
      </w:pPr>
      <w:r>
        <w:rPr/>
        <w:footnoteRef/>
        <w:tab/>
        <w:t>Eigentlich Plural</w:t>
      </w:r>
    </w:p>
  </w:footnote>
  <w:footnote w:id="3370">
    <w:p>
      <w:pPr>
        <w:pStyle w:val="Funote"/>
        <w:rPr/>
      </w:pPr>
      <w:r>
        <w:rPr/>
        <w:footnoteRef/>
        <w:tab/>
        <w:t>Plusquamperfekt, also mit Resultat in der Vergangenheit</w:t>
      </w:r>
    </w:p>
  </w:footnote>
  <w:footnote w:id="3371">
    <w:p>
      <w:pPr>
        <w:pStyle w:val="Funote"/>
        <w:rPr/>
      </w:pPr>
      <w:r>
        <w:rPr/>
        <w:footnoteRef/>
        <w:tab/>
        <w:t>Wörtlich: was das ist</w:t>
      </w:r>
    </w:p>
  </w:footnote>
  <w:footnote w:id="3372">
    <w:p>
      <w:pPr>
        <w:pStyle w:val="Funote"/>
        <w:rPr/>
      </w:pPr>
      <w:r>
        <w:rPr/>
        <w:footnoteRef/>
        <w:tab/>
        <w:t>Partizip Aorist, also Gleichzeitigkeit zum Verb</w:t>
      </w:r>
    </w:p>
  </w:footnote>
  <w:footnote w:id="3373">
    <w:p>
      <w:pPr>
        <w:pStyle w:val="Funote"/>
        <w:rPr/>
      </w:pPr>
      <w:r>
        <w:rPr/>
        <w:footnoteRef/>
        <w:tab/>
        <w:t>Partizip, final aufgelöst</w:t>
      </w:r>
    </w:p>
  </w:footnote>
  <w:footnote w:id="3374">
    <w:p>
      <w:pPr>
        <w:pStyle w:val="Funote"/>
        <w:rPr/>
      </w:pPr>
      <w:r>
        <w:rPr/>
        <w:footnoteRef/>
        <w:tab/>
        <w:t>Partizip Aorist, Gleichzeitig. Vlt. auch: "Als die Pharisäer aber herausgingen"</w:t>
      </w:r>
    </w:p>
  </w:footnote>
  <w:footnote w:id="3375">
    <w:p>
      <w:pPr>
        <w:pStyle w:val="Funote"/>
        <w:rPr/>
      </w:pPr>
      <w:r>
        <w:rPr/>
        <w:footnoteRef/>
        <w:tab/>
        <w:t>Oder als Nebensatz mit Infinitiv "ihn zu töten"</w:t>
      </w:r>
    </w:p>
  </w:footnote>
  <w:footnote w:id="3376">
    <w:p>
      <w:pPr>
        <w:pStyle w:val="Funote"/>
        <w:rPr/>
      </w:pPr>
      <w:r>
        <w:rPr/>
        <w:footnoteRef/>
        <w:tab/>
        <w:t xml:space="preserve">Andere Handschriften ergänzen </w:t>
      </w:r>
      <w:r>
        <w:rPr>
          <w:lang w:val="el-GR"/>
        </w:rPr>
        <w:t>οχλοι</w:t>
      </w:r>
      <w:r>
        <w:rPr/>
        <w:t>, eine große Volksmenge</w:t>
      </w:r>
    </w:p>
  </w:footnote>
  <w:footnote w:id="3377">
    <w:p>
      <w:pPr>
        <w:pStyle w:val="Funote"/>
        <w:rPr/>
      </w:pPr>
      <w:r>
        <w:rPr/>
        <w:footnoteRef/>
        <w:tab/>
        <w:t>eventl. auch als Nebensatz mit "dass" übersetzen</w:t>
      </w:r>
    </w:p>
  </w:footnote>
  <w:footnote w:id="3378">
    <w:p>
      <w:pPr>
        <w:pStyle w:val="Funote"/>
        <w:rPr/>
      </w:pPr>
      <w:r>
        <w:rPr/>
        <w:footnoteRef/>
        <w:tab/>
        <w:t>Jes 42,1-4</w:t>
      </w:r>
    </w:p>
  </w:footnote>
  <w:footnote w:id="3379">
    <w:p>
      <w:pPr>
        <w:pStyle w:val="Funote"/>
        <w:rPr/>
      </w:pPr>
      <w:r>
        <w:rPr/>
        <w:footnoteRef/>
        <w:tab/>
        <w:t>Nach LXX eventl. auch mein Erwählter</w:t>
      </w:r>
    </w:p>
  </w:footnote>
  <w:footnote w:id="3380">
    <w:p>
      <w:pPr>
        <w:pStyle w:val="Funote"/>
        <w:rPr/>
      </w:pPr>
      <w:r>
        <w:rPr/>
        <w:footnoteRef/>
        <w:tab/>
        <w:t>Partizip Perfekt Passiv, also Vorzeitigkeit</w:t>
      </w:r>
    </w:p>
  </w:footnote>
  <w:footnote w:id="3381">
    <w:p>
      <w:pPr>
        <w:pStyle w:val="Funote"/>
        <w:rPr/>
      </w:pPr>
      <w:r>
        <w:rPr/>
        <w:footnoteRef/>
        <w:tab/>
        <w:t>Partizip Aorist, hier temporal aufgelöst</w:t>
      </w:r>
    </w:p>
  </w:footnote>
  <w:footnote w:id="3382">
    <w:p>
      <w:pPr>
        <w:pStyle w:val="Funote"/>
        <w:rPr/>
      </w:pPr>
      <w:r>
        <w:rPr/>
        <w:footnoteRef/>
        <w:tab/>
        <w:t>Partizip Aortist, hier temporal aufgelöst. Mit Vers 24 vlt. auch kausal?</w:t>
      </w:r>
    </w:p>
  </w:footnote>
  <w:footnote w:id="3383">
    <w:p>
      <w:pPr>
        <w:pStyle w:val="Funote"/>
        <w:rPr/>
      </w:pPr>
      <w:r>
        <w:rPr/>
        <w:footnoteRef/>
        <w:tab/>
        <w:t>Partizip Aorist, hier final aufgelöst</w:t>
      </w:r>
    </w:p>
  </w:footnote>
  <w:footnote w:id="3384">
    <w:p>
      <w:pPr>
        <w:pStyle w:val="Funote"/>
        <w:rPr/>
      </w:pPr>
      <w:r>
        <w:rPr/>
        <w:footnoteRef/>
        <w:tab/>
        <w:t>Partizip Aorist, hier final aufgelöst</w:t>
      </w:r>
    </w:p>
  </w:footnote>
  <w:footnote w:id="3385">
    <w:p>
      <w:pPr>
        <w:pStyle w:val="Funote"/>
        <w:rPr/>
      </w:pPr>
      <w:r>
        <w:rPr/>
        <w:footnoteRef/>
        <w:tab/>
        <w:t>Wörtl: Entweder nimm an der gute Baum und seine guten Früchte</w:t>
      </w:r>
    </w:p>
  </w:footnote>
  <w:footnote w:id="3386">
    <w:p>
      <w:pPr>
        <w:pStyle w:val="Funote"/>
        <w:rPr/>
      </w:pPr>
      <w:r>
        <w:rPr/>
        <w:footnoteRef/>
        <w:tab/>
        <w:t>s.o.</w:t>
      </w:r>
    </w:p>
  </w:footnote>
  <w:footnote w:id="3387">
    <w:p>
      <w:pPr>
        <w:pStyle w:val="Funote"/>
        <w:rPr/>
      </w:pPr>
      <w:r>
        <w:rPr/>
        <w:footnoteRef/>
        <w:tab/>
        <w:t>Partizip</w:t>
      </w:r>
    </w:p>
  </w:footnote>
  <w:footnote w:id="3388">
    <w:p>
      <w:pPr>
        <w:pStyle w:val="Funote"/>
        <w:rPr/>
      </w:pPr>
      <w:r>
        <w:rPr/>
        <w:footnoteRef/>
        <w:tab/>
        <w:t>Partizip. Wohl am besten einfach "antworteten"</w:t>
      </w:r>
    </w:p>
  </w:footnote>
  <w:footnote w:id="3389">
    <w:p>
      <w:pPr>
        <w:pStyle w:val="Funote"/>
        <w:rPr/>
      </w:pPr>
      <w:r>
        <w:rPr/>
        <w:footnoteRef/>
        <w:tab/>
        <w:t>Aufgelöstes Ptz. Aor.</w:t>
      </w:r>
    </w:p>
  </w:footnote>
  <w:footnote w:id="3390">
    <w:p>
      <w:pPr>
        <w:pStyle w:val="Funote"/>
        <w:rPr/>
      </w:pPr>
      <w:r>
        <w:rPr/>
        <w:footnoteRef/>
        <w:tab/>
        <w:t>wörtlich: im Herzen</w:t>
      </w:r>
    </w:p>
  </w:footnote>
  <w:footnote w:id="3391">
    <w:p>
      <w:pPr>
        <w:pStyle w:val="Funote"/>
        <w:rPr/>
      </w:pPr>
      <w:r>
        <w:rPr/>
        <w:footnoteRef/>
        <w:tab/>
        <w:t>Partizip</w:t>
      </w:r>
    </w:p>
  </w:footnote>
  <w:footnote w:id="3392">
    <w:p>
      <w:pPr>
        <w:pStyle w:val="Funote"/>
        <w:rPr/>
      </w:pPr>
      <w:r>
        <w:rPr/>
        <w:footnoteRef/>
        <w:tab/>
        <w:t>Partizip</w:t>
      </w:r>
    </w:p>
  </w:footnote>
  <w:footnote w:id="3393">
    <w:p>
      <w:pPr>
        <w:pStyle w:val="Funote"/>
        <w:rPr/>
      </w:pPr>
      <w:r>
        <w:rPr/>
        <w:footnoteRef/>
        <w:tab/>
        <w:t>Partizip</w:t>
      </w:r>
    </w:p>
  </w:footnote>
  <w:footnote w:id="3394">
    <w:p>
      <w:pPr>
        <w:pStyle w:val="Funote"/>
        <w:rPr/>
      </w:pPr>
      <w:r>
        <w:rPr/>
        <w:footnoteRef/>
        <w:tab/>
        <w:t>Partizip</w:t>
      </w:r>
    </w:p>
  </w:footnote>
  <w:footnote w:id="3395">
    <w:p>
      <w:pPr>
        <w:pStyle w:val="Funote"/>
        <w:rPr/>
      </w:pPr>
      <w:r>
        <w:rPr/>
        <w:footnoteRef/>
        <w:tab/>
        <w:t>steht betont</w:t>
      </w:r>
    </w:p>
  </w:footnote>
  <w:footnote w:id="3396">
    <w:p>
      <w:pPr>
        <w:pStyle w:val="Funote"/>
        <w:rPr/>
      </w:pPr>
      <w:r>
        <w:rPr/>
        <w:footnoteRef/>
        <w:tab/>
        <w:t>[Status: Ungeprüft]</w:t>
      </w:r>
    </w:p>
  </w:footnote>
  <w:footnote w:id="3397">
    <w:p>
      <w:pPr>
        <w:pStyle w:val="Funote"/>
        <w:rPr/>
      </w:pPr>
      <w:r>
        <w:rPr/>
        <w:footnoteRef/>
        <w:tab/>
        <w:t>Eigentlich Partizip, hier final aufgelöst</w:t>
      </w:r>
    </w:p>
  </w:footnote>
  <w:footnote w:id="3398">
    <w:p>
      <w:pPr>
        <w:pStyle w:val="Funote"/>
        <w:rPr/>
      </w:pPr>
      <w:r>
        <w:rPr/>
        <w:footnoteRef/>
        <w:tab/>
        <w:t xml:space="preserve">Partizip, hier final aufgelöst. </w:t>
      </w:r>
    </w:p>
  </w:footnote>
  <w:footnote w:id="3399">
    <w:p>
      <w:pPr>
        <w:pStyle w:val="Funote"/>
        <w:rPr/>
      </w:pPr>
      <w:r>
        <w:rPr/>
        <w:footnoteRef/>
        <w:tab/>
        <w:t>Wörtlich: "die einen"</w:t>
      </w:r>
    </w:p>
  </w:footnote>
  <w:footnote w:id="3400">
    <w:p>
      <w:pPr>
        <w:pStyle w:val="Funote"/>
        <w:rPr/>
      </w:pPr>
      <w:r>
        <w:rPr/>
        <w:footnoteRef/>
        <w:tab/>
        <w:t>Partizip, hier temporal aufgelöst</w:t>
      </w:r>
    </w:p>
  </w:footnote>
  <w:footnote w:id="3401">
    <w:p>
      <w:pPr>
        <w:pStyle w:val="Funote"/>
        <w:rPr/>
      </w:pPr>
      <w:r>
        <w:rPr/>
        <w:footnoteRef/>
        <w:tab/>
        <w:t xml:space="preserve">Partizip, hier final aufgelöst. </w:t>
      </w:r>
    </w:p>
  </w:footnote>
  <w:footnote w:id="3402">
    <w:p>
      <w:pPr>
        <w:pStyle w:val="Funote"/>
        <w:rPr/>
      </w:pPr>
      <w:r>
        <w:rPr/>
        <w:footnoteRef/>
        <w:tab/>
        <w:t>Partizip</w:t>
      </w:r>
    </w:p>
  </w:footnote>
  <w:footnote w:id="3403">
    <w:p>
      <w:pPr>
        <w:pStyle w:val="Funote"/>
        <w:rPr/>
      </w:pPr>
      <w:r>
        <w:rPr/>
        <w:footnoteRef/>
        <w:tab/>
        <w:t>Partizip</w:t>
      </w:r>
    </w:p>
  </w:footnote>
  <w:footnote w:id="3404">
    <w:p>
      <w:pPr>
        <w:pStyle w:val="Funote"/>
        <w:rPr/>
      </w:pPr>
      <w:r>
        <w:rPr/>
        <w:footnoteRef/>
        <w:tab/>
        <w:t>Partizip</w:t>
      </w:r>
    </w:p>
  </w:footnote>
  <w:footnote w:id="3405">
    <w:p>
      <w:pPr>
        <w:pStyle w:val="Funote"/>
        <w:rPr/>
      </w:pPr>
      <w:r>
        <w:rPr/>
        <w:footnoteRef/>
        <w:tab/>
        <w:t>Jesaja 6,9-10</w:t>
      </w:r>
    </w:p>
  </w:footnote>
  <w:footnote w:id="3406">
    <w:p>
      <w:pPr>
        <w:pStyle w:val="Funote"/>
        <w:rPr/>
      </w:pPr>
      <w:r>
        <w:rPr/>
        <w:footnoteRef/>
        <w:tab/>
        <w:t>Partizip</w:t>
      </w:r>
    </w:p>
  </w:footnote>
  <w:footnote w:id="3407">
    <w:p>
      <w:pPr>
        <w:pStyle w:val="Funote"/>
        <w:rPr/>
      </w:pPr>
      <w:r>
        <w:rPr/>
        <w:footnoteRef/>
        <w:tab/>
        <w:t>steht betont</w:t>
      </w:r>
    </w:p>
  </w:footnote>
  <w:footnote w:id="3408">
    <w:p>
      <w:pPr>
        <w:pStyle w:val="Funote"/>
        <w:rPr/>
      </w:pPr>
      <w:r>
        <w:rPr/>
        <w:footnoteRef/>
        <w:tab/>
        <w:t>Imperativ</w:t>
      </w:r>
    </w:p>
  </w:footnote>
  <w:footnote w:id="3409">
    <w:p>
      <w:pPr>
        <w:pStyle w:val="Funote"/>
        <w:rPr/>
      </w:pPr>
      <w:r>
        <w:rPr/>
        <w:footnoteRef/>
        <w:tab/>
        <w:t>Partizip</w:t>
      </w:r>
    </w:p>
  </w:footnote>
  <w:footnote w:id="3410">
    <w:p>
      <w:pPr>
        <w:pStyle w:val="Funote"/>
        <w:rPr/>
      </w:pPr>
      <w:r>
        <w:rPr/>
        <w:footnoteRef/>
        <w:tab/>
        <w:t>Partizip</w:t>
      </w:r>
    </w:p>
  </w:footnote>
  <w:footnote w:id="3411">
    <w:p>
      <w:pPr>
        <w:pStyle w:val="Funote"/>
        <w:rPr/>
      </w:pPr>
      <w:r>
        <w:rPr/>
        <w:footnoteRef/>
        <w:tab/>
        <w:t>mit Ergänzung: das ist der Mensch, bei dem der Samen auf den Weg fiel</w:t>
      </w:r>
    </w:p>
  </w:footnote>
  <w:footnote w:id="3412">
    <w:p>
      <w:pPr>
        <w:pStyle w:val="Funote"/>
        <w:rPr/>
      </w:pPr>
      <w:r>
        <w:rPr/>
        <w:footnoteRef/>
        <w:tab/>
        <w:t>zur Konstruktion s.o.</w:t>
      </w:r>
    </w:p>
  </w:footnote>
  <w:footnote w:id="3413">
    <w:p>
      <w:pPr>
        <w:pStyle w:val="Funote"/>
        <w:rPr/>
      </w:pPr>
      <w:r>
        <w:rPr/>
        <w:footnoteRef/>
        <w:tab/>
        <w:t>Partizip</w:t>
      </w:r>
    </w:p>
  </w:footnote>
  <w:footnote w:id="3414">
    <w:p>
      <w:pPr>
        <w:pStyle w:val="Funote"/>
        <w:rPr/>
      </w:pPr>
      <w:r>
        <w:rPr/>
        <w:footnoteRef/>
        <w:tab/>
        <w:t>Partizip</w:t>
      </w:r>
    </w:p>
  </w:footnote>
  <w:footnote w:id="3415">
    <w:p>
      <w:pPr>
        <w:pStyle w:val="Funote"/>
        <w:rPr/>
      </w:pPr>
      <w:r>
        <w:rPr/>
        <w:footnoteRef/>
        <w:tab/>
        <w:t>Partizip</w:t>
      </w:r>
    </w:p>
  </w:footnote>
  <w:footnote w:id="3416">
    <w:p>
      <w:pPr>
        <w:pStyle w:val="Funote"/>
        <w:rPr/>
      </w:pPr>
      <w:r>
        <w:rPr/>
        <w:footnoteRef/>
        <w:tab/>
        <w:t>Partizip</w:t>
      </w:r>
    </w:p>
  </w:footnote>
  <w:footnote w:id="3417">
    <w:p>
      <w:pPr>
        <w:pStyle w:val="Funote"/>
        <w:rPr/>
      </w:pPr>
      <w:r>
        <w:rPr/>
        <w:footnoteRef/>
        <w:tab/>
        <w:t>Partizip</w:t>
      </w:r>
    </w:p>
  </w:footnote>
  <w:footnote w:id="3418">
    <w:p>
      <w:pPr>
        <w:pStyle w:val="Funote"/>
        <w:rPr/>
      </w:pPr>
      <w:r>
        <w:rPr/>
        <w:footnoteRef/>
        <w:tab/>
        <w:t>Partizip</w:t>
      </w:r>
    </w:p>
  </w:footnote>
  <w:footnote w:id="3419">
    <w:p>
      <w:pPr>
        <w:pStyle w:val="Funote"/>
        <w:rPr/>
      </w:pPr>
      <w:r>
        <w:rPr/>
        <w:footnoteRef/>
        <w:tab/>
        <w:t>Partizip</w:t>
      </w:r>
    </w:p>
  </w:footnote>
  <w:footnote w:id="3420">
    <w:p>
      <w:pPr>
        <w:pStyle w:val="Funote"/>
        <w:rPr/>
      </w:pPr>
      <w:r>
        <w:rPr/>
        <w:footnoteRef/>
        <w:tab/>
        <w:t>Futur, eventl. "will"</w:t>
      </w:r>
    </w:p>
  </w:footnote>
  <w:footnote w:id="3421">
    <w:p>
      <w:pPr>
        <w:pStyle w:val="Funote"/>
        <w:rPr/>
      </w:pPr>
      <w:r>
        <w:rPr/>
        <w:footnoteRef/>
        <w:tab/>
        <w:t>Futur, eventl. "will"</w:t>
      </w:r>
    </w:p>
  </w:footnote>
  <w:footnote w:id="3422">
    <w:p>
      <w:pPr>
        <w:pStyle w:val="Funote"/>
        <w:rPr/>
      </w:pPr>
      <w:r>
        <w:rPr/>
        <w:footnoteRef/>
        <w:tab/>
        <w:t>Partizip</w:t>
      </w:r>
    </w:p>
  </w:footnote>
  <w:footnote w:id="3423">
    <w:p>
      <w:pPr>
        <w:pStyle w:val="Funote"/>
        <w:rPr/>
      </w:pPr>
      <w:r>
        <w:rPr/>
        <w:footnoteRef/>
        <w:tab/>
        <w:t>Die selbe Konstruktion wie in Vers 39</w:t>
      </w:r>
    </w:p>
  </w:footnote>
  <w:footnote w:id="3424">
    <w:p>
      <w:pPr>
        <w:pStyle w:val="Funote"/>
        <w:rPr/>
      </w:pPr>
      <w:r>
        <w:rPr/>
        <w:footnoteRef/>
        <w:tab/>
        <w:t>Zur Konstruktion vgl. Vers 39</w:t>
      </w:r>
    </w:p>
  </w:footnote>
  <w:footnote w:id="3425">
    <w:p>
      <w:pPr>
        <w:pStyle w:val="Funote"/>
        <w:rPr/>
      </w:pPr>
      <w:r>
        <w:rPr/>
        <w:footnoteRef/>
        <w:tab/>
        <w:t>Partizip</w:t>
      </w:r>
    </w:p>
  </w:footnote>
  <w:footnote w:id="3426">
    <w:p>
      <w:pPr>
        <w:pStyle w:val="Funote"/>
        <w:rPr/>
      </w:pPr>
      <w:r>
        <w:rPr/>
        <w:footnoteRef/>
        <w:tab/>
        <w:t>Partizip Aorist, gleichzeitig</w:t>
      </w:r>
    </w:p>
  </w:footnote>
  <w:footnote w:id="3427">
    <w:p>
      <w:pPr>
        <w:pStyle w:val="Funote"/>
        <w:rPr/>
      </w:pPr>
      <w:r>
        <w:rPr/>
        <w:footnoteRef/>
        <w:tab/>
        <w:t>[Status: Ungeprüft]</w:t>
      </w:r>
    </w:p>
  </w:footnote>
  <w:footnote w:id="3428">
    <w:p>
      <w:pPr>
        <w:pStyle w:val="Funote"/>
        <w:rPr/>
      </w:pPr>
      <w:r>
        <w:rPr/>
        <w:footnoteRef/>
        <w:tab/>
        <w:t>Eig. passiv: er ist von den Toten auferweckt worden</w:t>
      </w:r>
    </w:p>
  </w:footnote>
  <w:footnote w:id="3429">
    <w:p>
      <w:pPr>
        <w:pStyle w:val="Funote"/>
        <w:rPr/>
      </w:pPr>
      <w:r>
        <w:rPr/>
        <w:footnoteRef/>
        <w:tab/>
        <w:t>Partizip</w:t>
      </w:r>
    </w:p>
  </w:footnote>
  <w:footnote w:id="3430">
    <w:p>
      <w:pPr>
        <w:pStyle w:val="Funote"/>
        <w:rPr/>
      </w:pPr>
      <w:r>
        <w:rPr/>
        <w:footnoteRef/>
        <w:tab/>
        <w:t>Partizp, hier final aufgelöst. Vlt. besser: "und sie auf Drängen ihrer Mutter" oder "und sie, weil sie von ihrer Mutter angestiftet wurde"</w:t>
      </w:r>
    </w:p>
  </w:footnote>
  <w:footnote w:id="3431">
    <w:p>
      <w:pPr>
        <w:pStyle w:val="Funote"/>
        <w:rPr/>
      </w:pPr>
      <w:r>
        <w:rPr/>
        <w:footnoteRef/>
        <w:tab/>
        <w:t>Partizip</w:t>
      </w:r>
    </w:p>
  </w:footnote>
  <w:footnote w:id="3432">
    <w:p>
      <w:pPr>
        <w:pStyle w:val="Funote"/>
        <w:rPr/>
      </w:pPr>
      <w:r>
        <w:rPr/>
        <w:footnoteRef/>
        <w:tab/>
        <w:t>Partizip, wörtlich: "der zusammen am Tisch sitzenden"</w:t>
      </w:r>
    </w:p>
  </w:footnote>
  <w:footnote w:id="3433">
    <w:p>
      <w:pPr>
        <w:pStyle w:val="Funote"/>
        <w:rPr/>
      </w:pPr>
      <w:r>
        <w:rPr/>
        <w:footnoteRef/>
        <w:tab/>
        <w:t>Partizip, hier final aufgelöst</w:t>
      </w:r>
    </w:p>
  </w:footnote>
  <w:footnote w:id="3434">
    <w:p>
      <w:pPr>
        <w:pStyle w:val="Funote"/>
        <w:rPr/>
      </w:pPr>
      <w:r>
        <w:rPr/>
        <w:footnoteRef/>
        <w:tab/>
        <w:t>Partizip, hier temporal. Eventl. auch final</w:t>
      </w:r>
    </w:p>
  </w:footnote>
  <w:footnote w:id="3435">
    <w:p>
      <w:pPr>
        <w:pStyle w:val="Funote"/>
        <w:rPr/>
      </w:pPr>
      <w:r>
        <w:rPr/>
        <w:footnoteRef/>
        <w:tab/>
        <w:t>Partizip</w:t>
      </w:r>
    </w:p>
  </w:footnote>
  <w:footnote w:id="3436">
    <w:p>
      <w:pPr>
        <w:pStyle w:val="Funote"/>
        <w:rPr/>
      </w:pPr>
      <w:r>
        <w:rPr/>
        <w:footnoteRef/>
        <w:tab/>
        <w:t>Partizip, hier temporal. Eventl. auch final</w:t>
      </w:r>
    </w:p>
  </w:footnote>
  <w:footnote w:id="3437">
    <w:p>
      <w:pPr>
        <w:pStyle w:val="Funote"/>
        <w:rPr/>
      </w:pPr>
      <w:r>
        <w:rPr/>
        <w:footnoteRef/>
        <w:tab/>
        <w:t>Partizip</w:t>
      </w:r>
    </w:p>
  </w:footnote>
  <w:footnote w:id="3438">
    <w:p>
      <w:pPr>
        <w:pStyle w:val="Funote"/>
        <w:rPr/>
      </w:pPr>
      <w:r>
        <w:rPr/>
        <w:footnoteRef/>
        <w:tab/>
        <w:t>Partizip, wörtlich: "sagend"</w:t>
      </w:r>
    </w:p>
  </w:footnote>
  <w:footnote w:id="3439">
    <w:p>
      <w:pPr>
        <w:pStyle w:val="Funote"/>
        <w:rPr/>
      </w:pPr>
      <w:r>
        <w:rPr/>
        <w:footnoteRef/>
        <w:tab/>
        <w:t>Partizip Aorist, d.h. Gleichzeitigkeit zum Hauptsatz</w:t>
      </w:r>
    </w:p>
  </w:footnote>
  <w:footnote w:id="3440">
    <w:p>
      <w:pPr>
        <w:pStyle w:val="Funote"/>
        <w:rPr/>
      </w:pPr>
      <w:r>
        <w:rPr/>
        <w:footnoteRef/>
        <w:tab/>
        <w:t>Partizip Aorist</w:t>
      </w:r>
    </w:p>
  </w:footnote>
  <w:footnote w:id="3441">
    <w:p>
      <w:pPr>
        <w:pStyle w:val="Funote"/>
        <w:rPr/>
      </w:pPr>
      <w:r>
        <w:rPr/>
        <w:footnoteRef/>
        <w:tab/>
        <w:t>Partizip Aorist, vlt. temporal "während"</w:t>
      </w:r>
    </w:p>
  </w:footnote>
  <w:footnote w:id="3442">
    <w:p>
      <w:pPr>
        <w:pStyle w:val="Funote"/>
        <w:rPr/>
      </w:pPr>
      <w:r>
        <w:rPr/>
        <w:footnoteRef/>
        <w:tab/>
        <w:t>Steht im Plural</w:t>
      </w:r>
    </w:p>
  </w:footnote>
  <w:footnote w:id="3443">
    <w:p>
      <w:pPr>
        <w:pStyle w:val="Funote"/>
        <w:rPr/>
      </w:pPr>
      <w:r>
        <w:rPr/>
        <w:footnoteRef/>
        <w:tab/>
        <w:t>Partizip Aorist</w:t>
      </w:r>
    </w:p>
  </w:footnote>
  <w:footnote w:id="3444">
    <w:p>
      <w:pPr>
        <w:pStyle w:val="Funote"/>
        <w:rPr/>
      </w:pPr>
      <w:r>
        <w:rPr/>
        <w:footnoteRef/>
        <w:tab/>
        <w:t>Partizip Aorist</w:t>
      </w:r>
    </w:p>
  </w:footnote>
  <w:footnote w:id="3445">
    <w:p>
      <w:pPr>
        <w:pStyle w:val="Funote"/>
        <w:rPr/>
      </w:pPr>
      <w:r>
        <w:rPr/>
        <w:footnoteRef/>
        <w:tab/>
        <w:t>Partizip Aorist</w:t>
      </w:r>
    </w:p>
  </w:footnote>
  <w:footnote w:id="3446">
    <w:p>
      <w:pPr>
        <w:pStyle w:val="Funote"/>
        <w:rPr/>
      </w:pPr>
      <w:r>
        <w:rPr/>
        <w:footnoteRef/>
        <w:tab/>
        <w:t>Partizip Aorist</w:t>
      </w:r>
    </w:p>
  </w:footnote>
  <w:footnote w:id="3447">
    <w:p>
      <w:pPr>
        <w:pStyle w:val="Funote"/>
        <w:rPr/>
      </w:pPr>
      <w:r>
        <w:rPr/>
        <w:footnoteRef/>
        <w:tab/>
        <w:t>Partizip Aorist</w:t>
      </w:r>
    </w:p>
  </w:footnote>
  <w:footnote w:id="3448">
    <w:p>
      <w:pPr>
        <w:pStyle w:val="Funote"/>
        <w:rPr/>
      </w:pPr>
      <w:r>
        <w:rPr/>
        <w:footnoteRef/>
        <w:tab/>
        <w:t>Partizip</w:t>
      </w:r>
    </w:p>
  </w:footnote>
  <w:footnote w:id="3449">
    <w:p>
      <w:pPr>
        <w:pStyle w:val="Funote"/>
        <w:rPr/>
      </w:pPr>
      <w:r>
        <w:rPr/>
        <w:footnoteRef/>
        <w:tab/>
        <w:t>Partizip, eventl. die Konstruktion anders trennen, etwa "... fürchtete er sich. Und als er anfing zu sinken..."</w:t>
      </w:r>
    </w:p>
  </w:footnote>
  <w:footnote w:id="3450">
    <w:p>
      <w:pPr>
        <w:pStyle w:val="Funote"/>
        <w:rPr/>
      </w:pPr>
      <w:r>
        <w:rPr/>
        <w:footnoteRef/>
        <w:tab/>
        <w:t>Partizip</w:t>
      </w:r>
    </w:p>
  </w:footnote>
  <w:footnote w:id="3451">
    <w:p>
      <w:pPr>
        <w:pStyle w:val="Funote"/>
        <w:rPr/>
      </w:pPr>
      <w:r>
        <w:rPr/>
        <w:footnoteRef/>
        <w:tab/>
        <w:t>Partizip</w:t>
      </w:r>
    </w:p>
  </w:footnote>
  <w:footnote w:id="3452">
    <w:p>
      <w:pPr>
        <w:pStyle w:val="Funote"/>
        <w:rPr/>
      </w:pPr>
      <w:r>
        <w:rPr/>
        <w:footnoteRef/>
        <w:tab/>
        <w:t>Partizip</w:t>
      </w:r>
    </w:p>
  </w:footnote>
  <w:footnote w:id="3453">
    <w:p>
      <w:pPr>
        <w:pStyle w:val="Funote"/>
        <w:rPr/>
      </w:pPr>
      <w:r>
        <w:rPr/>
        <w:footnoteRef/>
        <w:tab/>
        <w:t>Partizip</w:t>
      </w:r>
    </w:p>
  </w:footnote>
  <w:footnote w:id="3454">
    <w:p>
      <w:pPr>
        <w:pStyle w:val="Funote"/>
        <w:rPr/>
      </w:pPr>
      <w:r>
        <w:rPr/>
        <w:footnoteRef/>
        <w:tab/>
        <w:t>Partizip</w:t>
      </w:r>
    </w:p>
  </w:footnote>
  <w:footnote w:id="3455">
    <w:p>
      <w:pPr>
        <w:pStyle w:val="Funote"/>
        <w:rPr/>
      </w:pPr>
      <w:r>
        <w:rPr/>
        <w:footnoteRef/>
        <w:tab/>
        <w:t>[Status: Ungeprüft]</w:t>
      </w:r>
    </w:p>
  </w:footnote>
  <w:footnote w:id="3456">
    <w:p>
      <w:pPr>
        <w:pStyle w:val="Funote"/>
        <w:rPr/>
      </w:pPr>
      <w:r>
        <w:rPr/>
        <w:footnoteRef/>
        <w:tab/>
        <w:t>Partizip. Wörtlich: sagend</w:t>
      </w:r>
    </w:p>
  </w:footnote>
  <w:footnote w:id="3457">
    <w:p>
      <w:pPr>
        <w:pStyle w:val="Funote"/>
        <w:rPr/>
      </w:pPr>
      <w:r>
        <w:rPr/>
        <w:footnoteRef/>
        <w:tab/>
        <w:t>Partizip</w:t>
      </w:r>
    </w:p>
  </w:footnote>
  <w:footnote w:id="3458">
    <w:p>
      <w:pPr>
        <w:pStyle w:val="Funote"/>
        <w:rPr/>
      </w:pPr>
      <w:r>
        <w:rPr/>
        <w:footnoteRef/>
        <w:tab/>
        <w:t>Partizip. Wörtlich: sagend</w:t>
      </w:r>
    </w:p>
  </w:footnote>
  <w:footnote w:id="3459">
    <w:p>
      <w:pPr>
        <w:pStyle w:val="Funote"/>
        <w:rPr/>
      </w:pPr>
      <w:r>
        <w:rPr/>
        <w:footnoteRef/>
        <w:tab/>
        <w:t>Jesaja 29,13</w:t>
      </w:r>
    </w:p>
  </w:footnote>
  <w:footnote w:id="3460">
    <w:p>
      <w:pPr>
        <w:pStyle w:val="Funote"/>
        <w:rPr/>
      </w:pPr>
      <w:r>
        <w:rPr/>
        <w:footnoteRef/>
        <w:tab/>
        <w:t>Partizip</w:t>
      </w:r>
    </w:p>
  </w:footnote>
  <w:footnote w:id="3461">
    <w:p>
      <w:pPr>
        <w:pStyle w:val="Funote"/>
        <w:rPr/>
      </w:pPr>
      <w:r>
        <w:rPr/>
        <w:footnoteRef/>
        <w:tab/>
        <w:t>Partizip</w:t>
      </w:r>
    </w:p>
  </w:footnote>
  <w:footnote w:id="3462">
    <w:p>
      <w:pPr>
        <w:pStyle w:val="Funote"/>
        <w:rPr/>
      </w:pPr>
      <w:r>
        <w:rPr/>
        <w:footnoteRef/>
        <w:tab/>
        <w:t>Partizip</w:t>
      </w:r>
    </w:p>
  </w:footnote>
  <w:footnote w:id="3463">
    <w:p>
      <w:pPr>
        <w:pStyle w:val="Funote"/>
        <w:rPr/>
      </w:pPr>
      <w:r>
        <w:rPr/>
        <w:footnoteRef/>
        <w:tab/>
        <w:t>Partizip</w:t>
      </w:r>
    </w:p>
  </w:footnote>
  <w:footnote w:id="3464">
    <w:p>
      <w:pPr>
        <w:pStyle w:val="Funote"/>
        <w:rPr/>
      </w:pPr>
      <w:r>
        <w:rPr/>
        <w:footnoteRef/>
        <w:tab/>
        <w:t>Partizip</w:t>
      </w:r>
    </w:p>
  </w:footnote>
  <w:footnote w:id="3465">
    <w:p>
      <w:pPr>
        <w:pStyle w:val="Funote"/>
        <w:rPr/>
      </w:pPr>
      <w:r>
        <w:rPr/>
        <w:footnoteRef/>
        <w:tab/>
        <w:t>Partizip</w:t>
      </w:r>
    </w:p>
  </w:footnote>
  <w:footnote w:id="3466">
    <w:p>
      <w:pPr>
        <w:pStyle w:val="Funote"/>
        <w:rPr/>
      </w:pPr>
      <w:r>
        <w:rPr/>
        <w:footnoteRef/>
        <w:tab/>
        <w:t>Vlt: "Habt ihr auch nichts verstanden?"</w:t>
      </w:r>
    </w:p>
  </w:footnote>
  <w:footnote w:id="3467">
    <w:p>
      <w:pPr>
        <w:pStyle w:val="Funote"/>
        <w:rPr/>
      </w:pPr>
      <w:r>
        <w:rPr/>
        <w:footnoteRef/>
        <w:tab/>
        <w:t>Partizip</w:t>
      </w:r>
    </w:p>
  </w:footnote>
  <w:footnote w:id="3468">
    <w:p>
      <w:pPr>
        <w:pStyle w:val="Funote"/>
        <w:rPr/>
      </w:pPr>
      <w:r>
        <w:rPr/>
        <w:footnoteRef/>
        <w:tab/>
        <w:t>Partizip</w:t>
      </w:r>
    </w:p>
  </w:footnote>
  <w:footnote w:id="3469">
    <w:p>
      <w:pPr>
        <w:pStyle w:val="Funote"/>
        <w:rPr/>
      </w:pPr>
      <w:r>
        <w:rPr/>
        <w:footnoteRef/>
        <w:tab/>
        <w:t>Partizip</w:t>
      </w:r>
    </w:p>
  </w:footnote>
  <w:footnote w:id="3470">
    <w:p>
      <w:pPr>
        <w:pStyle w:val="Funote"/>
        <w:rPr/>
      </w:pPr>
      <w:r>
        <w:rPr/>
        <w:footnoteRef/>
        <w:tab/>
        <w:t>Partizip</w:t>
      </w:r>
    </w:p>
  </w:footnote>
  <w:footnote w:id="3471">
    <w:p>
      <w:pPr>
        <w:pStyle w:val="Funote"/>
        <w:rPr/>
      </w:pPr>
      <w:r>
        <w:rPr/>
        <w:footnoteRef/>
        <w:tab/>
        <w:t>Partizip, hier final augelöst</w:t>
      </w:r>
    </w:p>
  </w:footnote>
  <w:footnote w:id="3472">
    <w:p>
      <w:pPr>
        <w:pStyle w:val="Funote"/>
        <w:rPr/>
      </w:pPr>
      <w:r>
        <w:rPr/>
        <w:footnoteRef/>
        <w:tab/>
        <w:t>oder vlt.:"Was du willst, geschehe"</w:t>
      </w:r>
    </w:p>
  </w:footnote>
  <w:footnote w:id="3473">
    <w:p>
      <w:pPr>
        <w:pStyle w:val="Funote"/>
        <w:rPr/>
      </w:pPr>
      <w:r>
        <w:rPr/>
        <w:footnoteRef/>
        <w:tab/>
        <w:t>Partizip</w:t>
      </w:r>
    </w:p>
  </w:footnote>
  <w:footnote w:id="3474">
    <w:p>
      <w:pPr>
        <w:pStyle w:val="Funote"/>
        <w:rPr/>
      </w:pPr>
      <w:r>
        <w:rPr/>
        <w:footnoteRef/>
        <w:tab/>
        <w:t>Partizip</w:t>
      </w:r>
    </w:p>
  </w:footnote>
  <w:footnote w:id="3475">
    <w:p>
      <w:pPr>
        <w:pStyle w:val="Funote"/>
        <w:rPr/>
      </w:pPr>
      <w:r>
        <w:rPr/>
        <w:footnoteRef/>
        <w:tab/>
        <w:t>Partizip</w:t>
      </w:r>
    </w:p>
  </w:footnote>
  <w:footnote w:id="3476">
    <w:p>
      <w:pPr>
        <w:pStyle w:val="Funote"/>
        <w:rPr/>
      </w:pPr>
      <w:r>
        <w:rPr/>
        <w:footnoteRef/>
        <w:tab/>
        <w:t>Partizip</w:t>
      </w:r>
    </w:p>
  </w:footnote>
  <w:footnote w:id="3477">
    <w:p>
      <w:pPr>
        <w:pStyle w:val="Funote"/>
        <w:rPr/>
      </w:pPr>
      <w:r>
        <w:rPr/>
        <w:footnoteRef/>
        <w:tab/>
        <w:t>Partizip</w:t>
      </w:r>
    </w:p>
  </w:footnote>
  <w:footnote w:id="3478">
    <w:p>
      <w:pPr>
        <w:pStyle w:val="Funote"/>
        <w:rPr/>
      </w:pPr>
      <w:r>
        <w:rPr/>
        <w:footnoteRef/>
        <w:tab/>
        <w:t>Partizip</w:t>
      </w:r>
    </w:p>
  </w:footnote>
  <w:footnote w:id="3479">
    <w:p>
      <w:pPr>
        <w:pStyle w:val="Funote"/>
        <w:rPr/>
      </w:pPr>
      <w:r>
        <w:rPr/>
        <w:footnoteRef/>
        <w:tab/>
        <w:t>[Status: Zuverlässig]</w:t>
      </w:r>
    </w:p>
  </w:footnote>
  <w:footnote w:id="3480">
    <w:p>
      <w:pPr>
        <w:pStyle w:val="Funote"/>
        <w:rPr/>
      </w:pPr>
      <w:r>
        <w:rPr>
          <w:i/>
        </w:rPr>
        <w:footnoteRef/>
        <w:tab/>
        <w:t>{</w:t>
      </w:r>
      <w:r>
        <w:rPr>
          <w:i/>
          <w:strike/>
        </w:rPr>
        <w:t>Und</w:t>
      </w:r>
      <w:r>
        <w:rPr>
          <w:i/>
        </w:rPr>
        <w:t>}</w:t>
      </w:r>
      <w:r>
        <w:rPr/>
        <w:t xml:space="preserve"> - Übliche Markierung im Griechischen zur Eröffnung eines neuen Abschnittes. Im Dt. ist dies unüblich.</w:t>
      </w:r>
    </w:p>
  </w:footnote>
  <w:footnote w:id="3481">
    <w:p>
      <w:pPr>
        <w:pStyle w:val="Funote"/>
        <w:rPr/>
      </w:pPr>
      <w:r>
        <w:rPr/>
        <w:footnoteRef/>
        <w:tab/>
        <w:t>Pharisäer und Sadduzäer - Zwei jüd. Gruppierungen aus Jesu Zeit, die bei Mt auch in Mt 3,7 explizit negativ bewertet werden. Die Pharisäer zeichneten sich durch ihre besondere Strenge bei der Auslegung und der Befolgung göttlicher Gebote aus, die Sadduzäer waren meist Angehörige der Priesterklasse. Und gerade diese beiden Gruppierungen werden hier als „böses und ehebrecherisches Geschlecht“ bezeichnet.Gut übersetzt bei BigS: „Menschen, die zur pharisäischen oder sadduzäischen Gruppierung gehörten“.</w:t>
      </w:r>
    </w:p>
  </w:footnote>
  <w:footnote w:id="3482">
    <w:p>
      <w:pPr>
        <w:pStyle w:val="Funote"/>
        <w:rPr/>
      </w:pPr>
      <w:r>
        <w:rPr>
          <w:i/>
        </w:rPr>
        <w:footnoteRef/>
        <w:tab/>
        <w:t>Zeit</w:t>
      </w:r>
      <w:r>
        <w:rPr/>
        <w:t xml:space="preserve"> - W. „Zeiten“.</w:t>
      </w:r>
    </w:p>
  </w:footnote>
  <w:footnote w:id="3483">
    <w:p>
      <w:pPr>
        <w:pStyle w:val="Funote"/>
        <w:rPr/>
      </w:pPr>
      <w:r>
        <w:rPr/>
        <w:footnoteRef/>
        <w:tab/>
        <w:t>Textkritik: Die wörtliche Rede in Vv. 2f. ist in vielen Handschriften nicht überliefert. Viele Kommentare halten die Verse daher für eine spätere Bearbeitung, die etwas ähnliches wie Lk 12,54-56 auch an unserer Stelle nachgetragen habe (so z.B. TCNT); so daher auch wir, obwohl diese Deutung durchaus nicht unumstritten ist (s. z.B. TCG, S. 334f.). In der LF sollte diese Stelle ausgespart werden.</w:t>
      </w:r>
    </w:p>
  </w:footnote>
  <w:footnote w:id="3484">
    <w:p>
      <w:pPr>
        <w:pStyle w:val="Funote"/>
        <w:rPr/>
      </w:pPr>
      <w:r>
        <w:rPr/>
        <w:footnoteRef/>
        <w:tab/>
        <w:t>ehebrecherisches (bundesbrüchiges) - Das Verhältnis von JHWH zu seinem Volk ist in der Bibel oft in den Begriffe einer Ehe gedacht (vgl. z.B. Ehe (AT) (WiBiLex)); die Rede vom »ehebrecherischen Geschlecht« meint daher soviel wie »Geschlecht, dass dem Bund, den JHWH mit seinem Volk geschlossen hat, nicht gerecht wird (besonders, indem es anderen Göttern hinterherläuft)«. Dass hier gerade die Pharisäer und Sadduzäer (s. FN b) als ein solches »ehebrecherisches Geschlecht« abqualifiziert werden, ist eigentlich unerhört.</w:t>
      </w:r>
    </w:p>
  </w:footnote>
  <w:footnote w:id="3485">
    <w:p>
      <w:pPr>
        <w:pStyle w:val="Funote"/>
        <w:rPr/>
      </w:pPr>
      <w:r>
        <w:rPr/>
        <w:footnoteRef/>
        <w:tab/>
        <w:t>Geschlecht (Generation, Pack) - Die Rede vom »Geschlecht« hat Mt aus Mk übernommen, wo das Wort beinahe wie ein Schimpfwort verwendet wird (s. Mk 8,12.38; 9,19; vgl. z.B. EWNT I, S. 294; TWNT I, S. 661), was bei Matthäus durch die Hinzufügung deutlicher Adjektive sogar noch verstärkt wird (»böse und ehebrecherisch«; s. ähnlich auch Mt 12,39.45; 17,17).Sinnvoll übersetzt daher z.B. B/N in den Mk-Stellen: »Dieses [böse und ehebrecherische] Pack«</w:t>
      </w:r>
    </w:p>
  </w:footnote>
  <w:footnote w:id="3486">
    <w:p>
      <w:pPr>
        <w:pStyle w:val="Funote"/>
        <w:rPr/>
      </w:pPr>
      <w:r>
        <w:rPr>
          <w:i/>
        </w:rPr>
        <w:footnoteRef/>
        <w:tab/>
        <w:t>an das jenseitige [Ufer]</w:t>
      </w:r>
      <w:r>
        <w:rPr/>
        <w:t xml:space="preserve"> - W. „an das Jenseitige“; stehende Formulierung für eine Überquerung des Sees Gennesaret.</w:t>
      </w:r>
    </w:p>
  </w:footnote>
  <w:footnote w:id="3487">
    <w:p>
      <w:pPr>
        <w:pStyle w:val="Funote"/>
        <w:rPr/>
      </w:pPr>
      <w:r>
        <w:rPr/>
        <w:footnoteRef/>
        <w:tab/>
        <w:t>Als die Jünger ... kamen - Nach der Darstellung des Mt ist offenbar Jesus in Mt 15,39 allein nach Magadan gefahren; die Jünger stoßen nun nachträglich zu ihm (vgl. z.B. Luz 1990, S. 447).</w:t>
      </w:r>
    </w:p>
  </w:footnote>
  <w:footnote w:id="3488">
    <w:p>
      <w:pPr>
        <w:pStyle w:val="Funote"/>
        <w:rPr/>
      </w:pPr>
      <w:r>
        <w:rPr>
          <w:i/>
        </w:rPr>
        <w:footnoteRef/>
        <w:tab/>
        <w:t>[gerade]</w:t>
      </w:r>
      <w:r>
        <w:rPr/>
        <w:t xml:space="preserve"> - Das Verb steht im Gr. im Imperfekt, um zu markieren, dass die Handlung gerade im Vollzug ist.</w:t>
      </w:r>
    </w:p>
  </w:footnote>
  <w:footnote w:id="3489">
    <w:p>
      <w:pPr>
        <w:pStyle w:val="Funote"/>
        <w:rPr/>
      </w:pPr>
      <w:r>
        <w:rPr/>
        <w:footnoteRef/>
        <w:tab/>
        <w:t>Wir haben das Brot nicht mitgenommen! - Im Gr. steht vor diesem Satz ein hoti. Wenn die Jünger hier auf Jesu Wort eingehen, ist dieses mit „weil“ zu übersetzen: „[Das hat er gesagt,] weil wir keine Brote mitgenommen haben!“ Andernfalls ist hoti als Einleitung der wörtlichen Rede zu verstehen und als Doppelpunkt wiederzugeben (vgl. z.B. France 2007, S. 606f., FN 2). Diese Deutung macht hier mehr Sinn; s. die Anmerkungen.</w:t>
      </w:r>
    </w:p>
  </w:footnote>
  <w:footnote w:id="3490">
    <w:p>
      <w:pPr>
        <w:pStyle w:val="Funote"/>
        <w:rPr/>
      </w:pPr>
      <w:r>
        <w:rPr>
          <w:i/>
        </w:rPr>
        <w:footnoteRef/>
        <w:tab/>
        <w:t>dass (weil)</w:t>
      </w:r>
      <w:r>
        <w:rPr/>
        <w:t xml:space="preserve"> - Auch hier steht ein </w:t>
      </w:r>
      <w:r>
        <w:rPr>
          <w:i/>
        </w:rPr>
        <w:t>hoti</w:t>
      </w:r>
      <w:r>
        <w:rPr/>
        <w:t xml:space="preserve">; die Übersetzung hängt ab von der Deutung des </w:t>
      </w:r>
      <w:r>
        <w:rPr>
          <w:i/>
        </w:rPr>
        <w:t>hoti</w:t>
      </w:r>
      <w:r>
        <w:rPr/>
        <w:t xml:space="preserve"> in V. 7 (s. </w:t>
      </w:r>
      <w:r>
        <w:fldChar w:fldCharType="begin"/>
      </w:r>
      <w:r>
        <w:instrText> HYPERLINK "http://offene-bibel.de/mediawiki/index.php?title=Matthäus_16" \l "note_j"</w:instrText>
      </w:r>
      <w:r>
        <w:fldChar w:fldCharType="separate"/>
      </w:r>
      <w:r>
        <w:rPr>
          <w:rStyle w:val="Internetverknpfung"/>
        </w:rPr>
        <w:t>FN j</w:t>
      </w:r>
      <w:r>
        <w:fldChar w:fldCharType="end"/>
      </w:r>
      <w:r>
        <w:rPr/>
        <w:t>).</w:t>
      </w:r>
    </w:p>
  </w:footnote>
  <w:footnote w:id="3491">
    <w:p>
      <w:pPr>
        <w:pStyle w:val="Funote"/>
        <w:rPr/>
      </w:pPr>
      <w:r>
        <w:rPr/>
        <w:footnoteRef/>
        <w:tab/>
        <w:t>noch nicht ... und ... nicht [mehr] - Zur doppelten Verneinung s. FN x zur entsprechenden Formulierung in Mk 8,17: Sie legt noch zusätzliche Emphase auf diese kritische Nachfrage; sinngemäßer also etwa: »Begreift ihr [denn immer] noch nicht? Erinnert ihr euch [denn] nicht mehr...?«</w:t>
      </w:r>
    </w:p>
  </w:footnote>
  <w:footnote w:id="3492">
    <w:p>
      <w:pPr>
        <w:pStyle w:val="Funote"/>
        <w:rPr/>
      </w:pPr>
      <w:r>
        <w:rPr/>
        <w:footnoteRef/>
        <w:tab/>
        <w:t>Textkritik: des Brotes fehlt in einigen Handschriften; die Handschriften, die es haben, schwanken zwischen Sg. und Pl. Wahrscheinlich handelt es sich hier also um eine nachträgliche Einfügung, die den Sinn des Ausspruchs deutlicher machen sollte, den er aber auch so hat: Die Jünger verstehen, dass Jesus nicht von wortwörtlichem Sauerteig sprach, sondern eben von der Lehre. Vgl. z.B. France 2007, S. 607, FN 4.</w:t>
      </w:r>
    </w:p>
  </w:footnote>
  <w:footnote w:id="3493">
    <w:p>
      <w:pPr>
        <w:pStyle w:val="Funote"/>
        <w:rPr/>
      </w:pPr>
      <w:r>
        <w:rPr/>
        <w:footnoteRef/>
        <w:tab/>
        <w:t>Menschensohn - Den Begriff übernimmt Matthäus v.a. aus dem Markusevangelium; hier wie dort fällt er fast ausschließlich dann, wenn Jesus von sich selbst und seiner Rolle beim Ende der Zeit spricht: dass er von den Menschen verworfen, ausgeliefert und getötet werden müsse, dann aber in großer Macht und Herrlichkeit wiederkehren werde (vgl. besonders gut Danove 2003, S. 23-25. Zu näherem s. z.B. Menschensohn (WiBiLex)). Die Wortstellung »ich, der Menschensohn« soll offensichtlich den Kontrast zwischen diesem seinem Menschensohn-Sein und den Fehleinschätzungen der »Leute« zum Ausdruck bringen (so gut Luz 1990, S. 459).</w:t>
      </w:r>
    </w:p>
  </w:footnote>
  <w:footnote w:id="3494">
    <w:p>
      <w:pPr>
        <w:pStyle w:val="Funote"/>
        <w:rPr/>
      </w:pPr>
      <w:r>
        <w:rPr/>
        <w:footnoteRef/>
        <w:tab/>
        <w:t>Textkritik: ich - der Menschensohn! - (dass der Menschensohn) - me (»ich«) wird von der Mehrheit der Textzeugen überliefert; nur wenige - allerdings alte - Handschriften bezeugen die Variante ohne me. Die Variante mit me ist allerdings sicher als die schwierigere Lesart vorzuziehen (so z.B. Luz 1990, S. 452, Anm. 1; anders z.B. TCG, S. 344f.; TCNT).</w:t>
      </w:r>
    </w:p>
  </w:footnote>
  <w:footnote w:id="3495">
    <w:p>
      <w:pPr>
        <w:pStyle w:val="Funote"/>
        <w:rPr/>
      </w:pPr>
      <w:r>
        <w:rPr>
          <w:i/>
        </w:rPr>
        <w:footnoteRef/>
        <w:tab/>
        <w:t>der Gesalbte</w:t>
      </w:r>
      <w:r>
        <w:rPr/>
        <w:t xml:space="preserve"> - Gr. </w:t>
      </w:r>
      <w:r>
        <w:rPr>
          <w:i/>
        </w:rPr>
        <w:t>christos</w:t>
      </w:r>
      <w:r>
        <w:rPr/>
        <w:t xml:space="preserve">. Im Alten Israel wurden Könige durch eine „Salbung“ eingesetzt. Zur Zeit Jesu war die Hoffnung verbreitet, dass dereinst ein endzeitlicher König erstehen und Israel retten werde (s. z.B. </w:t>
      </w:r>
      <w:r>
        <w:fldChar w:fldCharType="begin"/>
      </w:r>
      <w:r>
        <w:instrText> HYPERLINK "https://www.bibelwissenschaft.de/stichwort/51997/" \l "h1"</w:instrText>
      </w:r>
      <w:r>
        <w:fldChar w:fldCharType="separate"/>
      </w:r>
      <w:r>
        <w:rPr>
          <w:rStyle w:val="Internetverknpfung"/>
        </w:rPr>
        <w:t>Messias / Christus (WiBiLex)</w:t>
      </w:r>
      <w:r>
        <w:fldChar w:fldCharType="end"/>
      </w:r>
      <w:r>
        <w:rPr/>
        <w:t>). Als diesen endzeitlichen König identifiziert Petrus hier Jesus.</w:t>
      </w:r>
    </w:p>
  </w:footnote>
  <w:footnote w:id="3496">
    <w:p>
      <w:pPr>
        <w:pStyle w:val="Funote"/>
        <w:rPr/>
      </w:pPr>
      <w:r>
        <w:rPr/>
        <w:footnoteRef/>
        <w:tab/>
        <w:t>[Wie] glücklich (selig, glückselig) - Übliche Einleitung einer sog. »Seligpreisung« (dazu s. näher z.B. Seligpreisung (AT) (WiBiLex). Solche »Seligpreisungen« haben sehr wenig mit einer »Seligsprechung« zu tun; die häufige Übersetzung mit »(glück)selig« ist daher eher unglücklich. Es handelt sich vielmehr um einen freudigen Ausruf, nachdem man etwas an einem Menschen wahrgenommen hat, für das man diesen als »glücklich zu preisen« einschätzt. Jesus freut sich also hier darüber, dass Petrus die Gnade zuteil wurde, Empfänger einer göttlichen Offenbarung zu sein.Sehr gut daher z.B. die Üss. »Wie glücklich bist du...!« (NeÜ); »Glücklich bist du zu preisen...!« (NGÜ).</w:t>
      </w:r>
    </w:p>
  </w:footnote>
  <w:footnote w:id="3497">
    <w:p>
      <w:pPr>
        <w:pStyle w:val="Funote"/>
        <w:rPr/>
      </w:pPr>
      <w:r>
        <w:rPr>
          <w:i/>
        </w:rPr>
        <w:footnoteRef/>
        <w:tab/>
        <w:t>bar Jona</w:t>
      </w:r>
      <w:r>
        <w:rPr/>
        <w:t xml:space="preserve"> - W. „Sohn des Jona“. Solche sog. „Patronyme“ waren im Alten Israel in etwa die Entsprechung eines Nachnamens.</w:t>
      </w:r>
    </w:p>
  </w:footnote>
  <w:footnote w:id="3498">
    <w:p>
      <w:pPr>
        <w:pStyle w:val="Funote"/>
        <w:rPr/>
      </w:pPr>
      <w:r>
        <w:rPr/>
        <w:footnoteRef/>
        <w:tab/>
        <w:t>Fleisch und Blut - d.h.: Menschen (vgl. Luz 1990, S. 461, FN 58) - was Petrus hier ausspricht, ist menschliches Wissen übersteigendes Wissen, das ihm daher nur von Gottvater offenbart worden sein konnte.</w:t>
      </w:r>
    </w:p>
  </w:footnote>
  <w:footnote w:id="3499">
    <w:p>
      <w:pPr>
        <w:pStyle w:val="Funote"/>
        <w:rPr/>
      </w:pPr>
      <w:r>
        <w:rPr>
          <w:i/>
        </w:rPr>
        <w:footnoteRef/>
        <w:tab/>
        <w:t>Himmel</w:t>
      </w:r>
      <w:r>
        <w:rPr/>
        <w:t xml:space="preserve"> - Im Gr. Plural; „Himmel“ steht im Gr. meist im Pl., wo das Dt. Sg. verwenden würde.</w:t>
      </w:r>
    </w:p>
  </w:footnote>
  <w:footnote w:id="3500">
    <w:p>
      <w:pPr>
        <w:pStyle w:val="Funote"/>
        <w:rPr/>
      </w:pPr>
      <w:r>
        <w:rPr/>
        <w:footnoteRef/>
        <w:tab/>
        <w:t>Petrus (Fels) ... Gefels - Wortspiel im Gr.: petros (»Fels«) - petra (»Gefels«). S. dazu und zum Rest von Vv. 18f. die Anmerkungen; zu den sprachlichen Aspekten des Wortspiels vgl. immer noch gut z.B. Lampe 1979.</w:t>
      </w:r>
    </w:p>
  </w:footnote>
  <w:footnote w:id="3501">
    <w:p>
      <w:pPr>
        <w:pStyle w:val="Funote"/>
        <w:rPr/>
      </w:pPr>
      <w:r>
        <w:rPr/>
        <w:footnoteRef/>
        <w:tab/>
        <w:t>Die Pforten des Hades sind im Weltbild des Alten Israel die Eingänge zur Unterwelt, dem »Hades«. S. auch dazu die Anmerkungen und vgl. zu Näherem z.B. Lewis 1995.</w:t>
      </w:r>
    </w:p>
  </w:footnote>
  <w:footnote w:id="3502">
    <w:p>
      <w:pPr>
        <w:pStyle w:val="Funote"/>
        <w:rPr/>
      </w:pPr>
      <w:r>
        <w:rPr/>
        <w:footnoteRef/>
        <w:tab/>
        <w:t>sie (es) - Gr. autäs könnte sich entweder beziehen auf petra (»Gefels«) oder, syntaktisch wahrscheinlicher, ekkläsia (»Gemeinde«); vgl. z.B. Luz 1990, S. 464.</w:t>
      </w:r>
    </w:p>
  </w:footnote>
  <w:footnote w:id="3503">
    <w:p>
      <w:pPr>
        <w:pStyle w:val="Funote"/>
        <w:rPr/>
      </w:pPr>
      <w:r>
        <w:rPr/>
        <w:footnoteRef/>
        <w:tab/>
        <w:t>Zu diesem Vers s. die Anmerkungen.</w:t>
      </w:r>
    </w:p>
  </w:footnote>
  <w:footnote w:id="3504">
    <w:p>
      <w:pPr>
        <w:pStyle w:val="Funote"/>
        <w:rPr/>
      </w:pPr>
      <w:r>
        <w:rPr>
          <w:i/>
        </w:rPr>
        <w:footnoteRef/>
        <w:tab/>
        <w:t>müsse</w:t>
      </w:r>
      <w:r>
        <w:rPr/>
        <w:t xml:space="preserve"> - Signalwort im NT: Was </w:t>
      </w:r>
      <w:r>
        <w:rPr>
          <w:i/>
        </w:rPr>
        <w:t>dei</w:t>
      </w:r>
      <w:r>
        <w:rPr/>
        <w:t xml:space="preserve"> („[sein] muss“), ist Teil des göttlichen Heilsplans: Gott hat die in V. 21 zusammengefassten Begebenheiten vorausgeplant und sie spielen eine wichtige Rolle in seinem Plan für seine Schöpfung.</w:t>
      </w:r>
    </w:p>
  </w:footnote>
  <w:footnote w:id="3505">
    <w:p>
      <w:pPr>
        <w:pStyle w:val="Funote"/>
        <w:rPr/>
      </w:pPr>
      <w:r>
        <w:rPr/>
        <w:footnoteRef/>
        <w:tab/>
        <w:t>wandte sich um - Oft übersetzt als „er wandte sich Petrus zu“. Das ist aber hier durchaus nicht gesagt; wörtlich steht: „Er aber wandte sich um“ - was sogar bedeuten könnte, dass Jesus sich von Petrus abwendet und diese Abwendung dann kommentiert mit dem Ausruf „Hinter mich, Satan!“ So dann z.B. GN: „Aber Jesus wandte sich von ihm ab und sagte...“ Wegen dem Folgenden ist diese Deutung sogar etwas wahrscheinlicher, s. die nächste FN.</w:t>
      </w:r>
    </w:p>
  </w:footnote>
  <w:footnote w:id="3506">
    <w:p>
      <w:pPr>
        <w:pStyle w:val="Funote"/>
        <w:rPr/>
      </w:pPr>
      <w:r>
        <w:rPr>
          <w:i/>
        </w:rPr>
        <w:footnoteRef/>
        <w:tab/>
        <w:t>Geh hinter mich (geh weg von mir, lass mich in Ruhe)</w:t>
      </w:r>
      <w:r>
        <w:rPr/>
        <w:t xml:space="preserve"> - Gr. </w:t>
      </w:r>
      <w:r>
        <w:rPr>
          <w:i/>
        </w:rPr>
        <w:t>hupage opiso mou</w:t>
      </w:r>
      <w:r>
        <w:rPr/>
        <w:t xml:space="preserve">; mehrdeutiger Ausdruck: Er könnte sowohl eine eine entschiedene Zurückweisung sein („Weg von mir!“) als auch ein Aufruf zur Nachfolge, was v.a. die ganz ähnlich formulierte Rede von der Nachfolge im nächsten Vers nahelegt: </w:t>
      </w:r>
      <w:r>
        <w:rPr>
          <w:i/>
        </w:rPr>
        <w:t>ei tis thelei opiso mou elthein</w:t>
      </w:r>
      <w:r>
        <w:rPr/>
        <w:t xml:space="preserve"> („Wenn einer hinter mir gehen will“, d.h. „mir nachfolgen will“).</w:t>
      </w:r>
    </w:p>
  </w:footnote>
  <w:footnote w:id="3507">
    <w:p>
      <w:pPr>
        <w:pStyle w:val="Funote"/>
        <w:rPr/>
      </w:pPr>
      <w:r>
        <w:rPr/>
        <w:footnoteRef/>
        <w:tab/>
        <w:t>V. 26 ist noch einmal eine nachgeschobene Begründung von V. 25; der Zhg. der beiden Verse ist dabei wohl etwa der: »Nur, wer sein Leben um meinetwillen verliert, wird es erlangen, und darum geht es ja, denn das Leben ist schließlich wichtiger als die ganze Welt, weil einzig das eigene Leben völlig jenseits jeglichen Tauschwerts steht.« Sehr gut daher z.B. HfA: »Denn was gewinnt ein Mensch, wenn ihm die ganze Welt zufällt, er selbst aber dabei Schaden nimmt? Er kann sein Leben ja nicht wieder zurückkaufen!«</w:t>
      </w:r>
    </w:p>
  </w:footnote>
  <w:footnote w:id="3508">
    <w:p>
      <w:pPr>
        <w:pStyle w:val="Funote"/>
        <w:rPr/>
      </w:pPr>
      <w:r>
        <w:rPr/>
        <w:footnoteRef/>
        <w:tab/>
        <w:t>Herrlichkeit ist im AT eine der zentralsten Eigenschaften Gottes. Die wörtliche Bedeutung der heb. und gr. Begriffe reicht dabei von »Ehre, Ansehen« bis zu etwas wie »Glorie, Lichtschein«, die man sich früher als Attribut von Gottheiten vorstellte (s. z.B. Amzallag 2015, S. 80-82). Bei Mt ist von »Herrlichkeit« bes. dann die Rede, wenn der Text von der Wiederkunft des Menschensohns handelt (s. noch Mt 19,28; 24,30; 25,31), sehr wahrscheinlich hat man also hier v.a. an die verklärte Lichtgestalt dieses wiederkommenden Himmelwesens zu denken haben.</w:t>
      </w:r>
    </w:p>
  </w:footnote>
  <w:footnote w:id="3509">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Die Verheißung in diesem Vers hat also absolute Gültigkeit, da sie schließlich vom einzigen geäußert wird, der überhaupt Voraussagen über diese Geschehnisse machen kann - da er dabei der Hauptakteur sein wird.Sehr sinnvolls übersetzt Zink: »Was ich sage, ist wahr: ...«</w:t>
      </w:r>
    </w:p>
  </w:footnote>
  <w:footnote w:id="3510">
    <w:p>
      <w:pPr>
        <w:pStyle w:val="Funote"/>
        <w:rPr/>
      </w:pPr>
      <w:r>
        <w:rPr/>
        <w:footnoteRef/>
        <w:tab/>
        <w:t>den Tod nicht schmecken (kennen lernen, erfahren) - heb. Idiom; zu einigen weiteren Belegen s. B/S I, S. 751f. Die Bedeutung ist wohl etwa »sterblich sein und sich dieser seienr Sterblichkeit schmerzlich bewusst sein«; vg. BDAG 195.Die meisten Üss. haben schlicht: »Die nicht sterben werden«. Das ist wohl die einfachste Lösung: Die Wiederkunft des Menschensohns liegt nicht etwa in ferner Zukunft, sondern steht unmittelbar bevor - einige von Jesu Hörern werden dann sogar noch am Leben sein.</w:t>
      </w:r>
    </w:p>
  </w:footnote>
  <w:footnote w:id="3511">
    <w:p>
      <w:pPr>
        <w:pStyle w:val="Funote"/>
        <w:rPr/>
      </w:pPr>
      <w:r>
        <w:rPr/>
        <w:footnoteRef/>
        <w:tab/>
        <w:t>[Status: Ungeprüft]</w:t>
      </w:r>
    </w:p>
  </w:footnote>
  <w:footnote w:id="3512">
    <w:p>
      <w:pPr>
        <w:pStyle w:val="Funote"/>
        <w:rPr/>
      </w:pPr>
      <w:r>
        <w:rPr/>
        <w:footnoteRef/>
        <w:tab/>
        <w:t>Partizip</w:t>
      </w:r>
    </w:p>
  </w:footnote>
  <w:footnote w:id="3513">
    <w:p>
      <w:pPr>
        <w:pStyle w:val="Funote"/>
        <w:rPr/>
      </w:pPr>
      <w:r>
        <w:rPr/>
        <w:footnoteRef/>
        <w:tab/>
        <w:t>Partizip, hier temporal aufgelöst. Vlt. auch einfach final auflösen: "Und Petrus ergriff das Wort und..."</w:t>
      </w:r>
    </w:p>
  </w:footnote>
  <w:footnote w:id="3514">
    <w:p>
      <w:pPr>
        <w:pStyle w:val="Funote"/>
        <w:rPr/>
      </w:pPr>
      <w:r>
        <w:rPr/>
        <w:footnoteRef/>
        <w:tab/>
        <w:t>Dazu fehlt noch eine Erklärung!</w:t>
      </w:r>
    </w:p>
  </w:footnote>
  <w:footnote w:id="3515">
    <w:p>
      <w:pPr>
        <w:pStyle w:val="Funote"/>
        <w:rPr/>
      </w:pPr>
      <w:r>
        <w:rPr/>
        <w:footnoteRef/>
        <w:tab/>
        <w:t>Partizip</w:t>
      </w:r>
    </w:p>
  </w:footnote>
  <w:footnote w:id="3516">
    <w:p>
      <w:pPr>
        <w:pStyle w:val="Funote"/>
        <w:rPr/>
      </w:pPr>
      <w:r>
        <w:rPr/>
        <w:footnoteRef/>
        <w:tab/>
        <w:t>Partizip</w:t>
      </w:r>
    </w:p>
  </w:footnote>
  <w:footnote w:id="3517">
    <w:p>
      <w:pPr>
        <w:pStyle w:val="Funote"/>
        <w:rPr/>
      </w:pPr>
      <w:r>
        <w:rPr/>
        <w:footnoteRef/>
        <w:tab/>
        <w:t>Partizip</w:t>
      </w:r>
    </w:p>
  </w:footnote>
  <w:footnote w:id="3518">
    <w:p>
      <w:pPr>
        <w:pStyle w:val="Funote"/>
        <w:rPr/>
      </w:pPr>
      <w:r>
        <w:rPr/>
        <w:footnoteRef/>
        <w:tab/>
        <w:t>Partizip, hier temporal aufgelöst</w:t>
      </w:r>
    </w:p>
  </w:footnote>
  <w:footnote w:id="3519">
    <w:p>
      <w:pPr>
        <w:pStyle w:val="Funote"/>
        <w:rPr/>
      </w:pPr>
      <w:r>
        <w:rPr/>
        <w:footnoteRef/>
        <w:tab/>
        <w:t>Partizip</w:t>
      </w:r>
    </w:p>
  </w:footnote>
  <w:footnote w:id="3520">
    <w:p>
      <w:pPr>
        <w:pStyle w:val="Funote"/>
        <w:rPr/>
      </w:pPr>
      <w:r>
        <w:rPr/>
        <w:footnoteRef/>
        <w:tab/>
        <w:t>Partizip</w:t>
      </w:r>
    </w:p>
  </w:footnote>
  <w:footnote w:id="3521">
    <w:p>
      <w:pPr>
        <w:pStyle w:val="Funote"/>
        <w:rPr/>
      </w:pPr>
      <w:r>
        <w:rPr/>
        <w:footnoteRef/>
        <w:tab/>
        <w:t>Futur, eventl. hier und auch im kommenden Satz: "sollen"</w:t>
      </w:r>
    </w:p>
  </w:footnote>
  <w:footnote w:id="3522">
    <w:p>
      <w:pPr>
        <w:pStyle w:val="Funote"/>
        <w:rPr/>
      </w:pPr>
      <w:r>
        <w:rPr/>
        <w:footnoteRef/>
        <w:tab/>
        <w:t>Partizip, hier wohl am besten final auflösen.</w:t>
      </w:r>
    </w:p>
  </w:footnote>
  <w:footnote w:id="3523">
    <w:p>
      <w:pPr>
        <w:pStyle w:val="Funote"/>
        <w:rPr/>
      </w:pPr>
      <w:r>
        <w:rPr/>
        <w:footnoteRef/>
        <w:tab/>
        <w:t>Partizip. Eventl. "die Männer, die..."</w:t>
      </w:r>
    </w:p>
  </w:footnote>
  <w:footnote w:id="3524">
    <w:p>
      <w:pPr>
        <w:pStyle w:val="Funote"/>
        <w:rPr/>
      </w:pPr>
      <w:r>
        <w:rPr/>
        <w:footnoteRef/>
        <w:tab/>
        <w:t>Wörtlich den Doppeldrachmen, die Frage erwartet ein "Ja" als Antwort.</w:t>
      </w:r>
    </w:p>
  </w:footnote>
  <w:footnote w:id="3525">
    <w:p>
      <w:pPr>
        <w:pStyle w:val="Funote"/>
        <w:rPr/>
      </w:pPr>
      <w:r>
        <w:rPr/>
        <w:footnoteRef/>
        <w:tab/>
        <w:t>Partizip</w:t>
      </w:r>
    </w:p>
  </w:footnote>
  <w:footnote w:id="3526">
    <w:p>
      <w:pPr>
        <w:pStyle w:val="Funote"/>
        <w:rPr/>
      </w:pPr>
      <w:r>
        <w:rPr/>
        <w:footnoteRef/>
        <w:tab/>
        <w:t>Partizip. Wörtlich: sagend</w:t>
      </w:r>
    </w:p>
  </w:footnote>
  <w:footnote w:id="3527">
    <w:p>
      <w:pPr>
        <w:pStyle w:val="Funote"/>
        <w:rPr/>
      </w:pPr>
      <w:r>
        <w:rPr/>
        <w:footnoteRef/>
        <w:tab/>
        <w:t>Partizip</w:t>
      </w:r>
    </w:p>
  </w:footnote>
  <w:footnote w:id="3528">
    <w:p>
      <w:pPr>
        <w:pStyle w:val="Funote"/>
        <w:rPr/>
      </w:pPr>
      <w:r>
        <w:rPr/>
        <w:footnoteRef/>
        <w:tab/>
        <w:t>[Status: Ungeprüft]</w:t>
      </w:r>
    </w:p>
  </w:footnote>
  <w:footnote w:id="3529">
    <w:p>
      <w:pPr>
        <w:pStyle w:val="Funote"/>
        <w:rPr/>
      </w:pPr>
      <w:r>
        <w:rPr/>
        <w:footnoteRef/>
        <w:tab/>
        <w:t>Partizip</w:t>
      </w:r>
    </w:p>
  </w:footnote>
  <w:footnote w:id="3530">
    <w:p>
      <w:pPr>
        <w:pStyle w:val="Funote"/>
        <w:rPr/>
      </w:pPr>
      <w:r>
        <w:rPr/>
        <w:footnoteRef/>
        <w:tab/>
        <w:t>Partizip. Hier temporal, vlt. auch "als er..."</w:t>
      </w:r>
    </w:p>
  </w:footnote>
  <w:footnote w:id="3531">
    <w:p>
      <w:pPr>
        <w:pStyle w:val="Funote"/>
        <w:rPr/>
      </w:pPr>
      <w:r>
        <w:rPr/>
        <w:footnoteRef/>
        <w:tab/>
        <w:t>gemeint ist vlt. "den Kleinsten" oder "das Kind"</w:t>
      </w:r>
    </w:p>
  </w:footnote>
  <w:footnote w:id="3532">
    <w:p>
      <w:pPr>
        <w:pStyle w:val="Funote"/>
        <w:rPr/>
      </w:pPr>
      <w:r>
        <w:rPr/>
        <w:footnoteRef/>
        <w:tab/>
        <w:t>Partizip. Wörtlich: "glaubend"</w:t>
      </w:r>
    </w:p>
  </w:footnote>
  <w:footnote w:id="3533">
    <w:p>
      <w:pPr>
        <w:pStyle w:val="Funote"/>
        <w:rPr/>
      </w:pPr>
      <w:r>
        <w:rPr/>
        <w:footnoteRef/>
        <w:tab/>
        <w:t>Partizip. Vlt. auch einfach "mit zwei ..."</w:t>
      </w:r>
    </w:p>
  </w:footnote>
  <w:footnote w:id="3534">
    <w:p>
      <w:pPr>
        <w:pStyle w:val="Funote"/>
        <w:rPr/>
      </w:pPr>
      <w:r>
        <w:rPr/>
        <w:footnoteRef/>
        <w:tab/>
        <w:t>Partizip. Vlt. auch einfach "mit zwei ..."</w:t>
      </w:r>
    </w:p>
  </w:footnote>
  <w:footnote w:id="3535">
    <w:p>
      <w:pPr>
        <w:pStyle w:val="Funote"/>
        <w:rPr/>
      </w:pPr>
      <w:r>
        <w:rPr/>
        <w:footnoteRef/>
        <w:tab/>
        <w:t>Was meint ihr?</w:t>
      </w:r>
    </w:p>
  </w:footnote>
  <w:footnote w:id="3536">
    <w:p>
      <w:pPr>
        <w:pStyle w:val="Funote"/>
        <w:rPr/>
      </w:pPr>
      <w:r>
        <w:rPr/>
        <w:footnoteRef/>
        <w:tab/>
        <w:t>Partizip, hier final aufgelöst</w:t>
      </w:r>
    </w:p>
  </w:footnote>
  <w:footnote w:id="3537">
    <w:p>
      <w:pPr>
        <w:pStyle w:val="Funote"/>
        <w:rPr/>
      </w:pPr>
      <w:r>
        <w:rPr/>
        <w:footnoteRef/>
        <w:tab/>
        <w:t>Oder vlt. auch siebzigmal sieben</w:t>
      </w:r>
    </w:p>
  </w:footnote>
  <w:footnote w:id="3538">
    <w:p>
      <w:pPr>
        <w:pStyle w:val="Funote"/>
        <w:rPr/>
      </w:pPr>
      <w:r>
        <w:rPr/>
        <w:footnoteRef/>
        <w:tab/>
        <w:t>vlt. hohe Beamte, Minister</w:t>
      </w:r>
    </w:p>
  </w:footnote>
  <w:footnote w:id="3539">
    <w:p>
      <w:pPr>
        <w:pStyle w:val="Funote"/>
        <w:rPr/>
      </w:pPr>
      <w:r>
        <w:rPr/>
        <w:footnoteRef/>
        <w:tab/>
        <w:t>Partizip</w:t>
      </w:r>
    </w:p>
  </w:footnote>
  <w:footnote w:id="3540">
    <w:p>
      <w:pPr>
        <w:pStyle w:val="Funote"/>
        <w:rPr/>
      </w:pPr>
      <w:r>
        <w:rPr/>
        <w:footnoteRef/>
        <w:tab/>
        <w:t>Partizip, vielleicht besser kausal "weil"</w:t>
      </w:r>
    </w:p>
  </w:footnote>
  <w:footnote w:id="3541">
    <w:p>
      <w:pPr>
        <w:pStyle w:val="Funote"/>
        <w:rPr/>
      </w:pPr>
      <w:r>
        <w:rPr/>
        <w:footnoteRef/>
        <w:tab/>
        <w:t>Partizip</w:t>
      </w:r>
    </w:p>
  </w:footnote>
  <w:footnote w:id="3542">
    <w:p>
      <w:pPr>
        <w:pStyle w:val="Funote"/>
        <w:rPr/>
      </w:pPr>
      <w:r>
        <w:rPr/>
        <w:footnoteRef/>
        <w:tab/>
        <w:t>Partizip</w:t>
      </w:r>
    </w:p>
  </w:footnote>
  <w:footnote w:id="3543">
    <w:p>
      <w:pPr>
        <w:pStyle w:val="Funote"/>
        <w:rPr/>
      </w:pPr>
      <w:r>
        <w:rPr/>
        <w:footnoteRef/>
        <w:tab/>
        <w:t>Partizip</w:t>
      </w:r>
    </w:p>
  </w:footnote>
  <w:footnote w:id="3544">
    <w:p>
      <w:pPr>
        <w:pStyle w:val="Funote"/>
        <w:rPr/>
      </w:pPr>
      <w:r>
        <w:rPr/>
        <w:footnoteRef/>
        <w:tab/>
        <w:t>Partizip</w:t>
      </w:r>
    </w:p>
  </w:footnote>
  <w:footnote w:id="3545">
    <w:p>
      <w:pPr>
        <w:pStyle w:val="Funote"/>
        <w:rPr/>
      </w:pPr>
      <w:r>
        <w:rPr/>
        <w:footnoteRef/>
        <w:tab/>
        <w:t>Parallel zu Vers 26</w:t>
      </w:r>
    </w:p>
  </w:footnote>
  <w:footnote w:id="3546">
    <w:p>
      <w:pPr>
        <w:pStyle w:val="Funote"/>
        <w:rPr/>
      </w:pPr>
      <w:r>
        <w:rPr/>
        <w:footnoteRef/>
        <w:tab/>
        <w:t>Partizip</w:t>
      </w:r>
    </w:p>
  </w:footnote>
  <w:footnote w:id="3547">
    <w:p>
      <w:pPr>
        <w:pStyle w:val="Funote"/>
        <w:rPr/>
      </w:pPr>
      <w:r>
        <w:rPr/>
        <w:footnoteRef/>
        <w:tab/>
        <w:t>Partizip</w:t>
      </w:r>
    </w:p>
  </w:footnote>
  <w:footnote w:id="3548">
    <w:p>
      <w:pPr>
        <w:pStyle w:val="Funote"/>
        <w:rPr/>
      </w:pPr>
      <w:r>
        <w:rPr/>
        <w:footnoteRef/>
        <w:tab/>
        <w:t>Partizip</w:t>
      </w:r>
    </w:p>
  </w:footnote>
  <w:footnote w:id="3549">
    <w:p>
      <w:pPr>
        <w:pStyle w:val="Funote"/>
        <w:rPr/>
      </w:pPr>
      <w:r>
        <w:rPr/>
        <w:footnoteRef/>
        <w:tab/>
        <w:t>Partizip</w:t>
      </w:r>
    </w:p>
  </w:footnote>
  <w:footnote w:id="3550">
    <w:p>
      <w:pPr>
        <w:pStyle w:val="Funote"/>
        <w:rPr/>
      </w:pPr>
      <w:r>
        <w:rPr/>
        <w:footnoteRef/>
        <w:tab/>
        <w:t>Partizip</w:t>
      </w:r>
    </w:p>
  </w:footnote>
  <w:footnote w:id="3551">
    <w:p>
      <w:pPr>
        <w:pStyle w:val="Funote"/>
        <w:rPr/>
      </w:pPr>
      <w:r>
        <w:rPr/>
        <w:footnoteRef/>
        <w:tab/>
        <w:t>Der Gedanke aus Vers 23-27 wird fortgeführt. U.Luz erklärt in EKK I/3, S. 205 überzeugend, dass beide Periskopen einen zusammenhängenden Text bilden</w:t>
      </w:r>
    </w:p>
  </w:footnote>
  <w:footnote w:id="3552">
    <w:p>
      <w:pPr>
        <w:pStyle w:val="Funote"/>
        <w:rPr/>
      </w:pPr>
      <w:r>
        <w:rPr/>
        <w:footnoteRef/>
        <w:tab/>
        <w:t>wie aus dem Zusammenhang deutlich wird</w:t>
      </w:r>
    </w:p>
  </w:footnote>
  <w:footnote w:id="3553">
    <w:p>
      <w:pPr>
        <w:pStyle w:val="Funote"/>
        <w:rPr/>
      </w:pPr>
      <w:r>
        <w:rPr/>
        <w:footnoteRef/>
        <w:tab/>
        <w:t>Partizip Präsens, beiordnend aufgelöst. Das Verb 'proserchomai' hat die selbe Doppeldeutigkeit wie das dt. 'herantreten', das sowohl die Bewegung wie die Bitte meint.</w:t>
      </w:r>
    </w:p>
  </w:footnote>
  <w:footnote w:id="3554">
    <w:p>
      <w:pPr>
        <w:pStyle w:val="Funote"/>
        <w:rPr/>
      </w:pPr>
      <w:r>
        <w:rPr/>
        <w:footnoteRef/>
        <w:tab/>
        <w:t>Partizip Präsens</w:t>
      </w:r>
    </w:p>
  </w:footnote>
  <w:footnote w:id="3555">
    <w:p>
      <w:pPr>
        <w:pStyle w:val="Funote"/>
        <w:rPr/>
      </w:pPr>
      <w:r>
        <w:rPr/>
        <w:footnoteRef/>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3556">
    <w:p>
      <w:pPr>
        <w:pStyle w:val="Funote"/>
        <w:rPr/>
      </w:pPr>
      <w:r>
        <w:rPr/>
        <w:footnoteRef/>
        <w:tab/>
        <w:t>Partizip Präsens, beiordnend aufgelöst</w:t>
      </w:r>
    </w:p>
  </w:footnote>
  <w:footnote w:id="3557">
    <w:p>
      <w:pPr>
        <w:pStyle w:val="Funote"/>
        <w:rPr/>
      </w:pPr>
      <w:r>
        <w:rPr/>
        <w:footnoteRef/>
        <w:tab/>
        <w:t>Partizip Präsens</w:t>
      </w:r>
    </w:p>
  </w:footnote>
  <w:footnote w:id="3558">
    <w:p>
      <w:pPr>
        <w:pStyle w:val="Funote"/>
        <w:rPr/>
      </w:pPr>
      <w:r>
        <w:rPr/>
        <w:footnoteRef/>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3559">
    <w:p>
      <w:pPr>
        <w:pStyle w:val="Funote"/>
        <w:rPr/>
      </w:pPr>
      <w:r>
        <w:rPr/>
        <w:footnoteRef/>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3560">
    <w:p>
      <w:pPr>
        <w:pStyle w:val="Funote"/>
        <w:rPr/>
      </w:pPr>
      <w:r>
        <w:rPr/>
        <w:footnoteRef/>
        <w:tab/>
        <w:t>'oti zitativum'</w:t>
      </w:r>
    </w:p>
  </w:footnote>
  <w:footnote w:id="3561">
    <w:p>
      <w:pPr>
        <w:pStyle w:val="Funote"/>
        <w:rPr/>
      </w:pPr>
      <w:r>
        <w:rPr/>
        <w:footnoteRef/>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3562">
    <w:p>
      <w:pPr>
        <w:pStyle w:val="Funote"/>
        <w:rPr/>
      </w:pPr>
      <w:r>
        <w:rPr/>
        <w:footnoteRef/>
        <w:tab/>
        <w:t>Partizip Präs., konzessiv aufgelöst</w:t>
      </w:r>
    </w:p>
  </w:footnote>
  <w:footnote w:id="3563">
    <w:p>
      <w:pPr>
        <w:pStyle w:val="Funote"/>
        <w:rPr/>
      </w:pPr>
      <w:r>
        <w:rPr/>
        <w:footnoteRef/>
        <w:tab/>
        <w:t>ACI</w:t>
      </w:r>
    </w:p>
  </w:footnote>
  <w:footnote w:id="3564">
    <w:p>
      <w:pPr>
        <w:pStyle w:val="Funote"/>
        <w:rPr/>
      </w:pPr>
      <w:r>
        <w:rPr/>
        <w:footnoteRef/>
        <w:tab/>
        <w:t xml:space="preserve">Ptz. Präs. akt., modal aufgelöst. </w:t>
      </w:r>
    </w:p>
  </w:footnote>
  <w:footnote w:id="3565">
    <w:p>
      <w:pPr>
        <w:pStyle w:val="Funote"/>
        <w:rPr/>
      </w:pPr>
      <w:r>
        <w:rPr/>
        <w:footnoteRef/>
        <w:tab/>
        <w:t xml:space="preserve">Ind. Aor. akt. von </w:t>
      </w:r>
      <w:r>
        <w:rPr>
          <w:lang w:val="el-GR"/>
        </w:rPr>
        <w:t>καθίζω</w:t>
      </w:r>
      <w:r>
        <w:rPr/>
        <w:t xml:space="preserve">. </w:t>
      </w:r>
    </w:p>
  </w:footnote>
  <w:footnote w:id="3566">
    <w:p>
      <w:pPr>
        <w:pStyle w:val="Funote"/>
        <w:rPr/>
      </w:pPr>
      <w:r>
        <w:rPr/>
        <w:footnoteRef/>
        <w:tab/>
        <w:t>Als Zusatz ist belegt: „und schwer zu ertragende“ (</w:t>
      </w:r>
      <w:r>
        <w:rPr>
          <w:lang w:val="el-GR"/>
        </w:rPr>
        <w:t>καὶ δυσβάστακτα</w:t>
      </w:r>
      <w:r>
        <w:rPr/>
        <w:t>)</w:t>
      </w:r>
    </w:p>
  </w:footnote>
  <w:footnote w:id="3567">
    <w:p>
      <w:pPr>
        <w:pStyle w:val="Funote"/>
        <w:rPr/>
      </w:pPr>
      <w:r>
        <w:rPr/>
        <w:footnoteRef/>
        <w:tab/>
        <w:t>Also die Lasten.</w:t>
      </w:r>
    </w:p>
  </w:footnote>
  <w:footnote w:id="3568">
    <w:p>
      <w:pPr>
        <w:pStyle w:val="Funote"/>
        <w:rPr/>
      </w:pPr>
      <w:r>
        <w:rPr/>
        <w:footnoteRef/>
        <w:tab/>
        <w:t>Als Finalsatz übersetztes Partizip.</w:t>
      </w:r>
    </w:p>
  </w:footnote>
  <w:footnote w:id="3569">
    <w:p>
      <w:pPr>
        <w:pStyle w:val="Funote"/>
        <w:rPr/>
      </w:pPr>
      <w:r>
        <w:rPr/>
        <w:footnoteRef/>
        <w:tab/>
        <w:t>Parallel zum zweiten Versteil steht hier der Plural.</w:t>
      </w:r>
    </w:p>
  </w:footnote>
  <w:footnote w:id="3570">
    <w:p>
      <w:pPr>
        <w:pStyle w:val="Funote"/>
        <w:rPr/>
      </w:pPr>
      <w:r>
        <w:rPr/>
        <w:footnoteRef/>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3571">
    <w:p>
      <w:pPr>
        <w:pStyle w:val="Funote"/>
        <w:rPr/>
      </w:pPr>
      <w:r>
        <w:rPr/>
        <w:footnoteRef/>
        <w:tab/>
        <w:t xml:space="preserve">Auch: für einen Rabbi (Meister, Lehrer) gehalten zu werden. Im Griechischen steht </w:t>
      </w:r>
      <w:r>
        <w:rPr>
          <w:lang w:val="el-GR"/>
        </w:rPr>
        <w:t>ῥαββί</w:t>
      </w:r>
      <w:r>
        <w:rPr/>
        <w:t>.</w:t>
      </w:r>
    </w:p>
  </w:footnote>
  <w:footnote w:id="3572">
    <w:p>
      <w:pPr>
        <w:pStyle w:val="Funote"/>
        <w:rPr>
          <w:lang w:val="el-GR"/>
        </w:rPr>
      </w:pPr>
      <w:r>
        <w:rPr>
          <w:lang w:val="el-GR"/>
        </w:rPr>
        <w:footnoteRef/>
        <w:tab/>
        <w:t>ῥαββί</w:t>
      </w:r>
    </w:p>
  </w:footnote>
  <w:footnote w:id="3573">
    <w:p>
      <w:pPr>
        <w:pStyle w:val="Funote"/>
        <w:rPr>
          <w:lang w:val="el-GR"/>
        </w:rPr>
      </w:pPr>
      <w:r>
        <w:rPr>
          <w:lang w:val="el-GR"/>
        </w:rPr>
        <w:footnoteRef/>
        <w:tab/>
        <w:t>διδάσκαλος</w:t>
      </w:r>
    </w:p>
  </w:footnote>
  <w:footnote w:id="3574">
    <w:p>
      <w:pPr>
        <w:pStyle w:val="Funote"/>
        <w:rPr>
          <w:lang w:val="el-GR"/>
        </w:rPr>
      </w:pPr>
      <w:r>
        <w:rPr>
          <w:lang w:val="el-GR"/>
        </w:rPr>
        <w:footnoteRef/>
        <w:tab/>
        <w:t>καθηγηταί</w:t>
      </w:r>
    </w:p>
  </w:footnote>
  <w:footnote w:id="3575">
    <w:p>
      <w:pPr>
        <w:pStyle w:val="Funote"/>
        <w:rPr/>
      </w:pPr>
      <w:r>
        <w:rPr/>
        <w:footnoteRef/>
        <w:tab/>
        <w:t>Alle Verben stehen im Futur.</w:t>
      </w:r>
    </w:p>
  </w:footnote>
  <w:footnote w:id="3576">
    <w:p>
      <w:pPr>
        <w:pStyle w:val="Funote"/>
        <w:rPr/>
      </w:pPr>
      <w:r>
        <w:rPr/>
        <w:footnoteRef/>
        <w:tab/>
        <w:t>Vers 14 ist erst in späteren Textzeugen zu finden.</w:t>
      </w:r>
    </w:p>
  </w:footnote>
  <w:footnote w:id="3577">
    <w:p>
      <w:pPr>
        <w:pStyle w:val="Funote"/>
        <w:rPr>
          <w:lang w:val="el-GR"/>
        </w:rPr>
      </w:pPr>
      <w:r>
        <w:rPr>
          <w:lang w:val="el-GR"/>
        </w:rPr>
        <w:footnoteRef/>
        <w:tab/>
        <w:t>ὁδηγοὶ</w:t>
      </w:r>
    </w:p>
  </w:footnote>
  <w:footnote w:id="3578">
    <w:p>
      <w:pPr>
        <w:pStyle w:val="Funote"/>
        <w:rPr/>
      </w:pPr>
      <w:r>
        <w:rPr/>
        <w:footnoteRef/>
        <w:tab/>
        <w:t>D.h. zu welchem Zeitpunkt der Nachtwache oder zu welcher Stunde der Nacht.</w:t>
      </w:r>
    </w:p>
  </w:footnote>
  <w:footnote w:id="3579">
    <w:p>
      <w:pPr>
        <w:pStyle w:val="Funote"/>
        <w:rPr/>
      </w:pPr>
      <w:r>
        <w:rPr/>
        <w:footnoteRef/>
        <w:tab/>
        <w:t>Wörtl. „um zu antworten (Inf.) wird er sagen“, ähnlich wie das hebräische</w:t>
      </w:r>
      <w:r>
        <w:rPr>
          <w:rtl w:val="true"/>
          <w:lang w:bidi="he-IL"/>
        </w:rPr>
        <w:t>לֵאמֹר</w:t>
      </w:r>
    </w:p>
  </w:footnote>
  <w:footnote w:id="3580">
    <w:p>
      <w:pPr>
        <w:pStyle w:val="Funote"/>
        <w:rPr/>
      </w:pPr>
      <w:r>
        <w:rPr/>
        <w:footnoteRef/>
        <w:tab/>
        <w:t>[Status: Zuverlässig]</w:t>
      </w:r>
    </w:p>
  </w:footnote>
  <w:footnote w:id="3581">
    <w:p>
      <w:pPr>
        <w:pStyle w:val="Funote"/>
        <w:rPr/>
      </w:pPr>
      <w:r>
        <w:rPr/>
        <w:footnoteRef/>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3582">
    <w:p>
      <w:pPr>
        <w:pStyle w:val="Funote"/>
        <w:rPr/>
      </w:pPr>
      <w:r>
        <w:rPr/>
        <w:footnoteRef/>
        <w:tab/>
        <w:t xml:space="preserve">Die Formulierung </w:t>
      </w:r>
      <w:r>
        <w:rPr>
          <w:lang w:val="el-GR"/>
        </w:rPr>
        <w:t>ἄγγελος κύριου</w:t>
      </w:r>
      <w:r>
        <w:rPr/>
        <w:t xml:space="preserve"> („Bote des Herrn“) bezeichnet in der Septuaginta Gottes Engel (vgl. </w:t>
      </w:r>
      <w:hyperlink r:id="rId220">
        <w:r>
          <w:rPr>
            <w:rStyle w:val="Internetverknpfung"/>
          </w:rPr>
          <w:t>Exodus 3</w:t>
        </w:r>
      </w:hyperlink>
      <w:r>
        <w:rPr/>
        <w:t xml:space="preserve"> und </w:t>
      </w:r>
      <w:hyperlink r:id="rId221">
        <w:r>
          <w:rPr>
            <w:rStyle w:val="Internetverknpfung"/>
          </w:rPr>
          <w:t>Richter 6</w:t>
        </w:r>
      </w:hyperlink>
      <w:r>
        <w:rPr/>
        <w:t>). Hier im Neuen Testament bezieht sich „der Herr“ gleichzeitig auch auf Jesus.</w:t>
      </w:r>
    </w:p>
  </w:footnote>
  <w:footnote w:id="3583">
    <w:p>
      <w:pPr>
        <w:pStyle w:val="Funote"/>
        <w:rPr/>
      </w:pPr>
      <w:r>
        <w:rPr/>
        <w:footnoteRef/>
        <w:tab/>
        <w:t>Partizipien Aorist Aktiv</w:t>
      </w:r>
    </w:p>
  </w:footnote>
  <w:footnote w:id="3584">
    <w:p>
      <w:pPr>
        <w:pStyle w:val="Funote"/>
        <w:rPr/>
      </w:pPr>
      <w:r>
        <w:rPr/>
        <w:footnoteRef/>
        <w:tab/>
        <w:t>Einige Handschriften ergänzen: „vom Eingang“ oder „vom Eingang des Grabes“.</w:t>
      </w:r>
    </w:p>
  </w:footnote>
  <w:footnote w:id="3585">
    <w:p>
      <w:pPr>
        <w:pStyle w:val="Funote"/>
        <w:rPr/>
      </w:pPr>
      <w:r>
        <w:rPr/>
        <w:footnoteRef/>
        <w:tab/>
        <w:t>Partizip Aorist Deponens</w:t>
      </w:r>
    </w:p>
  </w:footnote>
  <w:footnote w:id="3586">
    <w:p>
      <w:pPr>
        <w:pStyle w:val="Funote"/>
        <w:rPr/>
      </w:pPr>
      <w:r>
        <w:rPr/>
        <w:footnoteRef/>
        <w:tab/>
        <w:t>Das »ihr« ist sprachlich betont. (Siehe die Übersetzung bei U.Luz 2002, 395).</w:t>
      </w:r>
    </w:p>
  </w:footnote>
  <w:footnote w:id="3587">
    <w:p>
      <w:pPr>
        <w:pStyle w:val="Funote"/>
        <w:rPr/>
      </w:pPr>
      <w:r>
        <w:rPr/>
        <w:footnoteRef/>
        <w:tab/>
        <w:t>Einige Handschriften: „wo der Herr“.</w:t>
      </w:r>
    </w:p>
  </w:footnote>
  <w:footnote w:id="3588">
    <w:p>
      <w:pPr>
        <w:pStyle w:val="Funote"/>
        <w:rPr/>
      </w:pPr>
      <w:r>
        <w:rPr/>
        <w:footnoteRef/>
        <w:tab/>
        <w:t>Partizip Aorist Deponens</w:t>
      </w:r>
    </w:p>
  </w:footnote>
  <w:footnote w:id="3589">
    <w:p>
      <w:pPr>
        <w:pStyle w:val="Funote"/>
        <w:rPr/>
      </w:pPr>
      <w:hyperlink r:id="rId222">
        <w:r>
          <w:rPr>
            <w:rStyle w:val="Internetverknpfung"/>
          </w:rPr>
          <w:footnoteRef/>
          <w:tab/>
          <w:t>Generisches Maskulinum</w:t>
        </w:r>
      </w:hyperlink>
      <w:r>
        <w:rPr/>
        <w:t>.</w:t>
      </w:r>
    </w:p>
  </w:footnote>
  <w:footnote w:id="3590">
    <w:p>
      <w:pPr>
        <w:pStyle w:val="Funote"/>
        <w:rPr/>
      </w:pPr>
      <w:r>
        <w:rPr/>
        <w:footnoteRef/>
        <w:tab/>
        <w:t>Partizip Aorist Aktiv</w:t>
      </w:r>
    </w:p>
  </w:footnote>
  <w:footnote w:id="3591">
    <w:p>
      <w:pPr>
        <w:pStyle w:val="Funote"/>
        <w:rPr/>
      </w:pPr>
      <w:r>
        <w:rPr/>
        <w:footnoteRef/>
        <w:tab/>
        <w:t>Viele Handschriften: „hinaus aus dem Grab“. Bei dem vermutlich ursprünglichen „hinaus“ bleibt offen, ob die Frauen ins Grab gehen oder nicht. (Vgl. U.Luz 2002, 395, Fußnote 5.)</w:t>
      </w:r>
    </w:p>
  </w:footnote>
  <w:footnote w:id="3592">
    <w:p>
      <w:pPr>
        <w:pStyle w:val="Funote"/>
        <w:rPr/>
      </w:pPr>
      <w:r>
        <w:rPr/>
        <w:footnoteRef/>
        <w:tab/>
        <w:t>Die Bibel in gerechter Sprache übersetzt: „mit Ehrfurcht“. Gegen diese Deutung spricht die Wortverwandtschaft mit „Fürchtet euch nicht“ (Vers 5).</w:t>
      </w:r>
    </w:p>
  </w:footnote>
  <w:footnote w:id="3593">
    <w:p>
      <w:pPr>
        <w:pStyle w:val="Funote"/>
        <w:rPr/>
      </w:pPr>
      <w:r>
        <w:rPr/>
        <w:footnoteRef/>
        <w:tab/>
        <w:t>Viele Handschriften ergänzen: „als (während, weil) sie gingen, um es seinen Jüngern (Jüngerinnen) zu berichten“.</w:t>
      </w:r>
    </w:p>
  </w:footnote>
  <w:footnote w:id="3594">
    <w:p>
      <w:pPr>
        <w:pStyle w:val="Funote"/>
        <w:rPr/>
      </w:pPr>
      <w:r>
        <w:rPr/>
        <w:footnoteRef/>
        <w:tab/>
        <w:t>Partizip Präsens Aktiv</w:t>
      </w:r>
    </w:p>
  </w:footnote>
  <w:footnote w:id="3595">
    <w:p>
      <w:pPr>
        <w:pStyle w:val="Funote"/>
        <w:rPr/>
      </w:pPr>
      <w:r>
        <w:rPr/>
        <w:footnoteRef/>
        <w:tab/>
        <w:t>„</w:t>
      </w:r>
      <w:r>
        <w:rPr/>
        <w:t>Freut euch“ ist eine griechische Grußformel (Bauer/Aland).</w:t>
      </w:r>
    </w:p>
  </w:footnote>
  <w:footnote w:id="3596">
    <w:p>
      <w:pPr>
        <w:pStyle w:val="Funote"/>
        <w:rPr/>
      </w:pPr>
      <w:r>
        <w:rPr/>
        <w:footnoteRef/>
        <w:tab/>
        <w:t>Partizip Aorist Aktiv</w:t>
      </w:r>
    </w:p>
  </w:footnote>
  <w:footnote w:id="3597">
    <w:p>
      <w:pPr>
        <w:pStyle w:val="Funote"/>
        <w:rPr/>
      </w:pPr>
      <w:r>
        <w:rPr/>
        <w:footnoteRef/>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3598">
    <w:p>
      <w:pPr>
        <w:pStyle w:val="Funote"/>
        <w:rPr/>
      </w:pPr>
      <w:r>
        <w:rPr/>
        <w:footnoteRef/>
        <w:tab/>
        <w:t xml:space="preserve">Partizip Präsens Deponens im </w:t>
      </w:r>
      <w:hyperlink r:id="rId223">
        <w:r>
          <w:rPr>
            <w:rStyle w:val="Internetverknpfung"/>
          </w:rPr>
          <w:t>Genitivus absolutus</w:t>
        </w:r>
      </w:hyperlink>
    </w:p>
  </w:footnote>
  <w:footnote w:id="3599">
    <w:p>
      <w:pPr>
        <w:pStyle w:val="Funote"/>
        <w:rPr/>
      </w:pPr>
      <w:r>
        <w:rPr/>
        <w:footnoteRef/>
        <w:tab/>
        <w:t>Partizip Aorist Aktiv</w:t>
      </w:r>
    </w:p>
  </w:footnote>
  <w:footnote w:id="3600">
    <w:p>
      <w:pPr>
        <w:pStyle w:val="Funote"/>
        <w:rPr/>
      </w:pPr>
      <w:r>
        <w:rPr/>
        <w:footnoteRef/>
        <w:tab/>
        <w:t>Partizipien Aorist Passiv und Aorist Aktiv</w:t>
      </w:r>
    </w:p>
  </w:footnote>
  <w:footnote w:id="3601">
    <w:p>
      <w:pPr>
        <w:pStyle w:val="Funote"/>
        <w:rPr/>
      </w:pPr>
      <w:r>
        <w:rPr/>
        <w:footnoteRef/>
        <w:tab/>
        <w:t>Partizip Präsens Aktiv</w:t>
      </w:r>
    </w:p>
  </w:footnote>
  <w:footnote w:id="3602">
    <w:p>
      <w:pPr>
        <w:pStyle w:val="Funote"/>
        <w:rPr/>
      </w:pPr>
      <w:hyperlink r:id="rId224">
        <w:r>
          <w:rPr>
            <w:rStyle w:val="Internetverknpfung"/>
          </w:rPr>
          <w:footnoteRef/>
          <w:tab/>
          <w:t>Ὅτι recitativum"&gt;</w:t>
        </w:r>
        <w:r>
          <w:rPr>
            <w:rStyle w:val="Internetverknpfung"/>
            <w:lang w:val="el-GR"/>
          </w:rPr>
          <w:t>Ὅτι</w:t>
        </w:r>
        <w:r>
          <w:rPr>
            <w:rStyle w:val="Internetverknpfung"/>
          </w:rPr>
          <w:t xml:space="preserve"> recitativum</w:t>
        </w:r>
      </w:hyperlink>
    </w:p>
  </w:footnote>
  <w:footnote w:id="3603">
    <w:p>
      <w:pPr>
        <w:pStyle w:val="Funote"/>
        <w:rPr/>
      </w:pPr>
      <w:r>
        <w:rPr/>
        <w:footnoteRef/>
        <w:tab/>
        <w:t>Partizip Aorist Aktiv</w:t>
      </w:r>
    </w:p>
  </w:footnote>
  <w:footnote w:id="3604">
    <w:p>
      <w:pPr>
        <w:pStyle w:val="Funote"/>
        <w:rPr/>
      </w:pPr>
      <w:r>
        <w:rPr/>
        <w:footnoteRef/>
        <w:tab/>
        <w:t>Partizip Präsens Passiv</w:t>
      </w:r>
    </w:p>
  </w:footnote>
  <w:footnote w:id="3605">
    <w:p>
      <w:pPr>
        <w:pStyle w:val="Funote"/>
        <w:rPr/>
      </w:pPr>
      <w:r>
        <w:rPr/>
        <w:footnoteRef/>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3606">
    <w:p>
      <w:pPr>
        <w:pStyle w:val="Funote"/>
        <w:rPr/>
      </w:pPr>
      <w:r>
        <w:rPr/>
        <w:footnoteRef/>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3607">
    <w:p>
      <w:pPr>
        <w:pStyle w:val="Funote"/>
        <w:rPr/>
      </w:pPr>
      <w:r>
        <w:rPr/>
        <w:footnoteRef/>
        <w:tab/>
        <w:t>wörtlich: und euch sorgenfrei machen</w:t>
      </w:r>
    </w:p>
  </w:footnote>
  <w:footnote w:id="3608">
    <w:p>
      <w:pPr>
        <w:pStyle w:val="Funote"/>
        <w:rPr/>
      </w:pPr>
      <w:r>
        <w:rPr/>
        <w:footnoteRef/>
        <w:tab/>
        <w:t>Partizip Aorist Aktiv</w:t>
      </w:r>
    </w:p>
  </w:footnote>
  <w:footnote w:id="3609">
    <w:p>
      <w:pPr>
        <w:pStyle w:val="Funote"/>
        <w:rPr/>
      </w:pPr>
      <w:r>
        <w:rPr/>
        <w:footnoteRef/>
        <w:tab/>
        <w:t>andere Handschriften: erschien</w:t>
      </w:r>
    </w:p>
  </w:footnote>
  <w:footnote w:id="3610">
    <w:p>
      <w:pPr>
        <w:pStyle w:val="Funote"/>
        <w:rPr/>
      </w:pPr>
      <w:r>
        <w:rPr/>
        <w:footnoteRef/>
        <w:tab/>
        <w:t>Es handelt sich nicht um alle Juden, da im Text kein bestimmter Artikel steht (U.Luz 2002, 423–425).</w:t>
      </w:r>
    </w:p>
  </w:footnote>
  <w:footnote w:id="3611">
    <w:p>
      <w:pPr>
        <w:pStyle w:val="Funote"/>
        <w:rPr/>
      </w:pPr>
      <w:r>
        <w:rPr/>
        <w:footnoteRef/>
        <w:tab/>
        <w:t>Partizip Präsens Aktiv</w:t>
      </w:r>
    </w:p>
  </w:footnote>
  <w:footnote w:id="3612">
    <w:p>
      <w:pPr>
        <w:pStyle w:val="Funote"/>
        <w:rPr/>
      </w:pPr>
      <w:r>
        <w:rPr/>
        <w:footnoteRef/>
        <w:tab/>
        <w:t>Siehe Fußnote zu Vers 9.</w:t>
      </w:r>
    </w:p>
  </w:footnote>
  <w:footnote w:id="3613">
    <w:p>
      <w:pPr>
        <w:pStyle w:val="Funote"/>
        <w:rPr/>
      </w:pPr>
      <w:r>
        <w:rPr/>
        <w:footnoteRef/>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3614">
    <w:p>
      <w:pPr>
        <w:pStyle w:val="Funote"/>
        <w:rPr/>
      </w:pPr>
      <w:r>
        <w:rPr/>
        <w:footnoteRef/>
        <w:tab/>
        <w:t>Partizip Präsens aktiv</w:t>
      </w:r>
    </w:p>
  </w:footnote>
  <w:footnote w:id="3615">
    <w:p>
      <w:pPr>
        <w:pStyle w:val="Funote"/>
        <w:rPr/>
      </w:pPr>
      <w:hyperlink r:id="rId225">
        <w:r>
          <w:rPr>
            <w:rStyle w:val="Internetverknpfung"/>
          </w:rPr>
          <w:footnoteRef/>
          <w:tab/>
          <w:t>Passivum divinum</w:t>
        </w:r>
      </w:hyperlink>
    </w:p>
  </w:footnote>
  <w:footnote w:id="3616">
    <w:p>
      <w:pPr>
        <w:pStyle w:val="Funote"/>
        <w:rPr/>
      </w:pPr>
      <w:r>
        <w:rPr/>
        <w:footnoteRef/>
        <w:tab/>
        <w:t>Der bestimmte Artikel fehlt in vielen wichtigen Handschriften.</w:t>
      </w:r>
    </w:p>
  </w:footnote>
  <w:footnote w:id="3617">
    <w:p>
      <w:pPr>
        <w:pStyle w:val="Funote"/>
        <w:rPr/>
      </w:pPr>
      <w:r>
        <w:rPr/>
        <w:footnoteRef/>
        <w:tab/>
        <w:t>Partizip Präsens aktiv</w:t>
      </w:r>
    </w:p>
  </w:footnote>
  <w:footnote w:id="3618">
    <w:p>
      <w:pPr>
        <w:pStyle w:val="Funote"/>
        <w:rPr/>
      </w:pPr>
      <w:r>
        <w:rPr/>
        <w:footnoteRef/>
        <w:tab/>
        <w:t>[Status: Sehr gut]</w:t>
      </w:r>
    </w:p>
  </w:footnote>
  <w:footnote w:id="3619">
    <w:p>
      <w:pPr>
        <w:pStyle w:val="Funote"/>
        <w:rPr/>
      </w:pPr>
      <w:r>
        <w:rPr/>
        <w:footnoteRef/>
        <w:tab/>
        <w:t xml:space="preserve">Das Wort Evangelium (gr. </w:t>
      </w:r>
      <w:r>
        <w:rPr>
          <w:lang w:val="el-GR"/>
        </w:rPr>
        <w:t>εὐαγγέλιον</w:t>
      </w:r>
      <w:r>
        <w:rPr/>
        <w:t>) steht hier noch nicht als literarische Bezeichnung, sondern für die christliche Heilsbotschaft von Jesus. frohe Botschaft von Jesus Christus Im Griechischen steht hier ein Genitiv, den man sowohl objektiv (ein Evangelium über Jesus / das von Jesus handelt) oder subjektiv (ein Evangelium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 [Der]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3620">
    <w:p>
      <w:pPr>
        <w:pStyle w:val="Funote"/>
        <w:rPr/>
      </w:pPr>
      <w:r>
        <w:rPr/>
        <w:footnoteRef/>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w:t>
      </w:r>
    </w:p>
  </w:footnote>
  <w:footnote w:id="3621">
    <w:p>
      <w:pPr>
        <w:pStyle w:val="Funote"/>
        <w:rPr/>
      </w:pPr>
      <w:r>
        <w:rPr/>
        <w:footnoteRef/>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 des Propheten Jesaja – andere Handschriften: „den Propheten“ (Plural)</w:t>
      </w:r>
    </w:p>
  </w:footnote>
  <w:footnote w:id="3622">
    <w:p>
      <w:pPr>
        <w:pStyle w:val="Funote"/>
        <w:rPr/>
      </w:pPr>
      <w:r>
        <w:rPr/>
        <w:footnoteRef/>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3623">
    <w:p>
      <w:pPr>
        <w:pStyle w:val="Funote"/>
        <w:rPr/>
      </w:pPr>
      <w:r>
        <w:rPr>
          <w:i/>
        </w:rPr>
        <w:footnoteRef/>
        <w:tab/>
        <w:t>Stimme eines Rufenden in der Wüste</w:t>
      </w:r>
      <w:r>
        <w:rPr/>
        <w:t xml:space="preserve"> Dass hier kein Verb steht, liegt daran, dass der griechische AT-Text sehr wörtlich aus dem Hebräischen übersetzt ist, wo solche gerafften, verblosen Formulierungen nicht ungewöhnlich sind. </w:t>
      </w:r>
    </w:p>
  </w:footnote>
  <w:footnote w:id="3624">
    <w:p>
      <w:pPr>
        <w:pStyle w:val="Funote"/>
        <w:rPr/>
      </w:pPr>
      <w:r>
        <w:rPr/>
        <w:footnoteRef/>
        <w:tab/>
        <w:t>Anders als von Markus angeben ist das Zitat eine Zusammenstellung aus Jesaja (Jes 40,3 LXX) und Maleachi 3,1.</w:t>
      </w:r>
    </w:p>
  </w:footnote>
  <w:footnote w:id="3625">
    <w:p>
      <w:pPr>
        <w:pStyle w:val="Funote"/>
        <w:rPr/>
      </w:pPr>
      <w:r>
        <w:rPr/>
        <w:footnoteRef/>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3626">
    <w:p>
      <w:pPr>
        <w:pStyle w:val="Funote"/>
        <w:rPr/>
      </w:pPr>
      <w:r>
        <w:rPr>
          <w:i/>
        </w:rPr>
        <w:footnoteRef/>
        <w:tab/>
        <w:t>Johannes der Täufer</w:t>
      </w:r>
      <w:r>
        <w:rPr/>
        <w:t xml:space="preserve"> und </w:t>
      </w:r>
      <w:r>
        <w:rPr>
          <w:i/>
        </w:rPr>
        <w:t>Johannes, der in der Wüste taufte</w:t>
      </w:r>
      <w:r>
        <w:rPr/>
        <w:t>: Es gibt an dieser Stelle leicht verschiedene Lesarten in den Handschriften.</w:t>
      </w:r>
    </w:p>
  </w:footnote>
  <w:footnote w:id="3627">
    <w:p>
      <w:pPr>
        <w:pStyle w:val="Funote"/>
        <w:rPr/>
      </w:pPr>
      <w:r>
        <w:rPr/>
        <w:footnoteRef/>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3628">
    <w:p>
      <w:pPr>
        <w:pStyle w:val="Funote"/>
        <w:rPr/>
      </w:pPr>
      <w:r>
        <w:rPr>
          <w:i/>
        </w:rPr>
        <w:footnoteRef/>
        <w:tab/>
        <w:t>das gesamte judäische Gebiet</w:t>
      </w:r>
      <w:r>
        <w:rPr/>
        <w:t xml:space="preserve"> Hier sind zwei Stilmittel verflochten. Das </w:t>
      </w:r>
      <w:r>
        <w:rPr>
          <w:i/>
        </w:rPr>
        <w:t>judäische Gebiet</w:t>
      </w:r>
      <w:r>
        <w:rPr/>
        <w:t xml:space="preserve"> steht für dessen Bewohner (Metonymie des Subjekts). Und dass es alle waren, ist natürlich eine Übertreibung (Hyperbel).</w:t>
      </w:r>
    </w:p>
  </w:footnote>
  <w:footnote w:id="3629">
    <w:p>
      <w:pPr>
        <w:pStyle w:val="Funote"/>
        <w:rPr/>
      </w:pPr>
      <w:r>
        <w:rPr>
          <w:i/>
        </w:rPr>
        <w:footnoteRef/>
        <w:tab/>
        <w:t>begaben sich hinaus</w:t>
      </w:r>
      <w:r>
        <w:rPr/>
        <w:t xml:space="preserve"> Im Griechischen im Sg., als Prädikat zur „gesamten judäischen Region“.</w:t>
      </w:r>
    </w:p>
  </w:footnote>
  <w:footnote w:id="3630">
    <w:p>
      <w:pPr>
        <w:pStyle w:val="Funote"/>
        <w:rPr/>
      </w:pPr>
      <w:r>
        <w:rPr/>
        <w:footnoteRef/>
        <w:tab/>
        <w:t xml:space="preserve">Die beiden Imperfekte </w:t>
      </w:r>
      <w:r>
        <w:rPr>
          <w:i/>
        </w:rPr>
        <w:t>begaben sich hinaus</w:t>
      </w:r>
      <w:r>
        <w:rPr/>
        <w:t xml:space="preserve"> und </w:t>
      </w:r>
      <w:r>
        <w:rPr>
          <w:i/>
        </w:rPr>
        <w:t>ließen sich taufen</w:t>
      </w:r>
      <w:r>
        <w:rPr/>
        <w:t xml:space="preserve"> bringen in V. 5 zum Ausdruck, dass Johannes über einen längeren Zeitraum hinweg Menschenmengen anzog. </w:t>
      </w:r>
    </w:p>
  </w:footnote>
  <w:footnote w:id="3631">
    <w:p>
      <w:pPr>
        <w:pStyle w:val="Funote"/>
        <w:rPr/>
      </w:pPr>
      <w:r>
        <w:rPr/>
        <w:footnoteRef/>
        <w:tab/>
        <w:t>wobei sie bekannten Ptz.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3632">
    <w:p>
      <w:pPr>
        <w:pStyle w:val="Funote"/>
        <w:rPr/>
      </w:pPr>
      <w:r>
        <w:rPr/>
        <w:footnoteRef/>
        <w:tab/>
        <w:t>Kamelhaar und Ledergürtel, w. „Haare [des] Kamels“ bzw. „ledernen Gürtel“. Durch seine Kleidung gibt sich Johannes als Prophet (Sach 13,4 LXX) und der wiedergekehrte Elia zu erkennen (2Kö 1,8 LXX).</w:t>
      </w:r>
    </w:p>
  </w:footnote>
  <w:footnote w:id="3633">
    <w:p>
      <w:pPr>
        <w:pStyle w:val="Funote"/>
        <w:rPr/>
      </w:pPr>
      <w:r>
        <w:rPr/>
        <w:footnoteRef/>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3634">
    <w:p>
      <w:pPr>
        <w:pStyle w:val="Funote"/>
        <w:rPr/>
      </w:pPr>
      <w:r>
        <w:rPr>
          <w:i/>
        </w:rPr>
        <w:footnoteRef/>
        <w:tab/>
        <w:t>predigte</w:t>
      </w:r>
      <w:r>
        <w:rPr/>
        <w:t xml:space="preserve"> Das </w:t>
      </w:r>
      <w:hyperlink r:id="rId226">
        <w:r>
          <w:rPr>
            <w:rStyle w:val="Internetverknpfung"/>
          </w:rPr>
          <w:t>Imperfekt</w:t>
        </w:r>
      </w:hyperlink>
      <w:r>
        <w:rPr/>
        <w:t xml:space="preserve">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 </w:t>
      </w:r>
    </w:p>
  </w:footnote>
  <w:footnote w:id="3635">
    <w:p>
      <w:pPr>
        <w:pStyle w:val="Funote"/>
        <w:rPr/>
      </w:pPr>
      <w:r>
        <w:rPr>
          <w:i/>
        </w:rPr>
        <w:footnoteRef/>
        <w:tab/>
        <w:t>[einer], der mächtiger [ist] als ich</w:t>
      </w:r>
      <w:r>
        <w:rPr/>
        <w:t xml:space="preserve"> Gr. </w:t>
      </w:r>
      <w:r>
        <w:rPr>
          <w:lang w:val="el-GR"/>
        </w:rPr>
        <w:t>ὁ ἰσχυρότερός μου</w:t>
      </w:r>
      <w:r>
        <w:rPr/>
        <w:t xml:space="preserve">, W. „der Mächtigere als ich“. </w:t>
      </w:r>
    </w:p>
  </w:footnote>
  <w:footnote w:id="3636">
    <w:p>
      <w:pPr>
        <w:pStyle w:val="Funote"/>
        <w:rPr/>
      </w:pPr>
      <w:r>
        <w:rPr/>
        <w:footnoteRef/>
        <w:tab/>
        <w:t>mich zu bücken und Adverbiales Partizip Aorist aktiv, hier einmal gleichzeitig übersetzt (modal; vgl. NSS). In der Klammer ist das griechische mit dem deutschen Partizip 2 übersetzt.</w:t>
      </w:r>
    </w:p>
  </w:footnote>
  <w:footnote w:id="3637">
    <w:p>
      <w:pPr>
        <w:pStyle w:val="Funote"/>
        <w:rPr/>
      </w:pPr>
      <w:r>
        <w:rPr>
          <w:i/>
        </w:rPr>
        <w:footnoteRef/>
        <w:tab/>
        <w:t>ihm</w:t>
      </w:r>
      <w:r>
        <w:rPr/>
        <w:t xml:space="preserve"> Eigentlich ein Relativpronomen („dem“), das den Satz vom vorigen abhängig macht: „dem ich nicht würdig bin...“</w:t>
      </w:r>
    </w:p>
  </w:footnote>
  <w:footnote w:id="3638">
    <w:p>
      <w:pPr>
        <w:pStyle w:val="Funote"/>
        <w:rPr/>
      </w:pPr>
      <w:r>
        <w:rPr/>
        <w:footnoteRef/>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3639">
    <w:p>
      <w:pPr>
        <w:pStyle w:val="Funote"/>
        <w:rPr/>
      </w:pPr>
      <w:r>
        <w:rPr/>
        <w:footnoteRef/>
        <w:tab/>
        <w:t>von (aus) Nazaret Guelich vermutet, die Ortsangabe beziehe sich auf den Ursprungsort von Jesu Reise („aus Nazaret“) und sei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Genitivus partitivus,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3640">
    <w:p>
      <w:pPr>
        <w:pStyle w:val="Funote"/>
        <w:rPr/>
      </w:pPr>
      <w:r>
        <w:rPr>
          <w:i/>
        </w:rPr>
        <w:footnoteRef/>
        <w:tab/>
        <w:t>als … stieg</w:t>
      </w:r>
      <w:r>
        <w:rPr/>
        <w:t xml:space="preserve"> </w:t>
      </w:r>
      <w:hyperlink r:id="rId227">
        <w:r>
          <w:rPr>
            <w:rStyle w:val="Internetverknpfung"/>
          </w:rPr>
          <w:t>Partizip</w:t>
        </w:r>
      </w:hyperlink>
      <w:r>
        <w:rPr/>
        <w:t xml:space="preserve"> Präsens aktiv (temporal übersetztes Ptz. conj.).</w:t>
      </w:r>
    </w:p>
  </w:footnote>
  <w:footnote w:id="3641">
    <w:p>
      <w:pPr>
        <w:pStyle w:val="Funote"/>
        <w:rPr/>
      </w:pPr>
      <w:r>
        <w:rPr/>
        <w:footnoteRef/>
        <w:tab/>
        <w:t>Gr. im Pl. „die Himmel“</w:t>
      </w:r>
    </w:p>
  </w:footnote>
  <w:footnote w:id="3642">
    <w:p>
      <w:pPr>
        <w:pStyle w:val="Funote"/>
        <w:rPr/>
      </w:pPr>
      <w:r>
        <w:rPr/>
        <w:footnoteRef/>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3643">
    <w:p>
      <w:pPr>
        <w:pStyle w:val="Funote"/>
        <w:rPr/>
      </w:pPr>
      <w:r>
        <w:rPr/>
        <w:footnoteRef/>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Andere vertreten die Position, dass die Bedeutung „auf“ oder „zu“ für Markus und das ganze NT unüblich wäre (so z.B. Dixon 2009, 771f). Diesem Argument folgen wir mit unserer Übersetzung.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3644">
    <w:p>
      <w:pPr>
        <w:pStyle w:val="Funote"/>
        <w:rPr/>
      </w:pPr>
      <w:r>
        <w:rPr/>
        <w:footnoteRef/>
        <w:tab/>
        <w:t>kam (geschah) W. geschah Wieder drückt sich Markus sehr semitisch aus. Im Deutschen ist wieder eine sinngemäße Formulierung nötig. Textkritik: Andere Handschriften lesen „Und eine Stimme wurde gehört“ oder „Und eine Stimme“.</w:t>
      </w:r>
    </w:p>
  </w:footnote>
  <w:footnote w:id="3645">
    <w:p>
      <w:pPr>
        <w:pStyle w:val="Funote"/>
        <w:rPr/>
      </w:pPr>
      <w:r>
        <w:rPr>
          <w:i/>
        </w:rPr>
        <w:footnoteRef/>
        <w:tab/>
        <w:t>dem Himmel</w:t>
      </w:r>
      <w:r>
        <w:rPr/>
        <w:t xml:space="preserve"> Gr. Pl. „den Himmeln“</w:t>
      </w:r>
    </w:p>
  </w:footnote>
  <w:footnote w:id="3646">
    <w:p>
      <w:pPr>
        <w:pStyle w:val="Funote"/>
        <w:rPr/>
      </w:pPr>
      <w:r>
        <w:rPr/>
        <w:footnoteRef/>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3647">
    <w:p>
      <w:pPr>
        <w:pStyle w:val="Funote"/>
        <w:rPr/>
      </w:pPr>
      <w:r>
        <w:rPr/>
        <w:footnoteRef/>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3648">
    <w:p>
      <w:pPr>
        <w:pStyle w:val="Funote"/>
        <w:rPr/>
      </w:pPr>
      <w:r>
        <w:rPr>
          <w:i/>
        </w:rPr>
        <w:footnoteRef/>
        <w:tab/>
        <w:t>und (während/wobei) wurde auf die Probe gestellt</w:t>
      </w:r>
      <w:r>
        <w:rPr/>
        <w:t xml:space="preserve"> </w:t>
      </w:r>
      <w:hyperlink r:id="rId228">
        <w:r>
          <w:rPr>
            <w:rStyle w:val="Internetverknpfung"/>
          </w:rPr>
          <w:t>Ptz. coni.</w:t>
        </w:r>
      </w:hyperlink>
      <w:r>
        <w:rPr/>
        <w:t xml:space="preserve">, temporal-modal, als Nebensatz aufgelöst. </w:t>
      </w:r>
    </w:p>
  </w:footnote>
  <w:footnote w:id="3649">
    <w:p>
      <w:pPr>
        <w:pStyle w:val="Funote"/>
        <w:rPr/>
      </w:pPr>
      <w:r>
        <w:rPr>
          <w:i/>
        </w:rPr>
        <w:footnoteRef/>
        <w:tab/>
        <w:t>verhaftet</w:t>
      </w:r>
      <w:r>
        <w:rPr/>
        <w:t xml:space="preserve">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 </w:t>
      </w:r>
    </w:p>
  </w:footnote>
  <w:footnote w:id="3650">
    <w:p>
      <w:pPr>
        <w:pStyle w:val="Funote"/>
        <w:rPr/>
      </w:pPr>
      <w:r>
        <w:rPr>
          <w:i/>
        </w:rPr>
        <w:footnoteRef/>
        <w:tab/>
        <w:t>verkündete</w:t>
      </w:r>
      <w:r>
        <w:rPr/>
        <w:t xml:space="preserve"> Temporal-modales </w:t>
      </w:r>
      <w:hyperlink r:id="rId229">
        <w:r>
          <w:rPr>
            <w:rStyle w:val="Internetverknpfung"/>
          </w:rPr>
          <w:t>Ptz. conj.</w:t>
        </w:r>
      </w:hyperlink>
      <w:r>
        <w:rPr/>
        <w:t xml:space="preserve"> (Partizip Präsens aktiv), durch Beiordnung mit „und“ übersetzt. </w:t>
      </w:r>
    </w:p>
  </w:footnote>
  <w:footnote w:id="3651">
    <w:p>
      <w:pPr>
        <w:pStyle w:val="Funote"/>
        <w:rPr/>
      </w:pPr>
      <w:r>
        <w:rPr/>
        <w:footnoteRef/>
        <w:tab/>
        <w:t>Evangelium Gottes Wie in Mk 1,1 (s. die Fußnote dort) ist hier nicht klar zu trennen, ob das Evangelium von Gott initiiert ist oder von Gott handelt. Da der Kontext keine Hinweis zum Verständnis gibt, sind beide Möglichkeiten nicht auszuschließen (vgl. France 2002, 91). Textkritik: Andere Handschriften lesen „Evangelium von der Gottesherrschaft/vom Gottesreich“</w:t>
      </w:r>
    </w:p>
  </w:footnote>
  <w:footnote w:id="3652">
    <w:p>
      <w:pPr>
        <w:pStyle w:val="Funote"/>
        <w:rPr/>
      </w:pPr>
      <w:r>
        <w:rPr>
          <w:i/>
        </w:rPr>
        <w:footnoteRef/>
        <w:tab/>
        <w:t>sagte</w:t>
      </w:r>
      <w:r>
        <w:rPr/>
        <w:t xml:space="preserve"> Temporal-modales </w:t>
      </w:r>
      <w:hyperlink r:id="rId230">
        <w:r>
          <w:rPr>
            <w:rStyle w:val="Internetverknpfung"/>
          </w:rPr>
          <w:t>Ptz. conj.</w:t>
        </w:r>
      </w:hyperlink>
      <w:r>
        <w:rPr/>
        <w:t xml:space="preserve"> (Partizip Präsens aktiv), das durch und mit dem Partizip </w:t>
      </w:r>
      <w:r>
        <w:rPr>
          <w:i/>
        </w:rPr>
        <w:t>predigte</w:t>
      </w:r>
      <w:r>
        <w:rPr/>
        <w:t xml:space="preserve"> aus dem letzten Vers verbunden ist und auch so aufgelöst wurde. Die Konstruktion weist die folgende direkte Rede als die Kernbotschaft von Jesu Verkündigung aus. </w:t>
      </w:r>
    </w:p>
  </w:footnote>
  <w:footnote w:id="3653">
    <w:p>
      <w:pPr>
        <w:pStyle w:val="Funote"/>
        <w:rPr/>
      </w:pPr>
      <w:r>
        <w:rPr/>
        <w:footnoteRef/>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3654">
    <w:p>
      <w:pPr>
        <w:pStyle w:val="Funote"/>
        <w:rPr/>
      </w:pPr>
      <w:r>
        <w:rPr/>
        <w:footnoteRef/>
        <w:tab/>
        <w:t>Zu ergänzen</w:t>
      </w:r>
    </w:p>
  </w:footnote>
  <w:footnote w:id="3655">
    <w:p>
      <w:pPr>
        <w:pStyle w:val="Funote"/>
        <w:rPr/>
      </w:pPr>
      <w:r>
        <w:rPr>
          <w:i/>
        </w:rPr>
        <w:footnoteRef/>
        <w:tab/>
        <w:t>während … entlangging</w:t>
      </w:r>
      <w:r>
        <w:rPr/>
        <w:t xml:space="preserve"> </w:t>
      </w:r>
      <w:hyperlink r:id="rId231">
        <w:r>
          <w:rPr>
            <w:rStyle w:val="Internetverknpfung"/>
          </w:rPr>
          <w:t>Ptz. conj.</w:t>
        </w:r>
      </w:hyperlink>
      <w:r>
        <w:rPr/>
        <w:t xml:space="preserve"> mit temporaler Sinnrichtung (Partizip Präsens aktiv), als Nebensatz mit </w:t>
      </w:r>
      <w:r>
        <w:rPr>
          <w:i/>
        </w:rPr>
        <w:t>während</w:t>
      </w:r>
      <w:r>
        <w:rPr/>
        <w:t xml:space="preserve"> übersetzt (ebenfalls möglich: „als, gerade“).</w:t>
      </w:r>
    </w:p>
  </w:footnote>
  <w:footnote w:id="3656">
    <w:p>
      <w:pPr>
        <w:pStyle w:val="Funote"/>
        <w:rPr/>
      </w:pPr>
      <w:r>
        <w:rPr/>
        <w:footnoteRef/>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19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3657">
    <w:p>
      <w:pPr>
        <w:pStyle w:val="Funote"/>
        <w:rPr/>
      </w:pPr>
      <w:r>
        <w:rPr/>
        <w:footnoteRef/>
        <w:tab/>
        <w:t xml:space="preserve">W. ein </w:t>
      </w:r>
      <w:hyperlink r:id="rId232">
        <w:r>
          <w:rPr>
            <w:rStyle w:val="Internetverknpfung"/>
          </w:rPr>
          <w:t>AcI</w:t>
        </w:r>
      </w:hyperlink>
      <w:r>
        <w:rPr/>
        <w:t xml:space="preserve">,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 </w:t>
      </w:r>
    </w:p>
  </w:footnote>
  <w:footnote w:id="3658">
    <w:p>
      <w:pPr>
        <w:pStyle w:val="Funote"/>
        <w:rPr/>
      </w:pPr>
      <w:r>
        <w:rPr>
          <w:i/>
        </w:rPr>
        <w:footnoteRef/>
        <w:tab/>
        <w:t>ließen sie ... und</w:t>
      </w:r>
      <w:r>
        <w:rPr/>
        <w:t xml:space="preserve"> Temporal-modales </w:t>
      </w:r>
      <w:hyperlink r:id="rId233">
        <w:r>
          <w:rPr>
            <w:rStyle w:val="Internetverknpfung"/>
          </w:rPr>
          <w:t>Ptc. coni.</w:t>
        </w:r>
      </w:hyperlink>
      <w:r>
        <w:rPr/>
        <w:t xml:space="preserve">, mit „und“ beigeordnet. </w:t>
      </w:r>
    </w:p>
  </w:footnote>
  <w:footnote w:id="3659">
    <w:p>
      <w:pPr>
        <w:pStyle w:val="Funote"/>
        <w:rPr/>
      </w:pPr>
      <w:r>
        <w:rPr>
          <w:i/>
        </w:rPr>
        <w:footnoteRef/>
        <w:tab/>
        <w:t>nachdem er weitergegangen war</w:t>
      </w:r>
      <w:r>
        <w:rPr/>
        <w:t xml:space="preserve"> </w:t>
      </w:r>
      <w:hyperlink r:id="rId234">
        <w:r>
          <w:rPr>
            <w:rStyle w:val="Internetverknpfung"/>
          </w:rPr>
          <w:t>Ptc. coni.</w:t>
        </w:r>
      </w:hyperlink>
      <w:r>
        <w:rPr/>
        <w:t xml:space="preserve"> (Partizip Aorist aktiv), temporal als Nebensatz mit </w:t>
      </w:r>
      <w:r>
        <w:rPr>
          <w:i/>
        </w:rPr>
        <w:t>nachdem</w:t>
      </w:r>
      <w:r>
        <w:rPr/>
        <w:t xml:space="preserve"> übersetzt. </w:t>
      </w:r>
    </w:p>
  </w:footnote>
  <w:footnote w:id="3660">
    <w:p>
      <w:pPr>
        <w:pStyle w:val="Funote"/>
        <w:rPr/>
      </w:pPr>
      <w:r>
        <w:rPr/>
        <w:footnoteRef/>
        <w:tab/>
        <w:t>sah er …. Auch sie Oder: „sah er, wie auch Jakobus und Johannes im Boot ihre Netze in Ordnung brachten“, was aber irreführend formuliert ist. Es handelt sich wie schon in V. 16 um einen AcP,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3661">
    <w:p>
      <w:pPr>
        <w:pStyle w:val="Funote"/>
        <w:rPr/>
      </w:pPr>
      <w:r>
        <w:rPr>
          <w:i/>
        </w:rPr>
        <w:footnoteRef/>
        <w:tab/>
        <w:t>gingen</w:t>
      </w:r>
      <w:r>
        <w:rPr/>
        <w:t xml:space="preserve"> W. „gingen weg“. </w:t>
      </w:r>
    </w:p>
  </w:footnote>
  <w:footnote w:id="3662">
    <w:p>
      <w:pPr>
        <w:pStyle w:val="Funote"/>
        <w:rPr/>
      </w:pPr>
      <w:r>
        <w:rPr/>
        <w:footnoteRef/>
        <w:tab/>
        <w:t>Dann W. „gleich/sofort“, doch im Markusevangelium hat das Wort häufig den Sinn von „dann“. Es leitet also den nächsten Abschnitt der Handlung ein und soll die Spannung aufrecht erhalten (Guelich 1989, 54; France 2002, 103).</w:t>
      </w:r>
    </w:p>
  </w:footnote>
  <w:footnote w:id="3663">
    <w:p>
      <w:pPr>
        <w:pStyle w:val="Funote"/>
        <w:rPr/>
      </w:pPr>
      <w:r>
        <w:rPr>
          <w:i/>
        </w:rPr>
        <w:footnoteRef/>
        <w:tab/>
        <w:t>begab er sich … und</w:t>
      </w:r>
      <w:r>
        <w:rPr/>
        <w:t xml:space="preserve"> </w:t>
      </w:r>
      <w:hyperlink r:id="rId235">
        <w:r>
          <w:rPr>
            <w:rStyle w:val="Internetverknpfung"/>
          </w:rPr>
          <w:t>Ptz. conj.</w:t>
        </w:r>
      </w:hyperlink>
      <w:r>
        <w:rPr/>
        <w:t xml:space="preserve"> (Ptz. Aor., temporal-modal), durch Beiordnung mit „und“ aufgelöst. </w:t>
      </w:r>
    </w:p>
  </w:footnote>
  <w:footnote w:id="3664">
    <w:p>
      <w:pPr>
        <w:pStyle w:val="Funote"/>
        <w:rPr/>
      </w:pPr>
      <w:r>
        <w:rPr/>
        <w:footnoteRef/>
        <w:tab/>
        <w:t xml:space="preserve">begann er in der Synagoge (begab er sich in die Synagoge und begann) zu lehren Textkritik: Die Handschriften haben an dieser Stelle unterschiedliche Lesarten, und auch die wissenschaftlichen Urtext-Ausgaben bevorzugen verschiedene Varianten. NA28 liest zusammen mit den meisten Zeugen </w:t>
      </w:r>
      <w:r>
        <w:rPr>
          <w:lang w:val="el-GR"/>
        </w:rPr>
        <w:t>εἰσελθὼν εἰς τὴν συναγωγὴν ἐδίδασκεν</w:t>
      </w:r>
      <w:r>
        <w:rPr/>
        <w:t xml:space="preserve"> (die Übersetzung in der Klammer). SBLGNT liest dagegen </w:t>
      </w:r>
      <w:r>
        <w:rPr>
          <w:lang w:val="el-GR"/>
        </w:rPr>
        <w:t>ἐδίδασκεν εἰς τὴν συναγωγήν</w:t>
      </w:r>
      <w:r>
        <w:rPr/>
        <w:t>, was der hier gewählten Übersetzung entspricht.</w:t>
      </w:r>
    </w:p>
  </w:footnote>
  <w:footnote w:id="3665">
    <w:p>
      <w:pPr>
        <w:pStyle w:val="Funote"/>
        <w:rPr/>
      </w:pPr>
      <w:r>
        <w:rPr>
          <w:i/>
        </w:rPr>
        <w:footnoteRef/>
        <w:tab/>
        <w:t>begann ... zu lehren</w:t>
      </w:r>
      <w:r>
        <w:rPr/>
        <w:t xml:space="preserve"> </w:t>
      </w:r>
      <w:hyperlink r:id="rId236">
        <w:r>
          <w:rPr>
            <w:rStyle w:val="Internetverknpfung"/>
          </w:rPr>
          <w:t>Inchoatives Imperfekt</w:t>
        </w:r>
      </w:hyperlink>
      <w:r>
        <w:rPr/>
        <w:t xml:space="preserve"> (Siebenthal 2011, §198e). </w:t>
      </w:r>
    </w:p>
  </w:footnote>
  <w:footnote w:id="3666">
    <w:p>
      <w:pPr>
        <w:pStyle w:val="Funote"/>
        <w:rPr/>
      </w:pPr>
      <w:r>
        <w:rPr/>
        <w:footnoteRef/>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In Mk 11,18 zeigt sich die Menge „fasziniert“ oder „in Bann geschlagen“ von Jesu Lehre. Zür: „überwältigt“, Menge, EÜ: „(sehr) betroffen“, Luther „sie entsetzten sich“, REB „sie erstaunten sehr“. NGÜ, GNB wie OfBi.</w:t>
      </w:r>
    </w:p>
  </w:footnote>
  <w:footnote w:id="3667">
    <w:p>
      <w:pPr>
        <w:pStyle w:val="Funote"/>
        <w:rPr/>
      </w:pPr>
      <w:r>
        <w:rPr/>
        <w:footnoteRef/>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3668">
    <w:p>
      <w:pPr>
        <w:pStyle w:val="Funote"/>
        <w:rPr/>
      </w:pPr>
      <w:r>
        <w:rPr/>
        <w:footnoteRef/>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3669">
    <w:p>
      <w:pPr>
        <w:pStyle w:val="Funote"/>
        <w:rPr/>
      </w:pPr>
      <w:r>
        <w:rPr>
          <w:i/>
        </w:rPr>
        <w:footnoteRef/>
        <w:tab/>
        <w:t>Jesus von Nazaret</w:t>
      </w:r>
      <w:r>
        <w:rPr/>
        <w:t xml:space="preserve"> W. „Jesus [der] Nazarener“. Hier wurde der bekanntere deutsche Name für die Übersetzung gewählt. </w:t>
      </w:r>
    </w:p>
  </w:footnote>
  <w:footnote w:id="3670">
    <w:p>
      <w:pPr>
        <w:pStyle w:val="Funote"/>
        <w:rPr/>
      </w:pPr>
      <w:r>
        <w:rPr/>
        <w:footnoteRef/>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3671">
    <w:p>
      <w:pPr>
        <w:pStyle w:val="Funote"/>
        <w:rPr/>
      </w:pPr>
      <w:r>
        <w:rPr/>
        <w:footnoteRef/>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3672">
    <w:p>
      <w:pPr>
        <w:pStyle w:val="Funote"/>
        <w:rPr/>
      </w:pPr>
      <w:r>
        <w:rPr>
          <w:i/>
        </w:rPr>
        <w:footnoteRef/>
        <w:tab/>
        <w:t>nachdem … geschüttelt … geschrien</w:t>
      </w:r>
      <w:r>
        <w:rPr/>
        <w:t xml:space="preserve"> </w:t>
      </w:r>
      <w:hyperlink r:id="rId237">
        <w:r>
          <w:rPr>
            <w:rStyle w:val="Internetverknpfung"/>
          </w:rPr>
          <w:t>Ptz. conj.</w:t>
        </w:r>
      </w:hyperlink>
      <w:r>
        <w:rPr/>
        <w:t xml:space="preserve"> (Partizip Aorist aktiv), temporal-modal, hier vorzeitig verstanden und als Nebensatz mit „nachdem“ aufgelöst. </w:t>
      </w:r>
    </w:p>
  </w:footnote>
  <w:footnote w:id="3673">
    <w:p>
      <w:pPr>
        <w:pStyle w:val="Funote"/>
        <w:rPr/>
      </w:pPr>
      <w:r>
        <w:rPr/>
        <w:footnoteRef/>
        <w:tab/>
        <w:t>einander fragten Oder „miteinander diskutierten“ (vgl. France 2002, 105). Als elegantere deutsche Formulierung für die gesamte Reaktion der Zuhörer wäre „und sie wussten nicht, was sie davon halten sollten“ eine Möglichkeit.</w:t>
      </w:r>
    </w:p>
  </w:footnote>
  <w:footnote w:id="3674">
    <w:p>
      <w:pPr>
        <w:pStyle w:val="Funote"/>
        <w:rPr/>
      </w:pPr>
      <w:r>
        <w:rPr/>
        <w:footnoteRef/>
        <w:tab/>
        <w:t xml:space="preserve">in der ganzen Umgebung, [in ganz] Galiläa (im ganzen Umland von Galiläa) Die Übersetzung hängt davon ab, wie man den Genitiv </w:t>
      </w:r>
      <w:r>
        <w:rPr>
          <w:lang w:val="el-GR"/>
        </w:rPr>
        <w:t>τῆς Γαλιλαίας</w:t>
      </w:r>
      <w:r>
        <w:rPr/>
        <w:t xml:space="preserve"> versteht. Als epexegetischer Genitiv ist „die ganze Umgebung, also Galiläa“ gemeint (bzw. „das ganze Umland [von Kafarnaum], also Galiläa“). Ist der Genitiv attributiv gemeint, nimmt Markus das Umland von Galiläa, also die erweiterte Region, in den Blick (France 2002, 106; Guelich 1989, 54).</w:t>
      </w:r>
    </w:p>
  </w:footnote>
  <w:footnote w:id="3675">
    <w:p>
      <w:pPr>
        <w:pStyle w:val="Funote"/>
        <w:rPr/>
      </w:pPr>
      <w:r>
        <w:rPr/>
        <w:footnoteRef/>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3676">
    <w:p>
      <w:pPr>
        <w:pStyle w:val="Funote"/>
        <w:rPr/>
      </w:pPr>
      <w:r>
        <w:rPr>
          <w:i/>
        </w:rPr>
        <w:footnoteRef/>
        <w:tab/>
        <w:t>verließen … und</w:t>
      </w:r>
      <w:r>
        <w:rPr/>
        <w:t xml:space="preserve"> </w:t>
      </w:r>
      <w:hyperlink r:id="rId238">
        <w:r>
          <w:rPr>
            <w:rStyle w:val="Internetverknpfung"/>
          </w:rPr>
          <w:t>Ptz. conj.</w:t>
        </w:r>
      </w:hyperlink>
      <w:r>
        <w:rPr/>
        <w:t xml:space="preserve"> (Aorist), als temporaler Nebensatz übersetzt. Alternativ mit „als“ oder „nachdem“. </w:t>
      </w:r>
    </w:p>
  </w:footnote>
  <w:footnote w:id="3677">
    <w:p>
      <w:pPr>
        <w:pStyle w:val="Funote"/>
        <w:rPr/>
      </w:pPr>
      <w:r>
        <w:rPr/>
        <w:footnoteRef/>
        <w:tab/>
        <w:t>lag mit Fieber [im Bett] ist durativ (Imperfekt). Mit Fieber übersetzt das adv. Ptz.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3678">
    <w:p>
      <w:pPr>
        <w:pStyle w:val="Funote"/>
        <w:rPr/>
      </w:pPr>
      <w:r>
        <w:rPr>
          <w:i/>
        </w:rPr>
        <w:footnoteRef/>
        <w:tab/>
        <w:t>ging zu … und</w:t>
      </w:r>
      <w:r>
        <w:rPr/>
        <w:t xml:space="preserve"> </w:t>
      </w:r>
      <w:hyperlink r:id="rId239">
        <w:r>
          <w:rPr>
            <w:rStyle w:val="Internetverknpfung"/>
          </w:rPr>
          <w:t>Beschreibendes Partizip</w:t>
        </w:r>
      </w:hyperlink>
      <w:r>
        <w:rPr/>
        <w:t xml:space="preserve"> modal-temporaler Sinnrichtung, mit „und“ aufgelöst.</w:t>
      </w:r>
    </w:p>
  </w:footnote>
  <w:footnote w:id="3679">
    <w:p>
      <w:pPr>
        <w:pStyle w:val="Funote"/>
        <w:rPr/>
      </w:pPr>
      <w:r>
        <w:rPr>
          <w:i/>
        </w:rPr>
        <w:footnoteRef/>
        <w:tab/>
        <w:t>indem er ihre Hand nahm</w:t>
      </w:r>
      <w:r>
        <w:rPr/>
        <w:t xml:space="preserve"> </w:t>
      </w:r>
      <w:hyperlink r:id="rId240">
        <w:r>
          <w:rPr>
            <w:rStyle w:val="Internetverknpfung"/>
          </w:rPr>
          <w:t>Ptz. conj.</w:t>
        </w:r>
      </w:hyperlink>
      <w:r>
        <w:rPr/>
        <w:t xml:space="preserve">, modal als Nebensatz mit „indem“ aufgelöst. </w:t>
      </w:r>
    </w:p>
  </w:footnote>
  <w:footnote w:id="3680">
    <w:p>
      <w:pPr>
        <w:pStyle w:val="Funote"/>
        <w:rPr/>
      </w:pPr>
      <w:r>
        <w:rPr>
          <w:i/>
        </w:rPr>
        <w:footnoteRef/>
        <w:tab/>
        <w:t>begann, sie zu bedienen</w:t>
      </w:r>
      <w:r>
        <w:rPr/>
        <w:t xml:space="preserve"> Vermutlich </w:t>
      </w:r>
      <w:hyperlink r:id="rId241">
        <w:r>
          <w:rPr>
            <w:rStyle w:val="Internetverknpfung"/>
          </w:rPr>
          <w:t>inchoatives Imperfekt</w:t>
        </w:r>
      </w:hyperlink>
      <w:r>
        <w:rPr/>
        <w:t xml:space="preserve">. </w:t>
      </w:r>
    </w:p>
  </w:footnote>
  <w:footnote w:id="3681">
    <w:p>
      <w:pPr>
        <w:pStyle w:val="Funote"/>
        <w:rPr/>
      </w:pPr>
      <w:r>
        <w:rPr>
          <w:i/>
        </w:rPr>
        <w:footnoteRef/>
        <w:tab/>
        <w:t>Als es Abend geworden war … und</w:t>
      </w:r>
      <w:r>
        <w:rPr/>
        <w:t xml:space="preserve"> Temporales </w:t>
      </w:r>
      <w:hyperlink r:id="rId242">
        <w:r>
          <w:rPr>
            <w:rStyle w:val="Internetverknpfung"/>
          </w:rPr>
          <w:t>Gen. abs.</w:t>
        </w:r>
      </w:hyperlink>
      <w:r>
        <w:rPr/>
        <w:t xml:space="preserve"> (Aorist), temporal-vorzeitig übersetzt, wobei der Nebensatz mit „und“ an den folgenden angeschlossen sowie dessen Konjunktion (als) vorgezogen wurde. Die Leute warteten bis zum Abend, um die Sabbatruhe (vgl. V. 21) zu wahren, die bei Sonnenuntergang endete. </w:t>
      </w:r>
    </w:p>
  </w:footnote>
  <w:footnote w:id="3682">
    <w:p>
      <w:pPr>
        <w:pStyle w:val="Funote"/>
        <w:rPr/>
      </w:pPr>
      <w:r>
        <w:rPr>
          <w:i/>
        </w:rPr>
        <w:footnoteRef/>
        <w:tab/>
        <w:t>brachte</w:t>
      </w:r>
      <w:r>
        <w:rPr/>
        <w:t xml:space="preserve"> (V. 32) / </w:t>
      </w:r>
      <w:r>
        <w:rPr>
          <w:i/>
        </w:rPr>
        <w:t>heilte</w:t>
      </w:r>
      <w:r>
        <w:rPr/>
        <w:t xml:space="preserve"> / </w:t>
      </w:r>
      <w:r>
        <w:rPr>
          <w:i/>
        </w:rPr>
        <w:t>trieb aus</w:t>
      </w:r>
      <w:r>
        <w:rPr/>
        <w:t xml:space="preserve"> / </w:t>
      </w:r>
      <w:r>
        <w:rPr>
          <w:i/>
        </w:rPr>
        <w:t>ließ</w:t>
      </w:r>
      <w:r>
        <w:rPr/>
        <w:t xml:space="preserve"> (V. 34) Das </w:t>
      </w:r>
      <w:hyperlink r:id="rId243">
        <w:r>
          <w:rPr>
            <w:rStyle w:val="Internetverknpfung"/>
          </w:rPr>
          <w:t>Imperfekt</w:t>
        </w:r>
      </w:hyperlink>
      <w:r>
        <w:rPr/>
        <w:t xml:space="preserve"> zeigt an, dass es an diesem Abend fortlaufend geschah. </w:t>
      </w:r>
    </w:p>
  </w:footnote>
  <w:footnote w:id="3683">
    <w:p>
      <w:pPr>
        <w:pStyle w:val="Funote"/>
        <w:rPr/>
      </w:pPr>
      <w:r>
        <w:rPr/>
        <w:footnoteRef/>
        <w:tab/>
        <w:t>alle Kranke(n) Subst. Ptz.. Oder „alle, denen es schlecht ging“. ELB: „Leidenden“.</w:t>
      </w:r>
    </w:p>
  </w:footnote>
  <w:footnote w:id="3684">
    <w:p>
      <w:pPr>
        <w:pStyle w:val="Funote"/>
        <w:rPr/>
      </w:pPr>
      <w:r>
        <w:rPr>
          <w:i/>
        </w:rPr>
        <w:footnoteRef/>
        <w:tab/>
        <w:t>früh morgens … ganz dunkel</w:t>
      </w:r>
      <w:r>
        <w:rPr/>
        <w:t xml:space="preserve"> Oder: „sehr früh morgens, [als es noch] dunkel [war]“. </w:t>
      </w:r>
    </w:p>
  </w:footnote>
  <w:footnote w:id="3685">
    <w:p>
      <w:pPr>
        <w:pStyle w:val="Funote"/>
        <w:rPr/>
      </w:pPr>
      <w:r>
        <w:rPr>
          <w:i/>
        </w:rPr>
        <w:footnoteRef/>
        <w:tab/>
        <w:t>stand er auf</w:t>
      </w:r>
      <w:r>
        <w:rPr/>
        <w:t xml:space="preserve"> Modal-temporales </w:t>
      </w:r>
      <w:hyperlink r:id="rId244">
        <w:r>
          <w:rPr>
            <w:rStyle w:val="Internetverknpfung"/>
          </w:rPr>
          <w:t>Ptz. conj.</w:t>
        </w:r>
      </w:hyperlink>
      <w:r>
        <w:rPr/>
        <w:t xml:space="preserve">, hier als Indikativ übersetzt und in die Satzkette eingereiht. </w:t>
      </w:r>
    </w:p>
  </w:footnote>
  <w:footnote w:id="3686">
    <w:p>
      <w:pPr>
        <w:pStyle w:val="Funote"/>
        <w:rPr/>
      </w:pPr>
      <w:r>
        <w:rPr>
          <w:i/>
        </w:rPr>
        <w:footnoteRef/>
        <w:tab/>
        <w:t>[eine Zeit lang] betete</w:t>
      </w:r>
      <w:r>
        <w:rPr/>
        <w:t xml:space="preserve"> Das </w:t>
      </w:r>
      <w:hyperlink r:id="rId245">
        <w:r>
          <w:rPr>
            <w:rStyle w:val="Internetverknpfung"/>
          </w:rPr>
          <w:t>Imperfekt</w:t>
        </w:r>
      </w:hyperlink>
      <w:r>
        <w:rPr/>
        <w:t xml:space="preserve"> zeigt an, dass er eine Weile mit Beten verbrachte – daher die eingefügte Zeitangabe. </w:t>
      </w:r>
    </w:p>
  </w:footnote>
  <w:footnote w:id="3687">
    <w:p>
      <w:pPr>
        <w:pStyle w:val="Funote"/>
        <w:rPr/>
      </w:pPr>
      <w:r>
        <w:rPr/>
        <w:footnoteRef/>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3688">
    <w:p>
      <w:pPr>
        <w:pStyle w:val="Funote"/>
        <w:rPr/>
      </w:pPr>
      <w:r>
        <w:rPr/>
        <w:footnoteRef/>
        <w:tab/>
        <w:t>und fanden ihn. {und} Sie teilten ihm mit (sagten) {dass}: Oder: „Als sie ihn fanden, teilten sie ihm mit“ (Lut, EÜ, NGÜ).</w:t>
      </w:r>
    </w:p>
  </w:footnote>
  <w:footnote w:id="3689">
    <w:p>
      <w:pPr>
        <w:pStyle w:val="Funote"/>
        <w:rPr/>
      </w:pPr>
      <w:r>
        <w:rPr/>
        <w:footnoteRef/>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aber mit dieser Aussage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3690">
    <w:p>
      <w:pPr>
        <w:pStyle w:val="Funote"/>
        <w:rPr/>
      </w:pPr>
      <w:r>
        <w:rPr/>
        <w:footnoteRef/>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vermeintlich fehlerhaften Text zu korrigieren.</w:t>
      </w:r>
    </w:p>
  </w:footnote>
  <w:footnote w:id="3691">
    <w:p>
      <w:pPr>
        <w:pStyle w:val="Funote"/>
        <w:rPr/>
      </w:pPr>
      <w:r>
        <w:rPr>
          <w:i/>
        </w:rPr>
        <w:footnoteRef/>
        <w:tab/>
        <w:t>predigte und trieb aus</w:t>
      </w:r>
      <w:r>
        <w:rPr/>
        <w:t xml:space="preserve"> Temporal-modale </w:t>
      </w:r>
      <w:hyperlink r:id="rId246">
        <w:r>
          <w:rPr>
            <w:rStyle w:val="Internetverknpfung"/>
          </w:rPr>
          <w:t>Ptz. conj.</w:t>
        </w:r>
      </w:hyperlink>
      <w:r>
        <w:rPr/>
        <w:t xml:space="preserve">, als Indikative in einer Satzreihe aufgelöst. </w:t>
      </w:r>
    </w:p>
  </w:footnote>
  <w:footnote w:id="3692">
    <w:p>
      <w:pPr>
        <w:pStyle w:val="Funote"/>
        <w:rPr/>
      </w:pPr>
      <w:r>
        <w:rPr/>
        <w:footnoteRef/>
        <w:tab/>
        <w:t xml:space="preserve">der anflehte … auf die Knie fiel Zwei modal-temporale Ptz. conj., hier als Relativsatz aufgelöst. Textkritik: In einigen Handschriften (B, D u.a.) fehlt </w:t>
      </w:r>
      <w:r>
        <w:rPr>
          <w:lang w:val="el-GR"/>
        </w:rPr>
        <w:t>καὶ γονυπετῶν (καὶ</w:t>
      </w:r>
      <w:r>
        <w:rPr/>
        <w:t>) und auf die Knie fiel (und).</w:t>
      </w:r>
    </w:p>
  </w:footnote>
  <w:footnote w:id="3693">
    <w:p>
      <w:pPr>
        <w:pStyle w:val="Funote"/>
        <w:rPr/>
      </w:pPr>
      <w:r>
        <w:rPr>
          <w:i/>
        </w:rPr>
        <w:footnoteRef/>
        <w:tab/>
        <w:t>wobei er ihm zurief</w:t>
      </w:r>
      <w:r>
        <w:rPr/>
        <w:t xml:space="preserve"> </w:t>
      </w:r>
      <w:hyperlink r:id="rId247">
        <w:r>
          <w:rPr>
            <w:rStyle w:val="Internetverknpfung"/>
          </w:rPr>
          <w:t>Ptz. conj.</w:t>
        </w:r>
      </w:hyperlink>
      <w:r>
        <w:rPr/>
        <w:t>, hier als modaler Nebensatz aufgelöst. Die Übersetzung hängt auch von der textkritischen Entscheidung ab, die in der vorigen Fußnote angesprochen wird.</w:t>
      </w:r>
    </w:p>
  </w:footnote>
  <w:footnote w:id="3694">
    <w:p>
      <w:pPr>
        <w:pStyle w:val="Funote"/>
        <w:rPr/>
      </w:pPr>
      <w:r>
        <w:rPr/>
        <w:footnoteRef/>
        <w:tab/>
        <w:t>hatte Mitleid (wurde zornig) Die beiden möglichen Übersetzungen sind auf eine sehr schwierige Variante in der Überlieferung unserer Stelle zurückzuführen. Einzelne antike Handschriften haben die Variante wurde zornig.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Die wissenschaftlichen Urtext-Ausgaben folgen verschiedenen Varianten.</w:t>
      </w:r>
    </w:p>
  </w:footnote>
  <w:footnote w:id="3695">
    <w:p>
      <w:pPr>
        <w:pStyle w:val="Funote"/>
        <w:rPr/>
      </w:pPr>
      <w:r>
        <w:rPr/>
        <w:footnoteRef/>
        <w:tab/>
        <w:t>hatte Mitleid, darum Ptz. conj. (modal-temporal oder kausal), hier kausal verstanden, weil dies die folgende Handlung Jesu begründet. Die Auflösung als Nebensatz mit „und“, „weil“ wäre alternativ ebenso möglich wie die Präpositionalphrase „voller Mitleid“. NGÜ: „Von tiefem Mitleid ergriffen“.</w:t>
      </w:r>
    </w:p>
  </w:footnote>
  <w:footnote w:id="3696">
    <w:p>
      <w:pPr>
        <w:pStyle w:val="Funote"/>
        <w:rPr/>
      </w:pPr>
      <w:r>
        <w:rPr>
          <w:i/>
        </w:rPr>
        <w:footnoteRef/>
        <w:tab/>
        <w:t>streckte aus</w:t>
      </w:r>
      <w:r>
        <w:rPr/>
        <w:t xml:space="preserve"> </w:t>
      </w:r>
      <w:hyperlink r:id="rId248">
        <w:r>
          <w:rPr>
            <w:rStyle w:val="Internetverknpfung"/>
          </w:rPr>
          <w:t>Ptz. conj.</w:t>
        </w:r>
      </w:hyperlink>
      <w:r>
        <w:rPr/>
        <w:t xml:space="preserve"> (modal-temporal), hier als Indikativ übersetzt und beigeordnet.</w:t>
      </w:r>
    </w:p>
  </w:footnote>
  <w:footnote w:id="3697">
    <w:p>
      <w:pPr>
        <w:pStyle w:val="Funote"/>
        <w:rPr/>
      </w:pPr>
      <w:r>
        <w:rPr/>
        <w:footnoteRef/>
        <w:tab/>
        <w:t xml:space="preserve">ermahnte streng Ptz. conj.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3698">
    <w:p>
      <w:pPr>
        <w:pStyle w:val="Funote"/>
        <w:rPr/>
      </w:pPr>
      <w:r>
        <w:rPr>
          <w:i/>
        </w:rPr>
        <w:footnoteRef/>
        <w:tab/>
        <w:t>niemandem etwas</w:t>
      </w:r>
      <w:r>
        <w:rPr/>
        <w:t xml:space="preserve"> Im Griechischen eine doppelte Verneinung, welche die Warnung noch schärfer macht.</w:t>
      </w:r>
    </w:p>
  </w:footnote>
  <w:footnote w:id="3699">
    <w:p>
      <w:pPr>
        <w:pStyle w:val="Funote"/>
        <w:rPr/>
      </w:pPr>
      <w:r>
        <w:rPr/>
        <w:footnoteRef/>
        <w:tab/>
        <w:t>[für (gegen)] sie Dativus commodi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3700">
    <w:p>
      <w:pPr>
        <w:pStyle w:val="Funote"/>
        <w:rPr/>
      </w:pPr>
      <w:r>
        <w:rPr>
          <w:i/>
        </w:rPr>
        <w:footnoteRef/>
        <w:tab/>
        <w:t>als der [Mann] hinausging</w:t>
      </w:r>
      <w:r>
        <w:rPr/>
        <w:t xml:space="preserve"> </w:t>
      </w:r>
      <w:hyperlink r:id="rId249">
        <w:r>
          <w:rPr>
            <w:rStyle w:val="Internetverknpfung"/>
          </w:rPr>
          <w:t>Ptz. conj.</w:t>
        </w:r>
      </w:hyperlink>
      <w:r>
        <w:rPr/>
        <w:t xml:space="preserve">, temporal-gleichzeitig übersetzt als Nebensatz mit „als“. Denkbar wäre auch „nachdem er hinausgegangen war“ (vorzeitig) oder „er ging hinaus und“. </w:t>
      </w:r>
    </w:p>
  </w:footnote>
  <w:footnote w:id="3701">
    <w:p>
      <w:pPr>
        <w:pStyle w:val="Funote"/>
        <w:rPr/>
      </w:pPr>
      <w:r>
        <w:rPr/>
        <w:footnoteRef/>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3702">
    <w:p>
      <w:pPr>
        <w:pStyle w:val="Funote"/>
        <w:rPr/>
      </w:pPr>
      <w:r>
        <w:rPr>
          <w:i/>
        </w:rPr>
        <w:footnoteRef/>
        <w:tab/>
        <w:t>sich aufhielt</w:t>
      </w:r>
      <w:r>
        <w:rPr/>
        <w:t xml:space="preserve"> ist die sinngemäße Wiedergabe von </w:t>
      </w:r>
      <w:r>
        <w:rPr>
          <w:i/>
        </w:rPr>
        <w:t>war</w:t>
      </w:r>
      <w:r>
        <w:rPr/>
        <w:t>.</w:t>
      </w:r>
    </w:p>
  </w:footnote>
  <w:footnote w:id="3703">
    <w:p>
      <w:pPr>
        <w:pStyle w:val="Funote"/>
        <w:rPr/>
      </w:pPr>
      <w:r>
        <w:rPr>
          <w:i/>
        </w:rPr>
        <w:footnoteRef/>
        <w:tab/>
        <w:t>kamen weiter (begannen zu kommen)</w:t>
      </w:r>
      <w:r>
        <w:rPr/>
        <w:t xml:space="preserve"> Die Übersetzung gibt das </w:t>
      </w:r>
      <w:hyperlink r:id="rId250">
        <w:r>
          <w:rPr>
            <w:rStyle w:val="Internetverknpfung"/>
          </w:rPr>
          <w:t>Imperfekt</w:t>
        </w:r>
      </w:hyperlink>
      <w:r>
        <w:rPr/>
        <w:t xml:space="preserve"> durativ/iterativ wieder, die Klammer inchoativ. Beide Deutungen sind denkbar.</w:t>
      </w:r>
    </w:p>
  </w:footnote>
  <w:footnote w:id="3704">
    <w:p>
      <w:pPr>
        <w:pStyle w:val="Funote"/>
        <w:rPr/>
      </w:pPr>
      <w:r>
        <w:rPr/>
        <w:footnoteRef/>
        <w:tab/>
        <w:t>[Status: Zuverlässig]</w:t>
      </w:r>
    </w:p>
  </w:footnote>
  <w:footnote w:id="3705">
    <w:p>
      <w:pPr>
        <w:pStyle w:val="Funote"/>
        <w:rPr/>
      </w:pPr>
      <w:r>
        <w:rPr>
          <w:i/>
        </w:rPr>
        <w:footnoteRef/>
        <w:tab/>
        <w:t>kam</w:t>
      </w:r>
      <w:r>
        <w:rPr/>
        <w:t xml:space="preserve"> </w:t>
      </w:r>
      <w:hyperlink r:id="rId251">
        <w:r>
          <w:rPr>
            <w:rStyle w:val="Internetverknpfung"/>
          </w:rPr>
          <w:t>Ptz. conj.</w:t>
        </w:r>
      </w:hyperlink>
      <w:r>
        <w:rPr/>
        <w:t xml:space="preserve"> (Ptz. Aor.), als temporaler Nebensatz (mit „als“) aufgelöst.</w:t>
      </w:r>
    </w:p>
  </w:footnote>
  <w:footnote w:id="3706">
    <w:p>
      <w:pPr>
        <w:pStyle w:val="Funote"/>
        <w:rPr/>
      </w:pPr>
      <w:r>
        <w:rPr/>
        <w:footnoteRef/>
        <w:tab/>
        <w:t>wurde bekannt W. „wurde gehört“ Oder: „als er wieder … kam, wurde nach einigen Tagen bekannt“ (Collins 2007, 184).</w:t>
      </w:r>
    </w:p>
  </w:footnote>
  <w:footnote w:id="3707">
    <w:p>
      <w:pPr>
        <w:pStyle w:val="Funote"/>
        <w:rPr/>
      </w:pPr>
      <w:r>
        <w:rPr/>
        <w:footnoteRef/>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3708">
    <w:p>
      <w:pPr>
        <w:pStyle w:val="Funote"/>
        <w:rPr/>
      </w:pPr>
      <w:r>
        <w:rPr>
          <w:i/>
        </w:rPr>
        <w:footnoteRef/>
        <w:tab/>
        <w:t>war</w:t>
      </w:r>
      <w:r>
        <w:rPr/>
        <w:t xml:space="preserve"> W. „ist“. </w:t>
      </w:r>
    </w:p>
  </w:footnote>
  <w:footnote w:id="3709">
    <w:p>
      <w:pPr>
        <w:pStyle w:val="Funote"/>
        <w:rPr/>
      </w:pPr>
      <w:r>
        <w:rPr/>
        <w:footnoteRef/>
        <w:tab/>
        <w:t>er erläuterte [ihnen] seine Botschaft W. „sprach das Wort (zu) ihnen“ (Imperfekt).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Imperfekt.</w:t>
      </w:r>
    </w:p>
  </w:footnote>
  <w:footnote w:id="3710">
    <w:p>
      <w:pPr>
        <w:pStyle w:val="Funote"/>
        <w:rPr/>
      </w:pPr>
      <w:r>
        <w:rPr>
          <w:i/>
        </w:rPr>
        <w:footnoteRef/>
        <w:tab/>
        <w:t>kamen</w:t>
      </w:r>
      <w:r>
        <w:rPr/>
        <w:t xml:space="preserve"> </w:t>
      </w:r>
      <w:hyperlink r:id="rId252">
        <w:r>
          <w:rPr>
            <w:rStyle w:val="Internetverknpfung"/>
          </w:rPr>
          <w:t>Historisches Präsens</w:t>
        </w:r>
      </w:hyperlink>
      <w:r>
        <w:rPr/>
        <w:t xml:space="preserve">. </w:t>
      </w:r>
    </w:p>
  </w:footnote>
  <w:footnote w:id="3711">
    <w:p>
      <w:pPr>
        <w:pStyle w:val="Funote"/>
        <w:rPr/>
      </w:pPr>
      <w:r>
        <w:rPr/>
        <w:footnoteRef/>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3712">
    <w:p>
      <w:pPr>
        <w:pStyle w:val="Funote"/>
        <w:rPr/>
      </w:pPr>
      <w:r>
        <w:rPr>
          <w:i/>
        </w:rPr>
        <w:footnoteRef/>
        <w:tab/>
        <w:t>Er wurde getragen</w:t>
      </w:r>
      <w:r>
        <w:rPr/>
        <w:t xml:space="preserve"> </w:t>
      </w:r>
      <w:hyperlink r:id="rId253">
        <w:r>
          <w:rPr>
            <w:rStyle w:val="Internetverknpfung"/>
          </w:rPr>
          <w:t>Attributives Partizip</w:t>
        </w:r>
      </w:hyperlink>
      <w:r>
        <w:rPr/>
        <w:t>, als unabhängiger Hauptsatz aufgelöst. Auch ein Relativsatz wäre möglich („der getragen wurde“).</w:t>
      </w:r>
    </w:p>
  </w:footnote>
  <w:footnote w:id="3713">
    <w:p>
      <w:pPr>
        <w:pStyle w:val="Funote"/>
        <w:rPr/>
      </w:pPr>
      <w:r>
        <w:rPr/>
        <w:footnoteRef/>
        <w:tab/>
        <w:t>weil (als) es ihnen nicht gelang Kausal oder temporal zu verstehendes Ptz. conj. (Ptz. Präs.), als Nebensatz mit „weil“ aufgelöst. NSS, NGÜ: „weil sie nicht zu Jesus durchkamen“.</w:t>
      </w:r>
    </w:p>
  </w:footnote>
  <w:footnote w:id="3714">
    <w:p>
      <w:pPr>
        <w:pStyle w:val="Funote"/>
        <w:rPr/>
      </w:pPr>
      <w:r>
        <w:rPr>
          <w:i/>
        </w:rPr>
        <w:footnoteRef/>
        <w:tab/>
        <w:t>ließen</w:t>
      </w:r>
      <w:r>
        <w:rPr/>
        <w:t xml:space="preserve"> </w:t>
      </w:r>
      <w:hyperlink r:id="rId254">
        <w:r>
          <w:rPr>
            <w:rStyle w:val="Internetverknpfung"/>
          </w:rPr>
          <w:t>Historisches Präsens</w:t>
        </w:r>
      </w:hyperlink>
      <w:r>
        <w:rPr/>
        <w:t xml:space="preserve">. </w:t>
      </w:r>
    </w:p>
  </w:footnote>
  <w:footnote w:id="3715">
    <w:p>
      <w:pPr>
        <w:pStyle w:val="Funote"/>
        <w:rPr/>
      </w:pPr>
      <w:r>
        <w:rPr/>
        <w:footnoteRef/>
        <w:tab/>
        <w:t xml:space="preserve">nachdem sie eine [entsprechende] Öffnung geschaffen hatten Ptz. conj.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genügend große Öffnung da war, ließen sie den Mann herab (so Guelich 1989, 85 und die meisten Übersetzungen). Eine andere Deutung geht von drei Schritten aus: 1. Die Männer deckten das Dach, d.h. die äußere Schicht ab. 2. Dann brachen sie durch das Holz- und Lehmwerk, das sich darunter befand und die Decke bildete. 3. Anschließend ließen sie den Mann hinab (so GNB, ZÜR).</w:t>
      </w:r>
    </w:p>
  </w:footnote>
  <w:footnote w:id="3716">
    <w:p>
      <w:pPr>
        <w:pStyle w:val="Funote"/>
        <w:rPr/>
      </w:pPr>
      <w:r>
        <w:rPr/>
        <w:footnoteRef/>
        <w:tab/>
        <w:t>als … sah Als temporaler NS aufgelöstes Ptz. conj. (Ptz. Aor.). Markus formuliert hier metonymisch (Wirkung für Ursache), denn Jesus sieht natürlich nicht die Gesinnung der Männer, sondern deren Ergebnis. Daher übersetzt ZÜR: „Als Jesus nun ihren Glauben erkannte“.</w:t>
      </w:r>
    </w:p>
  </w:footnote>
  <w:footnote w:id="3717">
    <w:p>
      <w:pPr>
        <w:pStyle w:val="Funote"/>
        <w:rPr/>
      </w:pPr>
      <w:r>
        <w:rPr>
          <w:i/>
        </w:rPr>
        <w:footnoteRef/>
        <w:tab/>
        <w:t>sagte</w:t>
      </w:r>
      <w:r>
        <w:rPr/>
        <w:t xml:space="preserve"> </w:t>
      </w:r>
      <w:hyperlink r:id="rId255">
        <w:r>
          <w:rPr>
            <w:rStyle w:val="Internetverknpfung"/>
          </w:rPr>
          <w:t>Historisches Präsens</w:t>
        </w:r>
      </w:hyperlink>
      <w:r>
        <w:rPr/>
        <w:t xml:space="preserve">. </w:t>
      </w:r>
    </w:p>
  </w:footnote>
  <w:footnote w:id="3718">
    <w:p>
      <w:pPr>
        <w:pStyle w:val="Funote"/>
        <w:rPr/>
      </w:pPr>
      <w:r>
        <w:rPr/>
        <w:footnoteRef/>
        <w:tab/>
        <w:t xml:space="preserve">dabeisaßen und setzten sich [mit Jesu Worten] auseinander </w:t>
      </w:r>
      <w:r>
        <w:rPr>
          <w:lang w:val="el-GR"/>
        </w:rPr>
        <w:t>ἦσαν</w:t>
      </w:r>
      <w:r>
        <w:rPr/>
        <w:t xml:space="preserve"> + Partizip umschreibt das Imperfekt (Umschreibende Konjugation, Bauer zu </w:t>
      </w:r>
      <w:r>
        <w:rPr>
          <w:lang w:val="el-GR"/>
        </w:rPr>
        <w:t>ειμι</w:t>
      </w:r>
      <w:r>
        <w:rPr/>
        <w:t>, BDR §353). Hier kommt durch den durativen Aspekt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3719">
    <w:p>
      <w:pPr>
        <w:pStyle w:val="Funote"/>
        <w:rPr/>
      </w:pPr>
      <w:r>
        <w:rPr/>
        <w:footnoteRef/>
        <w:tab/>
        <w:t>in Gedanken W. „in ihren Herzen“. In der damaligen Kultur galt das Herz als der denkende und fühlende Körperteil. Noch schöner wäre die Formulierung „gedanklich“.</w:t>
      </w:r>
    </w:p>
  </w:footnote>
  <w:footnote w:id="3720">
    <w:p>
      <w:pPr>
        <w:pStyle w:val="Funote"/>
        <w:rPr/>
      </w:pPr>
      <w:r>
        <w:rPr/>
        <w:footnoteRef/>
        <w:tab/>
        <w:t>erkannte … darum Ptz. conj. (Ptz. Aor., temporal-kausal), hier – mit sofort – gleichzeitig verstanden, wobei darum auf den kausalen Sinn hinweist. Vorzeitig: „Jesus hatte sofort erkannt“ (vgl. NGÜ).</w:t>
      </w:r>
    </w:p>
  </w:footnote>
  <w:footnote w:id="3721">
    <w:p>
      <w:pPr>
        <w:pStyle w:val="Funote"/>
        <w:rPr/>
      </w:pPr>
      <w:r>
        <w:rPr/>
        <w:footnoteRef/>
        <w:tab/>
        <w:t>in seinem Geist Die Formulierung spielt vielleicht einfach auf den kognitiven Prozess an wie {bei sich} (V. 8) und „in ihren Herzen“ (siehe Fußnoten zu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3722">
    <w:p>
      <w:pPr>
        <w:pStyle w:val="Funote"/>
        <w:rPr/>
      </w:pPr>
      <w:r>
        <w:rPr>
          <w:i/>
        </w:rPr>
        <w:footnoteRef/>
        <w:tab/>
        <w:t>sagte</w:t>
      </w:r>
      <w:r>
        <w:rPr/>
        <w:t xml:space="preserve"> </w:t>
      </w:r>
      <w:hyperlink r:id="rId256">
        <w:r>
          <w:rPr>
            <w:rStyle w:val="Internetverknpfung"/>
          </w:rPr>
          <w:t>Historisches Präsens</w:t>
        </w:r>
      </w:hyperlink>
      <w:r>
        <w:rPr/>
        <w:t xml:space="preserve">. </w:t>
      </w:r>
    </w:p>
  </w:footnote>
  <w:footnote w:id="3723">
    <w:p>
      <w:pPr>
        <w:pStyle w:val="Funote"/>
        <w:rPr/>
      </w:pPr>
      <w:r>
        <w:rPr/>
        <w:footnoteRef/>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3724">
    <w:p>
      <w:pPr>
        <w:pStyle w:val="Funote"/>
        <w:rPr/>
      </w:pPr>
      <w:r>
        <w:rPr/>
        <w:footnoteRef/>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3725">
    <w:p>
      <w:pPr>
        <w:pStyle w:val="Funote"/>
        <w:rPr/>
      </w:pPr>
      <w:r>
        <w:rPr>
          <w:i/>
        </w:rPr>
        <w:footnoteRef/>
        <w:tab/>
        <w:t>nach Hause</w:t>
      </w:r>
      <w:r>
        <w:rPr/>
        <w:t xml:space="preserve"> Oder „in dein Haus“</w:t>
      </w:r>
    </w:p>
  </w:footnote>
  <w:footnote w:id="3726">
    <w:p>
      <w:pPr>
        <w:pStyle w:val="Funote"/>
        <w:rPr/>
      </w:pPr>
      <w:r>
        <w:rPr>
          <w:i/>
        </w:rPr>
        <w:footnoteRef/>
        <w:tab/>
        <w:t>hob auf</w:t>
      </w:r>
      <w:r>
        <w:rPr/>
        <w:t xml:space="preserve"> Temporal-modales </w:t>
      </w:r>
      <w:hyperlink r:id="rId257">
        <w:r>
          <w:rPr>
            <w:rStyle w:val="Internetverknpfung"/>
          </w:rPr>
          <w:t>Ptz. conj.</w:t>
        </w:r>
      </w:hyperlink>
      <w:r>
        <w:rPr/>
        <w:t>, beigeordnet.</w:t>
      </w:r>
    </w:p>
  </w:footnote>
  <w:footnote w:id="3727">
    <w:p>
      <w:pPr>
        <w:pStyle w:val="Funote"/>
        <w:rPr/>
      </w:pPr>
      <w:r>
        <w:rPr>
          <w:i/>
        </w:rPr>
        <w:footnoteRef/>
        <w:tab/>
        <w:t>Sie riefen</w:t>
      </w:r>
      <w:r>
        <w:rPr/>
        <w:t xml:space="preserve"> </w:t>
      </w:r>
      <w:hyperlink r:id="rId258">
        <w:r>
          <w:rPr>
            <w:rStyle w:val="Internetverknpfung"/>
          </w:rPr>
          <w:t>Ptz. conj.</w:t>
        </w:r>
      </w:hyperlink>
      <w:r>
        <w:rPr/>
        <w:t xml:space="preserve"> (modal-temporal), vielleicht </w:t>
      </w:r>
      <w:hyperlink r:id="rId259">
        <w:r>
          <w:rPr>
            <w:rStyle w:val="Internetverknpfung"/>
          </w:rPr>
          <w:t>pleonastisch</w:t>
        </w:r>
      </w:hyperlink>
      <w:r>
        <w:rPr/>
        <w:t>. Hier als separater Hauptsatz übersetzt.</w:t>
      </w:r>
    </w:p>
  </w:footnote>
  <w:footnote w:id="3728">
    <w:p>
      <w:pPr>
        <w:pStyle w:val="Funote"/>
        <w:rPr/>
      </w:pPr>
      <w:r>
        <w:rPr>
          <w:i/>
        </w:rPr>
        <w:footnoteRef/>
        <w:tab/>
        <w:t>ging hinaus</w:t>
      </w:r>
      <w:r>
        <w:rPr/>
        <w:t xml:space="preserve"> Jesus verließ das Haus und die Stadt Kafarnaum, wo er sich gerade aufhielt (</w:t>
      </w:r>
      <w:r>
        <w:fldChar w:fldCharType="begin"/>
      </w:r>
      <w:r>
        <w:instrText> HYPERLINK "file:///wiki/Markus_2" \l "s1"</w:instrText>
      </w:r>
      <w:r>
        <w:fldChar w:fldCharType="separate"/>
      </w:r>
      <w:r>
        <w:rPr>
          <w:rStyle w:val="Internetverknpfung"/>
        </w:rPr>
        <w:t>Mk 2,1</w:t>
      </w:r>
      <w:r>
        <w:fldChar w:fldCharType="end"/>
      </w:r>
      <w:r>
        <w:rPr/>
        <w:t>).</w:t>
      </w:r>
    </w:p>
  </w:footnote>
  <w:footnote w:id="3729">
    <w:p>
      <w:pPr>
        <w:pStyle w:val="Funote"/>
        <w:rPr/>
      </w:pPr>
      <w:r>
        <w:rPr>
          <w:i/>
        </w:rPr>
        <w:footnoteRef/>
        <w:tab/>
        <w:t>Meer</w:t>
      </w:r>
      <w:r>
        <w:rPr/>
        <w:t xml:space="preserve"> Gemeint ist der See Gennesaret (bei Markus: „Meer von Galiläa“, vgl. 1,16), an dessen Ufer Kafarnaum lag. Wer Markus von Anfang an liest, stellt diesen Bezug hier mühelos her.</w:t>
      </w:r>
    </w:p>
  </w:footnote>
  <w:footnote w:id="3730">
    <w:p>
      <w:pPr>
        <w:pStyle w:val="Funote"/>
        <w:rPr/>
      </w:pPr>
      <w:r>
        <w:rPr>
          <w:i/>
        </w:rPr>
        <w:footnoteRef/>
        <w:tab/>
        <w:t>kam</w:t>
      </w:r>
      <w:r>
        <w:rPr/>
        <w:t xml:space="preserve"> und </w:t>
      </w:r>
      <w:r>
        <w:rPr>
          <w:i/>
        </w:rPr>
        <w:t>lehrte</w:t>
      </w:r>
      <w:r>
        <w:rPr/>
        <w:t xml:space="preserve"> Das </w:t>
      </w:r>
      <w:hyperlink r:id="rId260">
        <w:r>
          <w:rPr>
            <w:rStyle w:val="Internetverknpfung"/>
          </w:rPr>
          <w:t>Imperfekt</w:t>
        </w:r>
      </w:hyperlink>
      <w:r>
        <w:rPr/>
        <w:t xml:space="preserve"> beschreibt passend die beiden andauernden Prozesse: Das Zusammenkommen einer Menschenmenge und Jesu Lehren.</w:t>
      </w:r>
    </w:p>
  </w:footnote>
  <w:footnote w:id="3731">
    <w:p>
      <w:pPr>
        <w:pStyle w:val="Funote"/>
        <w:rPr/>
      </w:pPr>
      <w:r>
        <w:rPr>
          <w:i/>
        </w:rPr>
        <w:footnoteRef/>
        <w:tab/>
        <w:t>im Vorbeigehen</w:t>
      </w:r>
      <w:r>
        <w:rPr/>
        <w:t xml:space="preserve"> </w:t>
      </w:r>
      <w:hyperlink r:id="rId261">
        <w:r>
          <w:rPr>
            <w:rStyle w:val="Internetverknpfung"/>
          </w:rPr>
          <w:t>Ptz. conj.</w:t>
        </w:r>
      </w:hyperlink>
      <w:r>
        <w:rPr/>
        <w:t xml:space="preserve"> (temporal), hier als Präpositionalphrase übersetzt. Auch möglich: „als/während er vorbeiging“</w:t>
      </w:r>
    </w:p>
  </w:footnote>
  <w:footnote w:id="3732">
    <w:p>
      <w:pPr>
        <w:pStyle w:val="Funote"/>
        <w:rPr/>
      </w:pPr>
      <w:r>
        <w:rPr/>
        <w:footnoteRef/>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3733">
    <w:p>
      <w:pPr>
        <w:pStyle w:val="Funote"/>
        <w:rPr/>
      </w:pPr>
      <w:r>
        <w:rPr>
          <w:i/>
        </w:rPr>
        <w:footnoteRef/>
        <w:tab/>
        <w:t>sah … sitzen</w:t>
      </w:r>
      <w:r>
        <w:rPr/>
        <w:t xml:space="preserve"> </w:t>
      </w:r>
      <w:hyperlink r:id="rId262">
        <w:r>
          <w:rPr>
            <w:rStyle w:val="Internetverknpfung"/>
          </w:rPr>
          <w:t>AcP</w:t>
        </w:r>
      </w:hyperlink>
      <w:r>
        <w:rPr/>
        <w:t>, mit Infinitiv aufgelöst.</w:t>
      </w:r>
    </w:p>
  </w:footnote>
  <w:footnote w:id="3734">
    <w:p>
      <w:pPr>
        <w:pStyle w:val="Funote"/>
        <w:rPr/>
      </w:pPr>
      <w:r>
        <w:rPr/>
        <w:footnoteRef/>
        <w:tab/>
        <w:t>„</w:t>
      </w:r>
      <w:r>
        <w:rPr>
          <w:i/>
        </w:rPr>
        <w:t>Folge mir nach!“</w:t>
      </w:r>
      <w:r>
        <w:rPr/>
        <w:t xml:space="preserve"> Etwas freier vielleicht auch „Schließe dich mir an!“ Vgl. Mk 1,16-20.</w:t>
      </w:r>
    </w:p>
  </w:footnote>
  <w:footnote w:id="3735">
    <w:p>
      <w:pPr>
        <w:pStyle w:val="Funote"/>
        <w:rPr/>
      </w:pPr>
      <w:r>
        <w:rPr>
          <w:i/>
        </w:rPr>
        <w:footnoteRef/>
        <w:tab/>
        <w:t>stand auf</w:t>
      </w:r>
      <w:r>
        <w:rPr/>
        <w:t xml:space="preserve"> </w:t>
      </w:r>
      <w:hyperlink r:id="rId263">
        <w:r>
          <w:rPr>
            <w:rStyle w:val="Internetverknpfung"/>
          </w:rPr>
          <w:t>Beschreibendes Partizip</w:t>
        </w:r>
      </w:hyperlink>
      <w:r>
        <w:rPr/>
        <w:t xml:space="preserve"> (Aorist). </w:t>
      </w:r>
    </w:p>
  </w:footnote>
  <w:footnote w:id="3736">
    <w:p>
      <w:pPr>
        <w:pStyle w:val="Funote"/>
        <w:rPr/>
      </w:pPr>
      <w:r>
        <w:rPr/>
        <w:footnoteRef/>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3737">
    <w:p>
      <w:pPr>
        <w:pStyle w:val="Funote"/>
        <w:rPr/>
      </w:pPr>
      <w:r>
        <w:rPr>
          <w:i/>
        </w:rPr>
        <w:footnoteRef/>
        <w:tab/>
        <w:t>in seinem Haus</w:t>
      </w:r>
      <w:r>
        <w:rPr/>
        <w:t xml:space="preserve"> Markus meint wohl Levis Haus, in das Jesus eingeladen ist (so auch Lk 5,29), doch es könnte sich aber auch um Jesu Haus (Mk 2,1) handeln, in dem Levi zu Gast ist.</w:t>
      </w:r>
    </w:p>
  </w:footnote>
  <w:footnote w:id="3738">
    <w:p>
      <w:pPr>
        <w:pStyle w:val="Funote"/>
        <w:rPr/>
      </w:pPr>
      <w:r>
        <w:rPr/>
        <w:footnoteRef/>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3739">
    <w:p>
      <w:pPr>
        <w:pStyle w:val="Funote"/>
        <w:rPr/>
      </w:pPr>
      <w:r>
        <w:rPr>
          <w:i/>
        </w:rPr>
        <w:footnoteRef/>
        <w:tab/>
        <w:t>nahmen an der Mahlzeit teil</w:t>
      </w:r>
      <w:r>
        <w:rPr/>
        <w:t xml:space="preserve"> ist die Übersetzung des Prädikats (wie </w:t>
      </w:r>
      <w:r>
        <w:rPr>
          <w:i/>
        </w:rPr>
        <w:t>nachfolgten</w:t>
      </w:r>
      <w:r>
        <w:rPr/>
        <w:t xml:space="preserve"> </w:t>
      </w:r>
      <w:hyperlink r:id="rId264">
        <w:r>
          <w:rPr>
            <w:rStyle w:val="Internetverknpfung"/>
          </w:rPr>
          <w:t>Imperfekt</w:t>
        </w:r>
      </w:hyperlink>
      <w:r>
        <w:rPr/>
        <w:t>).</w:t>
      </w:r>
    </w:p>
  </w:footnote>
  <w:footnote w:id="3740">
    <w:p>
      <w:pPr>
        <w:pStyle w:val="Funote"/>
        <w:rPr/>
      </w:pPr>
      <w:r>
        <w:rPr/>
        <w:footnoteRef/>
        <w:tab/>
        <w:t xml:space="preserve">die Eigentlich „und“, </w:t>
      </w:r>
      <w:r>
        <w:rPr>
          <w:lang w:val="el-GR"/>
        </w:rPr>
        <w:t>καὶ</w:t>
      </w:r>
      <w:r>
        <w:rPr/>
        <w:t xml:space="preserve"> kann aber auch in der Funktion eines Relativpronomens genutzt werden (BDR §442.4).</w:t>
      </w:r>
    </w:p>
  </w:footnote>
  <w:footnote w:id="3741">
    <w:p>
      <w:pPr>
        <w:pStyle w:val="Funote"/>
        <w:rPr/>
      </w:pPr>
      <w:r>
        <w:rPr>
          <w:i/>
        </w:rPr>
        <w:footnoteRef/>
        <w:tab/>
        <w:t>die Schriftgelehrten der Pharisäer</w:t>
      </w:r>
      <w:r>
        <w:rPr/>
        <w:t xml:space="preserve"> (</w:t>
      </w:r>
      <w:hyperlink r:id="rId265">
        <w:r>
          <w:rPr>
            <w:rStyle w:val="Internetverknpfung"/>
          </w:rPr>
          <w:t>Gen. part.</w:t>
        </w:r>
      </w:hyperlink>
      <w:r>
        <w:rPr/>
        <w:t>), der Genitiv zeigt Parteizugehörigkeit an. Nicht alle Pharisäer waren Schriftgelehrte, und nicht alle Schriftgelehrten waren Pharisäer – gemeint sind also die pharisäischen Schriftgelehrten.</w:t>
      </w:r>
    </w:p>
  </w:footnote>
  <w:footnote w:id="3742">
    <w:p>
      <w:pPr>
        <w:pStyle w:val="Funote"/>
        <w:rPr/>
      </w:pPr>
      <w:r>
        <w:rPr>
          <w:i/>
        </w:rPr>
        <w:footnoteRef/>
        <w:tab/>
        <w:t>als … sahen</w:t>
      </w:r>
      <w:r>
        <w:rPr/>
        <w:t xml:space="preserve"> </w:t>
      </w:r>
      <w:hyperlink r:id="rId266">
        <w:r>
          <w:rPr>
            <w:rStyle w:val="Internetverknpfung"/>
          </w:rPr>
          <w:t>Ptz. conj.</w:t>
        </w:r>
      </w:hyperlink>
      <w:r>
        <w:rPr/>
        <w:t xml:space="preserve"> (Aorist), als temporaler Nebensatz aufgelöst. </w:t>
      </w:r>
    </w:p>
  </w:footnote>
  <w:footnote w:id="3743">
    <w:p>
      <w:pPr>
        <w:pStyle w:val="Funote"/>
        <w:rPr/>
      </w:pPr>
      <w:r>
        <w:rPr>
          <w:i/>
        </w:rPr>
        <w:footnoteRef/>
        <w:tab/>
        <w:t>aß</w:t>
      </w:r>
      <w:r>
        <w:rPr/>
        <w:t xml:space="preserve"> W. „isst“</w:t>
      </w:r>
    </w:p>
  </w:footnote>
  <w:footnote w:id="3744">
    <w:p>
      <w:pPr>
        <w:pStyle w:val="Funote"/>
        <w:rPr/>
      </w:pPr>
      <w:r>
        <w:rPr/>
        <w:footnoteRef/>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w:t>
      </w:r>
      <w:r>
        <w:rPr>
          <w:lang w:val="el-GR"/>
        </w:rPr>
        <w:t>ὅτι</w:t>
      </w:r>
      <w:r>
        <w:rPr/>
        <w:t xml:space="preserve"> recitativum sein, die Frage lautet dann nur: »Er ist mit Zolleinnehmern und Sündern?(!)« 3. Schließlich könnte es sich auch um einen Teil der Frage bzw. des Ausrufs handeln: »Dass er mit Zolleinnehmern und Sündern isst!« (France 2002, 134)</w:t>
      </w:r>
    </w:p>
  </w:footnote>
  <w:footnote w:id="3745">
    <w:p>
      <w:pPr>
        <w:pStyle w:val="Funote"/>
        <w:rPr/>
      </w:pPr>
      <w:r>
        <w:rPr>
          <w:i/>
        </w:rPr>
        <w:footnoteRef/>
        <w:tab/>
        <w:t>als … hörte</w:t>
      </w:r>
      <w:r>
        <w:rPr/>
        <w:t xml:space="preserve"> </w:t>
      </w:r>
      <w:hyperlink r:id="rId267">
        <w:r>
          <w:rPr>
            <w:rStyle w:val="Internetverknpfung"/>
          </w:rPr>
          <w:t>Ptz. conj.</w:t>
        </w:r>
      </w:hyperlink>
      <w:r>
        <w:rPr/>
        <w:t>, temporal als Nebensatz mit „als“ aufgelöst.</w:t>
      </w:r>
    </w:p>
  </w:footnote>
  <w:footnote w:id="3746">
    <w:p>
      <w:pPr>
        <w:pStyle w:val="Funote"/>
        <w:rPr/>
      </w:pPr>
      <w:r>
        <w:rPr>
          <w:i/>
        </w:rPr>
        <w:footnoteRef/>
        <w:tab/>
        <w:t>{dass}:</w:t>
      </w:r>
      <w:r>
        <w:rPr/>
        <w:t xml:space="preserve"> Das </w:t>
      </w:r>
      <w:hyperlink r:id="rId268">
        <w:r>
          <w:rPr>
            <w:rStyle w:val="Internetverknpfung"/>
          </w:rPr>
          <w:t>Ὅτι recitativum"&gt;</w:t>
        </w:r>
        <w:r>
          <w:rPr>
            <w:rStyle w:val="Internetverknpfung"/>
            <w:lang w:val="el-GR"/>
          </w:rPr>
          <w:t>ὅτι</w:t>
        </w:r>
        <w:r>
          <w:rPr>
            <w:rStyle w:val="Internetverknpfung"/>
          </w:rPr>
          <w:t xml:space="preserve"> recitativum</w:t>
        </w:r>
      </w:hyperlink>
      <w:r>
        <w:rPr/>
        <w:t xml:space="preserve"> übersetzt man am besten als Doppelpunkt.</w:t>
      </w:r>
    </w:p>
  </w:footnote>
  <w:footnote w:id="3747">
    <w:p>
      <w:pPr>
        <w:pStyle w:val="Funote"/>
        <w:rPr/>
      </w:pPr>
      <w:r>
        <w:rPr>
          <w:i/>
        </w:rPr>
        <w:footnoteRef/>
        <w:tab/>
        <w:t>die, denen es schlecht geht</w:t>
      </w:r>
      <w:r>
        <w:rPr/>
        <w:t xml:space="preserve"> </w:t>
      </w:r>
      <w:hyperlink r:id="rId269">
        <w:r>
          <w:rPr>
            <w:rStyle w:val="Internetverknpfung"/>
          </w:rPr>
          <w:t>Subst. Ptz.</w:t>
        </w:r>
      </w:hyperlink>
      <w:r>
        <w:rPr/>
        <w:t xml:space="preserve">, als Relativsatz aufgelöst. </w:t>
      </w:r>
      <w:r>
        <w:rPr>
          <w:i/>
        </w:rPr>
        <w:t>die Kranken</w:t>
      </w:r>
      <w:r>
        <w:rPr/>
        <w:t xml:space="preserve"> ist eine geläufige Übersetzung dieser Wendung, die wir auch Mk 1,32.34 und 6,55 verwenden.</w:t>
      </w:r>
    </w:p>
  </w:footnote>
  <w:footnote w:id="3748">
    <w:p>
      <w:pPr>
        <w:pStyle w:val="Funote"/>
        <w:rPr/>
      </w:pPr>
      <w:r>
        <w:rPr/>
        <w:footnoteRef/>
        <w:tab/>
        <w:t xml:space="preserve">hatten die Angewohnheit, regelmäßig zu fasten </w:t>
      </w:r>
      <w:r>
        <w:rPr>
          <w:lang w:val="el-GR"/>
        </w:rPr>
        <w:t>ἦσαν</w:t>
      </w:r>
      <w:r>
        <w:rPr/>
        <w:t xml:space="preserve"> + Partizip präs. umschreibt das Imperfekt (Umschreibende Konjugation,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3749">
    <w:p>
      <w:pPr>
        <w:pStyle w:val="Funote"/>
        <w:rPr/>
      </w:pPr>
      <w:r>
        <w:rPr>
          <w:i/>
        </w:rPr>
        <w:footnoteRef/>
        <w:tab/>
        <w:t>kamen</w:t>
      </w:r>
      <w:r>
        <w:rPr/>
        <w:t xml:space="preserve"> und </w:t>
      </w:r>
      <w:r>
        <w:rPr>
          <w:i/>
        </w:rPr>
        <w:t>fragten</w:t>
      </w:r>
      <w:r>
        <w:rPr/>
        <w:t xml:space="preserve"> </w:t>
      </w:r>
      <w:hyperlink r:id="rId270">
        <w:r>
          <w:rPr>
            <w:rStyle w:val="Internetverknpfung"/>
          </w:rPr>
          <w:t>Historisches Präsens</w:t>
        </w:r>
      </w:hyperlink>
      <w:r>
        <w:rPr/>
        <w:t>.</w:t>
      </w:r>
    </w:p>
  </w:footnote>
  <w:footnote w:id="3750">
    <w:p>
      <w:pPr>
        <w:pStyle w:val="Funote"/>
        <w:rPr/>
      </w:pPr>
      <w:r>
        <w:rPr/>
        <w:footnoteRef/>
        <w:tab/>
        <w:t>Jünger der Pharisäer Da es bei den Pharisäern keine Jünger gab (die Formulierung aber aus rhetorischen Gründen zum Einsatz kommt; France 2002, 138), wäre in diesem Vers die durchgängige Übersetzung »Anhänger« vielleicht passender.</w:t>
      </w:r>
    </w:p>
  </w:footnote>
  <w:footnote w:id="3751">
    <w:p>
      <w:pPr>
        <w:pStyle w:val="Funote"/>
        <w:rPr/>
      </w:pPr>
      <w:r>
        <w:rPr/>
        <w:footnoteRef/>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3752">
    <w:p>
      <w:pPr>
        <w:pStyle w:val="Funote"/>
        <w:rPr/>
      </w:pPr>
      <w:r>
        <w:rPr/>
        <w:footnoteRef/>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3753">
    <w:p>
      <w:pPr>
        <w:pStyle w:val="Funote"/>
        <w:rPr/>
      </w:pPr>
      <w:r>
        <w:rPr>
          <w:i/>
        </w:rPr>
        <w:footnoteRef/>
        <w:tab/>
        <w:t>Tage/Tag</w:t>
      </w:r>
      <w:r>
        <w:rPr/>
        <w:t xml:space="preserve"> Wie im AT häufig stehen hier </w:t>
      </w:r>
      <w:r>
        <w:rPr>
          <w:i/>
        </w:rPr>
        <w:t>Tage</w:t>
      </w:r>
      <w:r>
        <w:rPr/>
        <w:t>, wo man auf Deutsch „(eine) Zeit“ sagen würde.</w:t>
      </w:r>
    </w:p>
  </w:footnote>
  <w:footnote w:id="3754">
    <w:p>
      <w:pPr>
        <w:pStyle w:val="Funote"/>
        <w:rPr/>
      </w:pPr>
      <w:r>
        <w:rPr/>
        <w:footnoteRef/>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Gen. materiae.</w:t>
      </w:r>
    </w:p>
  </w:footnote>
  <w:footnote w:id="3755">
    <w:p>
      <w:pPr>
        <w:pStyle w:val="Funote"/>
        <w:rPr/>
      </w:pPr>
      <w:r>
        <w:rPr/>
        <w:footnoteRef/>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3756">
    <w:p>
      <w:pPr>
        <w:pStyle w:val="Funote"/>
        <w:rPr/>
      </w:pPr>
      <w:r>
        <w:rPr>
          <w:i/>
        </w:rPr>
        <w:footnoteRef/>
        <w:tab/>
        <w:t>{Und es ereignete sich} [Einmal, als]</w:t>
      </w:r>
      <w:r>
        <w:rPr/>
        <w:t xml:space="preserve"> </w:t>
      </w:r>
      <w:r>
        <w:rPr>
          <w:lang w:val="el-GR"/>
        </w:rPr>
        <w:t>ἐγένετο</w:t>
      </w:r>
      <w:r>
        <w:rPr/>
        <w:t xml:space="preserve"> „es ereignete sich“ + </w:t>
      </w:r>
      <w:hyperlink r:id="rId271">
        <w:r>
          <w:rPr>
            <w:rStyle w:val="Internetverknpfung"/>
          </w:rPr>
          <w:t>AcI</w:t>
        </w:r>
      </w:hyperlink>
      <w:r>
        <w:rPr/>
        <w:t xml:space="preserve">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3757">
    <w:p>
      <w:pPr>
        <w:pStyle w:val="Funote"/>
        <w:rPr/>
      </w:pPr>
      <w:r>
        <w:rPr/>
        <w:footnoteRef/>
        <w:tab/>
        <w:t xml:space="preserve">fingen seine Jünger an, unterwegs {die} Ähren abzureißen Impliziert ist die weitere Information: „und zu essen“ (vgl. NGÜ), wie die Parallestellen Mt 12,1 und Lk 6,1 verdeutlichen. W. „fingen seine Jünger an, [sich] einen Weg zu bahnen, wobei (indem) sie Ähren abrissen.“ Was genau die Jünger taten, wird erst auf den zweiten Blick klar. Man erhält zunächst den Eindruck, dass die Jünger sich einen Weg durch das Feld bahnten, nicht indem sie die Halme flachtraten, sondern indem sie sie einzeln abrissen!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abzureißen.“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3758">
    <w:p>
      <w:pPr>
        <w:pStyle w:val="Funote"/>
        <w:rPr/>
      </w:pPr>
      <w:r>
        <w:rPr/>
        <w:footnoteRef/>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unabsichtliches Brechen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3759">
    <w:p>
      <w:pPr>
        <w:pStyle w:val="Funote"/>
        <w:rPr/>
      </w:pPr>
      <w:r>
        <w:rPr/>
        <w:footnoteRef/>
        <w:tab/>
        <w:t>in einer Notlage war ([nichts zu essen] hatte) W. »Mangel hatte/litt«. In heutigem Deutsch müssen wir entweder etwas allgemeiner (wie vor der Klammer) oder spezifischer (wie in der Klammer) formulieren. Zu unserer Übersetzung vgl. LUT, ELB, ZÜR, MEN.</w:t>
      </w:r>
    </w:p>
  </w:footnote>
  <w:footnote w:id="3760">
    <w:p>
      <w:pPr>
        <w:pStyle w:val="Funote"/>
        <w:rPr/>
      </w:pPr>
      <w:r>
        <w:rPr/>
        <w:footnoteRef/>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3761">
    <w:p>
      <w:pPr>
        <w:pStyle w:val="Funote"/>
        <w:rPr/>
      </w:pPr>
      <w:r>
        <w:rPr/>
        <w:footnoteRef/>
        <w:tab/>
        <w:t>geweihte Brote W. etwa »Brote der Ausstellung« (appositiver Genitiv), also zu Deutsch »die ausgestellten Brote«. Jesus benutzt hier den Begriff aus der LXX für die aus dem AT bekannten »geweihten Brote« oder »Schaubrote« (NSS).</w:t>
      </w:r>
    </w:p>
  </w:footnote>
  <w:footnote w:id="3762">
    <w:p>
      <w:pPr>
        <w:pStyle w:val="Funote"/>
        <w:rPr/>
      </w:pPr>
      <w:r>
        <w:rPr/>
        <w:footnoteRef/>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3763">
    <w:p>
      <w:pPr>
        <w:pStyle w:val="Funote"/>
        <w:rPr/>
      </w:pPr>
      <w:r>
        <w:rPr/>
        <w:footnoteRef/>
        <w:tab/>
        <w:t xml:space="preserve">Herr sogar [über] den Sabbat </w:t>
      </w:r>
      <w:r>
        <w:rPr>
          <w:lang w:val="el-GR"/>
        </w:rPr>
        <w:t>κύριός</w:t>
      </w:r>
      <w:r>
        <w:rPr/>
        <w:t xml:space="preserve"> Herr mit Genitiv heißt »Herr über« (NSS).</w:t>
      </w:r>
    </w:p>
  </w:footnote>
  <w:footnote w:id="3764">
    <w:p>
      <w:pPr>
        <w:pStyle w:val="Funote"/>
        <w:rPr/>
      </w:pPr>
      <w:r>
        <w:rPr/>
        <w:footnoteRef/>
        <w:tab/>
        <w:t>[Status: Zuverlässig]</w:t>
      </w:r>
    </w:p>
  </w:footnote>
  <w:footnote w:id="3765">
    <w:p>
      <w:pPr>
        <w:pStyle w:val="Funote"/>
        <w:rPr/>
      </w:pPr>
      <w:r>
        <w:rPr/>
        <w:footnoteRef/>
        <w:tab/>
        <w:t>verkrüppelt W. „verdorrt“ (LUT, ELB, EÜ), „vertrocknet“, was den damaligen medizinischen Vorstellungen entsprach (Collins 2007, 206). GNB: „abgestorben“, ZÜR: „verkümmert“, MEN: „gelähmt“. Unsere Übersetzung wie NGÜ.</w:t>
      </w:r>
    </w:p>
  </w:footnote>
  <w:footnote w:id="3766">
    <w:p>
      <w:pPr>
        <w:pStyle w:val="Funote"/>
        <w:rPr/>
      </w:pPr>
      <w:r>
        <w:rPr>
          <w:i/>
        </w:rPr>
        <w:footnoteRef/>
        <w:tab/>
        <w:t>der ... hatte</w:t>
      </w:r>
      <w:r>
        <w:rPr/>
        <w:t xml:space="preserve"> </w:t>
      </w:r>
      <w:hyperlink r:id="rId272">
        <w:r>
          <w:rPr>
            <w:rStyle w:val="Internetverknpfung"/>
          </w:rPr>
          <w:t>Attributives Partizip</w:t>
        </w:r>
      </w:hyperlink>
      <w:r>
        <w:rPr/>
        <w:t xml:space="preserve"> Präsens. Als Relativsatz aufgelöst.</w:t>
      </w:r>
    </w:p>
  </w:footnote>
  <w:footnote w:id="3767">
    <w:p>
      <w:pPr>
        <w:pStyle w:val="Funote"/>
        <w:rPr/>
      </w:pPr>
      <w:r>
        <w:rPr>
          <w:i/>
        </w:rPr>
        <w:footnoteRef/>
        <w:tab/>
        <w:t>sie achteten (man achtete, sie lauerten) genau</w:t>
      </w:r>
      <w:r>
        <w:rPr/>
        <w:t xml:space="preserve">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3768">
    <w:p>
      <w:pPr>
        <w:pStyle w:val="Funote"/>
        <w:rPr/>
      </w:pPr>
      <w:r>
        <w:rPr>
          <w:i/>
        </w:rPr>
        <w:footnoteRef/>
        <w:tab/>
        <w:t>[am] Sabbat</w:t>
      </w:r>
      <w:r>
        <w:rPr/>
        <w:t xml:space="preserve"> </w:t>
      </w:r>
      <w:hyperlink r:id="rId273">
        <w:r>
          <w:rPr>
            <w:rStyle w:val="Internetverknpfung"/>
          </w:rPr>
          <w:t>Temporaler Dativ</w:t>
        </w:r>
      </w:hyperlink>
      <w:r>
        <w:rPr/>
        <w:t>.</w:t>
      </w:r>
    </w:p>
  </w:footnote>
  <w:footnote w:id="3769">
    <w:p>
      <w:pPr>
        <w:pStyle w:val="Funote"/>
        <w:rPr/>
      </w:pPr>
      <w:r>
        <w:rPr>
          <w:i/>
        </w:rPr>
        <w:footnoteRef/>
        <w:tab/>
        <w:t>sagte</w:t>
      </w:r>
      <w:r>
        <w:rPr/>
        <w:t xml:space="preserve"> </w:t>
      </w:r>
      <w:hyperlink r:id="rId274">
        <w:r>
          <w:rPr>
            <w:rStyle w:val="Internetverknpfung"/>
          </w:rPr>
          <w:t>Historisches Präsens</w:t>
        </w:r>
      </w:hyperlink>
      <w:r>
        <w:rPr/>
        <w:t xml:space="preserve">. </w:t>
      </w:r>
    </w:p>
  </w:footnote>
  <w:footnote w:id="3770">
    <w:p>
      <w:pPr>
        <w:pStyle w:val="Funote"/>
        <w:rPr/>
      </w:pPr>
      <w:r>
        <w:rPr>
          <w:i/>
        </w:rPr>
        <w:footnoteRef/>
        <w:tab/>
        <w:t>mit der verkümmerten Hand</w:t>
      </w:r>
      <w:r>
        <w:rPr/>
        <w:t xml:space="preserve"> </w:t>
      </w:r>
      <w:hyperlink r:id="rId275">
        <w:r>
          <w:rPr>
            <w:rStyle w:val="Internetverknpfung"/>
          </w:rPr>
          <w:t>Attr. Ptz.</w:t>
        </w:r>
      </w:hyperlink>
      <w:r>
        <w:rPr/>
        <w:t xml:space="preserve"> (vgl. V. 1), aus stilistischen Gründen nicht als Relativsatz, sondern als Präpositionalphrase übersetzt. </w:t>
      </w:r>
      <w:r>
        <w:rPr>
          <w:i/>
        </w:rPr>
        <w:t>verkümmert</w:t>
      </w:r>
      <w:r>
        <w:rPr/>
        <w:t xml:space="preserve"> S. die </w:t>
      </w:r>
      <w:hyperlink w:anchor="note_a">
        <w:r>
          <w:rPr>
            <w:rStyle w:val="Internetverknpfung"/>
          </w:rPr>
          <w:t>Fn zu „verkrüppelt“</w:t>
        </w:r>
      </w:hyperlink>
      <w:r>
        <w:rPr/>
        <w:t xml:space="preserve"> in V. 1. Hier benutzt Markus ein Adjektiv aus derselben Wurzel wie das Ptz. in V. 1, das sich in der Bedeutung nicht wesentlich unterscheidet.</w:t>
      </w:r>
    </w:p>
  </w:footnote>
  <w:footnote w:id="3771">
    <w:p>
      <w:pPr>
        <w:pStyle w:val="Funote"/>
        <w:rPr/>
      </w:pPr>
      <w:r>
        <w:rPr>
          <w:i/>
        </w:rPr>
        <w:footnoteRef/>
        <w:tab/>
        <w:t>Komm (Steh auf)</w:t>
      </w:r>
      <w:r>
        <w:rPr/>
        <w:t xml:space="preserve"> W. „Steh auf“, aber </w:t>
      </w:r>
      <w:r>
        <w:rPr>
          <w:lang w:val="el-GR"/>
        </w:rPr>
        <w:t>ἐγείρω</w:t>
      </w:r>
      <w:r>
        <w:rPr/>
        <w:t xml:space="preserve"> wird im Griechischen öfter auch – ähnlich wie hebr. </w:t>
      </w:r>
      <w:r>
        <w:rPr>
          <w:rtl w:val="true"/>
          <w:lang w:bidi="he-IL"/>
        </w:rPr>
        <w:t>קוּם</w:t>
      </w:r>
      <w:r>
        <w:rPr/>
        <w:t xml:space="preserve"> – </w:t>
      </w:r>
      <w:r>
        <w:rPr/>
        <w:t xml:space="preserve">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3772">
    <w:p>
      <w:pPr>
        <w:pStyle w:val="Funote"/>
        <w:rPr/>
      </w:pPr>
      <w:r>
        <w:rPr>
          <w:i/>
        </w:rPr>
        <w:footnoteRef/>
        <w:tab/>
        <w:t>fragte</w:t>
      </w:r>
      <w:r>
        <w:rPr/>
        <w:t xml:space="preserve"> </w:t>
      </w:r>
      <w:hyperlink r:id="rId276">
        <w:r>
          <w:rPr>
            <w:rStyle w:val="Internetverknpfung"/>
          </w:rPr>
          <w:t>Historisches Präsens</w:t>
        </w:r>
      </w:hyperlink>
      <w:r>
        <w:rPr/>
        <w:t xml:space="preserve">. </w:t>
      </w:r>
    </w:p>
  </w:footnote>
  <w:footnote w:id="3773">
    <w:p>
      <w:pPr>
        <w:pStyle w:val="Funote"/>
        <w:rPr/>
      </w:pPr>
      <w:r>
        <w:rPr>
          <w:i/>
        </w:rPr>
        <w:footnoteRef/>
        <w:tab/>
        <w:t>[am] Sabbat</w:t>
      </w:r>
      <w:r>
        <w:rPr/>
        <w:t xml:space="preserve"> </w:t>
      </w:r>
      <w:hyperlink r:id="rId277">
        <w:r>
          <w:rPr>
            <w:rStyle w:val="Internetverknpfung"/>
          </w:rPr>
          <w:t>Temporaler Dativ</w:t>
        </w:r>
      </w:hyperlink>
      <w:r>
        <w:rPr/>
        <w:t>.</w:t>
      </w:r>
    </w:p>
  </w:footnote>
  <w:footnote w:id="3774">
    <w:p>
      <w:pPr>
        <w:pStyle w:val="Funote"/>
        <w:rPr/>
      </w:pPr>
      <w:r>
        <w:rPr>
          <w:i/>
        </w:rPr>
        <w:footnoteRef/>
        <w:tab/>
        <w:t>voll Zorn (zornig)</w:t>
      </w:r>
      <w:r>
        <w:rPr/>
        <w:t xml:space="preserve"> Die Präposition </w:t>
      </w:r>
      <w:r>
        <w:rPr>
          <w:lang w:val="el-GR"/>
        </w:rPr>
        <w:t>μετά</w:t>
      </w:r>
      <w:r>
        <w:rPr/>
        <w:t xml:space="preserve"> + [Gefühl] dient zur Angabe von Gemütszuständen (BDAG Bed. III.1).</w:t>
      </w:r>
    </w:p>
  </w:footnote>
  <w:footnote w:id="3775">
    <w:p>
      <w:pPr>
        <w:pStyle w:val="Funote"/>
        <w:rPr/>
      </w:pPr>
      <w:r>
        <w:rPr/>
        <w:footnoteRef/>
        <w:tab/>
        <w:t>blickte … alle der Reihe nach (ringsum) an übersetzt das Prädikat. Ptz. conj. (Aor.), hier temporal gleichzeitig zu verstehen. V. 3 Komm (Steh auf)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3776">
    <w:p>
      <w:pPr>
        <w:pStyle w:val="Funote"/>
        <w:rPr/>
      </w:pPr>
      <w:r>
        <w:rPr/>
        <w:footnoteRef/>
        <w:tab/>
        <w:t>tief betrübt (voller Mitleid) Ptz. conj.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3777">
    <w:p>
      <w:pPr>
        <w:pStyle w:val="Funote"/>
        <w:rPr/>
      </w:pPr>
      <w:r>
        <w:rPr>
          <w:i/>
        </w:rPr>
        <w:footnoteRef/>
        <w:tab/>
        <w:t>ihrer Herzen</w:t>
      </w:r>
      <w:r>
        <w:rPr/>
        <w:t xml:space="preserve"> W. „ihres Herzens“</w:t>
      </w:r>
    </w:p>
  </w:footnote>
  <w:footnote w:id="3778">
    <w:p>
      <w:pPr>
        <w:pStyle w:val="Funote"/>
        <w:rPr/>
      </w:pPr>
      <w:r>
        <w:rPr>
          <w:i/>
        </w:rPr>
        <w:footnoteRef/>
        <w:tab/>
        <w:t>sobald … hinausgegangen waren</w:t>
      </w:r>
      <w:r>
        <w:rPr/>
        <w:t xml:space="preserve"> </w:t>
      </w:r>
      <w:hyperlink r:id="rId278">
        <w:r>
          <w:rPr>
            <w:rStyle w:val="Internetverknpfung"/>
          </w:rPr>
          <w:t>Ptz. conj.</w:t>
        </w:r>
      </w:hyperlink>
      <w:r>
        <w:rPr/>
        <w:t>, temporal (vorzeitig) als Nebensatz aufgelöst. Ebenfalls möglich: „Doch die Pharisäer gingen hinaus und...“ (gleichzeitig)</w:t>
      </w:r>
    </w:p>
  </w:footnote>
  <w:footnote w:id="3779">
    <w:p>
      <w:pPr>
        <w:pStyle w:val="Funote"/>
        <w:rPr/>
      </w:pPr>
      <w:r>
        <w:rPr/>
        <w:footnoteRef/>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w:t>
      </w:r>
    </w:p>
  </w:footnote>
  <w:footnote w:id="3780">
    <w:p>
      <w:pPr>
        <w:pStyle w:val="Funote"/>
        <w:rPr/>
      </w:pPr>
      <w:r>
        <w:rPr>
          <w:i/>
        </w:rPr>
        <w:footnoteRef/>
        <w:tab/>
        <w:t>Meer</w:t>
      </w:r>
      <w:r>
        <w:rPr/>
        <w:t xml:space="preserve"> Gemeint ist wie schon in Mk 2,13 der See Gennesaret, das „Meer von Galiläa“. Auch die gesonderte Erwähnung der Menschenmenge aus Galiläa weist darauf hin.</w:t>
      </w:r>
    </w:p>
  </w:footnote>
  <w:footnote w:id="3781">
    <w:p>
      <w:pPr>
        <w:pStyle w:val="Funote"/>
        <w:rPr/>
      </w:pPr>
      <w:r>
        <w:rPr/>
        <w:footnoteRef/>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3782">
    <w:p>
      <w:pPr>
        <w:pStyle w:val="Funote"/>
        <w:rPr/>
      </w:pPr>
      <w:r>
        <w:rPr>
          <w:i/>
        </w:rPr>
        <w:footnoteRef/>
        <w:tab/>
        <w:t>kam</w:t>
      </w:r>
      <w:r>
        <w:rPr/>
        <w:t xml:space="preserve"> W. „kamen“ (</w:t>
      </w:r>
      <w:hyperlink r:id="rId279">
        <w:r>
          <w:rPr>
            <w:rStyle w:val="Internetverknpfung"/>
          </w:rPr>
          <w:t>Constructio ad sensum</w:t>
        </w:r>
      </w:hyperlink>
      <w:r>
        <w:rPr/>
        <w:t>). Genauso das folgende Partizip „die hörten“.</w:t>
      </w:r>
    </w:p>
  </w:footnote>
  <w:footnote w:id="3783">
    <w:p>
      <w:pPr>
        <w:pStyle w:val="Funote"/>
        <w:rPr/>
      </w:pPr>
      <w:r>
        <w:rPr>
          <w:i/>
        </w:rPr>
        <w:footnoteRef/>
        <w:tab/>
        <w:t>die hörten</w:t>
      </w:r>
      <w:r>
        <w:rPr/>
        <w:t xml:space="preserve"> </w:t>
      </w:r>
      <w:hyperlink r:id="rId280">
        <w:r>
          <w:rPr>
            <w:rStyle w:val="Internetverknpfung"/>
          </w:rPr>
          <w:t>Ptz. conj.</w:t>
        </w:r>
      </w:hyperlink>
      <w:r>
        <w:rPr/>
        <w:t xml:space="preserve"> Präsens, kausal oder temporal, hier als Relativsatz aufgelöst, der beide Aspekte vermitteln kann.</w:t>
      </w:r>
    </w:p>
  </w:footnote>
  <w:footnote w:id="3784">
    <w:p>
      <w:pPr>
        <w:pStyle w:val="Funote"/>
        <w:rPr/>
      </w:pPr>
      <w:r>
        <w:rPr/>
        <w:footnoteRef/>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3785">
    <w:p>
      <w:pPr>
        <w:pStyle w:val="Funote"/>
        <w:rPr/>
      </w:pPr>
      <w:r>
        <w:rPr/>
        <w:footnoteRef/>
        <w:tab/>
        <w:t>Leiden (Qualen) W. „Geißel“, übertragen „Plage“. Per Bedeutungserweiterung auch „Leiden“ oder „Gebrechen“ (vgl. LN 23.182). hatten Markus benutzt das Imperfekt, um die anhaltende Situation zu beschreiben. Das setzt sich bis V. 12 fort.</w:t>
      </w:r>
    </w:p>
  </w:footnote>
  <w:footnote w:id="3786">
    <w:p>
      <w:pPr>
        <w:pStyle w:val="Funote"/>
        <w:rPr/>
      </w:pPr>
      <w:r>
        <w:rPr>
          <w:i/>
        </w:rPr>
        <w:footnoteRef/>
        <w:tab/>
        <w:t>{und sagten}</w:t>
      </w:r>
      <w:r>
        <w:rPr/>
        <w:t xml:space="preserve"> </w:t>
      </w:r>
      <w:hyperlink r:id="rId281">
        <w:r>
          <w:rPr>
            <w:rStyle w:val="Internetverknpfung"/>
          </w:rPr>
          <w:t>Pleonastisches Partizip</w:t>
        </w:r>
      </w:hyperlink>
      <w:r>
        <w:rPr/>
        <w:t xml:space="preserve">. </w:t>
      </w:r>
    </w:p>
  </w:footnote>
  <w:footnote w:id="3787">
    <w:p>
      <w:pPr>
        <w:pStyle w:val="Funote"/>
        <w:rPr/>
      </w:pPr>
      <w:r>
        <w:rPr>
          <w:i/>
        </w:rPr>
        <w:footnoteRef/>
        <w:tab/>
        <w:t>{dass}</w:t>
      </w:r>
      <w:r>
        <w:rPr/>
        <w:t xml:space="preserve"> </w:t>
      </w:r>
      <w:hyperlink r:id="rId282">
        <w:r>
          <w:rPr>
            <w:rStyle w:val="Internetverknpfung"/>
          </w:rPr>
          <w:t>Ὅτι recitativum"&gt;</w:t>
        </w:r>
        <w:r>
          <w:rPr>
            <w:rStyle w:val="Internetverknpfung"/>
            <w:lang w:val="el-GR"/>
          </w:rPr>
          <w:t>ὅτι</w:t>
        </w:r>
        <w:r>
          <w:rPr>
            <w:rStyle w:val="Internetverknpfung"/>
          </w:rPr>
          <w:t xml:space="preserve"> recitativum</w:t>
        </w:r>
      </w:hyperlink>
      <w:r>
        <w:rPr/>
        <w:t xml:space="preserve">. </w:t>
      </w:r>
    </w:p>
  </w:footnote>
  <w:footnote w:id="3788">
    <w:p>
      <w:pPr>
        <w:pStyle w:val="Funote"/>
        <w:rPr/>
      </w:pPr>
      <w:r>
        <w:rPr>
          <w:i/>
        </w:rPr>
        <w:footnoteRef/>
        <w:tab/>
        <w:t>drohte (befahl, wies an) ihnen nachdrücklich</w:t>
      </w:r>
      <w:r>
        <w:rPr/>
        <w:t xml:space="preserve"> W. etwa „wies sie viel zurecht“. Das Adverb </w:t>
      </w:r>
      <w:r>
        <w:rPr>
          <w:lang w:val="el-GR"/>
        </w:rPr>
        <w:t>πολλὰ</w:t>
      </w:r>
      <w:r>
        <w:rPr/>
        <w:t xml:space="preserve"> „viel“ benutzt Markus hier intensivierend (ganz ähnlich wie „sehr“), daher die Übersetzung </w:t>
      </w:r>
      <w:r>
        <w:rPr>
          <w:i/>
        </w:rPr>
        <w:t>nachdrücklich</w:t>
      </w:r>
      <w:r>
        <w:rPr/>
        <w:t xml:space="preserve">. Wie in Mk 1,25 (s. Fn dort) kontrolliert Jesus hier Dämonen, denen er bindende Befehle erteilt. So heißt das Wort in diesem Kontext eher (indirekte Rede einleitend) </w:t>
      </w:r>
      <w:r>
        <w:rPr>
          <w:i/>
        </w:rPr>
        <w:t>befehlen</w:t>
      </w:r>
      <w:r>
        <w:rPr/>
        <w:t xml:space="preserve">.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w:t>
        <w:br/>
      </w:r>
      <w:r>
        <w:rPr>
          <w:i/>
        </w:rPr>
        <w:t>drohte ..., damit sie ihn nicht bekannt machten</w:t>
      </w:r>
      <w:r>
        <w:rPr/>
        <w:t xml:space="preserve"> – Das Griechische drückt den indirekt geäußerten negativen Befehl durch einen finalen Nebensatz aus, das Deutsche mit einem Infinitivsatz. Stilistisch schöner mit „verbieten“: </w:t>
      </w:r>
      <w:r>
        <w:rPr>
          <w:i/>
        </w:rPr>
        <w:t>verbot … zu machen</w:t>
      </w:r>
      <w:r>
        <w:rPr/>
        <w:t>.</w:t>
      </w:r>
    </w:p>
  </w:footnote>
  <w:footnote w:id="3789">
    <w:p>
      <w:pPr>
        <w:pStyle w:val="Funote"/>
        <w:rPr/>
      </w:pPr>
      <w:r>
        <w:rPr>
          <w:i/>
        </w:rPr>
        <w:footnoteRef/>
        <w:tab/>
        <w:t>stieg</w:t>
      </w:r>
      <w:r>
        <w:rPr/>
        <w:t xml:space="preserve"> und </w:t>
      </w:r>
      <w:r>
        <w:rPr>
          <w:i/>
        </w:rPr>
        <w:t>rief</w:t>
      </w:r>
      <w:r>
        <w:rPr/>
        <w:t xml:space="preserve"> </w:t>
      </w:r>
      <w:hyperlink r:id="rId283">
        <w:r>
          <w:rPr>
            <w:rStyle w:val="Internetverknpfung"/>
          </w:rPr>
          <w:t>Historisches Präsens</w:t>
        </w:r>
      </w:hyperlink>
      <w:r>
        <w:rPr/>
        <w:t xml:space="preserve">. </w:t>
      </w:r>
    </w:p>
  </w:footnote>
  <w:footnote w:id="3790">
    <w:p>
      <w:pPr>
        <w:pStyle w:val="Funote"/>
        <w:rPr/>
      </w:pPr>
      <w:r>
        <w:rPr/>
        <w:footnoteRef/>
        <w:tab/>
        <w:t>die er selbst sich ausgesucht hatte W. „die er selbst wollte“. NSS schlägt sinngemäß „die er bei sich haben wollte“ vor (so NGÜ, ähnlich MEN, ZÜR). EÜ: „die er erwählt hatte“, GNB: „die er für eine besondere Aufgabe vorgesehen hatte“.</w:t>
      </w:r>
    </w:p>
  </w:footnote>
  <w:footnote w:id="3791">
    <w:p>
      <w:pPr>
        <w:pStyle w:val="Funote"/>
        <w:rPr/>
      </w:pPr>
      <w:r>
        <w:rPr/>
        <w:footnoteRef/>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3792">
    <w:p>
      <w:pPr>
        <w:pStyle w:val="Funote"/>
        <w:rPr/>
      </w:pPr>
      <w:r>
        <w:rPr/>
        <w:footnoteRef/>
        <w:tab/>
        <w:t>bestimmte W. „machte“, ein Semitismus (Guelich 1989, 157).</w:t>
      </w:r>
    </w:p>
  </w:footnote>
  <w:footnote w:id="3793">
    <w:p>
      <w:pPr>
        <w:pStyle w:val="Funote"/>
        <w:rPr/>
      </w:pPr>
      <w:r>
        <w:rPr/>
        <w:footnoteRef/>
        <w:tab/>
        <w:t xml:space="preserve">die er bei sich haben und die er aussenden [wollte] (vgl. EÜ, NGÜ, GNB) Der doppelte Relativsatz mit eingefügtem [wollte] übersetzt den griechischen doppelten finalen Nebensatz (mit zweifachem </w:t>
      </w:r>
      <w:r>
        <w:rPr>
          <w:lang w:val="el-GR"/>
        </w:rPr>
        <w:t>ἵνα</w:t>
      </w:r>
      <w:r>
        <w:rPr/>
        <w:t xml:space="preserve"> „damit, um zu“). Diese Umformulierung ist notwendig, um die finalen Infinitivsätze (um zu predigen und V. 15), die die beiden finalen Nebensätze modifizieren, noch in vernünftigem Deutsch wiedergeben zu können. Als finaler Nebensatz könnte man sonst auch direkter übersetzen: „um bei ihm zu sein und um sie auszusenden“.</w:t>
      </w:r>
    </w:p>
  </w:footnote>
  <w:footnote w:id="3794">
    <w:p>
      <w:pPr>
        <w:pStyle w:val="Funote"/>
        <w:rPr/>
      </w:pPr>
      <w:r>
        <w:rPr/>
        <w:footnoteRef/>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3795">
    <w:p>
      <w:pPr>
        <w:pStyle w:val="Funote"/>
        <w:rPr/>
      </w:pPr>
      <w:r>
        <w:rPr>
          <w:i/>
        </w:rPr>
        <w:footnoteRef/>
        <w:tab/>
        <w:t>heißt</w:t>
      </w:r>
      <w:r>
        <w:rPr/>
        <w:t xml:space="preserve"> W. „ist“ </w:t>
      </w:r>
    </w:p>
  </w:footnote>
  <w:footnote w:id="3796">
    <w:p>
      <w:pPr>
        <w:pStyle w:val="Funote"/>
        <w:rPr/>
      </w:pPr>
      <w:r>
        <w:rPr/>
        <w:footnoteRef/>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3797">
    <w:p>
      <w:pPr>
        <w:pStyle w:val="Funote"/>
        <w:rPr/>
      </w:pPr>
      <w:r>
        <w:rPr/>
        <w:footnoteRef/>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3798">
    <w:p>
      <w:pPr>
        <w:pStyle w:val="Funote"/>
        <w:rPr/>
      </w:pPr>
      <w:r>
        <w:rPr/>
        <w:footnoteRef/>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3799">
    <w:p>
      <w:pPr>
        <w:pStyle w:val="Funote"/>
        <w:rPr/>
      </w:pPr>
      <w:r>
        <w:rPr/>
        <w:footnoteRef/>
        <w:tab/>
        <w:t>nach Hause bzw. in ein Haus Es wird sich wieder um Petrus' Haus in Kafarnaum handeln, das Jesus offenbar bezogen hat (vgl. Mk 1,29; 2,1). Abgesehen von seinem Besuch in Levis Haus (2,15) ist es das einzige bisher identifizierte (France 2002, 164f.).</w:t>
      </w:r>
    </w:p>
  </w:footnote>
  <w:footnote w:id="3800">
    <w:p>
      <w:pPr>
        <w:pStyle w:val="Funote"/>
        <w:rPr/>
      </w:pPr>
      <w:r>
        <w:rPr>
          <w:i/>
        </w:rPr>
        <w:footnoteRef/>
        <w:tab/>
        <w:t>ging</w:t>
      </w:r>
      <w:r>
        <w:rPr/>
        <w:t xml:space="preserve"> und </w:t>
      </w:r>
      <w:r>
        <w:rPr>
          <w:i/>
        </w:rPr>
        <w:t>versammelte</w:t>
      </w:r>
      <w:r>
        <w:rPr/>
        <w:t xml:space="preserve"> </w:t>
      </w:r>
      <w:hyperlink r:id="rId284">
        <w:r>
          <w:rPr>
            <w:rStyle w:val="Internetverknpfung"/>
          </w:rPr>
          <w:t>Historisches Präsens</w:t>
        </w:r>
      </w:hyperlink>
      <w:r>
        <w:rPr/>
        <w:t xml:space="preserve">. </w:t>
      </w:r>
    </w:p>
  </w:footnote>
  <w:footnote w:id="3801">
    <w:p>
      <w:pPr>
        <w:pStyle w:val="Funote"/>
        <w:rPr/>
      </w:pPr>
      <w:r>
        <w:rPr/>
        <w:footnoteRef/>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3802">
    <w:p>
      <w:pPr>
        <w:pStyle w:val="Funote"/>
        <w:rPr/>
      </w:pPr>
      <w:r>
        <w:rPr/>
        <w:footnoteRef/>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3803">
    <w:p>
      <w:pPr>
        <w:pStyle w:val="Funote"/>
        <w:rPr/>
      </w:pPr>
      <w:r>
        <w:rPr/>
        <w:footnoteRef/>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3804">
    <w:p>
      <w:pPr>
        <w:pStyle w:val="Funote"/>
        <w:rPr/>
      </w:pPr>
      <w:r>
        <w:rPr>
          <w:i/>
        </w:rPr>
        <w:footnoteRef/>
        <w:tab/>
        <w:t>die ... gekommen waren</w:t>
      </w:r>
      <w:r>
        <w:rPr/>
        <w:t xml:space="preserve"> </w:t>
      </w:r>
      <w:hyperlink r:id="rId285">
        <w:r>
          <w:rPr>
            <w:rStyle w:val="Internetverknpfung"/>
          </w:rPr>
          <w:t>Attr. Ptz.</w:t>
        </w:r>
      </w:hyperlink>
      <w:r>
        <w:rPr/>
        <w:t xml:space="preserve"> Aor., als vorzeitiger Relativsatz aufgelöst.</w:t>
      </w:r>
    </w:p>
  </w:footnote>
  <w:footnote w:id="3805">
    <w:p>
      <w:pPr>
        <w:pStyle w:val="Funote"/>
        <w:rPr/>
      </w:pPr>
      <w:r>
        <w:rPr/>
        <w:footnoteRef/>
        <w:tab/>
        <w:t>verbreiteten Gr. einfach sagten. Das durative Imperfekt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3806">
    <w:p>
      <w:pPr>
        <w:pStyle w:val="Funote"/>
        <w:rPr/>
      </w:pPr>
      <w:r>
        <w:rPr/>
        <w:footnoteRef/>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3807">
    <w:p>
      <w:pPr>
        <w:pStyle w:val="Funote"/>
        <w:rPr/>
      </w:pPr>
      <w:r>
        <w:rPr>
          <w:i/>
        </w:rPr>
        <w:footnoteRef/>
        <w:tab/>
        <w:t>er rief sie zu sich und</w:t>
      </w:r>
      <w:r>
        <w:rPr/>
        <w:t xml:space="preserve"> Temporales (gleichzeitig) </w:t>
      </w:r>
      <w:hyperlink r:id="rId286">
        <w:r>
          <w:rPr>
            <w:rStyle w:val="Internetverknpfung"/>
          </w:rPr>
          <w:t>Ptz. conj.</w:t>
        </w:r>
      </w:hyperlink>
      <w:r>
        <w:rPr/>
        <w:t>, mit „und“ beigeordnet.</w:t>
      </w:r>
    </w:p>
  </w:footnote>
  <w:footnote w:id="3808">
    <w:p>
      <w:pPr>
        <w:pStyle w:val="Funote"/>
        <w:rPr/>
      </w:pPr>
      <w:r>
        <w:rPr/>
        <w:footnoteRef/>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3809">
    <w:p>
      <w:pPr>
        <w:pStyle w:val="Funote"/>
        <w:rPr/>
      </w:pPr>
      <w:r>
        <w:rPr/>
        <w:footnoteRef/>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3810">
    <w:p>
      <w:pPr>
        <w:pStyle w:val="Funote"/>
        <w:rPr/>
      </w:pPr>
      <w:r>
        <w:rPr/>
        <w:footnoteRef/>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3811">
    <w:p>
      <w:pPr>
        <w:pStyle w:val="Funote"/>
        <w:rPr/>
      </w:pPr>
      <w:r>
        <w:rPr/>
        <w:footnoteRef/>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3812">
    <w:p>
      <w:pPr>
        <w:pStyle w:val="Funote"/>
        <w:rPr/>
      </w:pPr>
      <w:r>
        <w:rPr/>
        <w:footnoteRef/>
        <w:tab/>
        <w:t>es hat ein Ende [mit ihm] W. »er hat ein Ende«. LUT: »es ist aus mit ihm.«</w:t>
      </w:r>
    </w:p>
  </w:footnote>
  <w:footnote w:id="3813">
    <w:p>
      <w:pPr>
        <w:pStyle w:val="Funote"/>
        <w:rPr/>
      </w:pPr>
      <w:r>
        <w:rPr>
          <w:i/>
        </w:rPr>
        <w:footnoteRef/>
        <w:tab/>
        <w:t>niemand kann</w:t>
      </w:r>
      <w:r>
        <w:rPr/>
        <w:t xml:space="preserve"> W. „niemand kann nicht“. Die doppelte Verneinung verstärkt die Aussage.</w:t>
      </w:r>
    </w:p>
  </w:footnote>
  <w:footnote w:id="3814">
    <w:p>
      <w:pPr>
        <w:pStyle w:val="Funote"/>
        <w:rPr/>
      </w:pPr>
      <w:r>
        <w:rPr>
          <w:i/>
        </w:rPr>
        <w:footnoteRef/>
        <w:tab/>
        <w:t>eindringen und</w:t>
      </w:r>
      <w:r>
        <w:rPr/>
        <w:t xml:space="preserve"> </w:t>
      </w:r>
      <w:hyperlink r:id="rId287">
        <w:r>
          <w:rPr>
            <w:rStyle w:val="Internetverknpfung"/>
          </w:rPr>
          <w:t>Ptz. conj.</w:t>
        </w:r>
      </w:hyperlink>
      <w:r>
        <w:rPr/>
        <w:t>, temporal, mit „und“ beigeordnet.</w:t>
      </w:r>
    </w:p>
  </w:footnote>
  <w:footnote w:id="3815">
    <w:p>
      <w:pPr>
        <w:pStyle w:val="Funote"/>
        <w:rPr/>
      </w:pPr>
      <w:r>
        <w:rPr/>
        <w:footnoteRef/>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3816">
    <w:p>
      <w:pPr>
        <w:pStyle w:val="Funote"/>
        <w:rPr/>
      </w:pPr>
      <w:r>
        <w:rPr/>
        <w:footnoteRef/>
        <w:tab/>
        <w:t>kann ausplündern Als modales Futur verstanden (NSS).</w:t>
      </w:r>
    </w:p>
  </w:footnote>
  <w:footnote w:id="3817">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818">
    <w:p>
      <w:pPr>
        <w:pStyle w:val="Funote"/>
        <w:rPr/>
      </w:pPr>
      <w:r>
        <w:rPr>
          <w:i/>
        </w:rPr>
        <w:footnoteRef/>
        <w:tab/>
        <w:t>Kindern (Söhnen) der Menschen</w:t>
      </w:r>
      <w:r>
        <w:rPr/>
        <w:t xml:space="preserve"> Semitische Formulierung, die einfach „Menschen“ oder „die Menschheit“ umschreibt. Kinder gibt den geschlechtlich unbestimmten Plural von „Sohn“ inklusiv wieder (</w:t>
      </w:r>
      <w:hyperlink r:id="rId288">
        <w:r>
          <w:rPr>
            <w:rStyle w:val="Internetverknpfung"/>
          </w:rPr>
          <w:t>Generisches Maskulinum</w:t>
        </w:r>
      </w:hyperlink>
      <w:r>
        <w:rPr/>
        <w:t>).</w:t>
      </w:r>
    </w:p>
  </w:footnote>
  <w:footnote w:id="3819">
    <w:p>
      <w:pPr>
        <w:pStyle w:val="Funote"/>
        <w:rPr/>
      </w:pPr>
      <w:r>
        <w:rPr/>
        <w:footnoteRef/>
        <w:tab/>
        <w:t>kann (wird) vergeben werden Das Futur ist wohl modal (NSS).</w:t>
      </w:r>
    </w:p>
  </w:footnote>
  <w:footnote w:id="3820">
    <w:p>
      <w:pPr>
        <w:pStyle w:val="Funote"/>
        <w:rPr/>
      </w:pPr>
      <w:r>
        <w:rPr/>
        <w:footnoteRef/>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3821">
    <w:p>
      <w:pPr>
        <w:pStyle w:val="Funote"/>
        <w:rPr/>
      </w:pPr>
      <w:r>
        <w:rPr>
          <w:i/>
        </w:rPr>
        <w:footnoteRef/>
        <w:tab/>
        <w:t>besessen</w:t>
      </w:r>
      <w:r>
        <w:rPr/>
        <w:t xml:space="preserve"> W. „Er hat einen unreinen Geist!“ Dazu s. die Erklärung in der </w:t>
      </w:r>
      <w:hyperlink w:anchor="note_aq">
        <w:r>
          <w:rPr>
            <w:rStyle w:val="Internetverknpfung"/>
          </w:rPr>
          <w:t>Fußnote zu V. 22</w:t>
        </w:r>
      </w:hyperlink>
      <w:r>
        <w:rPr/>
        <w:t>.</w:t>
      </w:r>
    </w:p>
  </w:footnote>
  <w:footnote w:id="3822">
    <w:p>
      <w:pPr>
        <w:pStyle w:val="Funote"/>
        <w:rPr/>
      </w:pPr>
      <w:r>
        <w:rPr>
          <w:i/>
        </w:rPr>
        <w:footnoteRef/>
        <w:tab/>
        <w:t>kamen</w:t>
      </w:r>
      <w:r>
        <w:rPr/>
        <w:t xml:space="preserve"> </w:t>
      </w:r>
      <w:hyperlink r:id="rId289">
        <w:r>
          <w:rPr>
            <w:rStyle w:val="Internetverknpfung"/>
          </w:rPr>
          <w:t>Historisches Präsens</w:t>
        </w:r>
      </w:hyperlink>
      <w:r>
        <w:rPr/>
        <w:t xml:space="preserve">, W. „kam“. </w:t>
      </w:r>
    </w:p>
  </w:footnote>
  <w:footnote w:id="3823">
    <w:p>
      <w:pPr>
        <w:pStyle w:val="Funote"/>
        <w:rPr/>
      </w:pPr>
      <w:r>
        <w:rPr/>
        <w:footnoteRef/>
        <w:tab/>
        <w:t>Geschwister (Brüder) Generisches Maskulinum.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3824">
    <w:p>
      <w:pPr>
        <w:pStyle w:val="Funote"/>
        <w:rPr/>
      </w:pPr>
      <w:r>
        <w:rPr>
          <w:i/>
        </w:rPr>
        <w:footnoteRef/>
        <w:tab/>
        <w:t>Sie blieben stehen und</w:t>
      </w:r>
      <w:r>
        <w:rPr/>
        <w:t xml:space="preserve"> </w:t>
      </w:r>
      <w:hyperlink r:id="rId290">
        <w:r>
          <w:rPr>
            <w:rStyle w:val="Internetverknpfung"/>
          </w:rPr>
          <w:t>Ptz. conj.</w:t>
        </w:r>
      </w:hyperlink>
      <w:r>
        <w:rPr/>
        <w:t>, temporal oder modal, als mit „und“ beigeordneter Satz aufgelöst.</w:t>
      </w:r>
    </w:p>
  </w:footnote>
  <w:footnote w:id="3825">
    <w:p>
      <w:pPr>
        <w:pStyle w:val="Funote"/>
        <w:rPr/>
      </w:pPr>
      <w:r>
        <w:rPr>
          <w:i/>
        </w:rPr>
        <w:footnoteRef/>
        <w:tab/>
        <w:t>schickten [jemanden] zu ihm (ließen ihm ausrichten)</w:t>
      </w:r>
      <w:r>
        <w:rPr/>
        <w:t xml:space="preserve">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3826">
    <w:p>
      <w:pPr>
        <w:pStyle w:val="Funote"/>
        <w:rPr/>
      </w:pPr>
      <w:r>
        <w:rPr/>
        <w:footnoteRef/>
        <w:tab/>
        <w:t>um ihn zu rufen Wohl finales Ptz. conj.,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3827">
    <w:p>
      <w:pPr>
        <w:pStyle w:val="Funote"/>
        <w:rPr/>
      </w:pPr>
      <w:r>
        <w:rPr/>
        <w:footnoteRef/>
        <w:tab/>
        <w:t>sagten Historisches Präsens. Die Alternativübersetzung in der Klammer versteht das Prädikat unpersönlich (vgl. EÜ, NGÜ).</w:t>
      </w:r>
    </w:p>
  </w:footnote>
  <w:footnote w:id="3828">
    <w:p>
      <w:pPr>
        <w:pStyle w:val="Funote"/>
        <w:rPr/>
      </w:pPr>
      <w:r>
        <w:rPr/>
        <w:footnoteRef/>
        <w:tab/>
        <w:t>Da draußen - W. »Siehe, deine Mutter und deine Geschwister draußen suchen dich«. »°Siehe°« hat hier die Funktion, Jesus auf etwas räumlich Nahes aufmerksam zu machen (Bailey 2009, S. 329); sinnvoller daher statt wörtliche Üs.: »Da draußen«.</w:t>
      </w:r>
    </w:p>
  </w:footnote>
  <w:footnote w:id="3829">
    <w:p>
      <w:pPr>
        <w:pStyle w:val="Funote"/>
        <w:rPr/>
      </w:pPr>
      <w:r>
        <w:rPr>
          <w:i/>
        </w:rPr>
        <w:footnoteRef/>
        <w:tab/>
        <w:t>antwortete ihnen {und sagte}</w:t>
      </w:r>
      <w:r>
        <w:rPr/>
        <w:t xml:space="preserve"> Zu </w:t>
      </w:r>
      <w:r>
        <w:rPr>
          <w:i/>
        </w:rPr>
        <w:t>antwortete</w:t>
      </w:r>
      <w:r>
        <w:rPr/>
        <w:t xml:space="preserve">: </w:t>
      </w:r>
      <w:hyperlink r:id="rId291">
        <w:r>
          <w:rPr>
            <w:rStyle w:val="Internetverknpfung"/>
          </w:rPr>
          <w:t>Ptz. conj.</w:t>
        </w:r>
      </w:hyperlink>
      <w:r>
        <w:rPr/>
        <w:t xml:space="preserve"> (modal-temporal), mit „und“ beigeordnet. </w:t>
      </w:r>
      <w:r>
        <w:rPr>
          <w:i/>
        </w:rPr>
        <w:t>{und sagte}</w:t>
      </w:r>
      <w:r>
        <w:rPr/>
        <w:t xml:space="preserve"> </w:t>
      </w:r>
      <w:hyperlink r:id="rId292">
        <w:r>
          <w:rPr>
            <w:rStyle w:val="Internetverknpfung"/>
          </w:rPr>
          <w:t>Historisches Präsens</w:t>
        </w:r>
      </w:hyperlink>
      <w:r>
        <w:rPr/>
        <w:t>. Im Deutschen ist das doppelte Prädikat unnötig.</w:t>
      </w:r>
    </w:p>
  </w:footnote>
  <w:footnote w:id="3830">
    <w:p>
      <w:pPr>
        <w:pStyle w:val="Funote"/>
        <w:rPr/>
      </w:pPr>
      <w:r>
        <w:rPr>
          <w:i/>
        </w:rPr>
        <w:footnoteRef/>
        <w:tab/>
        <w:t>sind</w:t>
      </w:r>
      <w:r>
        <w:rPr/>
        <w:t xml:space="preserve"> W. „ist“ </w:t>
      </w:r>
    </w:p>
  </w:footnote>
  <w:footnote w:id="3831">
    <w:p>
      <w:pPr>
        <w:pStyle w:val="Funote"/>
        <w:rPr/>
      </w:pPr>
      <w:r>
        <w:rPr>
          <w:i/>
        </w:rPr>
        <w:footnoteRef/>
        <w:tab/>
        <w:t>während (indem, nachdem) er der Reihe nach anschaute</w:t>
      </w:r>
      <w:r>
        <w:rPr/>
        <w:t xml:space="preserve"> </w:t>
      </w:r>
      <w:hyperlink r:id="rId293">
        <w:r>
          <w:rPr>
            <w:rStyle w:val="Internetverknpfung"/>
          </w:rPr>
          <w:t>Ptz. conj.</w:t>
        </w:r>
      </w:hyperlink>
      <w:r>
        <w:rPr/>
        <w:t xml:space="preserve"> (Aor.), temporal-modal als Nebensatz aufgelöst.</w:t>
      </w:r>
    </w:p>
  </w:footnote>
  <w:footnote w:id="3832">
    <w:p>
      <w:pPr>
        <w:pStyle w:val="Funote"/>
        <w:rPr/>
      </w:pPr>
      <w:r>
        <w:rPr/>
        <w:footnoteRef/>
        <w:tab/>
        <w:t>[im] Kreis Erstarrter lokaler Dativ (NSS).</w:t>
      </w:r>
    </w:p>
  </w:footnote>
  <w:footnote w:id="3833">
    <w:p>
      <w:pPr>
        <w:pStyle w:val="Funote"/>
        <w:rPr/>
      </w:pPr>
      <w:r>
        <w:rPr>
          <w:i/>
        </w:rPr>
        <w:footnoteRef/>
        <w:tab/>
        <w:t>[alle], die ... saßen</w:t>
      </w:r>
      <w:r>
        <w:rPr/>
        <w:t xml:space="preserve"> </w:t>
      </w:r>
      <w:hyperlink r:id="rId294">
        <w:r>
          <w:rPr>
            <w:rStyle w:val="Internetverknpfung"/>
          </w:rPr>
          <w:t>Substantiviertes Partizip</w:t>
        </w:r>
      </w:hyperlink>
      <w:r>
        <w:rPr/>
        <w:t>, als Relativsatz aufgelöst.</w:t>
      </w:r>
    </w:p>
  </w:footnote>
  <w:footnote w:id="3834">
    <w:p>
      <w:pPr>
        <w:pStyle w:val="Funote"/>
        <w:rPr/>
      </w:pPr>
      <w:r>
        <w:rPr/>
        <w:footnoteRef/>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3835">
    <w:p>
      <w:pPr>
        <w:pStyle w:val="Funote"/>
        <w:rPr/>
      </w:pPr>
      <w:r>
        <w:rPr/>
        <w:footnoteRef/>
        <w:tab/>
        <w:t>[Status: Zuverlässig]</w:t>
      </w:r>
    </w:p>
  </w:footnote>
  <w:footnote w:id="3836">
    <w:p>
      <w:pPr>
        <w:pStyle w:val="Funote"/>
        <w:rPr/>
      </w:pPr>
      <w:r>
        <w:rPr>
          <w:i/>
        </w:rPr>
        <w:footnoteRef/>
        <w:tab/>
        <w:t>Meer</w:t>
      </w:r>
      <w:r>
        <w:rPr/>
        <w:t xml:space="preserve"> Gemeint ist wie schon in Mk 2,13; 3,7 der See Gennesaret, das „Meer von Galiläa“. Bisher hat sich Jesus fast nur in Galiläa aufgehalten.</w:t>
      </w:r>
    </w:p>
  </w:footnote>
  <w:footnote w:id="3837">
    <w:p>
      <w:pPr>
        <w:pStyle w:val="Funote"/>
        <w:rPr/>
      </w:pPr>
      <w:r>
        <w:rPr>
          <w:i/>
        </w:rPr>
        <w:footnoteRef/>
        <w:tab/>
        <w:t>stieg und</w:t>
      </w:r>
      <w:r>
        <w:rPr/>
        <w:t xml:space="preserve"> </w:t>
      </w:r>
      <w:hyperlink r:id="rId295">
        <w:r>
          <w:rPr>
            <w:rStyle w:val="Internetverknpfung"/>
          </w:rPr>
          <w:t>Ptz. conj.</w:t>
        </w:r>
      </w:hyperlink>
      <w:r>
        <w:rPr/>
        <w:t>, temporal, mit „und“ beigeordnet übersetzt.</w:t>
      </w:r>
    </w:p>
  </w:footnote>
  <w:footnote w:id="3838">
    <w:p>
      <w:pPr>
        <w:pStyle w:val="Funote"/>
        <w:rPr/>
      </w:pPr>
      <w:r>
        <w:rPr/>
        <w:footnoteRef/>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3839">
    <w:p>
      <w:pPr>
        <w:pStyle w:val="Funote"/>
        <w:rPr/>
      </w:pPr>
      <w:r>
        <w:rPr>
          <w:i/>
        </w:rPr>
        <w:footnoteRef/>
        <w:tab/>
        <w:t>blieb (war)</w:t>
      </w:r>
      <w:r>
        <w:rPr/>
        <w:t xml:space="preserve"> W. „waren“ (</w:t>
      </w:r>
      <w:hyperlink r:id="rId296">
        <w:r>
          <w:rPr>
            <w:rStyle w:val="Internetverknpfung"/>
          </w:rPr>
          <w:t>Constructio ad sensum</w:t>
        </w:r>
      </w:hyperlink>
      <w:r>
        <w:rPr/>
        <w:t>).</w:t>
      </w:r>
    </w:p>
  </w:footnote>
  <w:footnote w:id="3840">
    <w:p>
      <w:pPr>
        <w:pStyle w:val="Funote"/>
        <w:rPr/>
      </w:pPr>
      <w:r>
        <w:rPr>
          <w:i/>
        </w:rPr>
        <w:footnoteRef/>
        <w:tab/>
        <w:t>am Ufer</w:t>
      </w:r>
      <w:r>
        <w:rPr/>
        <w:t xml:space="preserve"> W. „(nah) am Meer“ oder „zum Meer hin gewandt“.</w:t>
      </w:r>
    </w:p>
  </w:footnote>
  <w:footnote w:id="3841">
    <w:p>
      <w:pPr>
        <w:pStyle w:val="Funote"/>
        <w:rPr/>
      </w:pPr>
      <w:r>
        <w:rPr/>
        <w:footnoteRef/>
        <w:tab/>
        <w:t xml:space="preserve">lehrte und sagte stehen im Imperfekt, was für eine (fortdauernde) Predigt passend ist. </w:t>
      </w:r>
      <w:r>
        <w:rPr>
          <w:lang w:val="el-GR"/>
        </w:rPr>
        <w:t>πολλὰ</w:t>
      </w:r>
      <w:r>
        <w:rPr/>
        <w:t xml:space="preserve"> könnte daher hier nicht nur viele Dinge heißen, sondern auch ein Adverb sein und dann lange bedeuten (NSS, so EÜ).</w:t>
      </w:r>
    </w:p>
  </w:footnote>
  <w:footnote w:id="3842">
    <w:p>
      <w:pPr>
        <w:pStyle w:val="Funote"/>
        <w:rPr/>
      </w:pPr>
      <w:r>
        <w:rPr/>
        <w:footnoteRef/>
        <w:tab/>
        <w:t>während er lehrte LUT: „in seiner Predigt sprach er zu ihnen“, GNB, NGÜ: „Unter anderem sagte er“</w:t>
      </w:r>
    </w:p>
  </w:footnote>
  <w:footnote w:id="3843">
    <w:p>
      <w:pPr>
        <w:pStyle w:val="Funote"/>
        <w:rPr/>
      </w:pPr>
      <w:r>
        <w:rPr/>
        <w:footnoteRef/>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3844">
    <w:p>
      <w:pPr>
        <w:pStyle w:val="Funote"/>
        <w:rPr/>
      </w:pPr>
      <w:r>
        <w:rPr/>
        <w:footnoteRef/>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3845">
    <w:p>
      <w:pPr>
        <w:pStyle w:val="Funote"/>
        <w:rPr/>
      </w:pPr>
      <w:r>
        <w:rPr>
          <w:i/>
        </w:rPr>
        <w:footnoteRef/>
        <w:tab/>
        <w:t>Wurzeln</w:t>
      </w:r>
      <w:r>
        <w:rPr/>
        <w:t xml:space="preserve"> W. „Wurzel“</w:t>
      </w:r>
    </w:p>
  </w:footnote>
  <w:footnote w:id="3846">
    <w:p>
      <w:pPr>
        <w:pStyle w:val="Funote"/>
        <w:rPr/>
      </w:pPr>
      <w:r>
        <w:rPr>
          <w:i/>
        </w:rPr>
        <w:footnoteRef/>
        <w:tab/>
        <w:t>indem (während, wobei) er aufging und wuchs</w:t>
      </w:r>
      <w:r>
        <w:rPr/>
        <w:t xml:space="preserve"> Zwei </w:t>
      </w:r>
      <w:hyperlink r:id="rId297">
        <w:r>
          <w:rPr>
            <w:rStyle w:val="Internetverknpfung"/>
          </w:rPr>
          <w:t>Ptz. conj.</w:t>
        </w:r>
      </w:hyperlink>
      <w:r>
        <w:rPr/>
        <w:t>, modal-temporal Nebensatz übersetzt.</w:t>
      </w:r>
    </w:p>
  </w:footnote>
  <w:footnote w:id="3847">
    <w:p>
      <w:pPr>
        <w:pStyle w:val="Funote"/>
        <w:rPr/>
      </w:pPr>
      <w:r>
        <w:rPr/>
        <w:footnoteRef/>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3848">
    <w:p>
      <w:pPr>
        <w:pStyle w:val="Funote"/>
        <w:rPr/>
      </w:pPr>
      <w:r>
        <w:rPr/>
        <w:footnoteRef/>
        <w:tab/>
        <w:t>sagte (V. 9 sowie 21, 24, 26, 30) Imperfekt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3849">
    <w:p>
      <w:pPr>
        <w:pStyle w:val="Funote"/>
        <w:rPr/>
      </w:pPr>
      <w:r>
        <w:rPr/>
        <w:footnoteRef/>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3850">
    <w:p>
      <w:pPr>
        <w:pStyle w:val="Funote"/>
        <w:rPr/>
      </w:pPr>
      <w:r>
        <w:rPr>
          <w:i/>
        </w:rPr>
        <w:footnoteRef/>
        <w:tab/>
        <w:t>sagte</w:t>
      </w:r>
      <w:r>
        <w:rPr/>
        <w:t xml:space="preserve"> </w:t>
      </w:r>
      <w:hyperlink r:id="rId298">
        <w:r>
          <w:rPr>
            <w:rStyle w:val="Internetverknpfung"/>
          </w:rPr>
          <w:t>Imperfekt</w:t>
        </w:r>
      </w:hyperlink>
      <w:r>
        <w:rPr/>
        <w:t>, zur Erklärung siehe die vorige Fußnote.</w:t>
      </w:r>
    </w:p>
  </w:footnote>
  <w:footnote w:id="3851">
    <w:p>
      <w:pPr>
        <w:pStyle w:val="Funote"/>
        <w:rPr/>
      </w:pPr>
      <w:r>
        <w:rPr/>
        <w:footnoteRef/>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Ptz. conj., die hier konzessiv als Nebensätze aufgelöst sind (ähnlich NGÜ). beim Sehen ... beim Hören wäre modal. Auch die wörtliche Übersetzung sieht wohl eine modale Sinnrichtung (vgl. NSS).</w:t>
      </w:r>
    </w:p>
  </w:footnote>
  <w:footnote w:id="3852">
    <w:p>
      <w:pPr>
        <w:pStyle w:val="Funote"/>
        <w:rPr/>
      </w:pPr>
      <w:r>
        <w:rPr>
          <w:i/>
        </w:rPr>
        <w:footnoteRef/>
        <w:tab/>
        <w:t>dieses Gleichnis</w:t>
      </w:r>
      <w:r>
        <w:rPr/>
        <w:t xml:space="preserve"> Jesus spricht nun wieder vom Gleichnis von der Saat (Mk 4,3-9). Die Beschreibung von Jesu (üblicher?) Antwort auf derartige Fragen nach seinen Gleichnissen (s. die </w:t>
      </w:r>
      <w:hyperlink w:anchor="note_n">
        <w:r>
          <w:rPr>
            <w:rStyle w:val="Internetverknpfung"/>
          </w:rPr>
          <w:t>Fußnote in V. 10</w:t>
        </w:r>
      </w:hyperlink>
      <w:r>
        <w:rPr/>
        <w:t>) endet in V. 12.</w:t>
      </w:r>
    </w:p>
  </w:footnote>
  <w:footnote w:id="3853">
    <w:p>
      <w:pPr>
        <w:pStyle w:val="Funote"/>
        <w:rPr/>
      </w:pPr>
      <w:r>
        <w:rPr/>
        <w:footnoteRef/>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3854">
    <w:p>
      <w:pPr>
        <w:pStyle w:val="Funote"/>
        <w:rPr/>
      </w:pPr>
      <w:r>
        <w:rPr/>
        <w:footnoteRef/>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3855">
    <w:p>
      <w:pPr>
        <w:pStyle w:val="Funote"/>
        <w:rPr/>
      </w:pPr>
      <w:r>
        <w:rPr>
          <w:i/>
        </w:rPr>
        <w:footnoteRef/>
        <w:tab/>
        <w:t>die das Wort gleich mit Freuden annehmen, sobald sie es hören</w:t>
      </w:r>
      <w:r>
        <w:rPr/>
        <w:t xml:space="preserve"> W. „die, sobald sie das Wort hören, es gleich mit Freuden annehmen“</w:t>
      </w:r>
    </w:p>
  </w:footnote>
  <w:footnote w:id="3856">
    <w:p>
      <w:pPr>
        <w:pStyle w:val="Funote"/>
        <w:rPr/>
      </w:pPr>
      <w:r>
        <w:rPr>
          <w:i/>
        </w:rPr>
        <w:footnoteRef/>
        <w:tab/>
        <w:t>wenn es … zu … kommt</w:t>
      </w:r>
      <w:r>
        <w:rPr/>
        <w:t xml:space="preserve"> Temporal aufgelöster </w:t>
      </w:r>
      <w:hyperlink r:id="rId299">
        <w:r>
          <w:rPr>
            <w:rStyle w:val="Internetverknpfung"/>
          </w:rPr>
          <w:t>Genitivus absolutus</w:t>
        </w:r>
      </w:hyperlink>
      <w:r>
        <w:rPr/>
        <w:t>.</w:t>
      </w:r>
    </w:p>
  </w:footnote>
  <w:footnote w:id="3857">
    <w:p>
      <w:pPr>
        <w:pStyle w:val="Funote"/>
        <w:rPr/>
      </w:pPr>
      <w:r>
        <w:rPr>
          <w:i/>
        </w:rPr>
        <w:footnoteRef/>
        <w:tab/>
        <w:t>die … hören</w:t>
      </w:r>
      <w:r>
        <w:rPr/>
        <w:t xml:space="preserve"> bzw. </w:t>
      </w:r>
      <w:r>
        <w:rPr>
          <w:i/>
        </w:rPr>
        <w:t>gehört haben</w:t>
      </w:r>
      <w:r>
        <w:rPr/>
        <w:t xml:space="preserve"> Als Relativsatz aufgelöstes </w:t>
      </w:r>
      <w:hyperlink r:id="rId300">
        <w:r>
          <w:rPr>
            <w:rStyle w:val="Internetverknpfung"/>
          </w:rPr>
          <w:t>substantiviertes Partizip</w:t>
        </w:r>
      </w:hyperlink>
      <w:r>
        <w:rPr/>
        <w:t>. Man kann das Partizip Aorist sowohl vorzeitig wie gleichzeitig übersetzen.</w:t>
      </w:r>
    </w:p>
  </w:footnote>
  <w:footnote w:id="3858">
    <w:p>
      <w:pPr>
        <w:pStyle w:val="Funote"/>
        <w:rPr/>
      </w:pPr>
      <w:r>
        <w:rPr>
          <w:i/>
        </w:rPr>
        <w:footnoteRef/>
        <w:tab/>
        <w:t>weltliche Sorgen</w:t>
      </w:r>
      <w:r>
        <w:rPr/>
        <w:t xml:space="preserve"> W. „Sorgen der Welt/Zeit/Gegenwart“, </w:t>
      </w:r>
      <w:hyperlink r:id="rId301">
        <w:r>
          <w:rPr>
            <w:rStyle w:val="Internetverknpfung"/>
          </w:rPr>
          <w:t>appositiver Genitiv</w:t>
        </w:r>
      </w:hyperlink>
      <w:r>
        <w:rPr/>
        <w:t>.</w:t>
      </w:r>
    </w:p>
  </w:footnote>
  <w:footnote w:id="3859">
    <w:p>
      <w:pPr>
        <w:pStyle w:val="Funote"/>
        <w:rPr/>
      </w:pPr>
      <w:r>
        <w:rPr>
          <w:i/>
        </w:rPr>
        <w:footnoteRef/>
        <w:tab/>
        <w:t>wenn … dazukommen</w:t>
      </w:r>
      <w:r>
        <w:rPr/>
        <w:t xml:space="preserve"> Temporal aufgelöstes </w:t>
      </w:r>
      <w:hyperlink r:id="rId302">
        <w:r>
          <w:rPr>
            <w:rStyle w:val="Internetverknpfung"/>
          </w:rPr>
          <w:t>Ptz. conj.</w:t>
        </w:r>
      </w:hyperlink>
      <w:r>
        <w:rPr/>
        <w:t>.</w:t>
      </w:r>
    </w:p>
  </w:footnote>
  <w:footnote w:id="3860">
    <w:p>
      <w:pPr>
        <w:pStyle w:val="Funote"/>
        <w:rPr/>
      </w:pPr>
      <w:r>
        <w:rPr>
          <w:i/>
        </w:rPr>
        <w:footnoteRef/>
        <w:tab/>
        <w:t>die … gesät werden</w:t>
      </w:r>
      <w:r>
        <w:rPr/>
        <w:t xml:space="preserve"> Als Relativsatz aufgelöstes </w:t>
      </w:r>
      <w:hyperlink r:id="rId303">
        <w:r>
          <w:rPr>
            <w:rStyle w:val="Internetverknpfung"/>
          </w:rPr>
          <w:t>subst. Ptz.</w:t>
        </w:r>
      </w:hyperlink>
      <w:r>
        <w:rPr/>
        <w:t>.</w:t>
      </w:r>
    </w:p>
  </w:footnote>
  <w:footnote w:id="3861">
    <w:p>
      <w:pPr>
        <w:pStyle w:val="Funote"/>
        <w:rPr/>
      </w:pPr>
      <w:r>
        <w:rPr/>
        <w:footnoteRef/>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3862">
    <w:p>
      <w:pPr>
        <w:pStyle w:val="Funote"/>
        <w:rPr/>
      </w:pPr>
      <w:r>
        <w:rPr/>
        <w:footnoteRef/>
        <w:tab/>
        <w:t>Bringt man W. »kommt«, d.h. etwa »wird herbeigebracht«, eine gängige griechische Wendung (NSS).</w:t>
      </w:r>
    </w:p>
  </w:footnote>
  <w:footnote w:id="3863">
    <w:p>
      <w:pPr>
        <w:pStyle w:val="Funote"/>
        <w:rPr/>
      </w:pPr>
      <w:r>
        <w:rPr>
          <w:i/>
        </w:rPr>
        <w:footnoteRef/>
        <w:tab/>
        <w:t>um zu stellen</w:t>
      </w:r>
      <w:r>
        <w:rPr/>
        <w:t xml:space="preserve"> (2x) Oder etwas genauer an der griechischen Syntax orientiert: „damit … gestellt wird“</w:t>
      </w:r>
    </w:p>
  </w:footnote>
  <w:footnote w:id="3864">
    <w:p>
      <w:pPr>
        <w:pStyle w:val="Funote"/>
        <w:rPr/>
      </w:pPr>
      <w:r>
        <w:rPr>
          <w:i/>
        </w:rPr>
        <w:footnoteRef/>
        <w:tab/>
        <w:t>um zu machen</w:t>
      </w:r>
      <w:r>
        <w:rPr/>
        <w:t xml:space="preserve"> Oder etwas genauer an der griechischen Syntax orientiert: „damit … gemacht wird“</w:t>
      </w:r>
    </w:p>
  </w:footnote>
  <w:footnote w:id="3865">
    <w:p>
      <w:pPr>
        <w:pStyle w:val="Funote"/>
        <w:rPr/>
      </w:pPr>
      <w:r>
        <w:rPr>
          <w:i/>
        </w:rPr>
        <w:footnoteRef/>
        <w:tab/>
        <w:t>Während … {und}</w:t>
      </w:r>
      <w:r>
        <w:rPr/>
        <w:t xml:space="preserve"> W. „und … und“. In Markus' volkstümlichem Griechisch entspricht das wohl (ähnlich wie im Hebräischen) einer temporalen Verbindung (vgl. Mk 2,23), daher die Wiedergabe als temporaler Nebensatz.</w:t>
      </w:r>
    </w:p>
  </w:footnote>
  <w:footnote w:id="3866">
    <w:p>
      <w:pPr>
        <w:pStyle w:val="Funote"/>
        <w:rPr/>
      </w:pPr>
      <w:r>
        <w:rPr/>
        <w:footnoteRef/>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3867">
    <w:p>
      <w:pPr>
        <w:pStyle w:val="Funote"/>
        <w:rPr/>
      </w:pPr>
      <w:r>
        <w:rPr>
          <w:i/>
        </w:rPr>
        <w:footnoteRef/>
        <w:tab/>
        <w:t>voll ausgereiftem Weizen</w:t>
      </w:r>
      <w:r>
        <w:rPr/>
        <w:t xml:space="preserve"> bezieht sich auf die Körner in der Ähre. </w:t>
      </w:r>
    </w:p>
  </w:footnote>
  <w:footnote w:id="3868">
    <w:p>
      <w:pPr>
        <w:pStyle w:val="Funote"/>
        <w:rPr/>
      </w:pPr>
      <w:r>
        <w:rPr/>
        <w:footnoteRef/>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3869">
    <w:p>
      <w:pPr>
        <w:pStyle w:val="Funote"/>
        <w:rPr/>
      </w:pPr>
      <w:r>
        <w:rPr/>
        <w:footnoteRef/>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3870">
    <w:p>
      <w:pPr>
        <w:pStyle w:val="Funote"/>
        <w:rPr/>
      </w:pPr>
      <w:r>
        <w:rPr/>
        <w:footnoteRef/>
        <w:tab/>
        <w:t>[das] kleinste W. »kleiner«. Superlativisch gebrauchter Komparativ (NSS).</w:t>
      </w:r>
    </w:p>
  </w:footnote>
  <w:footnote w:id="3871">
    <w:p>
      <w:pPr>
        <w:pStyle w:val="Funote"/>
        <w:rPr/>
      </w:pPr>
      <w:r>
        <w:rPr/>
        <w:footnoteRef/>
        <w:tab/>
        <w:t>ist Wohl konzessives Ptz. conj.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3872">
    <w:p>
      <w:pPr>
        <w:pStyle w:val="Funote"/>
        <w:rPr/>
      </w:pPr>
      <w:r>
        <w:rPr/>
        <w:footnoteRef/>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3873">
    <w:p>
      <w:pPr>
        <w:pStyle w:val="Funote"/>
        <w:rPr/>
      </w:pPr>
      <w:r>
        <w:rPr>
          <w:i/>
        </w:rPr>
        <w:footnoteRef/>
        <w:tab/>
        <w:t>in seinem Schatten</w:t>
      </w:r>
      <w:r>
        <w:rPr/>
        <w:t xml:space="preserve"> W. „unter seinem Schatten“</w:t>
      </w:r>
    </w:p>
  </w:footnote>
  <w:footnote w:id="3874">
    <w:p>
      <w:pPr>
        <w:pStyle w:val="Funote"/>
        <w:rPr/>
      </w:pPr>
      <w:r>
        <w:rPr>
          <w:i/>
        </w:rPr>
        <w:footnoteRef/>
        <w:tab/>
        <w:t>erläuterte</w:t>
      </w:r>
      <w:r>
        <w:rPr/>
        <w:t xml:space="preserve"> Das Imperfekt drückt entweder eine grundsätzliche Gepflogenheit aus oder hat die Predigt von Mk 4,2 im Sinn. Zur Phrase </w:t>
      </w:r>
      <w:r>
        <w:rPr>
          <w:i/>
        </w:rPr>
        <w:t>erläuterte ihnen [seine] Botschaft</w:t>
      </w:r>
      <w:r>
        <w:rPr/>
        <w:t xml:space="preserve"> s. die </w:t>
      </w:r>
      <w:r>
        <w:fldChar w:fldCharType="begin"/>
      </w:r>
      <w:r>
        <w:instrText> HYPERLINK "file:///wiki/Markus_2" \l "note_e"</w:instrText>
      </w:r>
      <w:r>
        <w:fldChar w:fldCharType="separate"/>
      </w:r>
      <w:r>
        <w:rPr>
          <w:rStyle w:val="Internetverknpfung"/>
        </w:rPr>
        <w:t>Fußnote zu Mk 2,2</w:t>
      </w:r>
      <w:r>
        <w:fldChar w:fldCharType="end"/>
      </w:r>
      <w:r>
        <w:rPr/>
        <w:t xml:space="preserve"> und die folgende Fußnote zu </w:t>
      </w:r>
      <w:r>
        <w:rPr>
          <w:i/>
        </w:rPr>
        <w:t>Wort</w:t>
      </w:r>
      <w:r>
        <w:rPr/>
        <w:t>.</w:t>
      </w:r>
    </w:p>
  </w:footnote>
  <w:footnote w:id="3875">
    <w:p>
      <w:pPr>
        <w:pStyle w:val="Funote"/>
        <w:rPr/>
      </w:pPr>
      <w:r>
        <w:rPr/>
        <w:footnoteRef/>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3876">
    <w:p>
      <w:pPr>
        <w:pStyle w:val="Funote"/>
        <w:rPr/>
      </w:pPr>
      <w:r>
        <w:rPr/>
        <w:footnoteRef/>
        <w:tab/>
        <w:t>Jünger Gemeint sind hier nicht nur die Zwölf, sondern die größere Gruppe seiner Anhänger, die schon in V. 10 im Blick war (Collins 2007, 256).</w:t>
      </w:r>
    </w:p>
  </w:footnote>
  <w:footnote w:id="3877">
    <w:p>
      <w:pPr>
        <w:pStyle w:val="Funote"/>
        <w:rPr/>
      </w:pPr>
      <w:r>
        <w:rPr>
          <w:i/>
        </w:rPr>
        <w:footnoteRef/>
        <w:tab/>
        <w:t>sprach</w:t>
      </w:r>
      <w:r>
        <w:rPr/>
        <w:t xml:space="preserve"> und </w:t>
      </w:r>
      <w:r>
        <w:rPr>
          <w:i/>
        </w:rPr>
        <w:t>erklärte</w:t>
      </w:r>
      <w:r>
        <w:rPr/>
        <w:t xml:space="preserve"> stehen im </w:t>
      </w:r>
      <w:hyperlink r:id="rId304">
        <w:r>
          <w:rPr>
            <w:rStyle w:val="Internetverknpfung"/>
          </w:rPr>
          <w:t>Imperfekt</w:t>
        </w:r>
      </w:hyperlink>
      <w:r>
        <w:rPr/>
        <w:t xml:space="preserve">, wie große Teile der Rahmenhandlung in Kap. 4. Dazu vgl. die Fußnoten zu </w:t>
      </w:r>
      <w:hyperlink w:anchor="note_o">
        <w:r>
          <w:rPr>
            <w:rStyle w:val="Internetverknpfung"/>
          </w:rPr>
          <w:t>V. 10</w:t>
        </w:r>
      </w:hyperlink>
      <w:r>
        <w:rPr/>
        <w:t xml:space="preserve"> und </w:t>
      </w:r>
      <w:hyperlink w:anchor="note_n">
        <w:r>
          <w:rPr>
            <w:rStyle w:val="Internetverknpfung"/>
          </w:rPr>
          <w:t>9</w:t>
        </w:r>
      </w:hyperlink>
      <w:r>
        <w:rPr/>
        <w:t xml:space="preserve"> sowie </w:t>
      </w:r>
      <w:hyperlink w:anchor="note_ao">
        <w:r>
          <w:rPr>
            <w:rStyle w:val="Internetverknpfung"/>
          </w:rPr>
          <w:t>V. 33</w:t>
        </w:r>
      </w:hyperlink>
      <w:r>
        <w:rPr/>
        <w:t>.</w:t>
      </w:r>
    </w:p>
  </w:footnote>
  <w:footnote w:id="3878">
    <w:p>
      <w:pPr>
        <w:pStyle w:val="Funote"/>
        <w:rPr/>
      </w:pPr>
      <w:r>
        <w:rPr>
          <w:i/>
        </w:rPr>
        <w:footnoteRef/>
        <w:tab/>
        <w:t>als es Abend geworden war</w:t>
      </w:r>
      <w:r>
        <w:rPr/>
        <w:t xml:space="preserve"> </w:t>
      </w:r>
      <w:hyperlink r:id="rId305">
        <w:r>
          <w:rPr>
            <w:rStyle w:val="Internetverknpfung"/>
          </w:rPr>
          <w:t>Gen. abs.</w:t>
        </w:r>
      </w:hyperlink>
      <w:r>
        <w:rPr/>
        <w:t>, temporal als Nebensatz aufgelöst.</w:t>
      </w:r>
    </w:p>
  </w:footnote>
  <w:footnote w:id="3879">
    <w:p>
      <w:pPr>
        <w:pStyle w:val="Funote"/>
        <w:rPr/>
      </w:pPr>
      <w:r>
        <w:rPr/>
        <w:footnoteRef/>
        <w:tab/>
        <w:t>ans andere Ufer Jesus und die Jünger hielten sich bei Kafarnaum am See Gennesaret auf (4,1-2). Das andere Ufer war also das von Nichtjuden bewohnte Ostufer (vgl. France 2002, 222), das sie in Mk 5,1 erreichen.</w:t>
      </w:r>
    </w:p>
  </w:footnote>
  <w:footnote w:id="3880">
    <w:p>
      <w:pPr>
        <w:pStyle w:val="Funote"/>
        <w:rPr/>
      </w:pPr>
      <w:r>
        <w:rPr>
          <w:i/>
        </w:rPr>
        <w:footnoteRef/>
        <w:tab/>
        <w:t>nachdem sie die Menschenmenge weggeschickt hatten (wobei … zurückließen)</w:t>
      </w:r>
      <w:r>
        <w:rPr/>
        <w:t xml:space="preserve"> </w:t>
      </w:r>
      <w:hyperlink r:id="rId306">
        <w:r>
          <w:rPr>
            <w:rStyle w:val="Internetverknpfung"/>
          </w:rPr>
          <w:t>Ptz. conj.</w:t>
        </w:r>
      </w:hyperlink>
      <w:r>
        <w:rPr/>
        <w:t>, temporal (oder modal) als Nebensatz aufgelöst. Deutsche Übersetzungen verwenden durchweg „wegschicken“, englische „zurücklassen“.</w:t>
      </w:r>
    </w:p>
  </w:footnote>
  <w:footnote w:id="3881">
    <w:p>
      <w:pPr>
        <w:pStyle w:val="Funote"/>
        <w:rPr/>
      </w:pPr>
      <w:r>
        <w:rPr/>
        <w:footnoteRef/>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3882">
    <w:p>
      <w:pPr>
        <w:pStyle w:val="Funote"/>
        <w:rPr/>
      </w:pPr>
      <w:r>
        <w:rPr>
          <w:i/>
        </w:rPr>
        <w:footnoteRef/>
        <w:tab/>
        <w:t>starker Sturmwind</w:t>
      </w:r>
      <w:r>
        <w:rPr/>
        <w:t xml:space="preserve"> W. „großer Sturmwind [des] Windes“, eine Formulierung, die sich vielleicht an Jona 1,4 anlehnt.</w:t>
      </w:r>
    </w:p>
  </w:footnote>
  <w:footnote w:id="3883">
    <w:p>
      <w:pPr>
        <w:pStyle w:val="Funote"/>
        <w:rPr/>
      </w:pPr>
      <w:r>
        <w:rPr>
          <w:i/>
        </w:rPr>
        <w:footnoteRef/>
        <w:tab/>
        <w:t>schlugen [bald]</w:t>
      </w:r>
      <w:r>
        <w:rPr/>
        <w:t xml:space="preserve"> </w:t>
      </w:r>
      <w:hyperlink r:id="rId307">
        <w:r>
          <w:rPr>
            <w:rStyle w:val="Internetverknpfung"/>
          </w:rPr>
          <w:t>Imperfekt</w:t>
        </w:r>
      </w:hyperlink>
      <w:r>
        <w:rPr/>
        <w:t xml:space="preserve">, </w:t>
      </w:r>
      <w:r>
        <w:rPr>
          <w:i/>
        </w:rPr>
        <w:t>[langsam] füllte</w:t>
      </w:r>
      <w:r>
        <w:rPr/>
        <w:t xml:space="preserve"> </w:t>
      </w:r>
      <w:hyperlink r:id="rId308">
        <w:r>
          <w:rPr>
            <w:rStyle w:val="Internetverknpfung"/>
          </w:rPr>
          <w:t>Infinitiv</w:t>
        </w:r>
      </w:hyperlink>
      <w:r>
        <w:rPr/>
        <w:t xml:space="preserve"> Präsens (im AcI). Beide Tempusformen suggerieren einen anhaltenden Vorgang, der durch die mit angegebenen Worteinfügungen kenntlich gemacht wurde.</w:t>
      </w:r>
    </w:p>
  </w:footnote>
  <w:footnote w:id="3884">
    <w:p>
      <w:pPr>
        <w:pStyle w:val="Funote"/>
        <w:rPr/>
      </w:pPr>
      <w:r>
        <w:rPr/>
        <w:footnoteRef/>
        <w:tab/>
        <w:t>wo er auf dem Kissen schlief Periphrastisches Partizip (oder modales Ptz. conj.),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3885">
    <w:p>
      <w:pPr>
        <w:pStyle w:val="Funote"/>
        <w:rPr/>
      </w:pPr>
      <w:r>
        <w:rPr>
          <w:i/>
        </w:rPr>
        <w:footnoteRef/>
        <w:tab/>
        <w:t>wachte auf</w:t>
      </w:r>
      <w:r>
        <w:rPr/>
        <w:t xml:space="preserve"> </w:t>
      </w:r>
      <w:hyperlink r:id="rId309">
        <w:r>
          <w:rPr>
            <w:rStyle w:val="Internetverknpfung"/>
          </w:rPr>
          <w:t>Ptz. conj.</w:t>
        </w:r>
      </w:hyperlink>
      <w:r>
        <w:rPr/>
        <w:t xml:space="preserve"> (Aor.), temporal, beigeordnet aufgelöst.</w:t>
      </w:r>
    </w:p>
  </w:footnote>
  <w:footnote w:id="3886">
    <w:p>
      <w:pPr>
        <w:pStyle w:val="Funote"/>
        <w:rPr/>
      </w:pPr>
      <w:r>
        <w:rPr/>
        <w:footnoteRef/>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Markus_1#note_blMk 1,25 und 3,12.</w:t>
      </w:r>
    </w:p>
  </w:footnote>
  <w:footnote w:id="3887">
    <w:p>
      <w:pPr>
        <w:pStyle w:val="Funote"/>
        <w:rPr/>
      </w:pPr>
      <w:r>
        <w:rPr/>
        <w:footnoteRef/>
        <w:tab/>
        <w:t>fürchteten sie sich [mit] großer Furcht Wörtliche Übertragung einer hebräischen Stilfigur (figura etymologica).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3888">
    <w:p>
      <w:pPr>
        <w:pStyle w:val="Funote"/>
        <w:rPr/>
      </w:pPr>
      <w:r>
        <w:rPr>
          <w:i/>
        </w:rPr>
        <w:footnoteRef/>
        <w:tab/>
        <w:t>gehorchen</w:t>
      </w:r>
      <w:r>
        <w:rPr/>
        <w:t xml:space="preserve"> W. „gehorcht“</w:t>
      </w:r>
    </w:p>
  </w:footnote>
  <w:footnote w:id="3889">
    <w:p>
      <w:pPr>
        <w:pStyle w:val="Funote"/>
        <w:rPr/>
      </w:pPr>
      <w:r>
        <w:rPr/>
        <w:footnoteRef/>
        <w:tab/>
        <w:t>[Status: Zuverlässig]</w:t>
      </w:r>
    </w:p>
  </w:footnote>
  <w:footnote w:id="3890">
    <w:p>
      <w:pPr>
        <w:pStyle w:val="Funote"/>
        <w:rPr/>
      </w:pPr>
      <w:r>
        <w:rPr/>
        <w:footnoteRef/>
        <w:tab/>
        <w:t>Gebiet (Land) der Gerasener Das Problem mit dieser Ortsangabe (auch in der Parallelstelle Lk 8,26 bezeugt) ist, dass Gerasa etwa 50 km vom See entfernt liegt. In der Geschichte dagegen muss die Stadt nah am Ufer liegen (5,12-13). Wohl deshalb spricht Matthäus 8,28 stattdessen vom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es so war.</w:t>
      </w:r>
    </w:p>
  </w:footnote>
  <w:footnote w:id="3891">
    <w:p>
      <w:pPr>
        <w:pStyle w:val="Funote"/>
        <w:rPr/>
      </w:pPr>
      <w:r>
        <w:rPr>
          <w:i/>
        </w:rPr>
        <w:footnoteRef/>
        <w:tab/>
        <w:t>als er ... gestiegen war (stieg)</w:t>
      </w:r>
      <w:r>
        <w:rPr/>
        <w:t xml:space="preserve"> </w:t>
      </w:r>
      <w:hyperlink r:id="rId310">
        <w:r>
          <w:rPr>
            <w:rStyle w:val="Internetverknpfung"/>
          </w:rPr>
          <w:t>Gen. abs.</w:t>
        </w:r>
      </w:hyperlink>
      <w:r>
        <w:rPr/>
        <w:t>, temporal aufgelöst.</w:t>
      </w:r>
    </w:p>
  </w:footnote>
  <w:footnote w:id="3892">
    <w:p>
      <w:pPr>
        <w:pStyle w:val="Funote"/>
        <w:rPr/>
      </w:pPr>
      <w:r>
        <w:rPr>
          <w:i/>
        </w:rPr>
        <w:footnoteRef/>
        <w:tab/>
        <w:t>nicht einmal … man … noch</w:t>
      </w:r>
      <w:r>
        <w:rPr/>
        <w:t xml:space="preserve"> W. „nicht einmal … niemand … nicht mehr“. Die dreifache Verneinung intensiviert die ausgedrückte Unmöglichkeit. </w:t>
      </w:r>
    </w:p>
  </w:footnote>
  <w:footnote w:id="3893">
    <w:p>
      <w:pPr>
        <w:pStyle w:val="Funote"/>
        <w:rPr/>
      </w:pPr>
      <w:r>
        <w:rPr>
          <w:i/>
        </w:rPr>
        <w:footnoteRef/>
        <w:tab/>
        <w:t>[mit] Fußfesseln und Ketten gefesselt</w:t>
      </w:r>
      <w:r>
        <w:rPr/>
        <w:t xml:space="preserve"> Schöner wäre „(eisernen) Fuß- und Handfesseln“, etwas freier auch „an Händen und Füßen mit Ketten gefesselt“.</w:t>
      </w:r>
    </w:p>
  </w:footnote>
  <w:footnote w:id="3894">
    <w:p>
      <w:pPr>
        <w:pStyle w:val="Funote"/>
        <w:rPr/>
      </w:pPr>
      <w:r>
        <w:rPr/>
        <w:footnoteRef/>
        <w:tab/>
        <w:t>zerrissen W. „auseinander zerrissen“ (vgl. LN 19.29).</w:t>
      </w:r>
    </w:p>
  </w:footnote>
  <w:footnote w:id="3895">
    <w:p>
      <w:pPr>
        <w:pStyle w:val="Funote"/>
        <w:rPr/>
      </w:pPr>
      <w:r>
        <w:rPr>
          <w:i/>
        </w:rPr>
        <w:footnoteRef/>
        <w:tab/>
        <w:t>hatte ... zerrissen und … zerrieben</w:t>
      </w:r>
      <w:r>
        <w:rPr/>
        <w:t xml:space="preserve"> W. „(die Ketten) waren zerrissen und zerrieben worden“.</w:t>
      </w:r>
    </w:p>
  </w:footnote>
  <w:footnote w:id="3896">
    <w:p>
      <w:pPr>
        <w:pStyle w:val="Funote"/>
        <w:rPr/>
      </w:pPr>
      <w:r>
        <w:rPr>
          <w:i/>
        </w:rPr>
        <w:footnoteRef/>
        <w:tab/>
        <w:t>hielt er sich … auf … wo (wobei, während) er schrie</w:t>
      </w:r>
      <w:r>
        <w:rPr/>
        <w:t xml:space="preserve"> Oder einfach „schrie er ununterbrochen … und schnitt sich“. W. </w:t>
      </w:r>
      <w:r>
        <w:rPr>
          <w:lang w:val="el-GR"/>
        </w:rPr>
        <w:t>ἦν κράζων</w:t>
      </w:r>
      <w:r>
        <w:rPr/>
        <w:t xml:space="preserve"> (w. „war schreiend“) Dieses so genannte periphrastische oder </w:t>
      </w:r>
      <w:hyperlink r:id="rId311">
        <w:r>
          <w:rPr>
            <w:rStyle w:val="Internetverknpfung"/>
          </w:rPr>
          <w:t>umschreibende Partizip</w:t>
        </w:r>
      </w:hyperlink>
      <w:r>
        <w:rPr/>
        <w:t xml:space="preserve"> kann man verschieden übersetzen. Häufig dient es als Beschreibung eines anhaltenden Zustands. Hier wurde das Hauptverb aus stilistischen Gründen separat übersetzt (weitere Infos auf der verlinkten Seite). Der Satz lässt sich auch als HS+</w:t>
      </w:r>
      <w:hyperlink r:id="rId312">
        <w:r>
          <w:rPr>
            <w:rStyle w:val="Internetverknpfung"/>
          </w:rPr>
          <w:t>Ptz. conj.</w:t>
        </w:r>
      </w:hyperlink>
      <w:r>
        <w:rPr/>
        <w:t xml:space="preserve"> (modal-temporal) übersetzen wie in der Klammer; der Unterschied trägt nichts aus. </w:t>
      </w:r>
    </w:p>
  </w:footnote>
  <w:footnote w:id="3897">
    <w:p>
      <w:pPr>
        <w:pStyle w:val="Funote"/>
        <w:rPr/>
      </w:pPr>
      <w:r>
        <w:rPr/>
        <w:footnoteRef/>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3898">
    <w:p>
      <w:pPr>
        <w:pStyle w:val="Funote"/>
        <w:rPr/>
      </w:pPr>
      <w:r>
        <w:rPr>
          <w:i/>
        </w:rPr>
        <w:footnoteRef/>
        <w:tab/>
        <w:t>als/weil er sah</w:t>
      </w:r>
      <w:r>
        <w:rPr/>
        <w:t xml:space="preserve"> </w:t>
      </w:r>
      <w:hyperlink r:id="rId313">
        <w:r>
          <w:rPr>
            <w:rStyle w:val="Internetverknpfung"/>
          </w:rPr>
          <w:t>Ptz. conj.</w:t>
        </w:r>
      </w:hyperlink>
      <w:r>
        <w:rPr/>
        <w:t>, als temporaler (oder kausaler) Nebensatz aufgelöst.</w:t>
      </w:r>
    </w:p>
  </w:footnote>
  <w:footnote w:id="3899">
    <w:p>
      <w:pPr>
        <w:pStyle w:val="Funote"/>
        <w:rPr/>
      </w:pPr>
      <w:r>
        <w:rPr/>
        <w:footnoteRef/>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3900">
    <w:p>
      <w:pPr>
        <w:pStyle w:val="Funote"/>
        <w:rPr/>
      </w:pPr>
      <w:r>
        <w:rPr>
          <w:i/>
        </w:rPr>
        <w:footnoteRef/>
        <w:tab/>
        <w:t>Er schrie ... und</w:t>
      </w:r>
      <w:r>
        <w:rPr/>
        <w:t xml:space="preserve"> </w:t>
      </w:r>
      <w:hyperlink r:id="rId314">
        <w:r>
          <w:rPr>
            <w:rStyle w:val="Internetverknpfung"/>
          </w:rPr>
          <w:t>Ptz. conj.</w:t>
        </w:r>
      </w:hyperlink>
      <w:r>
        <w:rPr/>
        <w:t xml:space="preserve"> (temporal), mit „und“-Kombination aufgelöst.</w:t>
      </w:r>
    </w:p>
  </w:footnote>
  <w:footnote w:id="3901">
    <w:p>
      <w:pPr>
        <w:pStyle w:val="Funote"/>
        <w:rPr/>
      </w:pPr>
      <w:r>
        <w:rPr/>
        <w:footnoteRef/>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3902">
    <w:p>
      <w:pPr>
        <w:pStyle w:val="Funote"/>
        <w:rPr/>
      </w:pPr>
      <w:r>
        <w:rPr/>
        <w:footnoteRef/>
        <w:tab/>
        <w:t>hatte gesagt (sagte gerade/wiederholt) übersetzt das Imperfekt,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3903">
    <w:p>
      <w:pPr>
        <w:pStyle w:val="Funote"/>
        <w:rPr/>
      </w:pPr>
      <w:r>
        <w:rPr/>
        <w:footnoteRef/>
        <w:tab/>
        <w:t>Legion Lat. Lehnwort, die Bezeichnung einer militärischen Einheit. Wahrscheinlich ist es nicht der tatsächliche Name des/der Dämonen, sondern eine ausweichende Antwort. Die Anzahl der Dämonen scheint jedoch zumindest grob in der Größenordnung einer Legion (4-6000 Mann) zu liegen (Collins 2007, 269; Guelich 1989, 281).</w:t>
      </w:r>
    </w:p>
  </w:footnote>
  <w:footnote w:id="3904">
    <w:p>
      <w:pPr>
        <w:pStyle w:val="Funote"/>
        <w:rPr/>
      </w:pPr>
      <w:r>
        <w:rPr/>
        <w:footnoteRef/>
        <w:tab/>
        <w:t>»Was [ist] dein Name?« und »Mein Name [ist]...« W. »Was (für ein) Name [ist] dir?« etc. (possessiver Dativ; NSS)</w:t>
      </w:r>
    </w:p>
  </w:footnote>
  <w:footnote w:id="3905">
    <w:p>
      <w:pPr>
        <w:pStyle w:val="Funote"/>
        <w:rPr/>
      </w:pPr>
      <w:r>
        <w:rPr>
          <w:i/>
        </w:rPr>
        <w:footnoteRef/>
        <w:tab/>
        <w:t>immer wieder (inständig)</w:t>
      </w:r>
      <w:r>
        <w:rPr/>
        <w:t xml:space="preserve"> Das Adverb </w:t>
      </w:r>
      <w:r>
        <w:rPr>
          <w:lang w:val="el-GR"/>
        </w:rPr>
        <w:t>πολλὰ</w:t>
      </w:r>
      <w:r>
        <w:rPr/>
        <w:t xml:space="preserve"> kann man sowohl intensivierend als auch wiederholend verstehen. Die meisten Übersetzungen intensivieren (vgl. aber V. 23, 38 und 43).</w:t>
      </w:r>
    </w:p>
  </w:footnote>
  <w:footnote w:id="3906">
    <w:p>
      <w:pPr>
        <w:pStyle w:val="Funote"/>
        <w:rPr/>
      </w:pPr>
      <w:r>
        <w:rPr/>
        <w:footnoteRef/>
        <w:tab/>
        <w:t>am Berghang W. „an dem Berg“. Die Präposition weist auf einen Hang hin (vgl. EÜ, NGÜ, GNB).</w:t>
      </w:r>
    </w:p>
  </w:footnote>
  <w:footnote w:id="3907">
    <w:p>
      <w:pPr>
        <w:pStyle w:val="Funote"/>
        <w:rPr/>
      </w:pPr>
      <w:r>
        <w:rPr>
          <w:i/>
        </w:rPr>
        <w:footnoteRef/>
        <w:tab/>
        <w:t>weidete gerade</w:t>
      </w:r>
      <w:r>
        <w:rPr/>
        <w:t xml:space="preserve"> </w:t>
      </w:r>
      <w:hyperlink r:id="rId315">
        <w:r>
          <w:rPr>
            <w:rStyle w:val="Internetverknpfung"/>
          </w:rPr>
          <w:t>Periphrastische Konjugation</w:t>
        </w:r>
      </w:hyperlink>
      <w:r>
        <w:rPr/>
        <w:t>, die das Imperfekt umschreibt und die Gleichzeitigkeit des durativen Aspekts stärker betont.</w:t>
      </w:r>
    </w:p>
  </w:footnote>
  <w:footnote w:id="3908">
    <w:p>
      <w:pPr>
        <w:pStyle w:val="Funote"/>
        <w:rPr/>
      </w:pPr>
      <w:r>
        <w:rPr>
          <w:i/>
        </w:rPr>
        <w:footnoteRef/>
        <w:tab/>
        <w:t>Schweineherde</w:t>
      </w:r>
      <w:r>
        <w:rPr/>
        <w:t xml:space="preserve"> W. „Herde [der] Schweine“</w:t>
      </w:r>
    </w:p>
  </w:footnote>
  <w:footnote w:id="3909">
    <w:p>
      <w:pPr>
        <w:pStyle w:val="Funote"/>
        <w:rPr/>
      </w:pPr>
      <w:r>
        <w:rPr/>
        <w:footnoteRef/>
        <w:tab/>
        <w:t xml:space="preserve">Wir wollen (damit wir) Die Konjunktion </w:t>
      </w:r>
      <w:r>
        <w:rPr>
          <w:lang w:val="el-GR"/>
        </w:rPr>
        <w:t>ἵνα</w:t>
      </w:r>
      <w:r>
        <w:rPr/>
        <w:t xml:space="preserve"> wird hier (v.a. aus stilistischen Gründen) als selbständiger Begehrungssatz übersetzt (NSS). Vgl. ZÜR, MEN.</w:t>
      </w:r>
    </w:p>
  </w:footnote>
  <w:footnote w:id="3910">
    <w:p>
      <w:pPr>
        <w:pStyle w:val="Funote"/>
        <w:rPr/>
      </w:pPr>
      <w:r>
        <w:rPr>
          <w:i/>
        </w:rPr>
        <w:footnoteRef/>
        <w:tab/>
        <w:t>fuhren aus und</w:t>
      </w:r>
      <w:r>
        <w:rPr/>
        <w:t xml:space="preserve"> Temporales oder modales </w:t>
      </w:r>
      <w:hyperlink r:id="rId316">
        <w:r>
          <w:rPr>
            <w:rStyle w:val="Internetverknpfung"/>
          </w:rPr>
          <w:t>Ptz. conj.</w:t>
        </w:r>
      </w:hyperlink>
      <w:r>
        <w:rPr/>
        <w:t>, hier mit Hilfe einer „und“-Kombination beigeordnet.</w:t>
      </w:r>
    </w:p>
  </w:footnote>
  <w:footnote w:id="3911">
    <w:p>
      <w:pPr>
        <w:pStyle w:val="Funote"/>
        <w:rPr/>
      </w:pPr>
      <w:r>
        <w:rPr/>
        <w:footnoteRef/>
        <w:tab/>
        <w:t>ertranken im Meer Eigentlich können Schweine schwimmen (France 2002, 231). Allerdings ist es nicht undenkbar, dass ihre Panik und schiere Masse (viele Schweine würden im Wasser aufeinander landen und einander unter Wasser drücken) dazu führte, dass sie trotzdem ertranken.</w:t>
      </w:r>
    </w:p>
  </w:footnote>
  <w:footnote w:id="3912">
    <w:p>
      <w:pPr>
        <w:pStyle w:val="Funote"/>
        <w:rPr/>
      </w:pPr>
      <w:r>
        <w:rPr>
          <w:i/>
        </w:rPr>
        <w:footnoteRef/>
        <w:tab/>
        <w:t>ihre Hirten</w:t>
      </w:r>
      <w:r>
        <w:rPr/>
        <w:t xml:space="preserve"> Oder etwas wörtlicher „die sie hüteten“.</w:t>
      </w:r>
    </w:p>
  </w:footnote>
  <w:footnote w:id="3913">
    <w:p>
      <w:pPr>
        <w:pStyle w:val="Funote"/>
        <w:rPr/>
      </w:pPr>
      <w:r>
        <w:rPr/>
        <w:footnoteRef/>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3914">
    <w:p>
      <w:pPr>
        <w:pStyle w:val="Funote"/>
        <w:rPr/>
      </w:pPr>
      <w:r>
        <w:rPr/>
        <w:footnoteRef/>
        <w:tab/>
        <w:t>was das Geschehene war W. „was das Geschehene ist“; der Objektsatz steht in der selben Zeit, in der direkte Rede stehen würde (vgl. Zerwick § 346; ad loc. Grosvenor/Zerwick).</w:t>
      </w:r>
    </w:p>
  </w:footnote>
  <w:footnote w:id="3915">
    <w:p>
      <w:pPr>
        <w:pStyle w:val="Funote"/>
        <w:rPr/>
      </w:pPr>
      <w:r>
        <w:rPr>
          <w:i/>
        </w:rPr>
        <w:footnoteRef/>
        <w:tab/>
        <w:t>sahen, dass der Besessene saß, bekleidet und bei Verstand</w:t>
      </w:r>
      <w:r>
        <w:rPr/>
        <w:t xml:space="preserve"> Dreifaches </w:t>
      </w:r>
      <w:hyperlink r:id="rId317">
        <w:r>
          <w:rPr>
            <w:rStyle w:val="Internetverknpfung"/>
          </w:rPr>
          <w:t>AcP</w:t>
        </w:r>
      </w:hyperlink>
      <w:r>
        <w:rPr/>
        <w:t xml:space="preserve">. Aus stilistischen Gründen (allerdings im Rahmen des griechischen Satzbaus) wurde nur das erste Ptz. als Teil des AcP aufgelöst und die anderen beiden Partizipien </w:t>
      </w:r>
      <w:hyperlink r:id="rId318">
        <w:r>
          <w:rPr>
            <w:rStyle w:val="Internetverknpfung"/>
          </w:rPr>
          <w:t>modal</w:t>
        </w:r>
      </w:hyperlink>
      <w:r>
        <w:rPr/>
        <w:t xml:space="preserve"> verstanden. </w:t>
      </w:r>
      <w:r>
        <w:rPr>
          <w:i/>
        </w:rPr>
        <w:t>bekleidet</w:t>
      </w:r>
      <w:r>
        <w:rPr/>
        <w:t xml:space="preserve"> bedarf keiner Auflösung, </w:t>
      </w:r>
      <w:r>
        <w:rPr>
          <w:i/>
        </w:rPr>
        <w:t>bei Verstand</w:t>
      </w:r>
      <w:r>
        <w:rPr/>
        <w:t xml:space="preserve"> gibt das Ptz. als Präpositionalphrase wieder.</w:t>
      </w:r>
    </w:p>
  </w:footnote>
  <w:footnote w:id="3916">
    <w:p>
      <w:pPr>
        <w:pStyle w:val="Funote"/>
        <w:rPr/>
      </w:pPr>
      <w:r>
        <w:rPr/>
        <w:footnoteRef/>
        <w:tab/>
        <w:t>drängten sie ihn W. „fingen an zu bitten“, eine pleonastische Verbindung, die typisch für Markus ist. „Beginnen“ hat hier sehr abgeschwächte Bedeutung (Siebenthal 2011, §218e; NSS). Übersetzt man das Imperfekt, dann vielleicht so wie ZÜR: „Da baten sie ihn immer dringlicher“ (iterativ), MEN: „Da verlegten sie sich aufs Bitten“</w:t>
      </w:r>
    </w:p>
  </w:footnote>
  <w:footnote w:id="3917">
    <w:p>
      <w:pPr>
        <w:pStyle w:val="Funote"/>
        <w:rPr/>
      </w:pPr>
      <w:r>
        <w:rPr>
          <w:i/>
        </w:rPr>
        <w:footnoteRef/>
        <w:tab/>
        <w:t>Als er ins Boot stieg</w:t>
      </w:r>
      <w:r>
        <w:rPr/>
        <w:t xml:space="preserve"> </w:t>
      </w:r>
      <w:hyperlink r:id="rId319">
        <w:r>
          <w:rPr>
            <w:rStyle w:val="Internetverknpfung"/>
          </w:rPr>
          <w:t>Gen. abs.</w:t>
        </w:r>
      </w:hyperlink>
      <w:r>
        <w:rPr/>
        <w:t>, als temporaler Nebensatz aufgelöst.</w:t>
      </w:r>
    </w:p>
  </w:footnote>
  <w:footnote w:id="3918">
    <w:p>
      <w:pPr>
        <w:pStyle w:val="Funote"/>
        <w:rPr/>
      </w:pPr>
      <w:r>
        <w:rPr/>
        <w:footnoteRef/>
        <w:tab/>
        <w:t>der, der besessen gewesen war Subst. Ptz. Aor., als Relativsatz aufgelöst. Eine schönere Übersetzung wäre vielleicht „der vormals Besessene“ oder auch „der ehemalige Besessene“. MEN: „der (früher) Besessene“, GNB sogar: „der Geheilte“.</w:t>
      </w:r>
    </w:p>
  </w:footnote>
  <w:footnote w:id="3919">
    <w:p>
      <w:pPr>
        <w:pStyle w:val="Funote"/>
        <w:rPr/>
      </w:pPr>
      <w:r>
        <w:rPr>
          <w:i/>
        </w:rPr>
        <w:footnoteRef/>
        <w:tab/>
        <w:t>Dekapolis</w:t>
      </w:r>
      <w:r>
        <w:rPr/>
        <w:t xml:space="preserve"> Die Dekapolis war eine Region von etwa zehn Städten im heutigen Jordanien, als östlich des Jordan und des Sees Gennesaret. Weitere Informationen liefert der Artikel </w:t>
      </w:r>
      <w:hyperlink r:id="rId320">
        <w:r>
          <w:rPr>
            <w:rStyle w:val="Internetverknpfung"/>
          </w:rPr>
          <w:t>Dekapolis</w:t>
        </w:r>
      </w:hyperlink>
      <w:r>
        <w:rPr/>
        <w:t>.</w:t>
      </w:r>
    </w:p>
  </w:footnote>
  <w:footnote w:id="3920">
    <w:p>
      <w:pPr>
        <w:pStyle w:val="Funote"/>
        <w:rPr/>
      </w:pPr>
      <w:r>
        <w:rPr>
          <w:i/>
        </w:rPr>
        <w:footnoteRef/>
        <w:tab/>
        <w:t>was Jesus ihm getan hatte</w:t>
      </w:r>
      <w:r>
        <w:rPr/>
        <w:t xml:space="preserve"> W. „was getan hatte ihm Jesus“. „Jesus“ ist bewusst nachgestellt, um den Kontrast zu betonen, der zwischen V. 20 und dem parallelen V. 19 besteht („was </w:t>
      </w:r>
      <w:r>
        <w:rPr>
          <w:i/>
        </w:rPr>
        <w:t>der Herr</w:t>
      </w:r>
      <w:r>
        <w:rPr/>
        <w:t xml:space="preserve"> dir getan hat“). Der Geheilte verkündigt Jesus als „den Herrn“.</w:t>
      </w:r>
    </w:p>
  </w:footnote>
  <w:footnote w:id="3921">
    <w:p>
      <w:pPr>
        <w:pStyle w:val="Funote"/>
        <w:rPr/>
      </w:pPr>
      <w:r>
        <w:rPr>
          <w:i/>
        </w:rPr>
        <w:footnoteRef/>
        <w:tab/>
        <w:t>staunten (wunderten sich)</w:t>
      </w:r>
      <w:r>
        <w:rPr/>
        <w:t xml:space="preserve"> Eine zeitgemäßere, treffende Übersetzung wäre vielleicht „sie konnten es kaum glauben“.</w:t>
      </w:r>
    </w:p>
  </w:footnote>
  <w:footnote w:id="3922">
    <w:p>
      <w:pPr>
        <w:pStyle w:val="Funote"/>
        <w:rPr/>
      </w:pPr>
      <w:r>
        <w:rPr>
          <w:i/>
        </w:rPr>
        <w:footnoteRef/>
        <w:tab/>
        <w:t>nachdem … gefahren war</w:t>
      </w:r>
      <w:r>
        <w:rPr/>
        <w:t xml:space="preserve"> </w:t>
      </w:r>
      <w:hyperlink r:id="rId321">
        <w:r>
          <w:rPr>
            <w:rStyle w:val="Internetverknpfung"/>
          </w:rPr>
          <w:t>Gen. abs.</w:t>
        </w:r>
      </w:hyperlink>
      <w:r>
        <w:rPr/>
        <w:t>, als temporaler Nebensatz aufgelöst.</w:t>
      </w:r>
    </w:p>
  </w:footnote>
  <w:footnote w:id="3923">
    <w:p>
      <w:pPr>
        <w:pStyle w:val="Funote"/>
        <w:rPr/>
      </w:pPr>
      <w:r>
        <w:rPr/>
        <w:footnoteRef/>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3924">
    <w:p>
      <w:pPr>
        <w:pStyle w:val="Funote"/>
        <w:rPr/>
      </w:pPr>
      <w:r>
        <w:rPr>
          <w:i/>
        </w:rPr>
        <w:footnoteRef/>
        <w:tab/>
        <w:t>Synagogenvorsteher</w:t>
      </w:r>
      <w:r>
        <w:rPr/>
        <w:t xml:space="preserve"> Zur Zeit Jesu wurden Synagogen von Laien geleitet. Diese waren verantwortlich v.a. für die Leitung des Gottesdienstes, aber auch für die finanziellen, administrativen und politischen Aspekte des Synagogenlebens (TRE 32, S. 506).</w:t>
      </w:r>
    </w:p>
  </w:footnote>
  <w:footnote w:id="3925">
    <w:p>
      <w:pPr>
        <w:pStyle w:val="Funote"/>
        <w:rPr/>
      </w:pPr>
      <w:r>
        <w:rPr>
          <w:i/>
        </w:rPr>
        <w:footnoteRef/>
        <w:tab/>
        <w:t>namens Jairus</w:t>
      </w:r>
      <w:r>
        <w:rPr/>
        <w:t xml:space="preserve"> Gr. der Dativ von Name (possessiver Dativ).</w:t>
      </w:r>
    </w:p>
  </w:footnote>
  <w:footnote w:id="3926">
    <w:p>
      <w:pPr>
        <w:pStyle w:val="Funote"/>
        <w:rPr/>
      </w:pPr>
      <w:r>
        <w:rPr>
          <w:i/>
        </w:rPr>
        <w:footnoteRef/>
        <w:tab/>
        <w:t>als er ihn sah</w:t>
      </w:r>
      <w:r>
        <w:rPr/>
        <w:t xml:space="preserve"> Temporales </w:t>
      </w:r>
      <w:hyperlink r:id="rId322">
        <w:r>
          <w:rPr>
            <w:rStyle w:val="Internetverknpfung"/>
          </w:rPr>
          <w:t>Ptz. conj.</w:t>
        </w:r>
      </w:hyperlink>
      <w:r>
        <w:rPr/>
        <w:t xml:space="preserve">, wohl </w:t>
      </w:r>
      <w:hyperlink r:id="rId323">
        <w:r>
          <w:rPr>
            <w:rStyle w:val="Internetverknpfung"/>
          </w:rPr>
          <w:t>beschreibendes Partizip</w:t>
        </w:r>
      </w:hyperlink>
      <w:r>
        <w:rPr/>
        <w:t>.</w:t>
      </w:r>
    </w:p>
  </w:footnote>
  <w:footnote w:id="3927">
    <w:p>
      <w:pPr>
        <w:pStyle w:val="Funote"/>
        <w:rPr/>
      </w:pPr>
      <w:r>
        <w:rPr>
          <w:i/>
        </w:rPr>
        <w:footnoteRef/>
        <w:tab/>
        <w:t>inständig (mehrfach)</w:t>
      </w:r>
      <w:r>
        <w:rPr/>
        <w:t xml:space="preserve"> Das Adverb </w:t>
      </w:r>
      <w:r>
        <w:rPr>
          <w:lang w:val="el-GR"/>
        </w:rPr>
        <w:t>πολλὰ</w:t>
      </w:r>
      <w:r>
        <w:rPr/>
        <w:t xml:space="preserve"> kann man sowohl intensivierend als auch wiederholend verstehen. Hier scheint die intensivierende Funktion besser zu passen (vgl. V. 38 und 43, aber auch V. 10).</w:t>
      </w:r>
    </w:p>
  </w:footnote>
  <w:footnote w:id="3928">
    <w:p>
      <w:pPr>
        <w:pStyle w:val="Funote"/>
        <w:rPr/>
      </w:pPr>
      <w:r>
        <w:rPr/>
        <w:footnoteRef/>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3929">
    <w:p>
      <w:pPr>
        <w:pStyle w:val="Funote"/>
        <w:rPr/>
      </w:pPr>
      <w:r>
        <w:rPr>
          <w:i/>
        </w:rPr>
        <w:footnoteRef/>
        <w:tab/>
        <w:t>komm doch und</w:t>
      </w:r>
      <w:r>
        <w:rPr/>
        <w:t xml:space="preserve"> Temporales </w:t>
      </w:r>
      <w:hyperlink r:id="rId324">
        <w:r>
          <w:rPr>
            <w:rStyle w:val="Internetverknpfung"/>
          </w:rPr>
          <w:t>Ptz. conj.</w:t>
        </w:r>
      </w:hyperlink>
      <w:r>
        <w:rPr/>
        <w:t xml:space="preserve">, als Beiordnung übersetzt. Wohl </w:t>
      </w:r>
      <w:hyperlink r:id="rId325">
        <w:r>
          <w:rPr>
            <w:rStyle w:val="Internetverknpfung"/>
          </w:rPr>
          <w:t>beschreibendes Partizip</w:t>
        </w:r>
      </w:hyperlink>
      <w:r>
        <w:rPr/>
        <w:t>.</w:t>
      </w:r>
    </w:p>
  </w:footnote>
  <w:footnote w:id="3930">
    <w:p>
      <w:pPr>
        <w:pStyle w:val="Funote"/>
        <w:rPr/>
      </w:pPr>
      <w:r>
        <w:rPr/>
        <w:footnoteRef/>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3931">
    <w:p>
      <w:pPr>
        <w:pStyle w:val="Funote"/>
        <w:rPr/>
      </w:pPr>
      <w:r>
        <w:rPr>
          <w:i/>
        </w:rPr>
        <w:footnoteRef/>
        <w:tab/>
        <w:t>drängten sich um ihn</w:t>
      </w:r>
      <w:r>
        <w:rPr/>
        <w:t xml:space="preserve"> Das griechische Wort konnotiert großen Druck und kann in anderen Zusammenhängen auch „zusammendrücken“ heißen (</w:t>
      </w:r>
      <w:hyperlink r:id="rId326">
        <w:r>
          <w:rPr>
            <w:rStyle w:val="Internetverknpfung"/>
          </w:rPr>
          <w:t>LSJ</w:t>
        </w:r>
      </w:hyperlink>
      <w:r>
        <w:rPr/>
        <w:t>). Den Druck der Menge beschreibt Markus also sehr plastisch. Etwas freier: „es herrschte ein großes Gedränge“</w:t>
      </w:r>
    </w:p>
  </w:footnote>
  <w:footnote w:id="3932">
    <w:p>
      <w:pPr>
        <w:pStyle w:val="Funote"/>
        <w:rPr/>
      </w:pPr>
      <w:r>
        <w:rPr/>
        <w:footnoteRef/>
        <w:tab/>
        <w:t xml:space="preserve">die [seit] zwölf Jahren an Blutungen litt Attr. Ptz.,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3933">
    <w:p>
      <w:pPr>
        <w:pStyle w:val="Funote"/>
        <w:rPr/>
      </w:pPr>
      <w:r>
        <w:rPr/>
        <w:footnoteRef/>
        <w:tab/>
        <w:t>durchgemacht … die ... ausgegeben hatte, ohne etwas zu erreichen … gegangen Attr. Ptz. Aor. (4x), vorzeitig übersetzt und (teils unter Wiederholung des Relativpronomens) an den im vorigen Satz begonnen Relativsatz gehängt. Das Hauptverb erfolgt erst in V. 27. Theoretisch könnte man die Partizipien auch als kausale Ptz. conj.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3934">
    <w:p>
      <w:pPr>
        <w:pStyle w:val="Funote"/>
        <w:rPr/>
      </w:pPr>
      <w:r>
        <w:rPr>
          <w:i/>
        </w:rPr>
        <w:footnoteRef/>
        <w:tab/>
        <w:t>als sie (die) ... hörte, näherte sie sich … und</w:t>
      </w:r>
      <w:r>
        <w:rPr/>
        <w:t xml:space="preserve"> Zwei </w:t>
      </w:r>
      <w:hyperlink r:id="rId327">
        <w:r>
          <w:rPr>
            <w:rStyle w:val="Internetverknpfung"/>
          </w:rPr>
          <w:t>Ptz. conj.</w:t>
        </w:r>
      </w:hyperlink>
      <w:r>
        <w:rPr/>
        <w:t xml:space="preserve"> (Präsens und Aorist), temporal aufgelöst. Das erste könnte man auch </w:t>
      </w:r>
      <w:hyperlink r:id="rId328">
        <w:r>
          <w:rPr>
            <w:rStyle w:val="Internetverknpfung"/>
          </w:rPr>
          <w:t>attributiv</w:t>
        </w:r>
      </w:hyperlink>
      <w:r>
        <w:rPr/>
        <w:t xml:space="preserve"> verstehen und in den vorangehenden Relativsatz einreihen.</w:t>
      </w:r>
    </w:p>
  </w:footnote>
  <w:footnote w:id="3935">
    <w:p>
      <w:pPr>
        <w:pStyle w:val="Funote"/>
        <w:rPr/>
      </w:pPr>
      <w:r>
        <w:rPr>
          <w:i/>
        </w:rPr>
        <w:footnoteRef/>
        <w:tab/>
        <w:t>sagte sich</w:t>
      </w:r>
      <w:r>
        <w:rPr/>
        <w:t xml:space="preserve"> Das </w:t>
      </w:r>
      <w:hyperlink r:id="rId329">
        <w:r>
          <w:rPr>
            <w:rStyle w:val="Internetverknpfung"/>
          </w:rPr>
          <w:t>Imperfekt</w:t>
        </w:r>
      </w:hyperlink>
      <w:r>
        <w:rPr/>
        <w:t xml:space="preserve">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3936">
    <w:p>
      <w:pPr>
        <w:pStyle w:val="Funote"/>
        <w:rPr/>
      </w:pPr>
      <w:r>
        <w:rPr/>
        <w:footnoteRef/>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3937">
    <w:p>
      <w:pPr>
        <w:pStyle w:val="Funote"/>
        <w:rPr/>
      </w:pPr>
      <w:r>
        <w:rPr/>
        <w:footnoteRef/>
        <w:tab/>
        <w:t>[an (in) ihrem] Körper Wohl instrumentaler oder lokaler Dativ; hier soll es aber wohl nur markieren, dass es sich bei ihrem „merken“ um eine körperliche Empfindung handelt (Grosvenor/Zerwick), daher besser „spürte sie an ihrem Körper“.</w:t>
      </w:r>
    </w:p>
  </w:footnote>
  <w:footnote w:id="3938">
    <w:p>
      <w:pPr>
        <w:pStyle w:val="Funote"/>
        <w:rPr/>
      </w:pPr>
      <w:r>
        <w:rPr/>
        <w:footnoteRef/>
        <w:tab/>
        <w:t>Leiden (Qual) W. „Geißel“, übertragen „Plage“. Per Bedeutungserweiterung auch „Leiden“ oder „Gebrechen“ (vgl. LN 23.182).</w:t>
      </w:r>
    </w:p>
  </w:footnote>
  <w:footnote w:id="3939">
    <w:p>
      <w:pPr>
        <w:pStyle w:val="Funote"/>
        <w:rPr/>
      </w:pPr>
      <w:r>
        <w:rPr>
          <w:i/>
        </w:rPr>
        <w:footnoteRef/>
        <w:tab/>
        <w:t>der (als/weil er) merkte</w:t>
      </w:r>
      <w:r>
        <w:rPr/>
        <w:t xml:space="preserve"> </w:t>
      </w:r>
      <w:hyperlink r:id="rId330">
        <w:r>
          <w:rPr>
            <w:rStyle w:val="Internetverknpfung"/>
          </w:rPr>
          <w:t>Ptz. conj.</w:t>
        </w:r>
      </w:hyperlink>
      <w:r>
        <w:rPr/>
        <w:t xml:space="preserve"> (temporal oder kausal), hier als Relativsatz aufgelöst.</w:t>
      </w:r>
    </w:p>
  </w:footnote>
  <w:footnote w:id="3940">
    <w:p>
      <w:pPr>
        <w:pStyle w:val="Funote"/>
        <w:rPr/>
      </w:pPr>
      <w:r>
        <w:rPr/>
        <w:footnoteRef/>
        <w:tab/>
        <w:t>merkte, dass Kraft von ihm ausgegangen war AcP Oder anders aufgelöst: „[die] Kraft bemerkte, die...“ Das Ptz. Aor. Könnte man evtl. auch gleichzeitig verstehen „sofort bemerkte, dass Kraft von ihm ausging“ (vgl. EÜ).</w:t>
      </w:r>
    </w:p>
  </w:footnote>
  <w:footnote w:id="3941">
    <w:p>
      <w:pPr>
        <w:pStyle w:val="Funote"/>
        <w:rPr/>
      </w:pPr>
      <w:r>
        <w:rPr>
          <w:i/>
        </w:rPr>
        <w:footnoteRef/>
        <w:tab/>
        <w:t>fragte (sagte, wiederholte)</w:t>
      </w:r>
      <w:r>
        <w:rPr/>
        <w:t xml:space="preserve"> Das Verb steht im </w:t>
      </w:r>
      <w:hyperlink r:id="rId331">
        <w:r>
          <w:rPr>
            <w:rStyle w:val="Internetverknpfung"/>
          </w:rPr>
          <w:t>Imperfekt</w:t>
        </w:r>
      </w:hyperlink>
      <w:r>
        <w:rPr/>
        <w:t>.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3942">
    <w:p>
      <w:pPr>
        <w:pStyle w:val="Funote"/>
        <w:rPr/>
      </w:pPr>
      <w:r>
        <w:rPr>
          <w:i/>
        </w:rPr>
        <w:footnoteRef/>
        <w:tab/>
        <w:t>die sich um dich drängt</w:t>
      </w:r>
      <w:r>
        <w:rPr/>
        <w:t xml:space="preserve"> </w:t>
      </w:r>
      <w:hyperlink r:id="rId332">
        <w:r>
          <w:rPr>
            <w:rStyle w:val="Internetverknpfung"/>
          </w:rPr>
          <w:t>Atr. Ptz.</w:t>
        </w:r>
      </w:hyperlink>
      <w:r>
        <w:rPr/>
        <w:t>, als Relativsatz aufgelöst. Zum Wort s. die Fußnote in V. 24.</w:t>
      </w:r>
    </w:p>
  </w:footnote>
  <w:footnote w:id="3943">
    <w:p>
      <w:pPr>
        <w:pStyle w:val="Funote"/>
        <w:rPr/>
      </w:pPr>
      <w:r>
        <w:rPr/>
        <w:footnoteRef/>
        <w:tab/>
        <w:t>die [Person], die es gewesen war (getan hatte) Attr. Ptz.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3944">
    <w:p>
      <w:pPr>
        <w:pStyle w:val="Funote"/>
        <w:rPr/>
      </w:pPr>
      <w:r>
        <w:rPr/>
        <w:footnoteRef/>
        <w:tab/>
        <w:t>fürchtete sich und zitterte, weil sie wusste Ptz. conj.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3945">
    <w:p>
      <w:pPr>
        <w:pStyle w:val="Funote"/>
        <w:rPr/>
      </w:pPr>
      <w:r>
        <w:rPr>
          <w:i/>
        </w:rPr>
        <w:footnoteRef/>
        <w:tab/>
        <w:t>Während er noch redete</w:t>
      </w:r>
      <w:r>
        <w:rPr/>
        <w:t xml:space="preserve"> Temporaler </w:t>
      </w:r>
      <w:hyperlink r:id="rId333">
        <w:r>
          <w:rPr>
            <w:rStyle w:val="Internetverknpfung"/>
          </w:rPr>
          <w:t>Gen. abs.</w:t>
        </w:r>
      </w:hyperlink>
      <w:r>
        <w:rPr/>
        <w:t>, als Nebensatz aufgelöst.</w:t>
      </w:r>
    </w:p>
  </w:footnote>
  <w:footnote w:id="3946">
    <w:p>
      <w:pPr>
        <w:pStyle w:val="Funote"/>
        <w:rPr/>
      </w:pPr>
      <w:r>
        <w:rPr>
          <w:i/>
        </w:rPr>
        <w:footnoteRef/>
        <w:tab/>
        <w:t>und richteten aus</w:t>
      </w:r>
      <w:r>
        <w:rPr/>
        <w:t xml:space="preserve"> </w:t>
      </w:r>
      <w:hyperlink r:id="rId334">
        <w:r>
          <w:rPr>
            <w:rStyle w:val="Internetverknpfung"/>
          </w:rPr>
          <w:t>Ptz. conj.</w:t>
        </w:r>
      </w:hyperlink>
      <w:r>
        <w:rPr/>
        <w:t>, temporal-modal, beigeordnet übersetzt.</w:t>
      </w:r>
    </w:p>
  </w:footnote>
  <w:footnote w:id="3947">
    <w:p>
      <w:pPr>
        <w:pStyle w:val="Funote"/>
        <w:rPr/>
      </w:pPr>
      <w:r>
        <w:rPr/>
        <w:footnoteRef/>
        <w:tab/>
        <w:t xml:space="preserve">der mitbekommen hatte Ptz. conj. (Aor.), modal, kausal oder temporal, hier als Relativsatz aufgelöst. wie die Botschaft ausgerichtet wurde AcP,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3948">
    <w:p>
      <w:pPr>
        <w:pStyle w:val="Funote"/>
        <w:rPr/>
      </w:pPr>
      <w:r>
        <w:rPr/>
        <w:footnoteRef/>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3949">
    <w:p>
      <w:pPr>
        <w:pStyle w:val="Funote"/>
        <w:rPr/>
      </w:pPr>
      <w:r>
        <w:rPr/>
        <w:footnoteRef/>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3950">
    <w:p>
      <w:pPr>
        <w:pStyle w:val="Funote"/>
        <w:rPr/>
      </w:pPr>
      <w:r>
        <w:rPr>
          <w:i/>
        </w:rPr>
        <w:footnoteRef/>
        <w:tab/>
        <w:t>sah er … [Menschen], die heftig heulten und wehklagten</w:t>
      </w:r>
      <w:r>
        <w:rPr/>
        <w:t xml:space="preserve"> </w:t>
      </w:r>
      <w:hyperlink r:id="rId335">
        <w:r>
          <w:rPr>
            <w:rStyle w:val="Internetverknpfung"/>
          </w:rPr>
          <w:t>AcP</w:t>
        </w:r>
      </w:hyperlink>
      <w:r>
        <w:rPr/>
        <w:t xml:space="preserve"> (zwei Ptz.), unter Ergänzung eines Objekts mit Relativsatz wiedergegeben.</w:t>
      </w:r>
    </w:p>
  </w:footnote>
  <w:footnote w:id="3951">
    <w:p>
      <w:pPr>
        <w:pStyle w:val="Funote"/>
        <w:rPr/>
      </w:pPr>
      <w:r>
        <w:rPr>
          <w:i/>
        </w:rPr>
        <w:footnoteRef/>
        <w:tab/>
        <w:t>nach dem (beim) Eintreten</w:t>
      </w:r>
      <w:r>
        <w:rPr/>
        <w:t xml:space="preserve"> Temporal-modales </w:t>
      </w:r>
      <w:hyperlink r:id="rId336">
        <w:r>
          <w:rPr>
            <w:rStyle w:val="Internetverknpfung"/>
          </w:rPr>
          <w:t>Ptz. conj.</w:t>
        </w:r>
      </w:hyperlink>
      <w:r>
        <w:rPr/>
        <w:t>, als Präpositionalphrase aufgelöst.</w:t>
      </w:r>
    </w:p>
  </w:footnote>
  <w:footnote w:id="3952">
    <w:p>
      <w:pPr>
        <w:pStyle w:val="Funote"/>
        <w:rPr/>
      </w:pPr>
      <w:r>
        <w:rPr>
          <w:i/>
        </w:rPr>
        <w:footnoteRef/>
        <w:tab/>
        <w:t>Er nahm die Hand</w:t>
      </w:r>
      <w:r>
        <w:rPr/>
        <w:t xml:space="preserve"> </w:t>
      </w:r>
      <w:hyperlink r:id="rId337">
        <w:r>
          <w:rPr>
            <w:rStyle w:val="Internetverknpfung"/>
          </w:rPr>
          <w:t>Gen. abs.</w:t>
        </w:r>
      </w:hyperlink>
      <w:r>
        <w:rPr/>
        <w:t>, temporal-modal, beigeordnet aufgelöst.</w:t>
      </w:r>
    </w:p>
  </w:footnote>
  <w:footnote w:id="3953">
    <w:p>
      <w:pPr>
        <w:pStyle w:val="Funote"/>
        <w:rPr/>
      </w:pPr>
      <w:r>
        <w:rPr/>
        <w:footnoteRef/>
        <w:tab/>
        <w:t>„</w:t>
      </w:r>
      <w:r>
        <w:rPr>
          <w:i/>
        </w:rPr>
        <w:t>Talita kum!“</w:t>
      </w:r>
      <w:r>
        <w:rPr/>
        <w:t xml:space="preserve"> Aramäisch für „Mädchen, steh auf!“ </w:t>
      </w:r>
      <w:r>
        <w:rPr>
          <w:i/>
        </w:rPr>
        <w:t>Kum</w:t>
      </w:r>
      <w:r>
        <w:rPr/>
        <w:t xml:space="preserve"> (</w:t>
      </w:r>
      <w:r>
        <w:rPr>
          <w:rtl w:val="true"/>
          <w:lang w:bidi="he-IL"/>
        </w:rPr>
        <w:t>קום</w:t>
      </w:r>
      <w:r>
        <w:rPr/>
        <w:t>) ist der maskuline Imperativ.</w:t>
      </w:r>
    </w:p>
  </w:footnote>
  <w:footnote w:id="3954">
    <w:p>
      <w:pPr>
        <w:pStyle w:val="Funote"/>
        <w:rPr/>
      </w:pPr>
      <w:r>
        <w:rPr/>
        <w:footnoteRef/>
        <w:tab/>
        <w:t>begann umherzugehen Als inchoatives Imperfekt übersetzt (vgl. Guelich 1989, 303).</w:t>
      </w:r>
    </w:p>
  </w:footnote>
  <w:footnote w:id="3955">
    <w:p>
      <w:pPr>
        <w:pStyle w:val="Funote"/>
        <w:rPr/>
      </w:pPr>
      <w:r>
        <w:rPr/>
        <w:footnoteRef/>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Verb+Inf. abs.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Dativus modi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3956">
    <w:p>
      <w:pPr>
        <w:pStyle w:val="Funote"/>
        <w:rPr/>
      </w:pPr>
      <w:r>
        <w:rPr>
          <w:i/>
        </w:rPr>
        <w:footnoteRef/>
        <w:tab/>
        <w:t>unmissverständlich (mehrmals, ausdrücklich)</w:t>
      </w:r>
      <w:r>
        <w:rPr/>
        <w:t xml:space="preserve"> Das Adverb </w:t>
      </w:r>
      <w:r>
        <w:rPr>
          <w:lang w:val="el-GR"/>
        </w:rPr>
        <w:t>πολλὰ</w:t>
      </w:r>
      <w:r>
        <w:rPr/>
        <w:t xml:space="preserve"> kann man sowohl intensivierend als auch wiederholend verstehen, die meisten Übersetzungen intensivieren. Vgl. V. 23 und 38, aber auch V. 10.</w:t>
      </w:r>
    </w:p>
  </w:footnote>
  <w:footnote w:id="3957">
    <w:p>
      <w:pPr>
        <w:pStyle w:val="Funote"/>
        <w:rPr/>
      </w:pPr>
      <w:r>
        <w:rPr>
          <w:i/>
        </w:rPr>
        <w:footnoteRef/>
        <w:tab/>
        <w:t>[man solle]</w:t>
      </w:r>
      <w:r>
        <w:rPr/>
        <w:t xml:space="preserve"> Der griechische Infinitivsatz ist (dem Deutschen ganz ähnlich) final. In der gegenwärtigen Formulierung ist im Deutschen eine finale Satzeinleitung notwendig.</w:t>
      </w:r>
    </w:p>
  </w:footnote>
  <w:footnote w:id="3958">
    <w:p>
      <w:pPr>
        <w:pStyle w:val="Funote"/>
        <w:rPr/>
      </w:pPr>
      <w:r>
        <w:rPr/>
        <w:footnoteRef/>
        <w:tab/>
        <w:t>[Status: Zuverlässig]</w:t>
      </w:r>
    </w:p>
  </w:footnote>
  <w:footnote w:id="3959">
    <w:p>
      <w:pPr>
        <w:pStyle w:val="Funote"/>
        <w:rPr/>
      </w:pPr>
      <w:r>
        <w:rPr>
          <w:i/>
        </w:rPr>
        <w:footnoteRef/>
        <w:tab/>
        <w:t>Heimat</w:t>
      </w:r>
      <w:r>
        <w:rPr/>
        <w:t xml:space="preserve"> Gemeint ist Nazaret (Mk 1,9.24). Die meisten Übersetzungen spezifizieren „Heimatstadt“ oder „Vaterstadt“.</w:t>
      </w:r>
    </w:p>
  </w:footnote>
  <w:footnote w:id="3960">
    <w:p>
      <w:pPr>
        <w:pStyle w:val="Funote"/>
        <w:rPr/>
      </w:pPr>
      <w:r>
        <w:rPr>
          <w:i/>
        </w:rPr>
        <w:footnoteRef/>
        <w:tab/>
        <w:t>als … gekommen war</w:t>
      </w:r>
      <w:r>
        <w:rPr/>
        <w:t xml:space="preserve"> </w:t>
      </w:r>
      <w:hyperlink r:id="rId338">
        <w:r>
          <w:rPr>
            <w:rStyle w:val="Internetverknpfung"/>
          </w:rPr>
          <w:t>Gen. abs.</w:t>
        </w:r>
      </w:hyperlink>
      <w:r>
        <w:rPr/>
        <w:t>, als temporaler Nebensatz aufgelöst.</w:t>
      </w:r>
    </w:p>
  </w:footnote>
  <w:footnote w:id="3961">
    <w:p>
      <w:pPr>
        <w:pStyle w:val="Funote"/>
        <w:rPr/>
      </w:pPr>
      <w:r>
        <w:rPr>
          <w:i/>
        </w:rPr>
        <w:footnoteRef/>
        <w:tab/>
        <w:t>begann er, in der Synagoge zu lehren (lehrte er)</w:t>
      </w:r>
      <w:r>
        <w:rPr/>
        <w:t xml:space="preserve"> Markus benutzt „beginnen“ gerne schwach und ohne echte Funktion. Viele Übersetzungen formulieren daher wie in der Klammer. Vgl. die </w:t>
      </w:r>
      <w:r>
        <w:fldChar w:fldCharType="begin"/>
      </w:r>
      <w:r>
        <w:instrText> HYPERLINK "file:///wiki/Markus_5" \l "af"</w:instrText>
      </w:r>
      <w:r>
        <w:fldChar w:fldCharType="separate"/>
      </w:r>
      <w:r>
        <w:rPr>
          <w:rStyle w:val="Internetverknpfung"/>
        </w:rPr>
        <w:t>Fußnote zu 5,17</w:t>
      </w:r>
      <w:r>
        <w:fldChar w:fldCharType="end"/>
      </w:r>
      <w:r>
        <w:rPr/>
        <w:t>.</w:t>
      </w:r>
    </w:p>
  </w:footnote>
  <w:footnote w:id="3962">
    <w:p>
      <w:pPr>
        <w:pStyle w:val="Funote"/>
        <w:rPr/>
      </w:pPr>
      <w:r>
        <w:rPr>
          <w:i/>
        </w:rPr>
        <w:footnoteRef/>
        <w:tab/>
        <w:t>und sagten</w:t>
      </w:r>
      <w:r>
        <w:rPr/>
        <w:t xml:space="preserve"> Modales </w:t>
      </w:r>
      <w:hyperlink r:id="rId339">
        <w:r>
          <w:rPr>
            <w:rStyle w:val="Internetverknpfung"/>
          </w:rPr>
          <w:t>Ptz. conj.</w:t>
        </w:r>
      </w:hyperlink>
      <w:r>
        <w:rPr/>
        <w:t>, beigeordnet aufgelöst.</w:t>
      </w:r>
    </w:p>
  </w:footnote>
  <w:footnote w:id="3963">
    <w:p>
      <w:pPr>
        <w:pStyle w:val="Funote"/>
        <w:rPr/>
      </w:pPr>
      <w:r>
        <w:rPr/>
        <w:footnoteRef/>
        <w:tab/>
        <w:t>und (und [wie kommt es, dass]) solche Wunder, die durch seine Hände geschehen Den Satz kann man entweder als überraschten Ausruf verstehen (wie die meisten Übersetzungen), oder als elliptische Frage (so NGÜ). Dabei wäre wie in der Klammer [wie kommt es, dass] sinngemäß zu ergänzen (NSS).</w:t>
      </w:r>
    </w:p>
  </w:footnote>
  <w:footnote w:id="3964">
    <w:p>
      <w:pPr>
        <w:pStyle w:val="Funote"/>
        <w:rPr/>
      </w:pPr>
      <w:r>
        <w:rPr/>
        <w:footnoteRef/>
        <w:tab/>
        <w:t>auflegte und Modales Ptz. conj., hier mit „und“ beigeordnet. Auch möglich: „indem er ihnen die Hände auflegte“ oder „durch Handauflegen“ (MEN)</w:t>
      </w:r>
    </w:p>
  </w:footnote>
  <w:footnote w:id="3965">
    <w:p>
      <w:pPr>
        <w:pStyle w:val="Funote"/>
        <w:rPr/>
      </w:pPr>
      <w:r>
        <w:rPr>
          <w:i/>
        </w:rPr>
        <w:footnoteRef/>
        <w:tab/>
        <w:t>und lehrte</w:t>
      </w:r>
      <w:r>
        <w:rPr/>
        <w:t xml:space="preserve"> Modales </w:t>
      </w:r>
      <w:hyperlink r:id="rId340">
        <w:r>
          <w:rPr>
            <w:rStyle w:val="Internetverknpfung"/>
          </w:rPr>
          <w:t>Ptz. conj.</w:t>
        </w:r>
      </w:hyperlink>
      <w:r>
        <w:rPr/>
        <w:t>, beigeordnet aufgelöst.</w:t>
      </w:r>
    </w:p>
  </w:footnote>
  <w:footnote w:id="3966">
    <w:p>
      <w:pPr>
        <w:pStyle w:val="Funote"/>
        <w:rPr/>
      </w:pPr>
      <w:r>
        <w:rPr/>
        <w:footnoteRef/>
        <w:tab/>
        <w:t>paarweise W. „zwei zwei“. Die Formulierung war sowohl in der Volkssprache als auch in semitischen Sprachen gebräuchlich (NSS).</w:t>
      </w:r>
    </w:p>
  </w:footnote>
  <w:footnote w:id="3967">
    <w:p>
      <w:pPr>
        <w:pStyle w:val="Funote"/>
        <w:rPr/>
      </w:pPr>
      <w:r>
        <w:rPr>
          <w:i/>
        </w:rPr>
        <w:footnoteRef/>
        <w:tab/>
        <w:t>sandte aus</w:t>
      </w:r>
      <w:r>
        <w:rPr/>
        <w:t xml:space="preserve"> W. „begann auszusenden“. Dazu s. die </w:t>
      </w:r>
      <w:r>
        <w:fldChar w:fldCharType="begin"/>
      </w:r>
      <w:r>
        <w:instrText> HYPERLINK "file:///wiki/Markus_5" \l "af"</w:instrText>
      </w:r>
      <w:r>
        <w:fldChar w:fldCharType="separate"/>
      </w:r>
      <w:r>
        <w:rPr>
          <w:rStyle w:val="Internetverknpfung"/>
        </w:rPr>
        <w:t>Fußnote zu 5,17</w:t>
      </w:r>
      <w:r>
        <w:fldChar w:fldCharType="end"/>
      </w:r>
      <w:r>
        <w:rPr/>
        <w:t>. Ein ähnlicher Fall liegt auch in V. 2 vor.</w:t>
      </w:r>
    </w:p>
  </w:footnote>
  <w:footnote w:id="3968">
    <w:p>
      <w:pPr>
        <w:pStyle w:val="Funote"/>
        <w:rPr/>
      </w:pPr>
      <w:r>
        <w:rPr>
          <w:i/>
        </w:rPr>
        <w:footnoteRef/>
        <w:tab/>
        <w:t>Geld</w:t>
      </w:r>
      <w:r>
        <w:rPr/>
        <w:t xml:space="preserve"> W. „Kupfer(münze)“ (oder „Bronze(münze)“). Das Wort wird hier metonymisch für Kupfermünzen, also Kleingeld benutzt. Die Parallelstelle Mt 10,19 führt aus: „weder Gold noch Silber noch Kupfer...“ </w:t>
      </w:r>
      <w:r>
        <w:rPr>
          <w:i/>
        </w:rPr>
        <w:t>im Gürtel</w:t>
      </w:r>
      <w:r>
        <w:rPr/>
        <w:t xml:space="preserve"> Im Orient bewahrte man Geld lange in den Falten des Gürtels auf, einem breiten Tuch, das entsprechend um die Hüfte gebunden war.</w:t>
      </w:r>
    </w:p>
  </w:footnote>
  <w:footnote w:id="3969">
    <w:p>
      <w:pPr>
        <w:pStyle w:val="Funote"/>
        <w:rPr/>
      </w:pPr>
      <w:r>
        <w:rPr/>
        <w:footnoteRef/>
        <w:tab/>
        <w:t xml:space="preserve">dabei jedoch Sandalen zu tragen Mod. oder konz. Ptz. conj. Pf. zu tragen ist das resultative Äquivalent des griechischen Perfekts,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AcI handelte (NSS nach BDR §470.3). Collins versteht das Partizip als imperativisch (BDR 468.2), übersieht jedoch, dass es sich hier um einen Akkusativ, nicht wie andernfalls erforderlich um einen Nominativ handelt (Collins 2007, 299 Fn 25).</w:t>
      </w:r>
    </w:p>
  </w:footnote>
  <w:footnote w:id="3970">
    <w:p>
      <w:pPr>
        <w:pStyle w:val="Funote"/>
        <w:rPr/>
      </w:pPr>
      <w:r>
        <w:rPr/>
        <w:footnoteRef/>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3971">
    <w:p>
      <w:pPr>
        <w:pStyle w:val="Funote"/>
        <w:rPr/>
      </w:pPr>
      <w:r>
        <w:rPr/>
        <w:footnoteRef/>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3972">
    <w:p>
      <w:pPr>
        <w:pStyle w:val="Funote"/>
        <w:rPr/>
      </w:pPr>
      <w:r>
        <w:rPr>
          <w:i/>
        </w:rPr>
        <w:footnoteRef/>
        <w:tab/>
        <w:t>beim Aufbruch</w:t>
      </w:r>
      <w:r>
        <w:rPr/>
        <w:t xml:space="preserve"> bzw. </w:t>
      </w:r>
      <w:r>
        <w:rPr>
          <w:i/>
        </w:rPr>
        <w:t>geht von dort weg und</w:t>
      </w:r>
      <w:r>
        <w:rPr/>
        <w:t xml:space="preserve"> Modales </w:t>
      </w:r>
      <w:hyperlink r:id="rId341">
        <w:r>
          <w:rPr>
            <w:rStyle w:val="Internetverknpfung"/>
          </w:rPr>
          <w:t>Ptz. conj.</w:t>
        </w:r>
      </w:hyperlink>
      <w:r>
        <w:rPr/>
        <w:t>, als Präpositionalphrase (bzw. beigeordnete Konstruktion) übersetzt.</w:t>
      </w:r>
    </w:p>
  </w:footnote>
  <w:footnote w:id="3973">
    <w:p>
      <w:pPr>
        <w:pStyle w:val="Funote"/>
        <w:rPr/>
      </w:pPr>
      <w:r>
        <w:rPr/>
        <w:footnoteRef/>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3974">
    <w:p>
      <w:pPr>
        <w:pStyle w:val="Funote"/>
        <w:rPr/>
      </w:pPr>
      <w:r>
        <w:rPr/>
        <w:footnoteRef/>
        <w:tab/>
        <w:t>als Zeugenaussage (Beweis, Zeichen, Zeugnis) [gegen (für)] sie Es handelt sich bei gegen um einen Dativus incommodi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3975">
    <w:p>
      <w:pPr>
        <w:pStyle w:val="Funote"/>
        <w:rPr/>
      </w:pPr>
      <w:r>
        <w:rPr>
          <w:i/>
        </w:rPr>
        <w:footnoteRef/>
        <w:tab/>
        <w:t>machten sich auf den Weg</w:t>
      </w:r>
      <w:r>
        <w:rPr/>
        <w:t xml:space="preserve"> Modal-temporales </w:t>
      </w:r>
      <w:hyperlink r:id="rId342">
        <w:r>
          <w:rPr>
            <w:rStyle w:val="Internetverknpfung"/>
          </w:rPr>
          <w:t>Ptz. conj.</w:t>
        </w:r>
      </w:hyperlink>
      <w:r>
        <w:rPr/>
        <w:t>, beigeordnet aufgelöst.</w:t>
      </w:r>
    </w:p>
  </w:footnote>
  <w:footnote w:id="3976">
    <w:p>
      <w:pPr>
        <w:pStyle w:val="Funote"/>
        <w:rPr/>
      </w:pPr>
      <w:r>
        <w:rPr/>
        <w:footnoteRef/>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3977">
    <w:p>
      <w:pPr>
        <w:pStyle w:val="Funote"/>
        <w:rPr/>
      </w:pPr>
      <w:r>
        <w:rPr/>
        <w:footnoteRef/>
        <w:tab/>
        <w:t>meinten Das Imperfekt leitet hier die (vielfach geäußerte) öffentliche Meinung ein. In V. 15 sind dagegen mit Aor. offenbar spezifische Einzelaussagen zu hören. ZÜR: „es hieß“+indirekte Rede.</w:t>
      </w:r>
    </w:p>
  </w:footnote>
  <w:footnote w:id="3978">
    <w:p>
      <w:pPr>
        <w:pStyle w:val="Funote"/>
        <w:rPr/>
      </w:pPr>
      <w:r>
        <w:rPr>
          <w:i/>
        </w:rPr>
        <w:footnoteRef/>
        <w:tab/>
        <w:t>Das erklärt, warum</w:t>
      </w:r>
      <w:r>
        <w:rPr/>
        <w:t xml:space="preserve"> W. „und aus diesem Grund/deshalb“</w:t>
      </w:r>
    </w:p>
  </w:footnote>
  <w:footnote w:id="3979">
    <w:p>
      <w:pPr>
        <w:pStyle w:val="Funote"/>
        <w:rPr/>
      </w:pPr>
      <w:r>
        <w:rPr/>
        <w:footnoteRef/>
        <w:tab/>
        <w:t>Elija Die Rückkehr des im Alten Testament entrückten Propheten wurde aufgrund von Mal 3,23-24 zu Jesu Zeit vielfach erwartet (France 2002, 253).</w:t>
      </w:r>
    </w:p>
  </w:footnote>
  <w:footnote w:id="3980">
    <w:p>
      <w:pPr>
        <w:pStyle w:val="Funote"/>
        <w:rPr/>
      </w:pPr>
      <w:r>
        <w:rPr>
          <w:i/>
        </w:rPr>
        <w:footnoteRef/>
        <w:tab/>
        <w:t>Als … hörte</w:t>
      </w:r>
      <w:r>
        <w:rPr/>
        <w:t xml:space="preserve"> </w:t>
      </w:r>
      <w:hyperlink r:id="rId343">
        <w:r>
          <w:rPr>
            <w:rStyle w:val="Internetverknpfung"/>
          </w:rPr>
          <w:t>Ptz. conj.</w:t>
        </w:r>
      </w:hyperlink>
      <w:r>
        <w:rPr/>
        <w:t>, als temporaler Nebensatz aufgelöst.</w:t>
      </w:r>
    </w:p>
  </w:footnote>
  <w:footnote w:id="3981">
    <w:p>
      <w:pPr>
        <w:pStyle w:val="Funote"/>
        <w:rPr/>
      </w:pPr>
      <w:r>
        <w:rPr/>
        <w:footnoteRef/>
        <w:tab/>
        <w:t>glaubte er W. „sagte“ (Imperfekt),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ich enthauptet habe, die anzeigen könnte, dass Herodes sich für Johannes' Tod verantwortlich fühlt; so France 2002, 254; vgl. Collins 2007, 304).</w:t>
      </w:r>
    </w:p>
  </w:footnote>
  <w:footnote w:id="3982">
    <w:p>
      <w:pPr>
        <w:pStyle w:val="Funote"/>
        <w:rPr/>
      </w:pPr>
      <w:r>
        <w:rPr/>
        <w:footnoteRef/>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3983">
    <w:p>
      <w:pPr>
        <w:pStyle w:val="Funote"/>
        <w:rPr/>
      </w:pPr>
      <w:r>
        <w:rPr/>
        <w:footnoteRef/>
        <w:tab/>
        <w:t xml:space="preserve">lassen Oder: „[Soldaten] ausgesandt und“ (vgl. MEN). Das modale Ptz. conj. modifiziert hier kausativ zwei finite Verben und heißt dasselbe wie das Deutsche „lassen“ (BA </w:t>
      </w:r>
      <w:r>
        <w:rPr>
          <w:lang w:val="el-GR"/>
        </w:rPr>
        <w:t>ἀποστέλλω</w:t>
      </w:r>
      <w:r>
        <w:rPr/>
        <w:t>, 2.; vgl. NSS).</w:t>
      </w:r>
    </w:p>
  </w:footnote>
  <w:footnote w:id="3984">
    <w:p>
      <w:pPr>
        <w:pStyle w:val="Funote"/>
        <w:rPr/>
      </w:pPr>
      <w:r>
        <w:rPr/>
        <w:footnoteRef/>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3985">
    <w:p>
      <w:pPr>
        <w:pStyle w:val="Funote"/>
        <w:rPr/>
      </w:pPr>
      <w:r>
        <w:rPr/>
        <w:footnoteRef/>
        <w:tab/>
        <w:t>hatte [wiederholt] gesagt Das Imperfekt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3986">
    <w:p>
      <w:pPr>
        <w:pStyle w:val="Funote"/>
        <w:rPr/>
      </w:pPr>
      <w:r>
        <w:rPr>
          <w:i/>
        </w:rPr>
        <w:footnoteRef/>
        <w:tab/>
        <w:t>plante (wollte)</w:t>
      </w:r>
      <w:r>
        <w:rPr/>
        <w:t xml:space="preserve"> „wollen“ im durativen </w:t>
      </w:r>
      <w:hyperlink r:id="rId344">
        <w:r>
          <w:rPr>
            <w:rStyle w:val="Internetverknpfung"/>
          </w:rPr>
          <w:t>Imperfekt</w:t>
        </w:r>
      </w:hyperlink>
      <w:r>
        <w:rPr/>
        <w:t xml:space="preserve"> ist „über einen längeren Zeitraum wollen“ → „planen“.</w:t>
      </w:r>
    </w:p>
  </w:footnote>
  <w:footnote w:id="3987">
    <w:p>
      <w:pPr>
        <w:pStyle w:val="Funote"/>
        <w:rPr/>
      </w:pPr>
      <w:r>
        <w:rPr/>
        <w:footnoteRef/>
        <w:tab/>
        <w:t>hatte lange keine Gelegenheit dazu W. es gelang ihr nicht oder „sie konnte nicht“ (Ipf.).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3988">
    <w:p>
      <w:pPr>
        <w:pStyle w:val="Funote"/>
        <w:rPr/>
      </w:pPr>
      <w:r>
        <w:rPr/>
        <w:footnoteRef/>
        <w:tab/>
        <w:t>respektierte/fürchtete und weil er wusste (kausales Ptz. conj.,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3989">
    <w:p>
      <w:pPr>
        <w:pStyle w:val="Funote"/>
        <w:rPr/>
      </w:pPr>
      <w:r>
        <w:rPr/>
        <w:footnoteRef/>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3990">
    <w:p>
      <w:pPr>
        <w:pStyle w:val="Funote"/>
        <w:rPr/>
      </w:pPr>
      <w:r>
        <w:rPr>
          <w:i/>
        </w:rPr>
        <w:footnoteRef/>
        <w:tab/>
        <w:t>wenn er ihm zuhörte</w:t>
      </w:r>
      <w:r>
        <w:rPr/>
        <w:t xml:space="preserve"> Temporales </w:t>
      </w:r>
      <w:hyperlink r:id="rId345">
        <w:r>
          <w:rPr>
            <w:rStyle w:val="Internetverknpfung"/>
          </w:rPr>
          <w:t>Ptz. conj.</w:t>
        </w:r>
      </w:hyperlink>
      <w:r>
        <w:rPr/>
        <w:t>, als Nebensatz aufgelöst. Die Klammer übersetzt vorzeitig, Sinn wäre „nach dem Zuhören“.</w:t>
      </w:r>
    </w:p>
  </w:footnote>
  <w:footnote w:id="3991">
    <w:p>
      <w:pPr>
        <w:pStyle w:val="Funote"/>
        <w:rPr/>
      </w:pPr>
      <w:r>
        <w:rPr/>
        <w:footnoteRef/>
        <w:tab/>
        <w:t xml:space="preserve">immer wieder stark verunsichert Das Adverb </w:t>
      </w:r>
      <w:r>
        <w:rPr>
          <w:lang w:val="el-GR"/>
        </w:rPr>
        <w:t>πολλὰ</w:t>
      </w:r>
      <w:r>
        <w:rPr/>
        <w:t xml:space="preserve"> kann sowohl intensivierend als auch wiederholend gemeint sein. Da das Imperfekt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w:t>
      </w:r>
    </w:p>
  </w:footnote>
  <w:footnote w:id="3992">
    <w:p>
      <w:pPr>
        <w:pStyle w:val="Funote"/>
        <w:rPr/>
      </w:pPr>
      <w:r>
        <w:rPr>
          <w:i/>
        </w:rPr>
        <w:footnoteRef/>
        <w:tab/>
        <w:t>als ein günstiger Zeitpunkt kam</w:t>
      </w:r>
      <w:r>
        <w:rPr/>
        <w:t xml:space="preserve"> </w:t>
      </w:r>
      <w:hyperlink r:id="rId346">
        <w:r>
          <w:rPr>
            <w:rStyle w:val="Internetverknpfung"/>
          </w:rPr>
          <w:t>Gen. abs.</w:t>
        </w:r>
      </w:hyperlink>
      <w:r>
        <w:rPr/>
        <w:t>, temporal als Nebensatz aufgelöst. Der Hauptsatz kommt erst in V. 22.</w:t>
      </w:r>
    </w:p>
  </w:footnote>
  <w:footnote w:id="3993">
    <w:p>
      <w:pPr>
        <w:pStyle w:val="Funote"/>
        <w:rPr/>
      </w:pPr>
      <w:r>
        <w:rPr>
          <w:i/>
        </w:rPr>
        <w:footnoteRef/>
        <w:tab/>
        <w:t>[anlässlich] seines Geburtstages</w:t>
      </w:r>
      <w:r>
        <w:rPr/>
        <w:t xml:space="preserve"> </w:t>
      </w:r>
      <w:hyperlink r:id="rId347">
        <w:r>
          <w:rPr>
            <w:rStyle w:val="Internetverknpfung"/>
          </w:rPr>
          <w:t>Temporaler Dativ</w:t>
        </w:r>
      </w:hyperlink>
      <w:r>
        <w:rPr/>
        <w:t>.</w:t>
      </w:r>
    </w:p>
  </w:footnote>
  <w:footnote w:id="3994">
    <w:p>
      <w:pPr>
        <w:pStyle w:val="Funote"/>
        <w:rPr/>
      </w:pPr>
      <w:r>
        <w:rPr>
          <w:i/>
        </w:rPr>
        <w:footnoteRef/>
        <w:tab/>
        <w:t>Galiläas angesehenste Bürger</w:t>
      </w:r>
      <w:r>
        <w:rPr/>
        <w:t xml:space="preserve"> W. „die Ersten Galiläas“</w:t>
      </w:r>
    </w:p>
  </w:footnote>
  <w:footnote w:id="3995">
    <w:p>
      <w:pPr>
        <w:pStyle w:val="Funote"/>
        <w:rPr/>
      </w:pPr>
      <w:r>
        <w:rPr/>
        <w:footnoteRef/>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3996">
    <w:p>
      <w:pPr>
        <w:pStyle w:val="Funote"/>
        <w:rPr/>
      </w:pPr>
      <w:r>
        <w:rPr>
          <w:i/>
        </w:rPr>
        <w:footnoteRef/>
        <w:tab/>
        <w:t>als … hereinkam und tanzte</w:t>
      </w:r>
      <w:r>
        <w:rPr/>
        <w:t xml:space="preserve"> </w:t>
      </w:r>
      <w:hyperlink r:id="rId348">
        <w:r>
          <w:rPr>
            <w:rStyle w:val="Internetverknpfung"/>
          </w:rPr>
          <w:t>Gen. abs.</w:t>
        </w:r>
      </w:hyperlink>
      <w:r>
        <w:rPr/>
        <w:t>, als temporaler Nebensatz aufgelöst. Nach der generellen Zeitangabe (V. 21) bildet dieser Gen. abs. nun die spezifische. Als Herodes' Aufforderung kam, wusste Herodias, dass dies der „günstige Tag“ (V. 21) war.</w:t>
      </w:r>
    </w:p>
  </w:footnote>
  <w:footnote w:id="3997">
    <w:p>
      <w:pPr>
        <w:pStyle w:val="Funote"/>
        <w:rPr/>
      </w:pPr>
      <w:r>
        <w:rPr/>
        <w:footnoteRef/>
        <w:tab/>
        <w:t>seinen Tischgästen (denen, die mit [ihm] aßen/[zu Tisch] lagen) Die meisten deutschen Übersetzungen übertragen das subst. Ptz. einfach als „seine Gäste“. Wie LUT, ELB kann man es auch als Relativsatz auflösen.</w:t>
      </w:r>
    </w:p>
  </w:footnote>
  <w:footnote w:id="3998">
    <w:p>
      <w:pPr>
        <w:pStyle w:val="Funote"/>
        <w:rPr/>
      </w:pPr>
      <w:r>
        <w:rPr/>
        <w:footnoteRef/>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3999">
    <w:p>
      <w:pPr>
        <w:pStyle w:val="Funote"/>
        <w:rPr/>
      </w:pPr>
      <w:r>
        <w:rPr>
          <w:i/>
        </w:rPr>
        <w:footnoteRef/>
        <w:tab/>
        <w:t>schwor ihr mehrmals/eindringlich</w:t>
      </w:r>
      <w:r>
        <w:rPr/>
        <w:t xml:space="preserve"> Das Adverb </w:t>
      </w:r>
      <w:r>
        <w:rPr>
          <w:lang w:val="el-GR"/>
        </w:rPr>
        <w:t>πολλὰ</w:t>
      </w:r>
      <w:r>
        <w:rPr/>
        <w:t>, das wir hier als sekundär einstufen und nur in der Klammer übersetzen (s.u.), kann sowohl intensivierend als auch wiederholend gemeint sein (vgl. schon V. 20). Hier ist es wohl wiederholend, denn in V. 26 ist von Herodes' Schwüren (Pl.) die Rede.</w:t>
      </w:r>
    </w:p>
  </w:footnote>
  <w:footnote w:id="4000">
    <w:p>
      <w:pPr>
        <w:pStyle w:val="Funote"/>
        <w:rPr/>
      </w:pPr>
      <w:r>
        <w:rPr>
          <w:i/>
        </w:rPr>
        <w:footnoteRef/>
        <w:tab/>
        <w:t>ging hinaus und</w:t>
      </w:r>
      <w:r>
        <w:rPr/>
        <w:t xml:space="preserve"> Modal-temporales </w:t>
      </w:r>
      <w:hyperlink r:id="rId349">
        <w:r>
          <w:rPr>
            <w:rStyle w:val="Internetverknpfung"/>
          </w:rPr>
          <w:t>beschreibendes Partizip</w:t>
        </w:r>
      </w:hyperlink>
      <w:r>
        <w:rPr/>
        <w:t xml:space="preserve"> Aor., mit „und“-Kombination übersetzt.</w:t>
      </w:r>
    </w:p>
  </w:footnote>
  <w:footnote w:id="4001">
    <w:p>
      <w:pPr>
        <w:pStyle w:val="Funote"/>
        <w:rPr/>
      </w:pPr>
      <w:r>
        <w:rPr>
          <w:i/>
        </w:rPr>
        <w:footnoteRef/>
        <w:tab/>
        <w:t>eilig</w:t>
      </w:r>
      <w:r>
        <w:rPr/>
        <w:t xml:space="preserve"> W. „mit Eile“</w:t>
      </w:r>
    </w:p>
  </w:footnote>
  <w:footnote w:id="4002">
    <w:p>
      <w:pPr>
        <w:pStyle w:val="Funote"/>
        <w:rPr/>
      </w:pPr>
      <w:r>
        <w:rPr>
          <w:i/>
        </w:rPr>
        <w:footnoteRef/>
        <w:tab/>
        <w:t>ging … hinein und</w:t>
      </w:r>
      <w:r>
        <w:rPr/>
        <w:t xml:space="preserve"> Modal-temporales </w:t>
      </w:r>
      <w:hyperlink r:id="rId350">
        <w:r>
          <w:rPr>
            <w:rStyle w:val="Internetverknpfung"/>
          </w:rPr>
          <w:t>beschreibendes Partizip</w:t>
        </w:r>
      </w:hyperlink>
      <w:r>
        <w:rPr/>
        <w:t xml:space="preserve"> Aor., mit „und“-Kombination übersetzt.</w:t>
      </w:r>
    </w:p>
  </w:footnote>
  <w:footnote w:id="4003">
    <w:p>
      <w:pPr>
        <w:pStyle w:val="Funote"/>
        <w:rPr/>
      </w:pPr>
      <w:r>
        <w:rPr>
          <w:i/>
        </w:rPr>
        <w:footnoteRef/>
        <w:tab/>
        <w:t>wurde sehr traurig</w:t>
      </w:r>
      <w:r>
        <w:rPr/>
        <w:t xml:space="preserve"> Konzessives </w:t>
      </w:r>
      <w:hyperlink r:id="rId351">
        <w:r>
          <w:rPr>
            <w:rStyle w:val="Internetverknpfung"/>
          </w:rPr>
          <w:t>Ptz. conj.</w:t>
        </w:r>
      </w:hyperlink>
      <w:r>
        <w:rPr/>
        <w:t>., als gleichgeordneter Hauptsatz mit folgendem „aber“ aufgelöst.</w:t>
      </w:r>
    </w:p>
  </w:footnote>
  <w:footnote w:id="4004">
    <w:p>
      <w:pPr>
        <w:pStyle w:val="Funote"/>
        <w:rPr/>
      </w:pPr>
      <w:r>
        <w:rPr/>
        <w:footnoteRef/>
        <w:tab/>
        <w:t>der Gäste ([zu Tisch] Liegenden) Die meisten deutschen Übersetzungen übertragen das subst. Ptz. einfach als „seine Gäste“. Wie LUT, ELB kann man es auch als Relativsatz auflösen. Vgl. 22.</w:t>
      </w:r>
    </w:p>
  </w:footnote>
  <w:footnote w:id="4005">
    <w:p>
      <w:pPr>
        <w:pStyle w:val="Funote"/>
        <w:rPr/>
      </w:pPr>
      <w:r>
        <w:rPr>
          <w:i/>
        </w:rPr>
        <w:footnoteRef/>
        <w:tab/>
        <w:t>Also</w:t>
      </w:r>
      <w:r>
        <w:rPr/>
        <w:t xml:space="preserve"> W. „Und sofort“. Beide Wörter sind bei Markus typisch, „und“ als allgemeine Konjunktion, „sofort“, um die Spannung aufrecht zu erhalten. Hier ist es schwach und heißt so etwas wie „da“, und weil V. 27 aus V. 26 folgt, kann man stilistisch schöner „also“ schreiben.</w:t>
      </w:r>
    </w:p>
  </w:footnote>
  <w:footnote w:id="4006">
    <w:p>
      <w:pPr>
        <w:pStyle w:val="Funote"/>
        <w:rPr/>
      </w:pPr>
      <w:r>
        <w:rPr>
          <w:i/>
        </w:rPr>
        <w:footnoteRef/>
        <w:tab/>
        <w:t>schickte … und</w:t>
      </w:r>
      <w:r>
        <w:rPr/>
        <w:t xml:space="preserve"> Modal-temporales </w:t>
      </w:r>
      <w:hyperlink r:id="rId352">
        <w:r>
          <w:rPr>
            <w:rStyle w:val="Internetverknpfung"/>
          </w:rPr>
          <w:t>Ptz. conj.</w:t>
        </w:r>
      </w:hyperlink>
      <w:r>
        <w:rPr/>
        <w:t>, mit „und“-Kombination übersetzt.</w:t>
      </w:r>
    </w:p>
  </w:footnote>
  <w:footnote w:id="4007">
    <w:p>
      <w:pPr>
        <w:pStyle w:val="Funote"/>
        <w:rPr/>
      </w:pPr>
      <w:r>
        <w:rPr>
          <w:i/>
        </w:rPr>
        <w:footnoteRef/>
        <w:tab/>
        <w:t>als … erfuhren</w:t>
      </w:r>
      <w:r>
        <w:rPr/>
        <w:t xml:space="preserve"> Temporales </w:t>
      </w:r>
      <w:hyperlink r:id="rId353">
        <w:r>
          <w:rPr>
            <w:rStyle w:val="Internetverknpfung"/>
          </w:rPr>
          <w:t>Ptz. conj.</w:t>
        </w:r>
      </w:hyperlink>
      <w:r>
        <w:rPr/>
        <w:t>, als Nebensatz aufgelöst.</w:t>
      </w:r>
    </w:p>
  </w:footnote>
  <w:footnote w:id="4008">
    <w:p>
      <w:pPr>
        <w:pStyle w:val="Funote"/>
        <w:rPr/>
      </w:pPr>
      <w:r>
        <w:rPr/>
        <w:footnoteRef/>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4009">
    <w:p>
      <w:pPr>
        <w:pStyle w:val="Funote"/>
        <w:rPr/>
      </w:pPr>
      <w:r>
        <w:rPr/>
        <w:footnoteRef/>
        <w:tab/>
        <w:t>ganz allein NSS schlägt (wie es auch andere Übersetzungen verstehen) die sinngemäß wohl richtige Übersetzung „um für sich allein zu sein“ vor.</w:t>
      </w:r>
    </w:p>
  </w:footnote>
  <w:footnote w:id="4010">
    <w:p>
      <w:pPr>
        <w:pStyle w:val="Funote"/>
        <w:rPr/>
      </w:pPr>
      <w:r>
        <w:rPr/>
        <w:footnoteRef/>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4011">
    <w:p>
      <w:pPr>
        <w:pStyle w:val="Funote"/>
        <w:rPr/>
      </w:pPr>
      <w:r>
        <w:rPr>
          <w:i/>
        </w:rPr>
        <w:footnoteRef/>
        <w:tab/>
        <w:t>an ihrem Zielort</w:t>
      </w:r>
      <w:r>
        <w:rPr/>
        <w:t xml:space="preserve"> Sinngemäße Wiedergabe von </w:t>
      </w:r>
      <w:r>
        <w:rPr>
          <w:i/>
        </w:rPr>
        <w:t>dort</w:t>
      </w:r>
      <w:r>
        <w:rPr/>
        <w:t>.</w:t>
      </w:r>
    </w:p>
  </w:footnote>
  <w:footnote w:id="4012">
    <w:p>
      <w:pPr>
        <w:pStyle w:val="Funote"/>
        <w:rPr/>
      </w:pPr>
      <w:r>
        <w:rPr>
          <w:i/>
        </w:rPr>
        <w:footnoteRef/>
        <w:tab/>
        <w:t>als er ausstieg</w:t>
      </w:r>
      <w:r>
        <w:rPr/>
        <w:t xml:space="preserve"> </w:t>
      </w:r>
      <w:hyperlink r:id="rId354">
        <w:r>
          <w:rPr>
            <w:rStyle w:val="Internetverknpfung"/>
          </w:rPr>
          <w:t>Ptz. conj.</w:t>
        </w:r>
      </w:hyperlink>
      <w:r>
        <w:rPr/>
        <w:t>, als temporaler Nebensatz aufgelöst.</w:t>
      </w:r>
    </w:p>
  </w:footnote>
  <w:footnote w:id="4013">
    <w:p>
      <w:pPr>
        <w:pStyle w:val="Funote"/>
        <w:rPr/>
      </w:pPr>
      <w:r>
        <w:rPr/>
        <w:footnoteRef/>
        <w:tab/>
        <w:t>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4014">
    <w:p>
      <w:pPr>
        <w:pStyle w:val="Funote"/>
        <w:rPr/>
      </w:pPr>
      <w:r>
        <w:rPr/>
        <w:footnoteRef/>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4015">
    <w:p>
      <w:pPr>
        <w:pStyle w:val="Funote"/>
        <w:rPr/>
      </w:pPr>
      <w:r>
        <w:rPr>
          <w:i/>
        </w:rPr>
        <w:footnoteRef/>
        <w:tab/>
        <w:t>kamen … zu ihm und</w:t>
      </w:r>
      <w:r>
        <w:rPr/>
        <w:t xml:space="preserve"> Temp. </w:t>
      </w:r>
      <w:hyperlink r:id="rId355">
        <w:r>
          <w:rPr>
            <w:rStyle w:val="Internetverknpfung"/>
          </w:rPr>
          <w:t>Ptz. conj.</w:t>
        </w:r>
      </w:hyperlink>
      <w:r>
        <w:rPr/>
        <w:t>, parataktisch aufgelöst.</w:t>
      </w:r>
    </w:p>
  </w:footnote>
  <w:footnote w:id="4016">
    <w:p>
      <w:pPr>
        <w:pStyle w:val="Funote"/>
        <w:rPr/>
      </w:pPr>
      <w:r>
        <w:rPr/>
        <w:footnoteRef/>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4017">
    <w:p>
      <w:pPr>
        <w:pStyle w:val="Funote"/>
        <w:rPr/>
      </w:pPr>
      <w:r>
        <w:rPr>
          <w:i/>
        </w:rPr>
        <w:footnoteRef/>
        <w:tab/>
        <w:t>gehen und</w:t>
      </w:r>
      <w:r>
        <w:rPr/>
        <w:t xml:space="preserve"> W. „weggehen und“ </w:t>
      </w:r>
      <w:hyperlink r:id="rId356">
        <w:r>
          <w:rPr>
            <w:rStyle w:val="Internetverknpfung"/>
          </w:rPr>
          <w:t>Beschreibendes Partizip</w:t>
        </w:r>
      </w:hyperlink>
      <w:r>
        <w:rPr/>
        <w:t>, beigeordnet aufgelöst.</w:t>
      </w:r>
    </w:p>
  </w:footnote>
  <w:footnote w:id="4018">
    <w:p>
      <w:pPr>
        <w:pStyle w:val="Funote"/>
        <w:rPr/>
      </w:pPr>
      <w:r>
        <w:rPr>
          <w:i/>
        </w:rPr>
        <w:footnoteRef/>
        <w:tab/>
        <w:t>antwortete {und sagte}</w:t>
      </w:r>
      <w:r>
        <w:rPr/>
        <w:t xml:space="preserve"> W. etwa „antwortend sagte er...“ Diese pleonastische Verbindung geben wir aus stilistischen Gründen mit nur einem Verb wieder. </w:t>
      </w:r>
      <w:r>
        <w:rPr>
          <w:i/>
        </w:rPr>
        <w:t>antwortete</w:t>
      </w:r>
      <w:r>
        <w:rPr/>
        <w:t xml:space="preserve"> Mod. </w:t>
      </w:r>
      <w:hyperlink r:id="rId357">
        <w:r>
          <w:rPr>
            <w:rStyle w:val="Internetverknpfung"/>
          </w:rPr>
          <w:t>Ptz. conj.</w:t>
        </w:r>
      </w:hyperlink>
      <w:r>
        <w:rPr/>
        <w:t>.</w:t>
      </w:r>
    </w:p>
  </w:footnote>
  <w:footnote w:id="4019">
    <w:p>
      <w:pPr>
        <w:pStyle w:val="Funote"/>
        <w:rPr/>
      </w:pPr>
      <w:r>
        <w:rPr/>
        <w:footnoteRef/>
        <w:tab/>
        <w:t>losgehen und Oder »weggehen und« Beschreibendes Partizip,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4020">
    <w:p>
      <w:pPr>
        <w:pStyle w:val="Funote"/>
        <w:rPr/>
      </w:pPr>
      <w:r>
        <w:rPr/>
        <w:footnoteRef/>
        <w:tab/>
        <w:t>[für] zweihundert Denare Genitiv des Preises. Ein Denar entsprach einem Tagelohn (Guelich 1989, 341).</w:t>
      </w:r>
    </w:p>
  </w:footnote>
  <w:footnote w:id="4021">
    <w:p>
      <w:pPr>
        <w:pStyle w:val="Funote"/>
        <w:rPr/>
      </w:pPr>
      <w:r>
        <w:rPr>
          <w:i/>
        </w:rPr>
        <w:footnoteRef/>
        <w:tab/>
        <w:t>nachdem sie [es] festgestellt hatten</w:t>
      </w:r>
      <w:r>
        <w:rPr/>
        <w:t xml:space="preserve"> </w:t>
      </w:r>
      <w:hyperlink r:id="rId358">
        <w:r>
          <w:rPr>
            <w:rStyle w:val="Internetverknpfung"/>
          </w:rPr>
          <w:t>Ptz. conj.</w:t>
        </w:r>
      </w:hyperlink>
      <w:r>
        <w:rPr/>
        <w:t xml:space="preserve"> Aor., temporal-vorzeitig als Nebensatz aufgelöst. Oder: „sie stellten es fest und“</w:t>
      </w:r>
    </w:p>
  </w:footnote>
  <w:footnote w:id="4022">
    <w:p>
      <w:pPr>
        <w:pStyle w:val="Funote"/>
        <w:rPr/>
      </w:pPr>
      <w:r>
        <w:rPr/>
        <w:footnoteRef/>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4023">
    <w:p>
      <w:pPr>
        <w:pStyle w:val="Funote"/>
        <w:rPr/>
      </w:pPr>
      <w:r>
        <w:rPr/>
        <w:footnoteRef/>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4024">
    <w:p>
      <w:pPr>
        <w:pStyle w:val="Funote"/>
        <w:rPr/>
      </w:pPr>
      <w:r>
        <w:rPr/>
        <w:footnoteRef/>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4025">
    <w:p>
      <w:pPr>
        <w:pStyle w:val="Funote"/>
        <w:rPr/>
      </w:pPr>
      <w:r>
        <w:rPr>
          <w:i/>
        </w:rPr>
        <w:footnoteRef/>
        <w:tab/>
        <w:t>er nahm</w:t>
      </w:r>
      <w:r>
        <w:rPr/>
        <w:t xml:space="preserve"> und </w:t>
      </w:r>
      <w:r>
        <w:rPr>
          <w:i/>
        </w:rPr>
        <w:t>blickte auf</w:t>
      </w:r>
      <w:r>
        <w:rPr/>
        <w:t xml:space="preserve"> Modal-temporales </w:t>
      </w:r>
      <w:hyperlink r:id="rId359">
        <w:r>
          <w:rPr>
            <w:rStyle w:val="Internetverknpfung"/>
          </w:rPr>
          <w:t>Ptz. conj.</w:t>
        </w:r>
      </w:hyperlink>
      <w:r>
        <w:rPr/>
        <w:t xml:space="preserve"> (2x), beigeordnet übersetzt.</w:t>
      </w:r>
    </w:p>
  </w:footnote>
  <w:footnote w:id="4026">
    <w:p>
      <w:pPr>
        <w:pStyle w:val="Funote"/>
        <w:rPr/>
      </w:pPr>
      <w:r>
        <w:rPr/>
        <w:footnoteRef/>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4027">
    <w:p>
      <w:pPr>
        <w:pStyle w:val="Funote"/>
        <w:rPr/>
      </w:pPr>
      <w:r>
        <w:rPr/>
        <w:footnoteRef/>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4028">
    <w:p>
      <w:pPr>
        <w:pStyle w:val="Funote"/>
        <w:rPr/>
      </w:pPr>
      <w:r>
        <w:rPr/>
        <w:footnoteRef/>
        <w:tab/>
        <w:t>verabschieden wollte Im Griechischen „verabschiedet“; es ist hier so formuliert, wie es die entsprechende wörtliche Rede wäre (NSS).</w:t>
      </w:r>
    </w:p>
  </w:footnote>
  <w:footnote w:id="4029">
    <w:p>
      <w:pPr>
        <w:pStyle w:val="Funote"/>
        <w:rPr/>
      </w:pPr>
      <w:r>
        <w:rPr/>
        <w:footnoteRef/>
        <w:tab/>
        <w:t>nachdem er sich von ihnen verabschiedet hatte Temporales Ptz. conj.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4030">
    <w:p>
      <w:pPr>
        <w:pStyle w:val="Funote"/>
        <w:rPr/>
      </w:pPr>
      <w:r>
        <w:rPr>
          <w:i/>
        </w:rPr>
        <w:footnoteRef/>
        <w:tab/>
        <w:t>als es … geworden war</w:t>
      </w:r>
      <w:r>
        <w:rPr/>
        <w:t xml:space="preserve"> </w:t>
      </w:r>
      <w:hyperlink r:id="rId360">
        <w:r>
          <w:rPr>
            <w:rStyle w:val="Internetverknpfung"/>
          </w:rPr>
          <w:t>Gen. abs.</w:t>
        </w:r>
      </w:hyperlink>
      <w:r>
        <w:rPr/>
        <w:t>, als temporaler Nebensatz aufgelöst.</w:t>
      </w:r>
    </w:p>
  </w:footnote>
  <w:footnote w:id="4031">
    <w:p>
      <w:pPr>
        <w:pStyle w:val="Funote"/>
        <w:rPr/>
      </w:pPr>
      <w:r>
        <w:rPr/>
        <w:footnoteRef/>
        <w:tab/>
        <w:t xml:space="preserve">weil (als) er sah Kausales oder temporales Ptz. conj., als Nebensatz aufgelöst. sah, dass sie sich quälten AcP, mit „dass“ aufgelöst. sich quälten W. „gequält wurden“ (zur Übersetzung s. BA </w:t>
      </w:r>
      <w:r>
        <w:rPr>
          <w:lang w:val="el-GR"/>
        </w:rPr>
        <w:t>βασανίζω</w:t>
      </w:r>
      <w:r>
        <w:rPr/>
        <w:t>, 3; NSS).</w:t>
      </w:r>
    </w:p>
  </w:footnote>
  <w:footnote w:id="4032">
    <w:p>
      <w:pPr>
        <w:pStyle w:val="Funote"/>
        <w:rPr/>
      </w:pPr>
      <w:r>
        <w:rPr/>
        <w:footnoteRef/>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4033">
    <w:p>
      <w:pPr>
        <w:pStyle w:val="Funote"/>
        <w:rPr/>
      </w:pPr>
      <w:r>
        <w:rPr>
          <w:i/>
        </w:rPr>
        <w:footnoteRef/>
        <w:tab/>
        <w:t>indem … lief</w:t>
      </w:r>
      <w:r>
        <w:rPr/>
        <w:t xml:space="preserve"> Modales </w:t>
      </w:r>
      <w:hyperlink r:id="rId361">
        <w:r>
          <w:rPr>
            <w:rStyle w:val="Internetverknpfung"/>
          </w:rPr>
          <w:t>Ptc. conj.</w:t>
        </w:r>
      </w:hyperlink>
      <w:r>
        <w:rPr/>
        <w:t>, als Nebensatz aufgelöst.</w:t>
      </w:r>
    </w:p>
  </w:footnote>
  <w:footnote w:id="4034">
    <w:p>
      <w:pPr>
        <w:pStyle w:val="Funote"/>
        <w:rPr/>
      </w:pPr>
      <w:r>
        <w:rPr>
          <w:i/>
        </w:rPr>
        <w:footnoteRef/>
        <w:tab/>
        <w:t>wollte</w:t>
      </w:r>
      <w:r>
        <w:rPr/>
        <w:t xml:space="preserve"> Die Verwendung des </w:t>
      </w:r>
      <w:hyperlink r:id="rId362">
        <w:r>
          <w:rPr>
            <w:rStyle w:val="Internetverknpfung"/>
          </w:rPr>
          <w:t>Imperfekts</w:t>
        </w:r>
      </w:hyperlink>
      <w:r>
        <w:rPr/>
        <w:t xml:space="preserve"> zeigt wohl an, dass dies in dieser Szene seine Absicht war.</w:t>
      </w:r>
    </w:p>
  </w:footnote>
  <w:footnote w:id="4035">
    <w:p>
      <w:pPr>
        <w:pStyle w:val="Funote"/>
        <w:rPr/>
      </w:pPr>
      <w:r>
        <w:rPr>
          <w:i/>
        </w:rPr>
        <w:footnoteRef/>
        <w:tab/>
        <w:t>als … sahen</w:t>
      </w:r>
      <w:r>
        <w:rPr/>
        <w:t xml:space="preserve"> </w:t>
      </w:r>
      <w:hyperlink r:id="rId363">
        <w:r>
          <w:rPr>
            <w:rStyle w:val="Internetverknpfung"/>
          </w:rPr>
          <w:t>Ptz. conj.</w:t>
        </w:r>
      </w:hyperlink>
      <w:r>
        <w:rPr/>
        <w:t>, als temporaler Nebensatz aufgelöst.</w:t>
      </w:r>
    </w:p>
  </w:footnote>
  <w:footnote w:id="4036">
    <w:p>
      <w:pPr>
        <w:pStyle w:val="Funote"/>
        <w:rPr/>
      </w:pPr>
      <w:r>
        <w:rPr>
          <w:i/>
        </w:rPr>
        <w:footnoteRef/>
        <w:tab/>
        <w:t>schrien auf (fingen an zu schreien)</w:t>
      </w:r>
      <w:r>
        <w:rPr/>
        <w:t xml:space="preserve"> Wie in der Klammer kann man den Aorist auch </w:t>
      </w:r>
      <w:hyperlink r:id="rId364">
        <w:r>
          <w:rPr>
            <w:rStyle w:val="Internetverknpfung"/>
          </w:rPr>
          <w:t>ingressiv</w:t>
        </w:r>
      </w:hyperlink>
      <w:r>
        <w:rPr/>
        <w:t xml:space="preserve"> übersetzen, der den Anfang von etwas markiert.</w:t>
      </w:r>
    </w:p>
  </w:footnote>
  <w:footnote w:id="4037">
    <w:p>
      <w:pPr>
        <w:pStyle w:val="Funote"/>
        <w:rPr/>
      </w:pPr>
      <w:r>
        <w:rPr/>
        <w:footnoteRef/>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4038">
    <w:p>
      <w:pPr>
        <w:pStyle w:val="Funote"/>
        <w:rPr/>
      </w:pPr>
      <w:r>
        <w:rPr/>
        <w:footnoteRef/>
        <w:tab/>
        <w:t>begann … zu reden Der Aorist ist hier ingressiv übersetzt, der den Anfang von etwas markiert (vgl. NSS; EÜ). Ansonsten wäre die Übersetzung: „er redete sofort mit ihnen“, oder schöner: „er sprach sie sofort an“ (NGÜ, vgl. GNB).</w:t>
      </w:r>
    </w:p>
  </w:footnote>
  <w:footnote w:id="4039">
    <w:p>
      <w:pPr>
        <w:pStyle w:val="Funote"/>
        <w:rPr/>
      </w:pPr>
      <w:r>
        <w:rPr/>
        <w:footnoteRef/>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4040">
    <w:p>
      <w:pPr>
        <w:pStyle w:val="Funote"/>
        <w:rPr/>
      </w:pPr>
      <w:r>
        <w:rPr/>
        <w:footnoteRef/>
        <w:tab/>
        <w:t>ganz (ganz außerordentlich) fassungslos Die Übersetzung mit fassungslos schließt sich an unsere Übersetzung in Mk 2,12 und 5,42 an (vgl. NGÜ). Ist die NA28-Lesart mit gleich zwei intensivierenden Ausdrücken korrekt (hier in der Klammer zu finden, dann hat Markus wie schon in 5,42 dem überforderten Erstaunen der Jünger in sehr blumiger Ausdruck verliehen. LUT: „Und sie entsetzten sich über die Maßen“, GNB: „Da gerieten sie vor Entsetzen ganz außer sich.“, NGÜ: „Da waren sie erst recht fassungslos.“</w:t>
      </w:r>
    </w:p>
  </w:footnote>
  <w:footnote w:id="4041">
    <w:p>
      <w:pPr>
        <w:pStyle w:val="Funote"/>
        <w:rPr/>
      </w:pPr>
      <w:r>
        <w:rPr/>
        <w:footnoteRef/>
        <w:tab/>
        <w:t>was es mit den Broten auf sich hatte W. „hinsichtlich/angesichts/aufgrund der Brote“ Eine andere sinngemäße Übersetzung lautet: „Denn auch durch das Wunder mit den Broten waren sie nicht zur Einsicht gekommen“ (GNB, ähnlich NGÜ, ELB?, LUT?)</w:t>
      </w:r>
    </w:p>
  </w:footnote>
  <w:footnote w:id="4042">
    <w:p>
      <w:pPr>
        <w:pStyle w:val="Funote"/>
        <w:rPr/>
      </w:pPr>
      <w:r>
        <w:rPr>
          <w:i/>
        </w:rPr>
        <w:footnoteRef/>
        <w:tab/>
        <w:t>ihr Herz war verstockt (verhärtet)</w:t>
      </w:r>
      <w:r>
        <w:rPr/>
        <w:t xml:space="preserve">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 xml:space="preserve">schwierigkeiten der Jünger zu sprechen. </w:t>
      </w:r>
    </w:p>
  </w:footnote>
  <w:footnote w:id="4043">
    <w:p>
      <w:pPr>
        <w:pStyle w:val="Funote"/>
        <w:rPr/>
      </w:pPr>
      <w:r>
        <w:rPr>
          <w:i/>
        </w:rPr>
        <w:footnoteRef/>
        <w:tab/>
        <w:t>nachdem sie übergesetzt hatten</w:t>
      </w:r>
      <w:r>
        <w:rPr/>
        <w:t xml:space="preserve"> Temp. </w:t>
      </w:r>
      <w:hyperlink r:id="rId365">
        <w:r>
          <w:rPr>
            <w:rStyle w:val="Internetverknpfung"/>
          </w:rPr>
          <w:t>Ptz. conj.</w:t>
        </w:r>
      </w:hyperlink>
      <w:r>
        <w:rPr/>
        <w:t>, als vorzeitiger Nebensatz aufgelöst.</w:t>
      </w:r>
    </w:p>
  </w:footnote>
  <w:footnote w:id="4044">
    <w:p>
      <w:pPr>
        <w:pStyle w:val="Funote"/>
        <w:rPr/>
      </w:pPr>
      <w:r>
        <w:rPr/>
        <w:footnoteRef/>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4045">
    <w:p>
      <w:pPr>
        <w:pStyle w:val="Funote"/>
        <w:rPr/>
      </w:pPr>
      <w:r>
        <w:rPr>
          <w:i/>
        </w:rPr>
        <w:footnoteRef/>
        <w:tab/>
        <w:t>erkannten … und</w:t>
      </w:r>
      <w:r>
        <w:rPr/>
        <w:t xml:space="preserve"> Kausales oder temporales </w:t>
      </w:r>
      <w:hyperlink r:id="rId366">
        <w:r>
          <w:rPr>
            <w:rStyle w:val="Internetverknpfung"/>
          </w:rPr>
          <w:t>Ptz. conj.</w:t>
        </w:r>
      </w:hyperlink>
      <w:r>
        <w:rPr/>
        <w:t>, hier beigeordnet aufgelöst.</w:t>
      </w:r>
    </w:p>
  </w:footnote>
  <w:footnote w:id="4046">
    <w:p>
      <w:pPr>
        <w:pStyle w:val="Funote"/>
        <w:rPr/>
      </w:pPr>
      <w:r>
        <w:rPr>
          <w:i/>
        </w:rPr>
        <w:footnoteRef/>
        <w:tab/>
        <w:t>die</w:t>
      </w:r>
      <w:r>
        <w:rPr/>
        <w:t xml:space="preserve"> W. „jene“, im Deutschen obsolet.</w:t>
      </w:r>
    </w:p>
  </w:footnote>
  <w:footnote w:id="4047">
    <w:p>
      <w:pPr>
        <w:pStyle w:val="Funote"/>
        <w:rPr/>
      </w:pPr>
      <w:r>
        <w:rPr/>
        <w:footnoteRef/>
        <w:tab/>
        <w:t>trugen W. „fingen an zu tragen“, eine pleonastische Verbindung, die typisch für Markus ist. „Anfangen“ hat hier sehr abgeschwächte Bedeutung (Siebenthal 2011, §218e; NSS). Vgl. z.B. Mk 5,17, wo das Verb ebenfalls unübersetzt blieb.</w:t>
      </w:r>
    </w:p>
  </w:footnote>
  <w:footnote w:id="4048">
    <w:p>
      <w:pPr>
        <w:pStyle w:val="Funote"/>
        <w:rPr/>
      </w:pPr>
      <w:r>
        <w:rPr>
          <w:i/>
        </w:rPr>
        <w:footnoteRef/>
        <w:tab/>
        <w:t>diejenigen, denen es schlecht ging</w:t>
      </w:r>
      <w:r>
        <w:rPr/>
        <w:t xml:space="preserve"> </w:t>
      </w:r>
      <w:hyperlink r:id="rId367">
        <w:r>
          <w:rPr>
            <w:rStyle w:val="Internetverknpfung"/>
          </w:rPr>
          <w:t>Subst. Ptz.</w:t>
        </w:r>
      </w:hyperlink>
      <w:r>
        <w:rPr/>
        <w:t xml:space="preserve">,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 </w:t>
      </w:r>
    </w:p>
  </w:footnote>
  <w:footnote w:id="4049">
    <w:p>
      <w:pPr>
        <w:pStyle w:val="Funote"/>
        <w:rPr/>
      </w:pPr>
      <w:r>
        <w:rPr/>
        <w:footnoteRef/>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4050">
    <w:p>
      <w:pPr>
        <w:pStyle w:val="Funote"/>
        <w:rPr/>
      </w:pPr>
      <w:r>
        <w:rPr/>
        <w:footnoteRef/>
        <w:tab/>
        <w:t>[Status: Zuverlässig]</w:t>
      </w:r>
    </w:p>
  </w:footnote>
  <w:footnote w:id="4051">
    <w:p>
      <w:pPr>
        <w:pStyle w:val="Funote"/>
        <w:rPr/>
      </w:pPr>
      <w:r>
        <w:rPr>
          <w:i/>
        </w:rPr>
        <w:footnoteRef/>
        <w:tab/>
        <w:t>die ... gekommen waren</w:t>
      </w:r>
      <w:r>
        <w:rPr/>
        <w:t xml:space="preserve"> </w:t>
      </w:r>
      <w:hyperlink r:id="rId368">
        <w:r>
          <w:rPr>
            <w:rStyle w:val="Internetverknpfung"/>
          </w:rPr>
          <w:t>attr. Ptz.</w:t>
        </w:r>
      </w:hyperlink>
      <w:r>
        <w:rPr/>
        <w:t xml:space="preserve"> Aor., als vorzeitiger Relativsatz aufgelöst.</w:t>
      </w:r>
    </w:p>
  </w:footnote>
  <w:footnote w:id="4052">
    <w:p>
      <w:pPr>
        <w:pStyle w:val="Funote"/>
        <w:rPr/>
      </w:pPr>
      <w:r>
        <w:rPr>
          <w:i/>
        </w:rPr>
        <w:footnoteRef/>
        <w:tab/>
        <w:t>weil (als) sie gesehen hatten (sahen)</w:t>
      </w:r>
      <w:r>
        <w:rPr/>
        <w:t xml:space="preserve"> Kausales oder temporales </w:t>
      </w:r>
      <w:hyperlink r:id="rId369">
        <w:r>
          <w:rPr>
            <w:rStyle w:val="Internetverknpfung"/>
          </w:rPr>
          <w:t>Ptz. conj.</w:t>
        </w:r>
      </w:hyperlink>
      <w:r>
        <w:rPr/>
        <w:t>.</w:t>
      </w:r>
    </w:p>
  </w:footnote>
  <w:footnote w:id="4053">
    <w:p>
      <w:pPr>
        <w:pStyle w:val="Funote"/>
        <w:rPr/>
      </w:pPr>
      <w:r>
        <w:rPr>
          <w:i/>
        </w:rPr>
        <w:footnoteRef/>
        <w:tab/>
        <w:t>[mit] unreinen ... [mit] ungewaschenen, Händen</w:t>
      </w:r>
      <w:r>
        <w:rPr/>
        <w:t xml:space="preserve"> </w:t>
      </w:r>
      <w:hyperlink r:id="rId370">
        <w:r>
          <w:rPr>
            <w:rStyle w:val="Internetverknpfung"/>
          </w:rPr>
          <w:t>Instr. Dativ</w:t>
        </w:r>
      </w:hyperlink>
      <w:r>
        <w:rPr/>
        <w:t>.</w:t>
      </w:r>
    </w:p>
  </w:footnote>
  <w:footnote w:id="4054">
    <w:p>
      <w:pPr>
        <w:pStyle w:val="Funote"/>
        <w:rPr/>
      </w:pPr>
      <w:r>
        <w:rPr/>
        <w:footnoteRef/>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4055">
    <w:p>
      <w:pPr>
        <w:pStyle w:val="Funote"/>
        <w:rPr/>
      </w:pPr>
      <w:r>
        <w:rPr/>
        <w:footnoteRef/>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4056">
    <w:p>
      <w:pPr>
        <w:pStyle w:val="Funote"/>
        <w:rPr/>
      </w:pPr>
      <w:r>
        <w:rPr/>
        <w:footnoteRef/>
        <w:tab/>
        <w:t xml:space="preserve">sorgfältig Gr. </w:t>
      </w:r>
      <w:r>
        <w:rPr>
          <w:lang w:val="el-GR"/>
        </w:rPr>
        <w:t>πυγμῇ</w:t>
      </w:r>
      <w:r>
        <w:rPr/>
        <w:t xml:space="preserve"> W. „[mit] der Faust“ Instr. Dativ.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4057">
    <w:p>
      <w:pPr>
        <w:pStyle w:val="Funote"/>
        <w:rPr/>
      </w:pPr>
      <w:r>
        <w:rPr/>
        <w:footnoteRef/>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4058">
    <w:p>
      <w:pPr>
        <w:pStyle w:val="Funote"/>
        <w:rPr/>
      </w:pPr>
      <w:r>
        <w:rPr/>
        <w:footnoteRef/>
        <w:tab/>
        <w:t>um (Damit, weil) … festzuhalten Ptz. conj., als Nebensatz aufgelöst. Man kann diese Angabe (mit um) final verstehen (vgl. ZÜR) oder sie als getrennten Satz modal übersetzen: „Damit halten sie an der Überlieferung der Ältesten fest.“ (vgl. NGÜ) Auch eine kausale Deutung ist möglich (NSS, MEN).</w:t>
      </w:r>
    </w:p>
  </w:footnote>
  <w:footnote w:id="4059">
    <w:p>
      <w:pPr>
        <w:pStyle w:val="Funote"/>
        <w:rPr/>
      </w:pPr>
      <w:r>
        <w:rPr/>
        <w:footnoteRef/>
        <w:tab/>
        <w:t>nach der Rückkehr vom Markt W. „vom Markt“, ein griechisches Idiom. Möglich wäre vielleicht auch „essen nichts, was vom Markt kommt, ohne es gewaschen zu haben“ (NSS).</w:t>
      </w:r>
    </w:p>
  </w:footnote>
  <w:footnote w:id="4060">
    <w:p>
      <w:pPr>
        <w:pStyle w:val="Funote"/>
        <w:rPr/>
      </w:pPr>
      <w:r>
        <w:rPr/>
        <w:footnoteRef/>
        <w:tab/>
        <w:t>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w:t>
      </w:r>
    </w:p>
  </w:footnote>
  <w:footnote w:id="4061">
    <w:p>
      <w:pPr>
        <w:pStyle w:val="Funote"/>
        <w:rPr/>
      </w:pPr>
      <w:r>
        <w:rPr/>
        <w:footnoteRef/>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4062">
    <w:p>
      <w:pPr>
        <w:pStyle w:val="Funote"/>
        <w:rPr/>
      </w:pPr>
      <w:r>
        <w:rPr>
          <w:i/>
        </w:rPr>
        <w:footnoteRef/>
        <w:tab/>
        <w:t>[mit] unreinen Händen</w:t>
      </w:r>
      <w:r>
        <w:rPr/>
        <w:t xml:space="preserve"> </w:t>
      </w:r>
      <w:hyperlink r:id="rId371">
        <w:r>
          <w:rPr>
            <w:rStyle w:val="Internetverknpfung"/>
          </w:rPr>
          <w:t>Instr. Dativ</w:t>
        </w:r>
      </w:hyperlink>
      <w:r>
        <w:rPr/>
        <w:t>.</w:t>
      </w:r>
    </w:p>
  </w:footnote>
  <w:footnote w:id="4063">
    <w:p>
      <w:pPr>
        <w:pStyle w:val="Funote"/>
        <w:rPr/>
      </w:pPr>
      <w:r>
        <w:rPr>
          <w:i/>
        </w:rPr>
        <w:footnoteRef/>
        <w:tab/>
        <w:t>[mit] den Lippen</w:t>
      </w:r>
      <w:r>
        <w:rPr/>
        <w:t xml:space="preserve"> </w:t>
      </w:r>
      <w:hyperlink r:id="rId372">
        <w:r>
          <w:rPr>
            <w:rStyle w:val="Internetverknpfung"/>
          </w:rPr>
          <w:t>Instr. Dativ</w:t>
        </w:r>
      </w:hyperlink>
      <w:r>
        <w:rPr/>
        <w:t>.</w:t>
      </w:r>
    </w:p>
  </w:footnote>
  <w:footnote w:id="4064">
    <w:p>
      <w:pPr>
        <w:pStyle w:val="Funote"/>
        <w:rPr/>
      </w:pPr>
      <w:r>
        <w:rPr/>
        <w:footnoteRef/>
        <w:tab/>
        <w:t>weil sie … lehren Ptz. conj.,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4065">
    <w:p>
      <w:pPr>
        <w:pStyle w:val="Funote"/>
        <w:rPr/>
      </w:pPr>
      <w:r>
        <w:rPr/>
        <w:footnoteRef/>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4066">
    <w:p>
      <w:pPr>
        <w:pStyle w:val="Funote"/>
        <w:rPr/>
      </w:pPr>
      <w:r>
        <w:rPr/>
        <w:footnoteRef/>
        <w:tab/>
        <w:t>Während ihr … außer Acht lasst (preisgebt, verlasst, ablehnt) Modales Ptz. conj.,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4067">
    <w:p>
      <w:pPr>
        <w:pStyle w:val="Funote"/>
        <w:rPr/>
      </w:pPr>
      <w:r>
        <w:rPr>
          <w:i/>
        </w:rPr>
        <w:footnoteRef/>
        <w:tab/>
        <w:t>er fuhr fort</w:t>
      </w:r>
      <w:r>
        <w:rPr/>
        <w:t xml:space="preserve"> (V. 9 und 20) übersetzt das </w:t>
      </w:r>
      <w:hyperlink r:id="rId373">
        <w:r>
          <w:rPr>
            <w:rStyle w:val="Internetverknpfung"/>
          </w:rPr>
          <w:t>Imperfekt</w:t>
        </w:r>
      </w:hyperlink>
      <w:r>
        <w:rPr/>
        <w:t xml:space="preserve"> </w:t>
      </w:r>
      <w:r>
        <w:rPr>
          <w:lang w:val="el-GR"/>
        </w:rPr>
        <w:t>ἔλεγεν</w:t>
      </w:r>
      <w:r>
        <w:rPr/>
        <w:t>. Der durative Aspekt zeigt hier wohl an, dass Jesus weiterspricht. Vgl. die ähnliche Übersetzung des Imperfekts in V. 14.</w:t>
      </w:r>
    </w:p>
  </w:footnote>
  <w:footnote w:id="4068">
    <w:p>
      <w:pPr>
        <w:pStyle w:val="Funote"/>
        <w:rPr/>
      </w:pPr>
      <w:r>
        <w:rPr/>
        <w:footnoteRef/>
        <w:tab/>
        <w:t>muss sterben W. etwa »[dem] Tod sterben« (Dativ+Imperativ 3. Sg.). Der Dativ soll hier den hebräischen Inf. abs.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4069">
    <w:p>
      <w:pPr>
        <w:pStyle w:val="Funote"/>
        <w:rPr/>
      </w:pPr>
      <w:r>
        <w:rPr/>
        <w:footnoteRef/>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4070">
    <w:p>
      <w:pPr>
        <w:pStyle w:val="Funote"/>
        <w:rPr/>
      </w:pPr>
      <w:r>
        <w:rPr/>
        <w:footnoteRef/>
        <w:tab/>
        <w:t>Anakoluth (z.B. Kleist 1937, S. 208). Jesus hat sich hier offenbar so in Rage geredet, dass er nicht einmal seinen begonnenen Satz zu Ende führt.</w:t>
      </w:r>
    </w:p>
  </w:footnote>
  <w:footnote w:id="4071">
    <w:p>
      <w:pPr>
        <w:pStyle w:val="Funote"/>
        <w:rPr/>
      </w:pPr>
      <w:r>
        <w:rPr/>
        <w:footnoteRef/>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4072">
    <w:p>
      <w:pPr>
        <w:pStyle w:val="Funote"/>
        <w:rPr/>
      </w:pPr>
      <w:r>
        <w:rPr>
          <w:i/>
        </w:rPr>
        <w:footnoteRef/>
        <w:tab/>
        <w:t>nicht mehr, etwas</w:t>
      </w:r>
      <w:r>
        <w:rPr/>
        <w:t xml:space="preserve"> W. „nicht mehr, nichts“, eine doppelte Verneinung, die den Effekt der Aussage (s. die vorige Fußnote) verstärkt.</w:t>
      </w:r>
    </w:p>
  </w:footnote>
  <w:footnote w:id="4073">
    <w:p>
      <w:pPr>
        <w:pStyle w:val="Funote"/>
        <w:rPr/>
      </w:pPr>
      <w:r>
        <w:rPr>
          <w:i/>
        </w:rPr>
        <w:footnoteRef/>
        <w:tab/>
        <w:t>[für seinen] Vater oder [seine] Mutter</w:t>
      </w:r>
      <w:r>
        <w:rPr/>
        <w:t xml:space="preserve"> </w:t>
      </w:r>
      <w:hyperlink r:id="rId374">
        <w:r>
          <w:rPr>
            <w:rStyle w:val="Internetverknpfung"/>
          </w:rPr>
          <w:t>Instr. Dat.</w:t>
        </w:r>
      </w:hyperlink>
      <w:r>
        <w:rPr/>
        <w:t xml:space="preserve"> (2x).</w:t>
      </w:r>
    </w:p>
  </w:footnote>
  <w:footnote w:id="4074">
    <w:p>
      <w:pPr>
        <w:pStyle w:val="Funote"/>
        <w:rPr/>
      </w:pPr>
      <w:r>
        <w:rPr/>
        <w:footnoteRef/>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4075">
    <w:p>
      <w:pPr>
        <w:pStyle w:val="Funote"/>
        <w:rPr/>
      </w:pPr>
      <w:r>
        <w:rPr/>
        <w:footnoteRef/>
        <w:tab/>
        <w:t>so hebt ihr auf bzw. indem ihr aufhebt Modales Ptz. conj.,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4076">
    <w:p>
      <w:pPr>
        <w:pStyle w:val="Funote"/>
        <w:rPr/>
      </w:pPr>
      <w:r>
        <w:rPr>
          <w:i/>
        </w:rPr>
        <w:footnoteRef/>
        <w:tab/>
        <w:t>er rief ... und</w:t>
      </w:r>
      <w:r>
        <w:rPr/>
        <w:t xml:space="preserve"> </w:t>
      </w:r>
      <w:hyperlink r:id="rId375">
        <w:r>
          <w:rPr>
            <w:rStyle w:val="Internetverknpfung"/>
          </w:rPr>
          <w:t>Ptz. conj.</w:t>
        </w:r>
      </w:hyperlink>
      <w:r>
        <w:rPr/>
        <w:t xml:space="preserve"> Aor., temporal-modal, beigeordnet übersetzt.</w:t>
      </w:r>
    </w:p>
  </w:footnote>
  <w:footnote w:id="4077">
    <w:p>
      <w:pPr>
        <w:pStyle w:val="Funote"/>
        <w:rPr/>
      </w:pPr>
      <w:r>
        <w:rPr>
          <w:i/>
        </w:rPr>
        <w:footnoteRef/>
        <w:tab/>
        <w:t>sprach nun</w:t>
      </w:r>
      <w:r>
        <w:rPr/>
        <w:t xml:space="preserve"> übersetzt das </w:t>
      </w:r>
      <w:hyperlink r:id="rId376">
        <w:r>
          <w:rPr>
            <w:rStyle w:val="Internetverknpfung"/>
          </w:rPr>
          <w:t>Imperfekt</w:t>
        </w:r>
      </w:hyperlink>
      <w:r>
        <w:rPr/>
        <w:t xml:space="preserve"> </w:t>
      </w:r>
      <w:r>
        <w:rPr>
          <w:lang w:val="el-GR"/>
        </w:rPr>
        <w:t>ἔλεγεν</w:t>
      </w:r>
      <w:r>
        <w:rPr/>
        <w:t>. Der durative Aspekt zeigt hier wohl an, dass Jesus weiterspricht, und zwar jetzt an die Menge gewandt. Vgl. die ähnliche Übersetzung des Imperfekts in V. 9 und 20.</w:t>
      </w:r>
    </w:p>
  </w:footnote>
  <w:footnote w:id="4078">
    <w:p>
      <w:pPr>
        <w:pStyle w:val="Funote"/>
        <w:rPr/>
      </w:pPr>
      <w:r>
        <w:rPr/>
        <w:footnoteRef/>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4079">
    <w:p>
      <w:pPr>
        <w:pStyle w:val="Funote"/>
        <w:rPr/>
      </w:pPr>
      <w:r>
        <w:rPr/>
        <w:footnoteRef/>
        <w:tab/>
        <w:t>Nichts, was … hineingelangt Subst. oder umschreibendes Partizip,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Ptz. conj. zu übersetzen. Das temporal-konditionale (wenn) oder modale (indem) Ptz. conj. wäre als Nebensatz aufzulösen: »Außerhalb des Menschen gibt es nichts, was ihn verunreinigen kann, wenn (indem) es in ihn hineingelangt« bzw. »Es gibt nichts, was …, wenn es von außen...« (vgl. z.B. ESV, NASB, ähnlich wohl SLT). (Vgl. NSS.)</w:t>
      </w:r>
    </w:p>
  </w:footnote>
  <w:footnote w:id="4080">
    <w:p>
      <w:pPr>
        <w:pStyle w:val="Funote"/>
        <w:rPr/>
      </w:pPr>
      <w:r>
        <w:rPr>
          <w:i/>
        </w:rPr>
        <w:footnoteRef/>
        <w:tab/>
        <w:t>was herauskommt</w:t>
      </w:r>
      <w:r>
        <w:rPr/>
        <w:t xml:space="preserve"> und </w:t>
      </w:r>
      <w:r>
        <w:rPr>
          <w:i/>
        </w:rPr>
        <w:t>das verunreinigt</w:t>
      </w:r>
      <w:r>
        <w:rPr/>
        <w:t xml:space="preserve"> </w:t>
      </w:r>
      <w:hyperlink r:id="rId377">
        <w:r>
          <w:rPr>
            <w:rStyle w:val="Internetverknpfung"/>
          </w:rPr>
          <w:t>Subst. Ptz.</w:t>
        </w:r>
      </w:hyperlink>
      <w:r>
        <w:rPr/>
        <w:t xml:space="preserve"> (2x), als Relativsatz aufgelöst. Man könnte das zweite Partizip auch als </w:t>
      </w:r>
      <w:hyperlink r:id="rId378">
        <w:r>
          <w:rPr>
            <w:rStyle w:val="Internetverknpfung"/>
          </w:rPr>
          <w:t>umschreibendes Partizip</w:t>
        </w:r>
      </w:hyperlink>
      <w:r>
        <w:rPr/>
        <w:t xml:space="preserve"> übersetzen (dazu s. die vorige Fußnote): „Vielmehr verunreinigt den Menschen das, was aus dem Menschen herauskommt.“</w:t>
      </w:r>
    </w:p>
  </w:footnote>
  <w:footnote w:id="4081">
    <w:p>
      <w:pPr>
        <w:pStyle w:val="Funote"/>
        <w:rPr/>
      </w:pPr>
      <w:r>
        <w:rPr/>
        <w:footnoteRef/>
        <w:tab/>
        <w:t>Textkritik: Dieser Vers fehlt in den frühesten bekannten Handschriften; genaueres im Kommentar</w:t>
      </w:r>
    </w:p>
  </w:footnote>
  <w:footnote w:id="4082">
    <w:p>
      <w:pPr>
        <w:pStyle w:val="Funote"/>
        <w:rPr/>
      </w:pPr>
      <w:r>
        <w:rPr>
          <w:i/>
        </w:rPr>
        <w:footnoteRef/>
        <w:tab/>
        <w:t>sagte</w:t>
      </w:r>
      <w:r>
        <w:rPr/>
        <w:t xml:space="preserve"> </w:t>
      </w:r>
      <w:hyperlink r:id="rId379">
        <w:r>
          <w:rPr>
            <w:rStyle w:val="Internetverknpfung"/>
          </w:rPr>
          <w:t>Historisches Präsens</w:t>
        </w:r>
      </w:hyperlink>
      <w:r>
        <w:rPr/>
        <w:t>.</w:t>
      </w:r>
    </w:p>
  </w:footnote>
  <w:footnote w:id="4083">
    <w:p>
      <w:pPr>
        <w:pStyle w:val="Funote"/>
        <w:rPr/>
      </w:pPr>
      <w:r>
        <w:rPr/>
        <w:footnoteRef/>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4084">
    <w:p>
      <w:pPr>
        <w:pStyle w:val="Funote"/>
        <w:rPr/>
      </w:pPr>
      <w:r>
        <w:rPr/>
        <w:footnoteRef/>
        <w:tab/>
        <w:t xml:space="preserve">So erklärte [Jesus] alle Speisen für rein Alternativ „...ausgeschieden wird, was alle Speisen rein macht.“ Dieser abhängige Satz hat keinen offensichtlichen Bezug zum Kontext. Am wahrscheinlichsten ist, dass sich das modale Ptz. conj.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4085">
    <w:p>
      <w:pPr>
        <w:pStyle w:val="Funote"/>
        <w:rPr/>
      </w:pPr>
      <w:r>
        <w:rPr>
          <w:i/>
        </w:rPr>
        <w:footnoteRef/>
        <w:tab/>
        <w:t>Was … herauskommt</w:t>
      </w:r>
      <w:r>
        <w:rPr/>
        <w:t xml:space="preserve"> </w:t>
      </w:r>
      <w:hyperlink r:id="rId380">
        <w:r>
          <w:rPr>
            <w:rStyle w:val="Internetverknpfung"/>
          </w:rPr>
          <w:t>Subst. Ptz.</w:t>
        </w:r>
      </w:hyperlink>
      <w:r>
        <w:rPr/>
        <w:t>, als Relativsatz aufgelöst.</w:t>
      </w:r>
    </w:p>
  </w:footnote>
  <w:footnote w:id="4086">
    <w:p>
      <w:pPr>
        <w:pStyle w:val="Funote"/>
        <w:rPr/>
      </w:pPr>
      <w:r>
        <w:rPr/>
        <w:footnoteRef/>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4087">
    <w:p>
      <w:pPr>
        <w:pStyle w:val="Funote"/>
        <w:rPr/>
      </w:pPr>
      <w:r>
        <w:rPr/>
        <w:footnoteRef/>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4088">
    <w:p>
      <w:pPr>
        <w:pStyle w:val="Funote"/>
        <w:rPr/>
      </w:pPr>
      <w:r>
        <w:rPr/>
        <w:footnoteRef/>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4089">
    <w:p>
      <w:pPr>
        <w:pStyle w:val="Funote"/>
        <w:rPr/>
      </w:pPr>
      <w:r>
        <w:rPr/>
        <w:footnoteRef/>
        <w:tab/>
        <w:t>Tyrus war ein Stadtstaat, der im Norden an Galiläa angrenzte. Die Bewohner der Region waren Nichtjuden. Ein zeitgenössischer jüdischer Autor beschreibt sie sinngemäß als „unsere Intimfeinde“ (France 2002, 297).</w:t>
      </w:r>
    </w:p>
  </w:footnote>
  <w:footnote w:id="4090">
    <w:p>
      <w:pPr>
        <w:pStyle w:val="Funote"/>
        <w:rPr/>
      </w:pPr>
      <w:r>
        <w:rPr>
          <w:i/>
        </w:rPr>
        <w:footnoteRef/>
        <w:tab/>
        <w:t>brach er auf und</w:t>
      </w:r>
      <w:r>
        <w:rPr/>
        <w:t xml:space="preserve"> sowie </w:t>
      </w:r>
      <w:r>
        <w:rPr>
          <w:i/>
        </w:rPr>
        <w:t>er begab sich … und</w:t>
      </w:r>
      <w:r>
        <w:rPr/>
        <w:t xml:space="preserve"> </w:t>
      </w:r>
      <w:hyperlink r:id="rId381">
        <w:r>
          <w:rPr>
            <w:rStyle w:val="Internetverknpfung"/>
          </w:rPr>
          <w:t>Ptz. conj.</w:t>
        </w:r>
      </w:hyperlink>
      <w:r>
        <w:rPr/>
        <w:t>, beigeordnet aufgelöst.</w:t>
      </w:r>
    </w:p>
  </w:footnote>
  <w:footnote w:id="4091">
    <w:p>
      <w:pPr>
        <w:pStyle w:val="Funote"/>
        <w:rPr/>
      </w:pPr>
      <w:r>
        <w:rPr>
          <w:i/>
        </w:rPr>
        <w:footnoteRef/>
        <w:tab/>
        <w:t>von einem unreinen Geist besessen war</w:t>
      </w:r>
      <w:r>
        <w:rPr/>
        <w:t xml:space="preserve"> W. „einen unreinen Geist hatte“</w:t>
      </w:r>
    </w:p>
  </w:footnote>
  <w:footnote w:id="4092">
    <w:p>
      <w:pPr>
        <w:pStyle w:val="Funote"/>
        <w:rPr/>
      </w:pPr>
      <w:r>
        <w:rPr>
          <w:i/>
        </w:rPr>
        <w:footnoteRef/>
        <w:tab/>
        <w:t>kam … und</w:t>
      </w:r>
      <w:r>
        <w:rPr/>
        <w:t xml:space="preserve"> </w:t>
      </w:r>
      <w:hyperlink r:id="rId382">
        <w:r>
          <w:rPr>
            <w:rStyle w:val="Internetverknpfung"/>
          </w:rPr>
          <w:t>Ptz. conj.</w:t>
        </w:r>
      </w:hyperlink>
      <w:r>
        <w:rPr/>
        <w:t>, temporal, beigeordnet aufgelöst.</w:t>
      </w:r>
    </w:p>
  </w:footnote>
  <w:footnote w:id="4093">
    <w:p>
      <w:pPr>
        <w:pStyle w:val="Funote"/>
        <w:rPr/>
      </w:pPr>
      <w:r>
        <w:rPr/>
        <w:footnoteRef/>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Dat. respectus.</w:t>
      </w:r>
    </w:p>
  </w:footnote>
  <w:footnote w:id="4094">
    <w:p>
      <w:pPr>
        <w:pStyle w:val="Funote"/>
        <w:rPr/>
      </w:pPr>
      <w:r>
        <w:rPr>
          <w:i/>
        </w:rPr>
        <w:footnoteRef/>
        <w:tab/>
        <w:t>sie bat ihn hartnäckig (immer wieder)</w:t>
      </w:r>
      <w:r>
        <w:rPr/>
        <w:t xml:space="preserve"> Das Verb steht im </w:t>
      </w:r>
      <w:hyperlink r:id="rId383">
        <w:r>
          <w:rPr>
            <w:rStyle w:val="Internetverknpfung"/>
          </w:rPr>
          <w:t>Imperfekt</w:t>
        </w:r>
      </w:hyperlink>
      <w:r>
        <w:rPr/>
        <w:t xml:space="preserve">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4095">
    <w:p>
      <w:pPr>
        <w:pStyle w:val="Funote"/>
        <w:rPr/>
      </w:pPr>
      <w:r>
        <w:rPr/>
        <w:footnoteRef/>
        <w:tab/>
        <w:t>die Krümel W. »von den Krümeln«, eine Präpositionalphrase, die den partitiven Genitiv ersetzt (NSS).</w:t>
      </w:r>
    </w:p>
  </w:footnote>
  <w:footnote w:id="4096">
    <w:p>
      <w:pPr>
        <w:pStyle w:val="Funote"/>
        <w:rPr/>
      </w:pPr>
      <w:r>
        <w:rPr>
          <w:i/>
        </w:rPr>
        <w:footnoteRef/>
        <w:tab/>
        <w:t>Weil du das gesagt hast</w:t>
      </w:r>
      <w:r>
        <w:rPr/>
        <w:t xml:space="preserve"> W. „Aufgrund dieses Wortes/dieser Äußerung bzw. Antwort“</w:t>
      </w:r>
    </w:p>
  </w:footnote>
  <w:footnote w:id="4097">
    <w:p>
      <w:pPr>
        <w:pStyle w:val="Funote"/>
        <w:rPr/>
      </w:pPr>
      <w:r>
        <w:rPr/>
        <w:footnoteRef/>
        <w:tab/>
        <w:t>geh D.h. »Du kannst gehen« (NGÜ) oder »Geh nach Hause« (EÜ, GNB). Vgl. 10,52.</w:t>
      </w:r>
    </w:p>
  </w:footnote>
  <w:footnote w:id="4098">
    <w:p>
      <w:pPr>
        <w:pStyle w:val="Funote"/>
        <w:rPr/>
      </w:pPr>
      <w:r>
        <w:rPr>
          <w:i/>
        </w:rPr>
        <w:footnoteRef/>
        <w:tab/>
        <w:t>ging zurück … und</w:t>
      </w:r>
      <w:r>
        <w:rPr/>
        <w:t xml:space="preserve"> W. „ging weg“. </w:t>
      </w:r>
      <w:hyperlink r:id="rId384">
        <w:r>
          <w:rPr>
            <w:rStyle w:val="Internetverknpfung"/>
          </w:rPr>
          <w:t>Ptz. conj.</w:t>
        </w:r>
      </w:hyperlink>
      <w:r>
        <w:rPr/>
        <w:t>, beigeordnet aufgelöst.</w:t>
      </w:r>
    </w:p>
  </w:footnote>
  <w:footnote w:id="4099">
    <w:p>
      <w:pPr>
        <w:pStyle w:val="Funote"/>
        <w:rPr/>
      </w:pPr>
      <w:r>
        <w:rPr>
          <w:i/>
        </w:rPr>
        <w:footnoteRef/>
        <w:tab/>
        <w:t>reiste … und</w:t>
      </w:r>
      <w:r>
        <w:rPr/>
        <w:t xml:space="preserve"> </w:t>
      </w:r>
      <w:hyperlink r:id="rId385">
        <w:r>
          <w:rPr>
            <w:rStyle w:val="Internetverknpfung"/>
          </w:rPr>
          <w:t>Ptz. conj.</w:t>
        </w:r>
      </w:hyperlink>
      <w:r>
        <w:rPr/>
        <w:t>, beigeordnet aufgelöst.</w:t>
      </w:r>
    </w:p>
  </w:footnote>
  <w:footnote w:id="4100">
    <w:p>
      <w:pPr>
        <w:pStyle w:val="Funote"/>
        <w:rPr/>
      </w:pPr>
      <w:r>
        <w:rPr/>
        <w:footnoteRef/>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Dekapolis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4101">
    <w:p>
      <w:pPr>
        <w:pStyle w:val="Funote"/>
        <w:rPr/>
      </w:pPr>
      <w:r>
        <w:rPr/>
        <w:footnoteRef/>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4102">
    <w:p>
      <w:pPr>
        <w:pStyle w:val="Funote"/>
        <w:rPr/>
      </w:pPr>
      <w:r>
        <w:rPr/>
        <w:footnoteRef/>
        <w:tab/>
        <w:t>ihm die Hand aufzulegen bedeutet offenbar, ihn dadurch zu heilen (Collins 2007, 370).</w:t>
      </w:r>
    </w:p>
  </w:footnote>
  <w:footnote w:id="4103">
    <w:p>
      <w:pPr>
        <w:pStyle w:val="Funote"/>
        <w:rPr/>
      </w:pPr>
      <w:r>
        <w:rPr/>
        <w:footnoteRef/>
        <w:tab/>
        <w:t>nahm beiseite … und sowie spuckte er und Ptz. conj.,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4104">
    <w:p>
      <w:pPr>
        <w:pStyle w:val="Funote"/>
        <w:rPr/>
      </w:pPr>
      <w:r>
        <w:rPr>
          <w:i/>
        </w:rPr>
        <w:footnoteRef/>
        <w:tab/>
        <w:t>blickte er ... auf und</w:t>
      </w:r>
      <w:r>
        <w:rPr/>
        <w:t xml:space="preserve"> </w:t>
      </w:r>
      <w:hyperlink r:id="rId386">
        <w:r>
          <w:rPr>
            <w:rStyle w:val="Internetverknpfung"/>
          </w:rPr>
          <w:t>Ptz. conj.</w:t>
        </w:r>
      </w:hyperlink>
      <w:r>
        <w:rPr/>
        <w:t>, beigeordnet aufgelöst.</w:t>
      </w:r>
    </w:p>
  </w:footnote>
  <w:footnote w:id="4105">
    <w:p>
      <w:pPr>
        <w:pStyle w:val="Funote"/>
        <w:rPr/>
      </w:pPr>
      <w:r>
        <w:rPr/>
        <w:footnoteRef/>
        <w:tab/>
        <w:t>„</w:t>
      </w:r>
      <w:r>
        <w:rPr/>
        <w:t>Effata!“ Das ist wahrscheinlich eine nicht 100% genau überlieferte aramäische Form (France 2002, 304; Guelich 1989, 395f.).</w:t>
      </w:r>
    </w:p>
  </w:footnote>
  <w:footnote w:id="4106">
    <w:p>
      <w:pPr>
        <w:pStyle w:val="Funote"/>
        <w:rPr/>
      </w:pPr>
      <w:r>
        <w:rPr/>
        <w:footnoteRef/>
        <w:tab/>
        <w:t>Hemmung W. „Fessel“ (so die meisten Übersetzungen), MEN: „Gebundenheit“. Es handelt sich um eine übertragene Bedeutungserweiterung von „Fessel“, die hier die Einschränkung der Sprachfertigkeit bezeichnet (LN 23.156).</w:t>
      </w:r>
    </w:p>
  </w:footnote>
  <w:footnote w:id="4107">
    <w:p>
      <w:pPr>
        <w:pStyle w:val="Funote"/>
        <w:rPr/>
      </w:pPr>
      <w:r>
        <w:rPr/>
        <w:footnoteRef/>
        <w:tab/>
        <w:t xml:space="preserve">konnte richtig sprechen (Imperfekt) Das Verb bezeichnet hier die Fähigkeit, sprechen zu können (BA </w:t>
      </w:r>
      <w:r>
        <w:rPr>
          <w:lang w:val="el-GR"/>
        </w:rPr>
        <w:t>λαλέω</w:t>
      </w:r>
      <w:r>
        <w:rPr/>
        <w:t>, 2a</w:t>
      </w:r>
      <w:r>
        <w:rPr>
          <w:lang w:val="el-GR"/>
        </w:rPr>
        <w:t>α</w:t>
      </w:r>
      <w:r>
        <w:rPr/>
        <w:t>; NSS).</w:t>
      </w:r>
    </w:p>
  </w:footnote>
  <w:footnote w:id="4108">
    <w:p>
      <w:pPr>
        <w:pStyle w:val="Funote"/>
        <w:rPr/>
      </w:pPr>
      <w:r>
        <w:rPr>
          <w:i/>
        </w:rPr>
        <w:footnoteRef/>
        <w:tab/>
        <w:t>und sagten</w:t>
      </w:r>
      <w:r>
        <w:rPr/>
        <w:t xml:space="preserve"> </w:t>
      </w:r>
      <w:hyperlink r:id="rId387">
        <w:r>
          <w:rPr>
            <w:rStyle w:val="Internetverknpfung"/>
          </w:rPr>
          <w:t>Ptz. conj.</w:t>
        </w:r>
      </w:hyperlink>
      <w:r>
        <w:rPr/>
        <w:t>, beigeordnet aufgelöst.</w:t>
      </w:r>
    </w:p>
  </w:footnote>
  <w:footnote w:id="4109">
    <w:p>
      <w:pPr>
        <w:pStyle w:val="Funote"/>
        <w:rPr/>
      </w:pPr>
      <w:r>
        <w:rPr/>
        <w:footnoteRef/>
        <w:tab/>
        <w:t>[Status: Zuverlässig]</w:t>
      </w:r>
    </w:p>
  </w:footnote>
  <w:footnote w:id="4110">
    <w:p>
      <w:pPr>
        <w:pStyle w:val="Funote"/>
        <w:rPr/>
      </w:pPr>
      <w:r>
        <w:rPr>
          <w:i/>
        </w:rPr>
        <w:footnoteRef/>
        <w:tab/>
        <w:t>rief er zu sich und</w:t>
      </w:r>
      <w:r>
        <w:rPr/>
        <w:t xml:space="preserve"> </w:t>
      </w:r>
      <w:hyperlink r:id="rId388">
        <w:r>
          <w:rPr>
            <w:rStyle w:val="Internetverknpfung"/>
          </w:rPr>
          <w:t>Ptz. conj.</w:t>
        </w:r>
      </w:hyperlink>
      <w:r>
        <w:rPr/>
        <w:t>, beigeordnet aufgelöst.</w:t>
      </w:r>
    </w:p>
  </w:footnote>
  <w:footnote w:id="4111">
    <w:p>
      <w:pPr>
        <w:pStyle w:val="Funote"/>
        <w:rPr/>
      </w:pPr>
      <w:r>
        <w:rPr/>
        <w:footnoteRef/>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4112">
    <w:p>
      <w:pPr>
        <w:pStyle w:val="Funote"/>
        <w:rPr/>
      </w:pPr>
      <w:r>
        <w:rPr/>
        <w:footnoteRef/>
        <w:tab/>
        <w:t>Woher LUT, ZÜR übersetzen »Wie«, doch gemeint ist, woher die Jünger das Brot (pars pro toto für Nahrung) nehmen sollen (Pesch 1976, 403; vgl. GNB, NGÜ, EÜ).</w:t>
      </w:r>
    </w:p>
  </w:footnote>
  <w:footnote w:id="4113">
    <w:p>
      <w:pPr>
        <w:pStyle w:val="Funote"/>
        <w:rPr/>
      </w:pPr>
      <w:r>
        <w:rPr>
          <w:i/>
        </w:rPr>
        <w:footnoteRef/>
        <w:tab/>
        <w:t>nachdem er ... genommen und ein Dankgebet gesprochen hatte</w:t>
      </w:r>
      <w:r>
        <w:rPr/>
        <w:t xml:space="preserve"> Temporal-modales </w:t>
      </w:r>
      <w:hyperlink r:id="rId389">
        <w:r>
          <w:rPr>
            <w:rStyle w:val="Internetverknpfung"/>
          </w:rPr>
          <w:t>Ptz. conj.</w:t>
        </w:r>
      </w:hyperlink>
      <w:r>
        <w:rPr/>
        <w:t xml:space="preserve"> Aor., hier als vorzeitiger temporaler Nebensatz aufgelöst. </w:t>
      </w:r>
      <w:r>
        <w:rPr>
          <w:i/>
        </w:rPr>
        <w:t>ein Dankgebet gesprochen</w:t>
      </w:r>
      <w:r>
        <w:rPr/>
        <w:t xml:space="preserve"> W. „gedankt“. Gemeint ist hier jedoch ein Dankgebet.</w:t>
      </w:r>
    </w:p>
  </w:footnote>
  <w:footnote w:id="4114">
    <w:p>
      <w:pPr>
        <w:pStyle w:val="Funote"/>
        <w:rPr/>
      </w:pPr>
      <w:r>
        <w:rPr/>
        <w:footnoteRef/>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4115">
    <w:p>
      <w:pPr>
        <w:pStyle w:val="Funote"/>
        <w:rPr/>
      </w:pPr>
      <w:r>
        <w:rPr/>
        <w:footnoteRef/>
        <w:tab/>
        <w:t>die übrig gebliebenen Brocken W. „die Reste der Brocken“ (Gen. part.; NSS)</w:t>
      </w:r>
    </w:p>
  </w:footnote>
  <w:footnote w:id="4116">
    <w:p>
      <w:pPr>
        <w:pStyle w:val="Funote"/>
        <w:rPr/>
      </w:pPr>
      <w:r>
        <w:rPr>
          <w:i/>
        </w:rPr>
        <w:footnoteRef/>
        <w:tab/>
        <w:t>stieg er … und</w:t>
      </w:r>
      <w:r>
        <w:rPr/>
        <w:t xml:space="preserve"> </w:t>
      </w:r>
      <w:hyperlink r:id="rId390">
        <w:r>
          <w:rPr>
            <w:rStyle w:val="Internetverknpfung"/>
          </w:rPr>
          <w:t>Ptz. conj.</w:t>
        </w:r>
      </w:hyperlink>
      <w:r>
        <w:rPr/>
        <w:t>, beigeordnet aufgelöst.</w:t>
      </w:r>
    </w:p>
  </w:footnote>
  <w:footnote w:id="4117">
    <w:p>
      <w:pPr>
        <w:pStyle w:val="Funote"/>
        <w:rPr/>
      </w:pPr>
      <w:r>
        <w:rPr>
          <w:i/>
        </w:rPr>
        <w:footnoteRef/>
        <w:tab/>
        <w:t>Dalmanuta</w:t>
      </w:r>
      <w:r>
        <w:rPr/>
        <w:t xml:space="preserve">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4118">
    <w:p>
      <w:pPr>
        <w:pStyle w:val="Funote"/>
        <w:rPr/>
      </w:pPr>
      <w:r>
        <w:rPr/>
        <w:footnoteRef/>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4119">
    <w:p>
      <w:pPr>
        <w:pStyle w:val="Funote"/>
        <w:rPr/>
      </w:pPr>
      <w:r>
        <w:rPr/>
        <w:footnoteRef/>
        <w:tab/>
        <w:t>wobei sie … verlangten Modales Ptz. conj.,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4120">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4121">
    <w:p>
      <w:pPr>
        <w:pStyle w:val="Funote"/>
        <w:rPr/>
      </w:pPr>
      <w:r>
        <w:rPr/>
        <w:footnoteRef/>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4122">
    <w:p>
      <w:pPr>
        <w:pStyle w:val="Funote"/>
        <w:rPr/>
      </w:pPr>
      <w:r>
        <w:rPr>
          <w:i/>
        </w:rPr>
        <w:footnoteRef/>
        <w:tab/>
        <w:t>stöhnte (seufzte) … auf und</w:t>
      </w:r>
      <w:r>
        <w:rPr/>
        <w:t xml:space="preserve"> Modales </w:t>
      </w:r>
      <w:hyperlink r:id="rId391">
        <w:r>
          <w:rPr>
            <w:rStyle w:val="Internetverknpfung"/>
          </w:rPr>
          <w:t>Ptz. conj.</w:t>
        </w:r>
      </w:hyperlink>
      <w:r>
        <w:rPr/>
        <w:t>, beigeordnet aufgelöst.</w:t>
      </w:r>
    </w:p>
  </w:footnote>
  <w:footnote w:id="4123">
    <w:p>
      <w:pPr>
        <w:pStyle w:val="Funote"/>
        <w:rPr/>
      </w:pPr>
      <w:r>
        <w:rPr/>
        <w:footnoteRef/>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4124">
    <w:p>
      <w:pPr>
        <w:pStyle w:val="Funote"/>
        <w:rPr/>
      </w:pPr>
      <w:r>
        <w:rPr/>
        <w:footnoteRef/>
        <w:tab/>
        <w:t>Diese Generation (dieses Pack) ist in Mk beinahe ein Schimpfwort, vgl. deutlich noch Mk 8,38; 9,19 (dazu auch FN ba); ad loc. z.B. van Iersel 1998, S. 262; allgemein EWNT I, S. 294; TWNT I, S. 661 u.ö. Sehr gut daher B/N: »Dieses Pack«.</w:t>
      </w:r>
    </w:p>
  </w:footnote>
  <w:footnote w:id="4125">
    <w:p>
      <w:pPr>
        <w:pStyle w:val="Funote"/>
        <w:rPr/>
      </w:pPr>
      <w:r>
        <w:rPr>
          <w:i/>
        </w:rPr>
        <w:footnoteRef/>
        <w:tab/>
        <w:t>er ließ sie [stehen]</w:t>
      </w:r>
      <w:r>
        <w:rPr/>
        <w:t xml:space="preserve"> Temporales </w:t>
      </w:r>
      <w:hyperlink r:id="rId392">
        <w:r>
          <w:rPr>
            <w:rStyle w:val="Internetverknpfung"/>
          </w:rPr>
          <w:t>Ptz. conj.</w:t>
        </w:r>
      </w:hyperlink>
      <w:r>
        <w:rPr/>
        <w:t>, beigeordnet aufgelöst.</w:t>
      </w:r>
    </w:p>
  </w:footnote>
  <w:footnote w:id="4126">
    <w:p>
      <w:pPr>
        <w:pStyle w:val="Funote"/>
        <w:rPr/>
      </w:pPr>
      <w:r>
        <w:rPr>
          <w:i/>
        </w:rPr>
        <w:footnoteRef/>
        <w:tab/>
        <w:t>Sie</w:t>
      </w:r>
      <w:r>
        <w:rPr/>
        <w:t xml:space="preserve"> Die meisten Übersetzungen übersetzen sinngemäß „die Jünger“, nicht „sie“, aber es gibt keinen direkten Anhaltspunkt dafür, dass Jesus davon auszunehmen ist.</w:t>
      </w:r>
    </w:p>
  </w:footnote>
  <w:footnote w:id="4127">
    <w:p>
      <w:pPr>
        <w:pStyle w:val="Funote"/>
        <w:rPr/>
      </w:pPr>
      <w:r>
        <w:rPr>
          <w:i/>
        </w:rPr>
        <w:footnoteRef/>
        <w:tab/>
        <w:t>sie hatten vergessen (vergaßen)</w:t>
      </w:r>
      <w:r>
        <w:rPr/>
        <w:t xml:space="preserve"> Der Aorist wird hier wohl mit vorzeitiger Bedeutung benutzt.</w:t>
      </w:r>
    </w:p>
  </w:footnote>
  <w:footnote w:id="4128">
    <w:p>
      <w:pPr>
        <w:pStyle w:val="Funote"/>
        <w:rPr/>
      </w:pPr>
      <w:r>
        <w:rPr/>
        <w:footnoteRef/>
        <w:tab/>
        <w:t>schärfte ihnen ein Das Verb steht im Imperfekt, was wohl impliziert, dass diese Aussage einen etwas längeren Diskurs zusammenfasst (oder eine häufige Aussage Jesu darstellt) (France 2002, 315). {sagend} Pleonastisches Partizip.</w:t>
      </w:r>
    </w:p>
  </w:footnote>
  <w:footnote w:id="4129">
    <w:p>
      <w:pPr>
        <w:pStyle w:val="Funote"/>
        <w:rPr/>
      </w:pPr>
      <w:r>
        <w:rPr/>
        <w:footnoteRef/>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4130">
    <w:p>
      <w:pPr>
        <w:pStyle w:val="Funote"/>
        <w:rPr/>
      </w:pPr>
      <w:r>
        <w:rPr/>
        <w:footnoteRef/>
        <w:tab/>
        <w:t xml:space="preserve">diskutierten weiter (begannen zu diskutieren) bzw. machten sich Gedanken „Diskutieren“ (so die wahrscheinlich gemeinte Bedeutung) steht im Imperfekt.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4131">
    <w:p>
      <w:pPr>
        <w:pStyle w:val="Funote"/>
        <w:rPr/>
      </w:pPr>
      <w:r>
        <w:rPr>
          <w:i/>
        </w:rPr>
        <w:footnoteRef/>
        <w:tab/>
        <w:t>der (als er, weil er) Bescheid wusste ([das] bemerkte)</w:t>
      </w:r>
      <w:r>
        <w:rPr/>
        <w:t xml:space="preserve"> Modal-temporales </w:t>
      </w:r>
      <w:hyperlink r:id="rId393">
        <w:r>
          <w:rPr>
            <w:rStyle w:val="Internetverknpfung"/>
          </w:rPr>
          <w:t>Ptz. conj.</w:t>
        </w:r>
      </w:hyperlink>
      <w:r>
        <w:rPr/>
        <w:t xml:space="preserve"> (oder </w:t>
      </w:r>
      <w:hyperlink r:id="rId394">
        <w:r>
          <w:rPr>
            <w:rStyle w:val="Internetverknpfung"/>
          </w:rPr>
          <w:t>attr. Ptz.</w:t>
        </w:r>
      </w:hyperlink>
      <w:r>
        <w:rPr/>
        <w:t>), hier als Relativsatz aufgelöst.</w:t>
      </w:r>
    </w:p>
  </w:footnote>
  <w:footnote w:id="4132">
    <w:p>
      <w:pPr>
        <w:pStyle w:val="Funote"/>
        <w:rPr/>
      </w:pPr>
      <w:r>
        <w:rPr>
          <w:i/>
        </w:rPr>
        <w:footnoteRef/>
        <w:tab/>
        <w:t>diskutiert ihr (macht ihr euch Gedanken)</w:t>
      </w:r>
      <w:r>
        <w:rPr/>
        <w:t xml:space="preserve"> Zur Abwägung zwischen den beiden Alternativen s. die Fußnote im vorigen Vers.</w:t>
      </w:r>
    </w:p>
  </w:footnote>
  <w:footnote w:id="4133">
    <w:p>
      <w:pPr>
        <w:pStyle w:val="Funote"/>
        <w:rPr/>
      </w:pPr>
      <w:r>
        <w:rPr>
          <w:i/>
        </w:rPr>
        <w:footnoteRef/>
        <w:tab/>
        <w:t>und … [denn immer] noch nicht</w:t>
      </w:r>
      <w:r>
        <w:rPr/>
        <w:t xml:space="preserve">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4134">
    <w:p>
      <w:pPr>
        <w:pStyle w:val="Funote"/>
        <w:rPr/>
      </w:pPr>
      <w:r>
        <w:rPr/>
        <w:footnoteRef/>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4135">
    <w:p>
      <w:pPr>
        <w:pStyle w:val="Funote"/>
        <w:rPr/>
      </w:pPr>
      <w:r>
        <w:rPr/>
        <w:footnoteRef/>
        <w:tab/>
        <w:t>Habt ihr zwar Augen, aber seht nicht? Und habt ihr zwar Ohren, aber hört nicht? Die beiden Ptz. conj.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4136">
    <w:p>
      <w:pPr>
        <w:pStyle w:val="Funote"/>
        <w:rPr/>
      </w:pPr>
      <w:r>
        <w:rPr/>
        <w:footnoteRef/>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4137">
    <w:p>
      <w:pPr>
        <w:pStyle w:val="Funote"/>
        <w:rPr/>
      </w:pPr>
      <w:r>
        <w:rPr/>
        <w:footnoteRef/>
        <w:tab/>
        <w:t>Brote … zerbrochen habe »Brote zerbrechen« steht hier als metonymisches Idiom dafür, dass Jesus sie mit Nahrung versorgt hat (vgl. LN 23.20).</w:t>
      </w:r>
    </w:p>
  </w:footnote>
  <w:footnote w:id="4138">
    <w:p>
      <w:pPr>
        <w:pStyle w:val="Funote"/>
        <w:rPr/>
      </w:pPr>
      <w:r>
        <w:rPr>
          <w:i/>
        </w:rPr>
        <w:footnoteRef/>
        <w:tab/>
        <w:t>sagte er (fuhr fort)</w:t>
      </w:r>
      <w:r>
        <w:rPr/>
        <w:t xml:space="preserve"> Das </w:t>
      </w:r>
      <w:hyperlink r:id="rId395">
        <w:r>
          <w:rPr>
            <w:rStyle w:val="Internetverknpfung"/>
          </w:rPr>
          <w:t>Imperfekt</w:t>
        </w:r>
      </w:hyperlink>
      <w:r>
        <w:rPr/>
        <w:t xml:space="preserve"> zeigt hier wohl einfach an, dass Jesus weitersprach oder fortfuhr.</w:t>
      </w:r>
    </w:p>
  </w:footnote>
  <w:footnote w:id="4139">
    <w:p>
      <w:pPr>
        <w:pStyle w:val="Funote"/>
        <w:rPr/>
      </w:pPr>
      <w:r>
        <w:rPr/>
        <w:footnoteRef/>
        <w:tab/>
        <w:t>Als, ({Und} ... {und}) W. „und … und“, hier als temporales Satzgefüge verstanden (vgl. Reiser 1983, 119).</w:t>
      </w:r>
    </w:p>
  </w:footnote>
  <w:footnote w:id="4140">
    <w:p>
      <w:pPr>
        <w:pStyle w:val="Funote"/>
        <w:rPr/>
      </w:pPr>
      <w:r>
        <w:rPr>
          <w:i/>
        </w:rPr>
        <w:footnoteRef/>
        <w:tab/>
        <w:t>er nahm … und</w:t>
      </w:r>
      <w:r>
        <w:rPr/>
        <w:t xml:space="preserve"> </w:t>
      </w:r>
      <w:hyperlink r:id="rId396">
        <w:r>
          <w:rPr>
            <w:rStyle w:val="Internetverknpfung"/>
          </w:rPr>
          <w:t>Ptz. conj.</w:t>
        </w:r>
      </w:hyperlink>
      <w:r>
        <w:rPr/>
        <w:t>, beigeordnet aufgelöst.</w:t>
      </w:r>
    </w:p>
  </w:footnote>
  <w:footnote w:id="4141">
    <w:p>
      <w:pPr>
        <w:pStyle w:val="Funote"/>
        <w:rPr/>
      </w:pPr>
      <w:r>
        <w:rPr>
          <w:i/>
        </w:rPr>
        <w:footnoteRef/>
        <w:tab/>
        <w:t>gespuckt</w:t>
      </w:r>
      <w:r>
        <w:rPr/>
        <w:t xml:space="preserve"> Zur Funktion von Spucke in Wunderheilungen vgl. </w:t>
      </w:r>
      <w:r>
        <w:fldChar w:fldCharType="begin"/>
      </w:r>
      <w:r>
        <w:instrText> HYPERLINK "http://www.offene-bibel.de/wiki/index.php5?title=Markus_7" \l "note_bf"</w:instrText>
      </w:r>
      <w:r>
        <w:fldChar w:fldCharType="separate"/>
      </w:r>
      <w:r>
        <w:rPr>
          <w:rStyle w:val="Internetverknpfung"/>
        </w:rPr>
        <w:t>FN bf</w:t>
      </w:r>
      <w:r>
        <w:fldChar w:fldCharType="end"/>
      </w:r>
      <w:r>
        <w:rPr/>
        <w:t xml:space="preserve"> zu </w:t>
      </w:r>
      <w:r>
        <w:fldChar w:fldCharType="begin"/>
      </w:r>
      <w:r>
        <w:instrText> HYPERLINK "file:///wiki/Markus_7" \l "s33"</w:instrText>
      </w:r>
      <w:r>
        <w:fldChar w:fldCharType="separate"/>
      </w:r>
      <w:r>
        <w:rPr>
          <w:rStyle w:val="Internetverknpfung"/>
        </w:rPr>
        <w:t>Mk 7,33</w:t>
      </w:r>
      <w:r>
        <w:fldChar w:fldCharType="end"/>
      </w:r>
      <w:r>
        <w:rPr/>
        <w:t xml:space="preserve">. Ähnlich wie dort wird auch hier der Brauch des Ausspeiens durch das Motiv des Auflegens der Hände erweitert, das eine für Jesus typische „Medikation“ bei Wunderheilungen gewesen zu sein scheint (s. noch </w:t>
      </w:r>
      <w:r>
        <w:fldChar w:fldCharType="begin"/>
      </w:r>
      <w:r>
        <w:instrText> HYPERLINK "file:///wiki/Markus_1" \l "s41"</w:instrText>
      </w:r>
      <w:r>
        <w:fldChar w:fldCharType="separate"/>
      </w:r>
      <w:r>
        <w:rPr>
          <w:rStyle w:val="Internetverknpfung"/>
        </w:rPr>
        <w:t>Mk 1,41</w:t>
      </w:r>
      <w:r>
        <w:fldChar w:fldCharType="end"/>
      </w:r>
      <w:r>
        <w:rPr/>
        <w:t xml:space="preserve">; </w:t>
      </w:r>
      <w:r>
        <w:fldChar w:fldCharType="begin"/>
      </w:r>
      <w:r>
        <w:instrText> HYPERLINK "file:///wiki/Markus_5" \l "s23"</w:instrText>
      </w:r>
      <w:r>
        <w:fldChar w:fldCharType="separate"/>
      </w:r>
      <w:r>
        <w:rPr>
          <w:rStyle w:val="Internetverknpfung"/>
        </w:rPr>
        <w:t>5,23</w:t>
      </w:r>
      <w:r>
        <w:fldChar w:fldCharType="end"/>
      </w:r>
      <w:r>
        <w:rPr/>
        <w:t>).</w:t>
      </w:r>
    </w:p>
  </w:footnote>
  <w:footnote w:id="4142">
    <w:p>
      <w:pPr>
        <w:pStyle w:val="Funote"/>
        <w:rPr/>
      </w:pPr>
      <w:r>
        <w:rPr>
          <w:i/>
        </w:rPr>
        <w:footnoteRef/>
        <w:tab/>
        <w:t>nachdem er … gespuckt und … aufgelegt hatte</w:t>
      </w:r>
      <w:r>
        <w:rPr/>
        <w:t xml:space="preserve"> Temp. </w:t>
      </w:r>
      <w:hyperlink r:id="rId397">
        <w:r>
          <w:rPr>
            <w:rStyle w:val="Internetverknpfung"/>
          </w:rPr>
          <w:t>Ptz. conj.</w:t>
        </w:r>
      </w:hyperlink>
      <w:r>
        <w:rPr/>
        <w:t xml:space="preserve"> (2x), als Nebensatz aufgelöst.</w:t>
      </w:r>
    </w:p>
  </w:footnote>
  <w:footnote w:id="4143">
    <w:p>
      <w:pPr>
        <w:pStyle w:val="Funote"/>
        <w:rPr/>
      </w:pPr>
      <w:r>
        <w:rPr/>
        <w:footnoteRef/>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4144">
    <w:p>
      <w:pPr>
        <w:pStyle w:val="Funote"/>
        <w:rPr/>
      </w:pPr>
      <w:r>
        <w:rPr/>
        <w:footnoteRef/>
        <w:tab/>
        <w:t>nachdem [der Mann] wieder sehen konnte Ptz. conj.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4145">
    <w:p>
      <w:pPr>
        <w:pStyle w:val="Funote"/>
        <w:rPr/>
      </w:pPr>
      <w:r>
        <w:rPr/>
        <w:footnoteRef/>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4146">
    <w:p>
      <w:pPr>
        <w:pStyle w:val="Funote"/>
        <w:rPr/>
      </w:pPr>
      <w:r>
        <w:rPr/>
        <w:footnoteRef/>
        <w:tab/>
        <w:t>Ich sehe die Leute – wie Bäume, ich sehe sie umhergehen Falsch wäre die Übersetzung „ich sehe sie wie Bäume umhergehen“ (LUT, ELB, GNB?). Bäume ist Neutrum Plural, das Partizip umhergehen (ein AcP) Maskulinum Plural. Das Partizip bezieht sich auf die Leute (France 2002, 325). Die Übersetzung versucht das zu berücksichtigen. Sehr schön fängt das NGÜ ein: „Ich sehe Menschen; sie gehen umher, aber sie sehen aus wie Bäume.“</w:t>
      </w:r>
    </w:p>
  </w:footnote>
  <w:footnote w:id="4147">
    <w:p>
      <w:pPr>
        <w:pStyle w:val="Funote"/>
        <w:rPr/>
      </w:pPr>
      <w:r>
        <w:rPr/>
        <w:footnoteRef/>
        <w:tab/>
        <w:t>er konnte nun alles deutlich erkennen Das Verb steht im Unterschied zu den beiden vorigen (Aorist) im Imperfekt,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4148">
    <w:p>
      <w:pPr>
        <w:pStyle w:val="Funote"/>
        <w:rPr/>
      </w:pPr>
      <w:r>
        <w:rPr>
          <w:i/>
        </w:rPr>
        <w:footnoteRef/>
        <w:tab/>
        <w:t>wobei er ihm auftrug (sagte)</w:t>
      </w:r>
      <w:r>
        <w:rPr/>
        <w:t xml:space="preserve"> Modales </w:t>
      </w:r>
      <w:hyperlink r:id="rId398">
        <w:r>
          <w:rPr>
            <w:rStyle w:val="Internetverknpfung"/>
          </w:rPr>
          <w:t>Ptz. conj.</w:t>
        </w:r>
      </w:hyperlink>
      <w:r>
        <w:rPr/>
        <w:t>, als Nebensatz aufgelöst. Eine andere Möglichkeit wäre „mit den (folgenden) Worten“.</w:t>
      </w:r>
    </w:p>
  </w:footnote>
  <w:footnote w:id="4149">
    <w:p>
      <w:pPr>
        <w:pStyle w:val="Funote"/>
        <w:rPr/>
      </w:pPr>
      <w:r>
        <w:rPr/>
        <w:footnoteRef/>
        <w:tab/>
        <w:t>»Geh auch nicht ins Dorf!« Das ist offenbar so zu verstehen, dass der Mann nicht direkt in Betsaida (=dem Dorf) lebte. Vgl. GNB: »Geh nicht erst nach Betsaida hinein, sondern geh gleich nach Hause!«</w:t>
      </w:r>
    </w:p>
  </w:footnote>
  <w:footnote w:id="4150">
    <w:p>
      <w:pPr>
        <w:pStyle w:val="Funote"/>
        <w:rPr/>
      </w:pPr>
      <w:r>
        <w:rPr/>
        <w:footnoteRef/>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4151">
    <w:p>
      <w:pPr>
        <w:pStyle w:val="Funote"/>
        <w:rPr/>
      </w:pPr>
      <w:r>
        <w:rPr>
          <w:i/>
        </w:rPr>
        <w:footnoteRef/>
        <w:tab/>
        <w:t>{und sagte}</w:t>
      </w:r>
      <w:r>
        <w:rPr/>
        <w:t xml:space="preserve"> </w:t>
      </w:r>
      <w:hyperlink r:id="rId399">
        <w:r>
          <w:rPr>
            <w:rStyle w:val="Internetverknpfung"/>
          </w:rPr>
          <w:t>Pleonastisches Partizip</w:t>
        </w:r>
      </w:hyperlink>
      <w:r>
        <w:rPr/>
        <w:t>.</w:t>
      </w:r>
    </w:p>
  </w:footnote>
  <w:footnote w:id="4152">
    <w:p>
      <w:pPr>
        <w:pStyle w:val="Funote"/>
        <w:rPr/>
      </w:pPr>
      <w:r>
        <w:rPr/>
        <w:footnoteRef/>
        <w:tab/>
        <w:t>„</w:t>
      </w:r>
      <w:r>
        <w:rPr>
          <w:i/>
        </w:rPr>
        <w:t>Für wen halten mich die Leute?“</w:t>
      </w:r>
      <w:r>
        <w:rPr/>
        <w:t xml:space="preserve"> Oder „Was sagen die Leute (Menschen), wer ich bin?“ W. etwa „Wen sagen/halten die Leute mich zu sein?“ (</w:t>
      </w:r>
      <w:hyperlink r:id="rId400">
        <w:r>
          <w:rPr>
            <w:rStyle w:val="Internetverknpfung"/>
          </w:rPr>
          <w:t>AcI</w:t>
        </w:r>
      </w:hyperlink>
      <w:r>
        <w:rPr/>
        <w:t>)</w:t>
      </w:r>
    </w:p>
  </w:footnote>
  <w:footnote w:id="4153">
    <w:p>
      <w:pPr>
        <w:pStyle w:val="Funote"/>
        <w:rPr/>
      </w:pPr>
      <w:r>
        <w:rPr>
          <w:i/>
        </w:rPr>
        <w:footnoteRef/>
        <w:tab/>
        <w:t>{sagend}</w:t>
      </w:r>
      <w:r>
        <w:rPr/>
        <w:t xml:space="preserve"> </w:t>
      </w:r>
      <w:hyperlink r:id="rId401">
        <w:r>
          <w:rPr>
            <w:rStyle w:val="Internetverknpfung"/>
          </w:rPr>
          <w:t>Pleonastisches Partizip</w:t>
        </w:r>
      </w:hyperlink>
      <w:r>
        <w:rPr/>
        <w:t>.</w:t>
      </w:r>
    </w:p>
  </w:footnote>
  <w:footnote w:id="4154">
    <w:p>
      <w:pPr>
        <w:pStyle w:val="Funote"/>
        <w:rPr/>
      </w:pPr>
      <w:r>
        <w:rPr>
          <w:i/>
        </w:rPr>
        <w:footnoteRef/>
        <w:tab/>
        <w:t>Für wen haltet ihr mich?</w:t>
      </w:r>
      <w:r>
        <w:rPr/>
        <w:t xml:space="preserve"> W. etwa „Ihr aber, wen sagt/haltet ihr mich zu sein?“ (</w:t>
      </w:r>
      <w:hyperlink r:id="rId402">
        <w:r>
          <w:rPr>
            <w:rStyle w:val="Internetverknpfung"/>
          </w:rPr>
          <w:t>AcI</w:t>
        </w:r>
      </w:hyperlink>
      <w:r>
        <w:rPr/>
        <w:t>. Vgl. die Frage in V. 27)</w:t>
      </w:r>
    </w:p>
  </w:footnote>
  <w:footnote w:id="4155">
    <w:p>
      <w:pPr>
        <w:pStyle w:val="Funote"/>
        <w:rPr/>
      </w:pPr>
      <w:r>
        <w:rPr>
          <w:i/>
        </w:rPr>
        <w:footnoteRef/>
        <w:tab/>
        <w:t>{antwortend}</w:t>
      </w:r>
      <w:r>
        <w:rPr/>
        <w:t xml:space="preserve"> </w:t>
      </w:r>
      <w:hyperlink r:id="rId403">
        <w:r>
          <w:rPr>
            <w:rStyle w:val="Internetverknpfung"/>
          </w:rPr>
          <w:t>Pleonastisches Partizip</w:t>
        </w:r>
      </w:hyperlink>
      <w:r>
        <w:rPr/>
        <w:t>; übersetze schlicht: „Petrus antwortete:...“</w:t>
      </w:r>
    </w:p>
  </w:footnote>
  <w:footnote w:id="4156">
    <w:p>
      <w:pPr>
        <w:pStyle w:val="Funote"/>
        <w:rPr/>
      </w:pPr>
      <w:r>
        <w:rPr/>
        <w:footnoteRef/>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4157">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158">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159">
    <w:p>
      <w:pPr>
        <w:pStyle w:val="Funote"/>
        <w:rPr/>
      </w:pPr>
      <w:r>
        <w:rPr/>
        <w:footnoteRef/>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4160">
    <w:p>
      <w:pPr>
        <w:pStyle w:val="Funote"/>
        <w:rPr/>
      </w:pPr>
      <w:r>
        <w:rPr/>
        <w:footnoteRef/>
        <w:tab/>
        <w:t>er sagte das ganz offen W. „Diese Aussage machte er mit Offenheit“ (instr. Dat.); gut MEN, ZÜR: „und er sprach das ganz offen aus“, EÜ (vgl. NGÜ): „er redete ganz offen darüber“. Markus bezieht sich hier speziell auf die Lehre aus V. 31 (France 2002, 337).</w:t>
      </w:r>
    </w:p>
  </w:footnote>
  <w:footnote w:id="4161">
    <w:p>
      <w:pPr>
        <w:pStyle w:val="Funote"/>
        <w:rPr/>
      </w:pPr>
      <w:r>
        <w:rPr/>
        <w:footnoteRef/>
        <w:tab/>
        <w:t>begann, missbilligend auf ihn einzureden W. „tadeln, zurechtweisen“. Gemeint ist, dass Petrus Jesus solche düsteren Vorhersagen ausreden und ihn zur Vernunft bringen möchte. GNB: „wollte ihm das ausreden“, MEN: „begann auf ihn einzureden“.</w:t>
      </w:r>
    </w:p>
  </w:footnote>
  <w:footnote w:id="4162">
    <w:p>
      <w:pPr>
        <w:pStyle w:val="Funote"/>
        <w:rPr/>
      </w:pPr>
      <w:r>
        <w:rPr/>
        <w:footnoteRef/>
        <w:tab/>
        <w:t>Der drehte sich um und, indem (und) er seine Jünger ansah (nachdem … angesehen hatte) Beide Verben sind Ptz. conj.,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4163">
    <w:p>
      <w:pPr>
        <w:pStyle w:val="Funote"/>
        <w:rPr/>
      </w:pPr>
      <w:r>
        <w:rPr/>
        <w:footnoteRef/>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4164">
    <w:p>
      <w:pPr>
        <w:pStyle w:val="Funote"/>
        <w:rPr/>
      </w:pPr>
      <w:r>
        <w:rPr/>
        <w:footnoteRef/>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4165">
    <w:p>
      <w:pPr>
        <w:pStyle w:val="Funote"/>
        <w:rPr/>
      </w:pPr>
      <w:r>
        <w:rPr/>
        <w:footnoteRef/>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4166">
    <w:p>
      <w:pPr>
        <w:pStyle w:val="Funote"/>
        <w:rPr/>
      </w:pPr>
      <w:r>
        <w:rPr>
          <w:i/>
        </w:rPr>
        <w:footnoteRef/>
        <w:tab/>
        <w:t>rief zu sich … und</w:t>
      </w:r>
      <w:r>
        <w:rPr/>
        <w:t xml:space="preserve"> Temporales </w:t>
      </w:r>
      <w:hyperlink r:id="rId404">
        <w:r>
          <w:rPr>
            <w:rStyle w:val="Internetverknpfung"/>
          </w:rPr>
          <w:t>Ptz. conj.</w:t>
        </w:r>
      </w:hyperlink>
      <w:r>
        <w:rPr/>
        <w:t>, beigeordnet aufgelöst.</w:t>
      </w:r>
    </w:p>
  </w:footnote>
  <w:footnote w:id="4167">
    <w:p>
      <w:pPr>
        <w:pStyle w:val="Funote"/>
        <w:rPr/>
      </w:pPr>
      <w:r>
        <w:rPr/>
        <w:footnoteRef/>
        <w:tab/>
        <w:t>mir nachfolgen W. »hinter mir gehen« (vgl. Mk 1,17; 2,14). Manche Übersetzungen: »Wer mein Jünger sein will...« (EÜ, NGÜ) Genau das hat Jesus hier im Blick (France 2002, 339; Pryke 1978, S. 41).</w:t>
      </w:r>
    </w:p>
  </w:footnote>
  <w:footnote w:id="4168">
    <w:p>
      <w:pPr>
        <w:pStyle w:val="Funote"/>
        <w:rPr/>
      </w:pPr>
      <w:r>
        <w:rPr/>
        <w:footnoteRef/>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4169">
    <w:p>
      <w:pPr>
        <w:pStyle w:val="Funote"/>
        <w:rPr/>
      </w:pPr>
      <w:r>
        <w:rPr/>
        <w:footnoteRef/>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4170">
    <w:p>
      <w:pPr>
        <w:pStyle w:val="Funote"/>
        <w:rPr/>
      </w:pPr>
      <w:r>
        <w:rPr/>
        <w:footnoteRef/>
        <w:tab/>
        <w:t>die gesamte Welt zu gewinnen Das heißt im übertragenen Sinn, (im diesseitigen Leben) den größtmöglichen Erfolg zu erzielen (France 2002, 341).</w:t>
      </w:r>
    </w:p>
  </w:footnote>
  <w:footnote w:id="4171">
    <w:p>
      <w:pPr>
        <w:pStyle w:val="Funote"/>
        <w:rPr/>
      </w:pPr>
      <w:r>
        <w:rPr/>
        <w:footnoteRef/>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4172">
    <w:p>
      <w:pPr>
        <w:pStyle w:val="Funote"/>
        <w:rPr/>
      </w:pPr>
      <w:r>
        <w:rPr>
          <w:i/>
        </w:rPr>
        <w:footnoteRef/>
        <w:tab/>
        <w:t>Generation (Pack)</w:t>
      </w:r>
      <w:r>
        <w:rPr/>
        <w:t xml:space="preserve"> - zu diesem Ausdruck s. </w:t>
      </w:r>
      <w:r>
        <w:fldChar w:fldCharType="begin"/>
      </w:r>
      <w:r>
        <w:instrText> HYPERLINK "http://www.offene-bibel.de/wiki/index.php5?title=Markus_8" \l "note_o"</w:instrText>
      </w:r>
      <w:r>
        <w:fldChar w:fldCharType="separate"/>
      </w:r>
      <w:r>
        <w:rPr>
          <w:rStyle w:val="Internetverknpfung"/>
        </w:rPr>
        <w:t>FN o</w:t>
      </w:r>
      <w:r>
        <w:fldChar w:fldCharType="end"/>
      </w:r>
      <w:r>
        <w:rPr/>
        <w:t xml:space="preserve"> zu </w:t>
      </w:r>
      <w:r>
        <w:fldChar w:fldCharType="begin"/>
      </w:r>
      <w:r>
        <w:instrText> HYPERLINK "file:///wiki/Markus_8" \l "s12"</w:instrText>
      </w:r>
      <w:r>
        <w:fldChar w:fldCharType="separate"/>
      </w:r>
      <w:r>
        <w:rPr>
          <w:rStyle w:val="Internetverknpfung"/>
        </w:rPr>
        <w:t>V. 12</w:t>
      </w:r>
      <w:r>
        <w:fldChar w:fldCharType="end"/>
      </w:r>
      <w:r>
        <w:rPr/>
        <w:t>.</w:t>
      </w:r>
    </w:p>
  </w:footnote>
  <w:footnote w:id="4173">
    <w:p>
      <w:pPr>
        <w:pStyle w:val="Funote"/>
        <w:rPr/>
      </w:pPr>
      <w:r>
        <w:rPr/>
        <w:footnoteRef/>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4174">
    <w:p>
      <w:pPr>
        <w:pStyle w:val="Funote"/>
        <w:rPr/>
      </w:pPr>
      <w:r>
        <w:rPr/>
        <w:footnoteRef/>
        <w:tab/>
        <w:t>[Status: Zuverlässig]</w:t>
      </w:r>
    </w:p>
  </w:footnote>
  <w:footnote w:id="4175">
    <w:p>
      <w:pPr>
        <w:pStyle w:val="Funote"/>
        <w:rPr/>
      </w:pPr>
      <w:r>
        <w:rPr/>
        <w:footnoteRef/>
        <w:tab/>
        <w:t xml:space="preserve">weiter sagte er - W. Und er sagte. Das </w:t>
      </w:r>
      <w:r>
        <w:rPr>
          <w:lang w:val="el-GR"/>
        </w:rPr>
        <w:t>καὶ</w:t>
      </w:r>
      <w:r>
        <w:rPr/>
        <w:t xml:space="preserve"> schließt direkt an den vorangehenden Abschnitt an; das Impf.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4176">
    <w:p>
      <w:pPr>
        <w:pStyle w:val="Funote"/>
        <w:rPr/>
      </w:pPr>
      <w:r>
        <w:rPr/>
        <w:footnoteRef/>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4177">
    <w:p>
      <w:pPr>
        <w:pStyle w:val="Funote"/>
        <w:rPr/>
      </w:pPr>
      <w:r>
        <w:rPr/>
        <w:footnoteRef/>
        <w:tab/>
        <w:t>den Tod nicht schmecken - jüdisches Idiom; vgl. B/S I, S. 751f. Die Bedeutung ist wohl etwa »sterblich sein und sich dieser seiner Sterblichkeit schmerzlich bewusst sein«; vgl. BDAG 195; NET ad loc.. BB, Camacho/Mateos 1994, CEB, GNT, GW, HfA, NCV, NGÜ, NIRV, NL, NLT, Pesch 1977, S. 66 einfach: »nicht sterben« - das ist wohl die einfachste Lösung.</w:t>
      </w:r>
    </w:p>
  </w:footnote>
  <w:footnote w:id="4178">
    <w:p>
      <w:pPr>
        <w:pStyle w:val="Funote"/>
        <w:rPr/>
      </w:pPr>
      <w:r>
        <w:rPr/>
        <w:footnoteRef/>
        <w:tab/>
        <w:t xml:space="preserve">zu </w:t>
      </w:r>
      <w:r>
        <w:rPr>
          <w:i/>
        </w:rPr>
        <w:t>Reich Gottes</w:t>
      </w:r>
      <w:r>
        <w:rPr/>
        <w:t xml:space="preserve"> vgl. Terminologie/</w:t>
      </w:r>
      <w:hyperlink r:id="rId405">
        <w:r>
          <w:rPr>
            <w:rStyle w:val="Internetverknpfung"/>
          </w:rPr>
          <w:t>Reich Gottes</w:t>
        </w:r>
      </w:hyperlink>
      <w:r>
        <w:rPr/>
        <w:t>.</w:t>
      </w:r>
    </w:p>
  </w:footnote>
  <w:footnote w:id="4179">
    <w:p>
      <w:pPr>
        <w:pStyle w:val="Funote"/>
        <w:rPr/>
      </w:pPr>
      <w:r>
        <w:rPr/>
        <w:footnoteRef/>
        <w:tab/>
        <w:t xml:space="preserve">gekommen ist - W. bis sie gesehen haben das Reich Gottes gekommen in Macht. Das Perfekt </w:t>
      </w:r>
      <w:r>
        <w:rPr>
          <w:lang w:val="el-GR"/>
        </w:rPr>
        <w:t>ἐληλυθυῖαν</w:t>
      </w:r>
      <w:r>
        <w:rPr/>
        <w:t xml:space="preserve"> gekommen drückt hier aus, dass die Genannten das schon jetzt nahe Reich Gottes vollständig realisiert sehen werden, bevor sie sterben (vgl. Collins 2007, 413).</w:t>
      </w:r>
    </w:p>
  </w:footnote>
  <w:footnote w:id="4180">
    <w:p>
      <w:pPr>
        <w:pStyle w:val="Funote"/>
        <w:rPr/>
      </w:pPr>
      <w:r>
        <w:rPr/>
        <w:footnoteRef/>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4181">
    <w:p>
      <w:pPr>
        <w:pStyle w:val="Funote"/>
        <w:rPr/>
      </w:pPr>
      <w:r>
        <w:rPr/>
        <w:footnoteRef/>
        <w:tab/>
        <w:t>s. letzte FN</w:t>
      </w:r>
    </w:p>
  </w:footnote>
  <w:footnote w:id="4182">
    <w:p>
      <w:pPr>
        <w:pStyle w:val="Funote"/>
        <w:rPr/>
      </w:pPr>
      <w:r>
        <w:rPr>
          <w:i/>
        </w:rPr>
        <w:footnoteRef/>
        <w:tab/>
        <w:t>vor ihnen</w:t>
      </w:r>
      <w:r>
        <w:rPr/>
        <w:t xml:space="preserve"> - viele Üss. stilistisch gut: „vor ihren Augen“, aber Mk verwendet wohl bewusst „ihnen“: Die Geschehnisse der Perikope Mk 9,2-8 sind kein Selbstzweck, sondern </w:t>
      </w:r>
      <w:r>
        <w:rPr>
          <w:i/>
        </w:rPr>
        <w:t>für die Jünger bestimmt</w:t>
      </w:r>
      <w:r>
        <w:rPr/>
        <w:t xml:space="preserve">: </w:t>
      </w:r>
      <w:r>
        <w:rPr>
          <w:i/>
        </w:rPr>
        <w:t>Vor ihnen</w:t>
      </w:r>
      <w:r>
        <w:rPr/>
        <w:t xml:space="preserve"> wird Jesus verwandelt; </w:t>
      </w:r>
      <w:r>
        <w:rPr>
          <w:i/>
        </w:rPr>
        <w:t>ihnen</w:t>
      </w:r>
      <w:r>
        <w:rPr/>
        <w:t xml:space="preserve"> erscheinen Elija mit Mose, und </w:t>
      </w:r>
      <w:r>
        <w:rPr>
          <w:i/>
        </w:rPr>
        <w:t>ihnen</w:t>
      </w:r>
      <w:r>
        <w:rPr/>
        <w:t xml:space="preserve"> („aus der Wolke“) deutet die „Stimme“ aus, was sie da eben gesehen haben.</w:t>
      </w:r>
    </w:p>
  </w:footnote>
  <w:footnote w:id="4183">
    <w:p>
      <w:pPr>
        <w:pStyle w:val="Funote"/>
        <w:rPr/>
      </w:pPr>
      <w:r>
        <w:rPr/>
        <w:footnoteRef/>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4184">
    <w:p>
      <w:pPr>
        <w:pStyle w:val="Funote"/>
        <w:rPr/>
      </w:pPr>
      <w:r>
        <w:rPr/>
        <w:footnoteRef/>
        <w:tab/>
        <w:t>V. 3: wurden strahlten, V. 4: sprachen waren im Gespräch, V. 6: waren in Furcht geraten fürchteten sich, V. 7: Und eine Wolke entstand und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4185">
    <w:p>
      <w:pPr>
        <w:pStyle w:val="Funote"/>
        <w:rPr/>
      </w:pPr>
      <w:r>
        <w:rPr/>
        <w:footnoteRef/>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4186">
    <w:p>
      <w:pPr>
        <w:pStyle w:val="Funote"/>
        <w:rPr/>
      </w:pPr>
      <w:r>
        <w:rPr/>
        <w:footnoteRef/>
        <w:tab/>
        <w:t>zu Walker gut Dschulnigg 2007, S. 245: „Walker oder Tuchscherer krempelten Wolle, kratzten Tücher auf und reinigten schmutzige Gewänder. Der Vergleich verdeutlicht, dass die Kleider Jesu in himmlischem Glanz versetzt werden.“</w:t>
      </w:r>
    </w:p>
  </w:footnote>
  <w:footnote w:id="4187">
    <w:p>
      <w:pPr>
        <w:pStyle w:val="Funote"/>
        <w:rPr/>
      </w:pPr>
      <w:r>
        <w:rPr/>
        <w:footnoteRef/>
        <w:tab/>
        <w:t>auf der [ganzen] Erde - eigentlich unnötig; natürlich geht es um irdische Walker. Der Sinn ist emphatisch (Cranfield 1959, S. 290), daher [ganzen].</w:t>
      </w:r>
    </w:p>
  </w:footnote>
  <w:footnote w:id="4188">
    <w:p>
      <w:pPr>
        <w:pStyle w:val="Funote"/>
        <w:rPr/>
      </w:pPr>
      <w:r>
        <w:rPr/>
        <w:footnoteRef/>
        <w:tab/>
        <w:t>derart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4189">
    <w:p>
      <w:pPr>
        <w:pStyle w:val="Funote"/>
        <w:rPr/>
      </w:pPr>
      <w:r>
        <w:rPr/>
        <w:footnoteRef/>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4190">
    <w:p>
      <w:pPr>
        <w:pStyle w:val="Funote"/>
        <w:rPr/>
      </w:pPr>
      <w:r>
        <w:rPr/>
        <w:footnoteRef/>
        <w:tab/>
        <w:t xml:space="preserve">V. 5.19: antwortete und,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4191">
    <w:p>
      <w:pPr>
        <w:pStyle w:val="Funote"/>
        <w:rPr/>
      </w:pPr>
      <w:r>
        <w:rPr/>
        <w:footnoteRef/>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4192">
    <w:p>
      <w:pPr>
        <w:pStyle w:val="Funote"/>
        <w:rPr/>
      </w:pPr>
      <w:r>
        <w:rPr/>
        <w:footnoteRef/>
        <w:tab/>
        <w:t xml:space="preserve">Und lass uns (so lass uns denn) - konsekutives </w:t>
      </w:r>
      <w:r>
        <w:rPr>
          <w:lang w:val="el-GR"/>
        </w:rPr>
        <w:t>καὶ</w:t>
      </w:r>
      <w:r>
        <w:rPr/>
        <w:t>; »So lass uns denn...« gut nach Reiser 1983, S. 117.</w:t>
      </w:r>
    </w:p>
  </w:footnote>
  <w:footnote w:id="4193">
    <w:p>
      <w:pPr>
        <w:pStyle w:val="Funote"/>
        <w:rPr/>
      </w:pPr>
      <w:r>
        <w:rPr/>
        <w:footnoteRef/>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4194">
    <w:p>
      <w:pPr>
        <w:pStyle w:val="Funote"/>
        <w:rPr/>
      </w:pPr>
      <w:r>
        <w:rPr>
          <w:i/>
        </w:rPr>
        <w:footnoteRef/>
        <w:tab/>
        <w:t>hüllte ein (verbarg, überschattete)</w:t>
      </w:r>
      <w:r>
        <w:rPr/>
        <w:t xml:space="preserve"> - s. nächste Fußnote</w:t>
      </w:r>
    </w:p>
  </w:footnote>
  <w:footnote w:id="4195">
    <w:p>
      <w:pPr>
        <w:pStyle w:val="Funote"/>
        <w:rPr/>
      </w:pPr>
      <w:r>
        <w:rPr/>
        <w:footnoteRef/>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4196">
    <w:p>
      <w:pPr>
        <w:pStyle w:val="Funote"/>
        <w:rPr/>
      </w:pPr>
      <w:r>
        <w:rPr/>
        <w:footnoteRef/>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4197">
    <w:p>
      <w:pPr>
        <w:pStyle w:val="Funote"/>
        <w:rPr/>
      </w:pPr>
      <w:r>
        <w:rPr/>
        <w:footnoteRef/>
        <w:tab/>
        <w:t>[darum] - »[darum]« gut nach Reiser 1983, S. 145.</w:t>
      </w:r>
    </w:p>
  </w:footnote>
  <w:footnote w:id="4198">
    <w:p>
      <w:pPr>
        <w:pStyle w:val="Funote"/>
        <w:rPr/>
      </w:pPr>
      <w:r>
        <w:rPr/>
        <w:footnoteRef/>
        <w:tab/>
        <w:t xml:space="preserve">niemanden nicht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4199">
    <w:p>
      <w:pPr>
        <w:pStyle w:val="Funote"/>
        <w:rPr/>
      </w:pPr>
      <w:r>
        <w:rPr/>
        <w:footnoteRef/>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4200">
    <w:p>
      <w:pPr>
        <w:pStyle w:val="Funote"/>
        <w:rPr/>
      </w:pPr>
      <w:r>
        <w:rPr/>
        <w:footnoteRef/>
        <w:tab/>
        <w:t xml:space="preserve">V. 9: </w:t>
      </w:r>
      <w:r>
        <w:rPr>
          <w:i/>
        </w:rPr>
        <w:t>vom (aus dem)</w:t>
      </w:r>
      <w:r>
        <w:rPr/>
        <w:t xml:space="preserve"> - </w:t>
      </w:r>
      <w:r>
        <w:rPr>
          <w:lang w:val="el-GR"/>
        </w:rPr>
        <w:t>ἐκ</w:t>
      </w:r>
      <w:r>
        <w:rPr/>
        <w:t xml:space="preserve"> verwendet wie </w:t>
      </w:r>
      <w:r>
        <w:rPr>
          <w:lang w:val="el-GR"/>
        </w:rPr>
        <w:t>ἀπό</w:t>
      </w:r>
      <w:r>
        <w:rPr/>
        <w:t>; vielleicht Semitismus - s. Turner 1929a, S. 282f. Daher auch Textvarianten.</w:t>
      </w:r>
    </w:p>
  </w:footnote>
  <w:footnote w:id="4201">
    <w:p>
      <w:pPr>
        <w:pStyle w:val="Funote"/>
        <w:rPr/>
      </w:pPr>
      <w:r>
        <w:rPr/>
        <w:footnoteRef/>
        <w:tab/>
        <w:t xml:space="preserve">V. 9: dass,;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4202">
    <w:p>
      <w:pPr>
        <w:pStyle w:val="Funote"/>
        <w:rPr/>
      </w:pPr>
      <w:r>
        <w:rPr/>
        <w:footnoteRef/>
        <w:tab/>
        <w:t>erst (außer) - Exzeptivsatz temporal verwendet, wohl Semitismus; vgl. Beyer 1968, S. 132-34; Marcus 2009</w:t>
      </w:r>
    </w:p>
  </w:footnote>
  <w:footnote w:id="4203">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204">
    <w:p>
      <w:pPr>
        <w:pStyle w:val="Funote"/>
        <w:rPr/>
      </w:pPr>
      <w:r>
        <w:rPr/>
        <w:footnoteRef/>
        <w:tab/>
        <w:t>von den Toten - gemeint ist nicht das „Reich der Toten“, sondern die toten Menschen; vgl. BDAG 668; ad loc. Marcus 2009. Vor allen anderen Toten und als (vorerst) einziger unter den Toten wird der Menschensohn auferstehen.</w:t>
      </w:r>
    </w:p>
  </w:footnote>
  <w:footnote w:id="4205">
    <w:p>
      <w:pPr>
        <w:pStyle w:val="Funote"/>
        <w:rPr/>
      </w:pPr>
      <w:r>
        <w:rPr/>
        <w:footnoteRef/>
        <w:tab/>
        <w:t xml:space="preserve">behielten das Wort bei sich (bei sich),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4206">
    <w:p>
      <w:pPr>
        <w:pStyle w:val="Funote"/>
        <w:rPr/>
      </w:pPr>
      <w:r>
        <w:rPr/>
        <w:footnoteRef/>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4207">
    <w:p>
      <w:pPr>
        <w:pStyle w:val="Funote"/>
        <w:rPr/>
      </w:pPr>
      <w:r>
        <w:rPr/>
        <w:footnoteRef/>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4208">
    <w:p>
      <w:pPr>
        <w:pStyle w:val="Funote"/>
        <w:rPr/>
      </w:pPr>
      <w:r>
        <w:rPr/>
        <w:footnoteRef/>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4209">
    <w:p>
      <w:pPr>
        <w:pStyle w:val="Funote"/>
        <w:rPr/>
      </w:pPr>
      <w:r>
        <w:rPr>
          <w:i/>
        </w:rPr>
        <w:footnoteRef/>
        <w:tab/>
        <w:t>kommt</w:t>
      </w:r>
      <w:r>
        <w:rPr/>
        <w:t xml:space="preserve"> + </w:t>
      </w:r>
      <w:r>
        <w:rPr>
          <w:i/>
        </w:rPr>
        <w:t>stellt wieder her</w:t>
      </w:r>
      <w:r>
        <w:rPr/>
        <w:t xml:space="preserve"> - Wenn wir Vv. 12f richtig gedeutet haben (vgl. </w:t>
      </w:r>
      <w:r>
        <w:fldChar w:fldCharType="begin"/>
      </w:r>
      <w:r>
        <w:instrText> HYPERLINK "http://www.offene-bibel.de/wiki/index.php5?title=Markus_9" \l "note_ai"</w:instrText>
      </w:r>
      <w:r>
        <w:fldChar w:fldCharType="separate"/>
      </w:r>
      <w:r>
        <w:rPr>
          <w:rStyle w:val="Internetverknpfung"/>
        </w:rPr>
        <w:t>FN ai</w:t>
      </w:r>
      <w:r>
        <w:fldChar w:fldCharType="end"/>
      </w:r>
      <w:r>
        <w:rPr/>
        <w:t xml:space="preserve">, </w:t>
      </w:r>
      <w:r>
        <w:fldChar w:fldCharType="begin"/>
      </w:r>
      <w:r>
        <w:instrText> HYPERLINK "http://www.offene-bibel.de/wiki/index.php5?title=Markus_9" \l "note_al"</w:instrText>
      </w:r>
      <w:r>
        <w:fldChar w:fldCharType="separate"/>
      </w:r>
      <w:r>
        <w:rPr>
          <w:rStyle w:val="Internetverknpfung"/>
        </w:rPr>
        <w:t>FN al</w:t>
      </w:r>
      <w:r>
        <w:fldChar w:fldCharType="end"/>
      </w:r>
      <w:r>
        <w:rPr/>
        <w:t xml:space="preserve">), werden die Verbformen in V. 12 klug verwendet: </w:t>
      </w:r>
      <w:r>
        <w:rPr>
          <w:lang w:val="el-GR"/>
        </w:rPr>
        <w:t>ἐλθὼν</w:t>
      </w:r>
      <w:r>
        <w:rPr/>
        <w:t xml:space="preserve"> </w:t>
      </w:r>
      <w:r>
        <w:rPr>
          <w:i/>
        </w:rPr>
        <w:t>kommt</w:t>
      </w:r>
      <w:r>
        <w:rPr/>
        <w:t xml:space="preserve"> ist Partizip Aorist, </w:t>
      </w:r>
      <w:r>
        <w:rPr>
          <w:lang w:val="el-GR"/>
        </w:rPr>
        <w:t>ἀποκαθιστάνει</w:t>
      </w:r>
      <w:r>
        <w:rPr/>
        <w:t xml:space="preserve"> </w:t>
      </w:r>
      <w:r>
        <w:rPr>
          <w:i/>
        </w:rPr>
        <w:t>stellt wieder her</w:t>
      </w:r>
      <w:r>
        <w:rPr/>
        <w:t xml:space="preserve"> ist Indikativ Präsens. Partizip Aorist hat meist </w:t>
      </w:r>
      <w:r>
        <w:rPr>
          <w:i/>
        </w:rPr>
        <w:t>vorzeitige</w:t>
      </w:r>
      <w:r>
        <w:rPr/>
        <w:t xml:space="preserve"> Bedeutung und wird so zeitlich relativ </w:t>
      </w:r>
      <w:r>
        <w:rPr>
          <w:i/>
        </w:rPr>
        <w:t>vor</w:t>
      </w:r>
      <w:r>
        <w:rPr/>
        <w:t xml:space="preserve"> das Indikativ Präsens </w:t>
      </w:r>
      <w:r>
        <w:rPr>
          <w:i/>
        </w:rPr>
        <w:t>er stellt wieder her</w:t>
      </w:r>
      <w:r>
        <w:rPr/>
        <w:t xml:space="preserve"> eingeordnet. Und Indikativ Präsens kann (1) </w:t>
      </w:r>
      <w:r>
        <w:rPr>
          <w:i/>
        </w:rPr>
        <w:t>gnomische</w:t>
      </w:r>
      <w:r>
        <w:rPr/>
        <w:t xml:space="preserve"> Bedeutung haben; Jesus würde dann etwas über die überzeitliche Wahrheit dessen, was geschrieben steht, aussagen, ohne auf den exakten Zeitpunkt zu achten(„In der Tat: Das mit dem zuerst-Kommen und dem folgenden alles-Wiederherstellen Elija's stimmt“), es kann aber (2) auch </w:t>
      </w:r>
      <w:r>
        <w:rPr>
          <w:i/>
        </w:rPr>
        <w:t>effektive</w:t>
      </w:r>
      <w:r>
        <w:rPr/>
        <w:t xml:space="preserve"> Bedeutung haben und so aussagen, dass es bereits geschehen ist und nun die Effekte dieses eingetreten-Seins in Kraft sind, also „er ist gekommen, </w:t>
      </w:r>
      <w:r>
        <w:rPr>
          <w:i/>
        </w:rPr>
        <w:t>hat</w:t>
      </w:r>
      <w:r>
        <w:rPr/>
        <w:t xml:space="preserve"> alles wiederhergestellt und nun </w:t>
      </w:r>
      <w:r>
        <w:rPr>
          <w:i/>
        </w:rPr>
        <w:t>ist</w:t>
      </w:r>
      <w:r>
        <w:rPr/>
        <w:t xml:space="preserve"> alles wiederhergestellt.“ In V. 12 sind - wieder: wenn wir Vv. 12f richtig gedeutet haben - beide Bedeutungen aktiv: (1) macht V. 12 zu einer sinnvollen Antwort auf die Anfrage der Jünger in V. 11, (2) deckt sich mit der folgenden Richtigstellung in V. 13.</w:t>
      </w:r>
    </w:p>
  </w:footnote>
  <w:footnote w:id="4210">
    <w:p>
      <w:pPr>
        <w:pStyle w:val="Funote"/>
        <w:rPr/>
      </w:pPr>
      <w:r>
        <w:rPr/>
        <w:footnoteRef/>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4211">
    <w:p>
      <w:pPr>
        <w:pStyle w:val="Funote"/>
        <w:rPr/>
      </w:pPr>
      <w:r>
        <w:rPr/>
        <w:footnoteRef/>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4212">
    <w:p>
      <w:pPr>
        <w:pStyle w:val="Funote"/>
        <w:rPr/>
      </w:pPr>
      <w:r>
        <w:rPr>
          <w:i/>
        </w:rPr>
        <w:footnoteRef/>
        <w:tab/>
        <w:t>auch (sogar)</w:t>
      </w:r>
      <w:r>
        <w:rPr/>
        <w:t xml:space="preserve"> - s. </w:t>
      </w:r>
      <w:r>
        <w:fldChar w:fldCharType="begin"/>
      </w:r>
      <w:r>
        <w:instrText> HYPERLINK "http://www.offene-bibel.de/wiki/index.php5?title=Markus_9" \l "note_an"</w:instrText>
      </w:r>
      <w:r>
        <w:fldChar w:fldCharType="separate"/>
      </w:r>
      <w:r>
        <w:rPr>
          <w:rStyle w:val="Internetverknpfung"/>
        </w:rPr>
        <w:t>FN an</w:t>
      </w:r>
      <w:r>
        <w:fldChar w:fldCharType="end"/>
      </w:r>
    </w:p>
  </w:footnote>
  <w:footnote w:id="4213">
    <w:p>
      <w:pPr>
        <w:pStyle w:val="Funote"/>
        <w:rPr/>
      </w:pPr>
      <w:r>
        <w:rPr/>
        <w:footnoteRef/>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4214">
    <w:p>
      <w:pPr>
        <w:pStyle w:val="Funote"/>
        <w:rPr/>
      </w:pPr>
      <w:r>
        <w:rPr/>
        <w:footnoteRef/>
        <w:tab/>
        <w:t xml:space="preserve">begrüßte ihn [freudig] - [freudig] nach EWNT I, S. 416: </w:t>
      </w:r>
      <w:r>
        <w:rPr>
          <w:lang w:val="el-GR"/>
        </w:rPr>
        <w:t>ἀσπάζομαι</w:t>
      </w:r>
      <w:r>
        <w:rPr/>
        <w:t xml:space="preserve"> „als Ausdruck der Zuneigung, der freudigen Aufnahme“.</w:t>
      </w:r>
    </w:p>
  </w:footnote>
  <w:footnote w:id="4215">
    <w:p>
      <w:pPr>
        <w:pStyle w:val="Funote"/>
        <w:rPr/>
      </w:pPr>
      <w:r>
        <w:rPr/>
        <w:footnoteRef/>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4216">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4217">
    <w:p>
      <w:pPr>
        <w:pStyle w:val="Funote"/>
        <w:rPr/>
      </w:pPr>
      <w:r>
        <w:rPr>
          <w:i/>
        </w:rPr>
        <w:footnoteRef/>
        <w:tab/>
        <w:t>aus (aus heraus)</w:t>
      </w:r>
      <w:r>
        <w:rPr/>
        <w:t xml:space="preserve"> - vgl. </w:t>
      </w:r>
      <w:r>
        <w:fldChar w:fldCharType="begin"/>
      </w:r>
      <w:r>
        <w:instrText> HYPERLINK "http://www.offene-bibel.de/wiki/index.php5?title=Markus_9" \l "note_ac"</w:instrText>
      </w:r>
      <w:r>
        <w:fldChar w:fldCharType="separate"/>
      </w:r>
      <w:r>
        <w:rPr>
          <w:rStyle w:val="Internetverknpfung"/>
        </w:rPr>
        <w:t>FN ac</w:t>
      </w:r>
      <w:r>
        <w:fldChar w:fldCharType="end"/>
      </w:r>
      <w:r>
        <w:rPr/>
        <w:t xml:space="preserve">: </w:t>
      </w:r>
      <w:r>
        <w:rPr>
          <w:lang w:val="el-GR"/>
        </w:rPr>
        <w:t>ἐκ</w:t>
      </w:r>
      <w:r>
        <w:rPr/>
        <w:t xml:space="preserve"> verwendet wie </w:t>
      </w:r>
      <w:r>
        <w:rPr>
          <w:lang w:val="el-GR"/>
        </w:rPr>
        <w:t>ἀπό</w:t>
      </w:r>
      <w:r>
        <w:rPr/>
        <w:t>; vielleicht Semitismus - s. Turner 1929a, S. 282f.</w:t>
      </w:r>
    </w:p>
  </w:footnote>
  <w:footnote w:id="4218">
    <w:p>
      <w:pPr>
        <w:pStyle w:val="Funote"/>
        <w:rPr/>
      </w:pPr>
      <w:r>
        <w:rPr/>
        <w:footnoteRef/>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4219">
    <w:p>
      <w:pPr>
        <w:pStyle w:val="Funote"/>
        <w:rPr/>
      </w:pPr>
      <w:r>
        <w:rPr>
          <w:i/>
        </w:rPr>
        <w:footnoteRef/>
        <w:tab/>
        <w:t>weil</w:t>
      </w:r>
      <w:r>
        <w:rPr/>
        <w:t xml:space="preserve"> - </w:t>
      </w:r>
      <w:r>
        <w:fldChar w:fldCharType="begin"/>
      </w:r>
      <w:r>
        <w:instrText> HYPERLINK "http://www.offene-bibel.de/wiki/index.php5?title=Partizip" \l "Die_Sinnrichtungen"</w:instrText>
      </w:r>
      <w:r>
        <w:fldChar w:fldCharType="separate"/>
      </w:r>
      <w:r>
        <w:rPr>
          <w:rStyle w:val="Internetverknpfung"/>
        </w:rPr>
        <w:t>adv. Ptc.</w:t>
      </w:r>
      <w:r>
        <w:fldChar w:fldCharType="end"/>
      </w:r>
      <w:r>
        <w:rPr/>
        <w:t>, kausal aufgelöst.</w:t>
      </w:r>
    </w:p>
  </w:footnote>
  <w:footnote w:id="4220">
    <w:p>
      <w:pPr>
        <w:pStyle w:val="Funote"/>
        <w:rPr/>
      </w:pPr>
      <w:r>
        <w:rPr/>
        <w:footnoteRef/>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4221">
    <w:p>
      <w:pPr>
        <w:pStyle w:val="Funote"/>
        <w:rPr/>
      </w:pPr>
      <w:r>
        <w:rPr/>
        <w:footnoteRef/>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4222">
    <w:p>
      <w:pPr>
        <w:pStyle w:val="Funote"/>
        <w:rPr/>
      </w:pPr>
      <w:r>
        <w:rPr>
          <w:i/>
        </w:rPr>
        <w:footnoteRef/>
        <w:tab/>
        <w:t>anfällt (packt)</w:t>
      </w:r>
      <w:r>
        <w:rPr/>
        <w:t xml:space="preserve"> - meist „packt“. </w:t>
      </w:r>
      <w:r>
        <w:rPr>
          <w:lang w:val="el-GR"/>
        </w:rPr>
        <w:t>καταλαμβάνω</w:t>
      </w:r>
      <w:r>
        <w:rPr/>
        <w:t xml:space="preserve"> kommt von der selben Wurzel wie </w:t>
      </w:r>
      <w:r>
        <w:rPr>
          <w:lang w:val="el-GR"/>
        </w:rPr>
        <w:t>ἐπιλαμβάνομαι</w:t>
      </w:r>
      <w:r>
        <w:rPr/>
        <w:t xml:space="preserve">, das gleichzeitig </w:t>
      </w:r>
      <w:r>
        <w:rPr>
          <w:i/>
        </w:rPr>
        <w:t>terminus technicus</w:t>
      </w:r>
      <w:r>
        <w:rPr/>
        <w:t xml:space="preserve"> für Besessenheit und für den epileptischen Anfall ist (und sogar das Etymon des deutschen „Epilepsie“ ist). In „anfallen“ kommt dieser Zhg. auch im Deutschen zum Ausdruck.</w:t>
      </w:r>
    </w:p>
  </w:footnote>
  <w:footnote w:id="4223">
    <w:p>
      <w:pPr>
        <w:pStyle w:val="Funote"/>
        <w:rPr/>
      </w:pPr>
      <w:r>
        <w:rPr/>
        <w:footnoteRef/>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4224">
    <w:p>
      <w:pPr>
        <w:pStyle w:val="Funote"/>
        <w:rPr/>
      </w:pPr>
      <w:r>
        <w:rPr>
          <w:i/>
        </w:rPr>
        <w:footnoteRef/>
        <w:tab/>
        <w:t>er hat Schaum vor dem Mund (er schäumt)</w:t>
      </w:r>
      <w:r>
        <w:rPr/>
        <w:t xml:space="preserve"> + </w:t>
      </w:r>
      <w:r>
        <w:rPr>
          <w:i/>
        </w:rPr>
        <w:t>er knirscht mit den Zähnen</w:t>
      </w:r>
      <w:r>
        <w:rPr/>
        <w:t xml:space="preserve"> + </w:t>
      </w:r>
      <w:r>
        <w:rPr>
          <w:i/>
        </w:rPr>
        <w:t>er wird [ganz] starr</w:t>
      </w:r>
      <w:r>
        <w:rPr/>
        <w:t xml:space="preserve">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w:t>
      </w:r>
      <w:r>
        <w:rPr>
          <w:i/>
        </w:rPr>
        <w:t>Starr werden</w:t>
      </w:r>
      <w:r>
        <w:rPr/>
        <w:t xml:space="preserve"> gut nach Louw/Nida 23.172.; gemeint ist der Ganzkörperkrampf. Treffender: „Er hat Schaum vor dem Mund, sein Gesicht verzerrt sich und er krampft am ganzen Körper“.</w:t>
      </w:r>
    </w:p>
  </w:footnote>
  <w:footnote w:id="4225">
    <w:p>
      <w:pPr>
        <w:pStyle w:val="Funote"/>
        <w:rPr/>
      </w:pPr>
      <w:r>
        <w:rPr/>
        <w:footnoteRef/>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4226">
    <w:p>
      <w:pPr>
        <w:pStyle w:val="Funote"/>
        <w:rPr/>
      </w:pPr>
      <w:r>
        <w:rPr/>
        <w:footnoteRef/>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4227">
    <w:p>
      <w:pPr>
        <w:pStyle w:val="Funote"/>
        <w:rPr/>
      </w:pPr>
      <w:r>
        <w:rPr/>
        <w:footnoteRef/>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4228">
    <w:p>
      <w:pPr>
        <w:pStyle w:val="Funote"/>
        <w:rPr/>
      </w:pPr>
      <w:r>
        <w:rPr>
          <w:i/>
        </w:rPr>
        <w:footnoteRef/>
        <w:tab/>
        <w:t>werde (muss)</w:t>
      </w:r>
      <w:r>
        <w:rPr/>
        <w:t xml:space="preserve"> - sicher modales Futur</w:t>
      </w:r>
    </w:p>
  </w:footnote>
  <w:footnote w:id="4229">
    <w:p>
      <w:pPr>
        <w:pStyle w:val="Funote"/>
        <w:rPr/>
      </w:pPr>
      <w:r>
        <w:rPr>
          <w:i/>
        </w:rPr>
        <w:footnoteRef/>
        <w:tab/>
        <w:t>Und als der Geist ihn sah, sofort (Kaum hatte der Geist in gesehen - da)</w:t>
      </w:r>
      <w:r>
        <w:rPr/>
        <w:t xml:space="preserve"> - Das Adverb </w:t>
      </w:r>
      <w:r>
        <w:rPr>
          <w:lang w:val="el-GR"/>
        </w:rPr>
        <w:t>εὐθύς</w:t>
      </w:r>
      <w:r>
        <w:rPr/>
        <w:t xml:space="preserve"> </w:t>
      </w:r>
      <w:r>
        <w:rPr>
          <w:i/>
        </w:rPr>
        <w:t>sofort</w:t>
      </w:r>
      <w:r>
        <w:rPr/>
        <w:t xml:space="preserve"> in „zerrte er ihn sofort in Krämpfen hin und her“ hat im Griechischen die Funktion, Spannung zu erzeugen (vgl. Pryke 1987, S. 87). Daher treffender die in der Klammer angegebene Übersetzung.</w:t>
      </w:r>
    </w:p>
  </w:footnote>
  <w:footnote w:id="4230">
    <w:p>
      <w:pPr>
        <w:pStyle w:val="Funote"/>
        <w:rPr/>
      </w:pPr>
      <w:r>
        <w:rPr/>
        <w:footnoteRef/>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4231">
    <w:p>
      <w:pPr>
        <w:pStyle w:val="Funote"/>
        <w:rPr/>
      </w:pPr>
      <w:r>
        <w:rPr>
          <w:i/>
        </w:rPr>
        <w:footnoteRef/>
        <w:tab/>
        <w:t>und auf die Erde gefallen wälzte er sich schäumend (so dass der Knabe sich mit Schaum vor dem Mund auf der Erde wälzte)</w:t>
      </w:r>
      <w:r>
        <w:rPr/>
        <w:t xml:space="preserve"> - Der Satz drückt die Folgen der heftigen Konvulsionen aus; besser daher konsekutives </w:t>
      </w:r>
      <w:r>
        <w:rPr>
          <w:lang w:val="el-GR"/>
        </w:rPr>
        <w:t>καί</w:t>
      </w:r>
      <w:r>
        <w:rPr/>
        <w:t xml:space="preserve">: </w:t>
      </w:r>
      <w:r>
        <w:rPr>
          <w:i/>
        </w:rPr>
        <w:t>so dass</w:t>
      </w:r>
      <w:r>
        <w:rPr/>
        <w:t xml:space="preserve">. „Auf die Erde gefallen“ ist Partizip Aorist und drückt so das dem „Wälzen“ zeitlich relativ Vorangehende aus; schöner effektiv zu übersetzen: </w:t>
      </w:r>
      <w:r>
        <w:rPr>
          <w:i/>
        </w:rPr>
        <w:t>auf der Erde (liegend)</w:t>
      </w:r>
      <w:r>
        <w:rPr/>
        <w:t>.</w:t>
      </w:r>
    </w:p>
  </w:footnote>
  <w:footnote w:id="4232">
    <w:p>
      <w:pPr>
        <w:pStyle w:val="Funote"/>
        <w:rPr/>
      </w:pPr>
      <w:r>
        <w:rPr/>
        <w:footnoteRef/>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4233">
    <w:p>
      <w:pPr>
        <w:pStyle w:val="Funote"/>
        <w:rPr/>
      </w:pPr>
      <w:r>
        <w:rPr>
          <w:i/>
        </w:rPr>
        <w:footnoteRef/>
        <w:tab/>
        <w:t>sogar (und)</w:t>
      </w:r>
      <w:r>
        <w:rPr/>
        <w:t xml:space="preserve"> + </w:t>
      </w:r>
      <w:r>
        <w:rPr>
          <w:i/>
        </w:rPr>
        <w:t>sogar (sowohl)</w:t>
      </w:r>
      <w:r>
        <w:rPr/>
        <w:t xml:space="preserve"> - sicher emphatisches </w:t>
      </w:r>
      <w:r>
        <w:rPr>
          <w:lang w:val="el-GR"/>
        </w:rPr>
        <w:t>καὶ</w:t>
      </w:r>
      <w:r>
        <w:rPr/>
        <w:t xml:space="preserve">; hierzu gut Dana/Mantey §221.3; zur Funktion im Text siehe </w:t>
      </w:r>
      <w:r>
        <w:fldChar w:fldCharType="begin"/>
      </w:r>
      <w:r>
        <w:instrText> HYPERLINK "http://www.offene-bibel.de/wiki/index.php5?title=Markus_9" \l "note_bl"</w:instrText>
      </w:r>
      <w:r>
        <w:fldChar w:fldCharType="separate"/>
      </w:r>
      <w:r>
        <w:rPr>
          <w:rStyle w:val="Internetverknpfung"/>
        </w:rPr>
        <w:t>bl</w:t>
      </w:r>
      <w:r>
        <w:fldChar w:fldCharType="end"/>
      </w:r>
    </w:p>
  </w:footnote>
  <w:footnote w:id="4234">
    <w:p>
      <w:pPr>
        <w:pStyle w:val="Funote"/>
        <w:rPr/>
      </w:pPr>
      <w:r>
        <w:rPr/>
        <w:footnoteRef/>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4235">
    <w:p>
      <w:pPr>
        <w:pStyle w:val="Funote"/>
        <w:rPr/>
      </w:pPr>
      <w:r>
        <w:rPr/>
        <w:footnoteRef/>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4236">
    <w:p>
      <w:pPr>
        <w:pStyle w:val="Funote"/>
        <w:rPr/>
      </w:pPr>
      <w:r>
        <w:rPr/>
        <w:footnoteRef/>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4237">
    <w:p>
      <w:pPr>
        <w:pStyle w:val="Funote"/>
        <w:rPr/>
      </w:pPr>
      <w:r>
        <w:rPr/>
        <w:footnoteRef/>
        <w:tab/>
        <w:t xml:space="preserve">Das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4238">
    <w:p>
      <w:pPr>
        <w:pStyle w:val="Funote"/>
        <w:rPr/>
      </w:pPr>
      <w:r>
        <w:rPr>
          <w:i/>
        </w:rPr>
        <w:footnoteRef/>
        <w:tab/>
        <w:t xml:space="preserve">vermag </w:t>
      </w:r>
      <w:r>
        <w:rPr/>
        <w:t xml:space="preserve">Alles </w:t>
      </w:r>
      <w:r>
        <w:rPr>
          <w:i/>
        </w:rPr>
        <w:t>(ist allmächtig)</w:t>
      </w:r>
      <w:r>
        <w:rPr/>
        <w:t xml:space="preserve"> - s. </w:t>
      </w:r>
      <w:r>
        <w:fldChar w:fldCharType="begin"/>
      </w:r>
      <w:r>
        <w:instrText> HYPERLINK "http://www.offene-bibel.de/wiki/index.php5?title=Markus_9" \l "note_bk"</w:instrText>
      </w:r>
      <w:r>
        <w:fldChar w:fldCharType="separate"/>
      </w:r>
      <w:r>
        <w:rPr>
          <w:rStyle w:val="Internetverknpfung"/>
        </w:rPr>
        <w:t>FN bk</w:t>
      </w:r>
      <w:r>
        <w:fldChar w:fldCharType="end"/>
      </w:r>
      <w:r>
        <w:rPr/>
        <w:t>.</w:t>
      </w:r>
    </w:p>
  </w:footnote>
  <w:footnote w:id="4239">
    <w:p>
      <w:pPr>
        <w:pStyle w:val="Funote"/>
        <w:rPr/>
      </w:pPr>
      <w:r>
        <w:rPr/>
        <w:footnoteRef/>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4240">
    <w:p>
      <w:pPr>
        <w:pStyle w:val="Funote"/>
        <w:rPr/>
      </w:pPr>
      <w:r>
        <w:rPr/>
        <w:footnoteRef/>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4241">
    <w:p>
      <w:pPr>
        <w:pStyle w:val="Funote"/>
        <w:rPr/>
      </w:pPr>
      <w:r>
        <w:rPr>
          <w:i/>
        </w:rPr>
        <w:footnoteRef/>
        <w:tab/>
        <w:t>zusammenlief (herandrängte)</w:t>
      </w:r>
      <w:r>
        <w:rPr/>
        <w:t xml:space="preserve"> - </w:t>
      </w:r>
      <w:r>
        <w:rPr>
          <w:lang w:val="el-GR"/>
        </w:rPr>
        <w:t>ἐπισυντρέχω</w:t>
      </w:r>
      <w:r>
        <w:rPr/>
        <w:t xml:space="preserve"> ist ein Hapax Legomenon im gesamten Griechisch; Wortbildung: </w:t>
      </w:r>
      <w:r>
        <w:rPr>
          <w:lang w:val="el-GR"/>
        </w:rPr>
        <w:t>τρέχω</w:t>
      </w:r>
      <w:r>
        <w:rPr/>
        <w:t xml:space="preserve"> </w:t>
      </w:r>
      <w:r>
        <w:rPr>
          <w:i/>
        </w:rPr>
        <w:t>laufen</w:t>
      </w:r>
      <w:r>
        <w:rPr/>
        <w:t xml:space="preserve"> -&gt; </w:t>
      </w:r>
      <w:r>
        <w:rPr>
          <w:lang w:val="el-GR"/>
        </w:rPr>
        <w:t>συν-τρέχω</w:t>
      </w:r>
      <w:r>
        <w:rPr/>
        <w:t xml:space="preserve"> </w:t>
      </w:r>
      <w:r>
        <w:rPr>
          <w:i/>
        </w:rPr>
        <w:t>zusammen-laufen</w:t>
      </w:r>
      <w:r>
        <w:rPr/>
        <w:t xml:space="preserve"> -&gt; </w:t>
      </w:r>
      <w:r>
        <w:rPr>
          <w:lang w:val="el-GR"/>
        </w:rPr>
        <w:t>ἐπι-συντρέχω</w:t>
      </w:r>
      <w:r>
        <w:rPr/>
        <w:t xml:space="preserve"> </w:t>
      </w:r>
      <w:r>
        <w:rPr>
          <w:i/>
        </w:rPr>
        <w:t>heran-zusammenlaufen</w:t>
      </w:r>
      <w:r>
        <w:rPr/>
        <w:t>; gut Louw/Nida 15.134: „eilig an einen Ort zusammenlaufen“. Redundante Wortbildung („an einen Ort“ ist in „zusammenlaufen“ bereits enthalten); besser daher gesteigert: „herandrängen“.</w:t>
      </w:r>
    </w:p>
  </w:footnote>
  <w:footnote w:id="4242">
    <w:p>
      <w:pPr>
        <w:pStyle w:val="Funote"/>
        <w:rPr/>
      </w:pPr>
      <w:r>
        <w:rPr/>
        <w:footnoteRef/>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4243">
    <w:p>
      <w:pPr>
        <w:pStyle w:val="Funote"/>
        <w:rPr/>
      </w:pPr>
      <w:r>
        <w:rPr/>
        <w:footnoteRef/>
        <w:tab/>
        <w:t>Du stummer und tauber Geist - W. der stumme und taube Geist; Nominativ für Vokativ (Grosvenor/Zerwick). Kein Semitismus; vgl. Doudna 1961, S. 78.</w:t>
      </w:r>
    </w:p>
  </w:footnote>
  <w:footnote w:id="4244">
    <w:p>
      <w:pPr>
        <w:pStyle w:val="Funote"/>
        <w:rPr/>
      </w:pPr>
      <w:r>
        <w:rPr/>
        <w:footnoteRef/>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4245">
    <w:p>
      <w:pPr>
        <w:pStyle w:val="Funote"/>
        <w:rPr/>
      </w:pPr>
      <w:r>
        <w:rPr>
          <w:i/>
        </w:rPr>
        <w:footnoteRef/>
        <w:tab/>
        <w:t>wurde (war)</w:t>
      </w:r>
      <w:r>
        <w:rPr/>
        <w:t xml:space="preserve"> - Nicht: „er </w:t>
      </w:r>
      <w:r>
        <w:rPr>
          <w:i/>
        </w:rPr>
        <w:t>wurde</w:t>
      </w:r>
      <w:r>
        <w:rPr/>
        <w:t xml:space="preserv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4246">
    <w:p>
      <w:pPr>
        <w:pStyle w:val="Funote"/>
        <w:rPr/>
      </w:pPr>
      <w:r>
        <w:rPr/>
        <w:footnoteRef/>
        <w:tab/>
        <w:t xml:space="preserve">daher (sodass) - resultatives </w:t>
      </w:r>
      <w:r>
        <w:rPr>
          <w:lang w:val="el-GR"/>
        </w:rPr>
        <w:t>ὥστε</w:t>
      </w:r>
      <w:r>
        <w:rPr/>
        <w:t xml:space="preserve"> (Pryke 1978, S. 115) -&gt; „sodass“</w:t>
      </w:r>
    </w:p>
  </w:footnote>
  <w:footnote w:id="4247">
    <w:p>
      <w:pPr>
        <w:pStyle w:val="Funote"/>
        <w:rPr/>
      </w:pPr>
      <w:r>
        <w:rPr>
          <w:i/>
        </w:rPr>
        <w:footnoteRef/>
        <w:tab/>
        <w:t>die Meisten (die Menge)</w:t>
      </w:r>
      <w:r>
        <w:rPr/>
        <w:t xml:space="preserve"> - „die Meisten“ i.S.v. „die Menge“; vgl. </w:t>
      </w:r>
      <w:hyperlink r:id="rId406">
        <w:r>
          <w:rPr>
            <w:rStyle w:val="Internetverknpfung"/>
          </w:rPr>
          <w:t>Pape 671, Bed. 3</w:t>
        </w:r>
      </w:hyperlink>
    </w:p>
  </w:footnote>
  <w:footnote w:id="4248">
    <w:p>
      <w:pPr>
        <w:pStyle w:val="Funote"/>
        <w:rPr/>
      </w:pPr>
      <w:r>
        <w:rPr>
          <w:i/>
        </w:rPr>
        <w:footnoteRef/>
        <w:tab/>
        <w:t>hieß ihn aufstehen</w:t>
      </w:r>
      <w:r>
        <w:rPr/>
        <w:t xml:space="preserve"> nach Louw/Nida 17.10 („to cause to stand up“); in Anbetracht des Folgesatzes sinnvoller als „weckte ihn auf“ oder gar „erweckte ihn“. Das häufige „richtete ihn auf“ oder „zog ihn hoch“ ist gut; wäre aber eine Doppelung mit dem Folgesatz.</w:t>
      </w:r>
    </w:p>
  </w:footnote>
  <w:footnote w:id="4249">
    <w:p>
      <w:pPr>
        <w:pStyle w:val="Funote"/>
        <w:rPr/>
      </w:pPr>
      <w:r>
        <w:rPr>
          <w:i/>
        </w:rPr>
        <w:footnoteRef/>
        <w:tab/>
        <w:t>für sich</w:t>
      </w:r>
      <w:r>
        <w:rPr/>
        <w:t xml:space="preserve"> - versprachlicht hier das Motiv der Sonderbelehrung (siehe Parallelstellen); besser: „Und nachdem er ins Haus gegangen war und sie unter sich waren, fragten ihn seine Jünger“.</w:t>
      </w:r>
    </w:p>
  </w:footnote>
  <w:footnote w:id="4250">
    <w:p>
      <w:pPr>
        <w:pStyle w:val="Funote"/>
        <w:rPr/>
      </w:pPr>
      <w:r>
        <w:rPr/>
        <w:footnoteRef/>
        <w:tab/>
        <w:t xml:space="preserve">Dass (warum) - </w:t>
      </w:r>
      <w:r>
        <w:rPr>
          <w:lang w:val="el-GR"/>
        </w:rPr>
        <w:t>ὅτι</w:t>
      </w:r>
      <w:r>
        <w:rPr/>
        <w:t xml:space="preserve"> zur Einleitung von Warum-Fragen; vgl. Turner 1925d, S. 58. So auch fast alle Üss.</w:t>
      </w:r>
    </w:p>
  </w:footnote>
  <w:footnote w:id="4251">
    <w:p>
      <w:pPr>
        <w:pStyle w:val="Funote"/>
        <w:rPr/>
      </w:pPr>
      <w:r>
        <w:rPr/>
        <w:footnoteRef/>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4252">
    <w:p>
      <w:pPr>
        <w:pStyle w:val="Funote"/>
        <w:rPr/>
      </w:pPr>
      <w:r>
        <w:rPr>
          <w:i/>
        </w:rPr>
        <w:footnoteRef/>
        <w:tab/>
        <w:t>aus (gingen sie fort und)</w:t>
      </w:r>
      <w:r>
        <w:rPr/>
        <w:t xml:space="preserve"> - W. „Von dort fortgegangen seiend“</w:t>
      </w:r>
    </w:p>
  </w:footnote>
  <w:footnote w:id="4253">
    <w:p>
      <w:pPr>
        <w:pStyle w:val="Funote"/>
        <w:rPr/>
      </w:pPr>
      <w:r>
        <w:rPr/>
        <w:footnoteRef/>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4254">
    <w:p>
      <w:pPr>
        <w:pStyle w:val="Funote"/>
        <w:rPr/>
      </w:pPr>
      <w:r>
        <w:rPr>
          <w:i/>
        </w:rPr>
        <w:footnoteRef/>
        <w:tab/>
        <w:t>in die Hände der Menschen</w:t>
      </w:r>
      <w:r>
        <w:rPr/>
        <w:t xml:space="preserve"> - Biblizismus, „in die Hand von X“ entspricht „an X“, „in die Gewalt von X“. </w:t>
      </w:r>
    </w:p>
  </w:footnote>
  <w:footnote w:id="4255">
    <w:p>
      <w:pPr>
        <w:pStyle w:val="Funote"/>
        <w:rPr/>
      </w:pPr>
      <w:r>
        <w:rPr/>
        <w:footnoteRef/>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4256">
    <w:p>
      <w:pPr>
        <w:pStyle w:val="Funote"/>
        <w:rPr/>
      </w:pPr>
      <w:r>
        <w:rPr/>
        <w:footnoteRef/>
        <w:tab/>
        <w:t>nachdem (obwohl) - beide Deutungen des Partizips sind möglich; »nachdem« z.B. Gnilka 1979; Marcus 2009; Schenke 2005; »obwohl« Camacho/Mateos 1994; Kleist 1937. Beides trifft die gern gewählte Übersetzung »drei Tage nach seinem Tod wird er auferstehen«</w:t>
      </w:r>
    </w:p>
  </w:footnote>
  <w:footnote w:id="4257">
    <w:p>
      <w:pPr>
        <w:pStyle w:val="Funote"/>
        <w:rPr/>
      </w:pPr>
      <w:r>
        <w:rPr/>
        <w:footnoteRef/>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4258">
    <w:p>
      <w:pPr>
        <w:pStyle w:val="Funote"/>
        <w:rPr/>
      </w:pPr>
      <w:r>
        <w:rPr>
          <w:i/>
        </w:rPr>
        <w:footnoteRef/>
        <w:tab/>
        <w:t>war</w:t>
      </w:r>
      <w:r>
        <w:rPr/>
        <w:t xml:space="preserve">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4259">
    <w:p>
      <w:pPr>
        <w:pStyle w:val="Funote"/>
        <w:rPr/>
      </w:pPr>
      <w:r>
        <w:rPr/>
        <w:footnoteRef/>
        <w:tab/>
        <w:t>der Größte (größer) - Komparativ als Superlativ; vgl. Cranfield 1959, S. 307.</w:t>
      </w:r>
    </w:p>
  </w:footnote>
  <w:footnote w:id="4260">
    <w:p>
      <w:pPr>
        <w:pStyle w:val="Funote"/>
        <w:rPr/>
      </w:pPr>
      <w:r>
        <w:rPr/>
        <w:footnoteRef/>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und sagte:...“</w:t>
      </w:r>
    </w:p>
  </w:footnote>
  <w:footnote w:id="4261">
    <w:p>
      <w:pPr>
        <w:pStyle w:val="Funote"/>
        <w:rPr/>
      </w:pPr>
      <w:r>
        <w:rPr/>
        <w:footnoteRef/>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4262">
    <w:p>
      <w:pPr>
        <w:pStyle w:val="Funote"/>
        <w:rPr/>
      </w:pPr>
      <w:r>
        <w:rPr/>
        <w:footnoteRef/>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4263">
    <w:p>
      <w:pPr>
        <w:pStyle w:val="Funote"/>
        <w:rPr/>
      </w:pPr>
      <w:r>
        <w:rPr/>
        <w:footnoteRef/>
        <w:tab/>
        <w:t>in meinem Namen (mir zuliebe, um meinetwillen) - vgl. dazu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4264">
    <w:p>
      <w:pPr>
        <w:pStyle w:val="Funote"/>
        <w:rPr/>
      </w:pPr>
      <w:r>
        <w:rPr/>
        <w:footnoteRef/>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4265">
    <w:p>
      <w:pPr>
        <w:pStyle w:val="Funote"/>
        <w:rPr/>
      </w:pPr>
      <w:r>
        <w:rPr/>
        <w:footnoteRef/>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4266">
    <w:p>
      <w:pPr>
        <w:pStyle w:val="Funote"/>
        <w:rPr/>
      </w:pPr>
      <w:r>
        <w:rPr/>
        <w:footnoteRef/>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4267">
    <w:p>
      <w:pPr>
        <w:pStyle w:val="Funote"/>
        <w:rPr/>
      </w:pPr>
      <w:r>
        <w:rPr/>
        <w:footnoteRef/>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4268">
    <w:p>
      <w:pPr>
        <w:pStyle w:val="Funote"/>
        <w:rPr/>
      </w:pPr>
      <w:r>
        <w:rPr>
          <w:i/>
        </w:rPr>
        <w:footnoteRef/>
        <w:tab/>
        <w:t>mit meinem Namen</w:t>
      </w:r>
      <w:r>
        <w:rPr/>
        <w:t xml:space="preserve"> - </w:t>
      </w:r>
      <w:r>
        <w:rPr>
          <w:lang w:val="el-GR"/>
        </w:rPr>
        <w:t>ἐπὶ τῷ ὀνόματί</w:t>
      </w:r>
      <w:r>
        <w:rPr/>
        <w:t xml:space="preserve"> verwendet wie oben </w:t>
      </w:r>
      <w:r>
        <w:rPr>
          <w:lang w:val="el-GR"/>
        </w:rPr>
        <w:t>ἐν τῷ ὀνόματί</w:t>
      </w:r>
      <w:r>
        <w:rPr/>
        <w:t xml:space="preserve"> (s. </w:t>
      </w:r>
      <w:r>
        <w:fldChar w:fldCharType="begin"/>
      </w:r>
      <w:r>
        <w:instrText> HYPERLINK "http://www.offene-bibel.de/wiki/index.php5?title=Markus_9" \l "note_cp"</w:instrText>
      </w:r>
      <w:r>
        <w:fldChar w:fldCharType="separate"/>
      </w:r>
      <w:r>
        <w:rPr>
          <w:rStyle w:val="Internetverknpfung"/>
        </w:rPr>
        <w:t>FN cp</w:t>
      </w:r>
      <w:r>
        <w:fldChar w:fldCharType="end"/>
      </w:r>
      <w:r>
        <w:rPr/>
        <w:t>); vgl. BDAG: „der Machttaten vollbringt, indem er meinen Namen nennt“. So auch viele Üss.</w:t>
      </w:r>
    </w:p>
  </w:footnote>
  <w:footnote w:id="4269">
    <w:p>
      <w:pPr>
        <w:pStyle w:val="Funote"/>
        <w:rPr/>
      </w:pPr>
      <w:r>
        <w:rPr/>
        <w:footnoteRef/>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4270">
    <w:p>
      <w:pPr>
        <w:pStyle w:val="Funote"/>
        <w:rPr/>
      </w:pPr>
      <w:r>
        <w:rPr>
          <w:i/>
        </w:rPr>
        <w:footnoteRef/>
        <w:tab/>
        <w:t>schlecht von mir zu sprechen vermag (von mir sprechen kann)</w:t>
      </w:r>
      <w:r>
        <w:rPr/>
        <w:t xml:space="preserve"> - </w:t>
      </w:r>
      <w:r>
        <w:rPr>
          <w:lang w:val="el-GR"/>
        </w:rPr>
        <w:t>δύναμαι</w:t>
      </w:r>
      <w:r>
        <w:rPr/>
        <w:t xml:space="preserve"> </w:t>
      </w:r>
      <w:r>
        <w:rPr>
          <w:i/>
        </w:rPr>
        <w:t>vermögen</w:t>
      </w:r>
      <w:r>
        <w:rPr/>
        <w:t xml:space="preserve"> verwendet als Hilfsverb, besser einfach „verfluchen kann“. Vgl. Turner 1927a, S. 355.</w:t>
      </w:r>
    </w:p>
  </w:footnote>
  <w:footnote w:id="4271">
    <w:p>
      <w:pPr>
        <w:pStyle w:val="Funote"/>
        <w:rPr/>
      </w:pPr>
      <w:r>
        <w:rPr/>
        <w:footnoteRef/>
        <w:tab/>
        <w:t>Wer nicht gegen uns ist, ist für uns - auch dies ist ein Sprichwort; s. Cicero, Lig 11 (vgl. Cranfield 1959, S. 310).</w:t>
      </w:r>
    </w:p>
  </w:footnote>
  <w:footnote w:id="4272">
    <w:p>
      <w:pPr>
        <w:pStyle w:val="Funote"/>
        <w:rPr/>
      </w:pPr>
      <w:r>
        <w:rPr/>
        <w:footnoteRef/>
        <w:tab/>
        <w:t xml:space="preserve">Zur Strukturellen Zuordnung von Vv. 41f siehe </w:t>
      </w:r>
      <w:r>
        <w:fldChar w:fldCharType="begin"/>
      </w:r>
      <w:r>
        <w:instrText> HYPERLINK "http://www.offene-bibel.de/wiki/index.php5?title=Kommentar:Markus_9" \l "Struktur_der_Studienfassung"</w:instrText>
      </w:r>
      <w:r>
        <w:fldChar w:fldCharType="separate"/>
      </w:r>
      <w:r>
        <w:rPr>
          <w:rStyle w:val="Internetverknpfung"/>
        </w:rPr>
        <w:t>Kommentar</w:t>
      </w:r>
      <w:r>
        <w:fldChar w:fldCharType="end"/>
      </w:r>
      <w:r>
        <w:rPr/>
        <w:t>.</w:t>
      </w:r>
    </w:p>
  </w:footnote>
  <w:footnote w:id="4273">
    <w:p>
      <w:pPr>
        <w:pStyle w:val="Funote"/>
        <w:rPr/>
      </w:pPr>
      <w:r>
        <w:rPr/>
        <w:footnoteRef/>
        <w:tab/>
        <w:t xml:space="preserve">Denn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4274">
    <w:p>
      <w:pPr>
        <w:pStyle w:val="Funote"/>
        <w:rPr/>
      </w:pPr>
      <w:r>
        <w:rPr/>
        <w:footnoteRef/>
        <w:tab/>
        <w:t>[auch nur] - »einen Becher Wasser zu trinken geben« ist das geringste Werk der Gastfreundschaft (Pesch 1977, S. 110); es wird hier für die sprichwörtlich kleinstmögliche gute Tat verwendet - daher »[auch nur]«.</w:t>
      </w:r>
    </w:p>
  </w:footnote>
  <w:footnote w:id="4275">
    <w:p>
      <w:pPr>
        <w:pStyle w:val="Funote"/>
        <w:rPr/>
      </w:pPr>
      <w:r>
        <w:rPr>
          <w:i/>
        </w:rPr>
        <w:footnoteRef/>
        <w:tab/>
        <w:t>einen Becher Wasser zu trinken gibt</w:t>
      </w:r>
      <w:r>
        <w:rPr/>
        <w:t xml:space="preserve"> - im Griechischen figura etymologica: </w:t>
      </w:r>
      <w:r>
        <w:rPr>
          <w:lang w:val="el-GR"/>
        </w:rPr>
        <w:t>ποτίσῃ ποτήριον</w:t>
      </w:r>
      <w:r>
        <w:rPr/>
        <w:t xml:space="preserve"> </w:t>
      </w:r>
      <w:r>
        <w:rPr>
          <w:i/>
        </w:rPr>
        <w:t>[Wer euch] tränkt mit einem Trunk</w:t>
      </w:r>
      <w:r>
        <w:rPr/>
        <w:t xml:space="preserve"> („Trunk“ aber w. „Becher“).</w:t>
      </w:r>
    </w:p>
  </w:footnote>
  <w:footnote w:id="4276">
    <w:p>
      <w:pPr>
        <w:pStyle w:val="Funote"/>
        <w:rPr/>
      </w:pPr>
      <w:r>
        <w:rPr/>
        <w:footnoteRef/>
        <w:tab/>
        <w:t>weil (im Namen, dass) - W. »im Namen, dass«, aber gr. Idiom für »weil«; vgl. BDAG, Heitmüller 1903, S. 48.50; ad loc. Cranfield 1959, S. 312; Grosvenor/Zerwick; Taylor 1979, S. 486. So auch viele Üss. Allerdings seltenes Idiom; daher die Varianten.</w:t>
      </w:r>
    </w:p>
  </w:footnote>
  <w:footnote w:id="4277">
    <w:p>
      <w:pPr>
        <w:pStyle w:val="Funote"/>
        <w:rPr/>
      </w:pPr>
      <w:r>
        <w:rPr/>
        <w:footnoteRef/>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4278">
    <w:p>
      <w:pPr>
        <w:pStyle w:val="Funote"/>
        <w:rPr/>
      </w:pPr>
      <w:r>
        <w:rPr>
          <w:i/>
        </w:rPr>
        <w:footnoteRef/>
        <w:tab/>
        <w:t>wird seinen Lohn nicht verlieren (wird ihn bekommen)</w:t>
      </w:r>
      <w:r>
        <w:rPr/>
        <w:t xml:space="preserve">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4279">
    <w:p>
      <w:pPr>
        <w:pStyle w:val="Funote"/>
        <w:rPr/>
      </w:pPr>
      <w:r>
        <w:rPr>
          <w:i/>
        </w:rPr>
        <w:footnoteRef/>
        <w:tab/>
        <w:t>aber (und)</w:t>
      </w:r>
      <w:r>
        <w:rPr/>
        <w:t xml:space="preserve"> - „und“ zur Verknüpfung von Gegensätzen.</w:t>
      </w:r>
    </w:p>
  </w:footnote>
  <w:footnote w:id="4280">
    <w:p>
      <w:pPr>
        <w:pStyle w:val="Funote"/>
        <w:rPr/>
      </w:pPr>
      <w:r>
        <w:rPr/>
        <w:footnoteRef/>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4281">
    <w:p>
      <w:pPr>
        <w:pStyle w:val="Funote"/>
        <w:rPr/>
      </w:pPr>
      <w:r>
        <w:rPr/>
        <w:footnoteRef/>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4282">
    <w:p>
      <w:pPr>
        <w:pStyle w:val="Funote"/>
        <w:rPr/>
      </w:pPr>
      <w:r>
        <w:rPr/>
        <w:footnoteRef/>
        <w:tab/>
        <w:t>ist (wäre) - modales Indikativ; vgl. Kleist 1937, S. 216. So fast alle Üss.</w:t>
      </w:r>
    </w:p>
  </w:footnote>
  <w:footnote w:id="4283">
    <w:p>
      <w:pPr>
        <w:pStyle w:val="Funote"/>
        <w:rPr/>
      </w:pPr>
      <w:r>
        <w:rPr/>
        <w:footnoteRef/>
        <w:tab/>
        <w:t>gut (besser) - sicher Positiv als Komparativ; vgl. Zerwick §145. So auch alle Üss. Kein Semitismus; vgl. z.B. Herodot IX.26.7; auch BDR §245.</w:t>
      </w:r>
    </w:p>
  </w:footnote>
  <w:footnote w:id="4284">
    <w:p>
      <w:pPr>
        <w:pStyle w:val="Funote"/>
        <w:rPr/>
      </w:pPr>
      <w:r>
        <w:rPr/>
        <w:footnoteRef/>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4285">
    <w:p>
      <w:pPr>
        <w:pStyle w:val="Funote"/>
        <w:rPr/>
      </w:pPr>
      <w:r>
        <w:rPr/>
        <w:footnoteRef/>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4286">
    <w:p>
      <w:pPr>
        <w:pStyle w:val="Funote"/>
        <w:rPr/>
      </w:pPr>
      <w:r>
        <w:rPr/>
        <w:footnoteRef/>
        <w:tab/>
        <w:t>[Denn] - Asyndese zum Ausdruck kausaler Verhältnisse, so gut Reiser 1983, S. 143.</w:t>
      </w:r>
    </w:p>
  </w:footnote>
  <w:footnote w:id="4287">
    <w:p>
      <w:pPr>
        <w:pStyle w:val="Funote"/>
        <w:rPr/>
      </w:pPr>
      <w:r>
        <w:rPr>
          <w:i/>
        </w:rPr>
        <w:footnoteRef/>
        <w:tab/>
        <w:t>Leben</w:t>
      </w:r>
      <w:r>
        <w:rPr/>
        <w:t xml:space="preserve"> wird hier als Wechselbegriff für das „Reich Gottes“ verwendet; so eigtl. alle. „Reich Gottes“ steht ja denn auch statt „Leben“ in V. 47.</w:t>
      </w:r>
    </w:p>
  </w:footnote>
  <w:footnote w:id="4288">
    <w:p>
      <w:pPr>
        <w:pStyle w:val="Funote"/>
        <w:rPr/>
      </w:pPr>
      <w:r>
        <w:rPr>
          <w:i/>
        </w:rPr>
        <w:footnoteRef/>
        <w:tab/>
        <w:t>Gehenna (Hölle)</w:t>
      </w:r>
      <w:r>
        <w:rPr/>
        <w:t xml:space="preserve"> - „Gehenna “ war ursprünglich eine griechische Ortsbezeichnung für das Hinnomtal (</w:t>
      </w:r>
      <w:r>
        <w:rPr>
          <w:rtl w:val="true"/>
          <w:lang w:bidi="he-IL"/>
        </w:rPr>
        <w:t>גֵּי הִנּׂם</w:t>
      </w:r>
      <w:r>
        <w:rPr/>
        <w:t xml:space="preserve"> </w:t>
      </w:r>
      <w:r>
        <w:rPr>
          <w:i/>
        </w:rPr>
        <w:t>gê hinnom</w:t>
      </w:r>
      <w:r>
        <w:rPr/>
        <w:t xml:space="preserve">) im Süden Jerusalems. Wohl, weil (s. </w:t>
      </w:r>
      <w:hyperlink r:id="rId407">
        <w:r>
          <w:rPr>
            <w:rStyle w:val="Internetverknpfung"/>
          </w:rPr>
          <w:t>2Kön 16,3</w:t>
        </w:r>
      </w:hyperlink>
      <w:r>
        <w:rPr/>
        <w:t xml:space="preserve">; </w:t>
      </w:r>
      <w:hyperlink r:id="rId408">
        <w:r>
          <w:rPr>
            <w:rStyle w:val="Internetverknpfung"/>
          </w:rPr>
          <w:t>21,6</w:t>
        </w:r>
      </w:hyperlink>
      <w:r>
        <w:rPr/>
        <w:t>) dort unter Ahas und Manasse Kinder geopfert wurden, wurde es nach und nach mythisiert, bis „Gehenna“ als Wechselbegriff für die Feuerhölle verwendet werden konnte.</w:t>
      </w:r>
    </w:p>
  </w:footnote>
  <w:footnote w:id="4289">
    <w:p>
      <w:pPr>
        <w:pStyle w:val="Funote"/>
        <w:rPr/>
      </w:pPr>
      <w:r>
        <w:rPr/>
        <w:footnoteRef/>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4290">
    <w:p>
      <w:pPr>
        <w:pStyle w:val="Funote"/>
        <w:rPr/>
      </w:pPr>
      <w:r>
        <w:rPr/>
        <w:footnoteRef/>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4291">
    <w:p>
      <w:pPr>
        <w:pStyle w:val="Funote"/>
        <w:rPr/>
      </w:pPr>
      <w:r>
        <w:rPr/>
        <w:footnoteRef/>
        <w:tab/>
        <w:t>Textkritik: Vv. 44.46 sind eine Doppelung von V. 48 und fehlen in einigen wichtigen Mss.; daher werden sie heute fast einheitlich als sekundär erklärt.</w:t>
      </w:r>
    </w:p>
  </w:footnote>
  <w:footnote w:id="4292">
    <w:p>
      <w:pPr>
        <w:pStyle w:val="Funote"/>
        <w:rPr/>
      </w:pPr>
      <w:r>
        <w:rPr/>
        <w:footnoteRef/>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4293">
    <w:p>
      <w:pPr>
        <w:pStyle w:val="Funote"/>
        <w:rPr/>
      </w:pPr>
      <w:r>
        <w:rPr>
          <w:i/>
          <w:strike/>
        </w:rPr>
        <w:footnoteRef/>
        <w:tab/>
        <w:t>Denn</w:t>
      </w:r>
      <w:r>
        <w:rPr>
          <w:i/>
        </w:rPr>
        <w:t xml:space="preserve"> (Denn)</w:t>
      </w:r>
      <w:r>
        <w:rPr/>
        <w:t xml:space="preserve"> - Vv. 49f gehören sehr sicher nicht mit dem vorangehenden Abschnitt zusammen; gemeinsam ist ihnen nur das ominöse „Feuer“, dass hier aber nicht das obige Höllenfeuer meint, sondern etwas Gutes, das zum „Gesalzen-sein“ führt. Zu </w:t>
      </w:r>
      <w:r>
        <w:rPr>
          <w:i/>
          <w:strike/>
        </w:rPr>
        <w:t>denn</w:t>
      </w:r>
      <w:r>
        <w:rPr/>
        <w:t xml:space="preserve"> siehe </w:t>
      </w:r>
      <w:r>
        <w:fldChar w:fldCharType="begin"/>
      </w:r>
      <w:r>
        <w:instrText> HYPERLINK "http://www.offene-bibel.de/wiki/index.php5?title=Markus_9" \l "note_cx"</w:instrText>
      </w:r>
      <w:r>
        <w:fldChar w:fldCharType="separate"/>
      </w:r>
      <w:r>
        <w:rPr>
          <w:rStyle w:val="Internetverknpfung"/>
        </w:rPr>
        <w:t>FN cx</w:t>
      </w:r>
      <w:r>
        <w:fldChar w:fldCharType="end"/>
      </w:r>
      <w:r>
        <w:rPr/>
        <w:t>.</w:t>
      </w:r>
    </w:p>
  </w:footnote>
  <w:footnote w:id="4294">
    <w:p>
      <w:pPr>
        <w:pStyle w:val="Funote"/>
        <w:rPr/>
      </w:pPr>
      <w:r>
        <w:rPr/>
        <w:footnoteRef/>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(Bergmann 1904, nach einem ähnlichen Vorschlag von Halévy 1903). Ähnlich schlägt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4295">
    <w:p>
      <w:pPr>
        <w:pStyle w:val="Funote"/>
        <w:rPr/>
      </w:pPr>
      <w:r>
        <w:rPr/>
        <w:footnoteRef/>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4296">
    <w:p>
      <w:pPr>
        <w:pStyle w:val="Funote"/>
        <w:rPr/>
      </w:pPr>
      <w:r>
        <w:rPr/>
        <w:footnoteRef/>
        <w:tab/>
        <w:t>werdet (wollt) - wahrscheinlich deliberatives Futur, um die Frage als rhetorische Frage zu markieren (vgl. Dana/Mantey §178.4; Wallace, S. 570 u.ö.). »wollt« auch in vielen Üss.</w:t>
      </w:r>
    </w:p>
  </w:footnote>
  <w:footnote w:id="4297">
    <w:p>
      <w:pPr>
        <w:pStyle w:val="Funote"/>
        <w:rPr/>
      </w:pPr>
      <w:r>
        <w:rPr/>
        <w:footnoteRef/>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 Ein Ausdruck gegenseitiger Liebe ist das gemeinsame Essen von Salz auch in Pseudo-Clemens Brief an Jakobus: »Denn ich weiß, dass ihr diese Dinge tun werdet, wenn ihr die Liebe in eurem Geist verfestigt, und als Einstieg gibt es da nur einen sinnvollen Weg: Das gemeinsame Essen von Salz.« (Ps.Clem., Ep.Jac. 9,1f)</w:t>
      </w:r>
    </w:p>
  </w:footnote>
  <w:footnote w:id="4298">
    <w:p>
      <w:pPr>
        <w:pStyle w:val="Funote"/>
        <w:rPr/>
      </w:pPr>
      <w:r>
        <w:rPr/>
        <w:footnoteRef/>
        <w:tab/>
        <w:t>und haltet [so] - [so] gut nach Cranfield 1959, S. 317, der den ersten Imperativ als Bedingung für den zweiten liest.</w:t>
      </w:r>
    </w:p>
  </w:footnote>
  <w:footnote w:id="4299">
    <w:p>
      <w:pPr>
        <w:pStyle w:val="Funote"/>
        <w:rPr/>
      </w:pPr>
      <w:r>
        <w:rPr/>
        <w:footnoteRef/>
        <w:tab/>
        <w:t>[Status: Zuverlässig]</w:t>
      </w:r>
    </w:p>
  </w:footnote>
  <w:footnote w:id="4300">
    <w:p>
      <w:pPr>
        <w:pStyle w:val="Funote"/>
        <w:rPr/>
      </w:pPr>
      <w:r>
        <w:rPr>
          <w:i/>
        </w:rPr>
        <w:footnoteRef/>
        <w:tab/>
        <w:t>brach auf und</w:t>
      </w:r>
      <w:r>
        <w:rPr/>
        <w:t xml:space="preserve"> </w:t>
      </w:r>
      <w:hyperlink r:id="rId409">
        <w:r>
          <w:rPr>
            <w:rStyle w:val="Internetverknpfung"/>
          </w:rPr>
          <w:t>Ptz. conj.</w:t>
        </w:r>
      </w:hyperlink>
      <w:r>
        <w:rPr/>
        <w:t>, beigeordnet aufgelöst.</w:t>
      </w:r>
    </w:p>
  </w:footnote>
  <w:footnote w:id="4301">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4302">
    <w:p>
      <w:pPr>
        <w:pStyle w:val="Funote"/>
        <w:rPr/>
      </w:pPr>
      <w:r>
        <w:rPr>
          <w:i/>
        </w:rPr>
        <w:footnoteRef/>
        <w:tab/>
        <w:t>Er jedoch erwiderte {und sagte zu ihnen}</w:t>
      </w:r>
      <w:r>
        <w:rPr/>
        <w:t xml:space="preserve"> Die pleonastische Formulierung kann in der Übersetzung gekürzt werden. erwiderte Modales </w:t>
      </w:r>
      <w:hyperlink r:id="rId410">
        <w:r>
          <w:rPr>
            <w:rStyle w:val="Internetverknpfung"/>
          </w:rPr>
          <w:t>Ptz. conj.</w:t>
        </w:r>
      </w:hyperlink>
      <w:r>
        <w:rPr/>
        <w:t>, beigeordnet aufgelöst.</w:t>
      </w:r>
    </w:p>
  </w:footnote>
  <w:footnote w:id="4303">
    <w:p>
      <w:pPr>
        <w:pStyle w:val="Funote"/>
        <w:rPr/>
      </w:pPr>
      <w:r>
        <w:rPr/>
        <w:footnoteRef/>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4304">
    <w:p>
      <w:pPr>
        <w:pStyle w:val="Funote"/>
        <w:rPr/>
      </w:pPr>
      <w:r>
        <w:rPr/>
        <w:footnoteRef/>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4305">
    <w:p>
      <w:pPr>
        <w:pStyle w:val="Funote"/>
        <w:rPr/>
      </w:pPr>
      <w:r>
        <w:rPr>
          <w:i/>
        </w:rPr>
        <w:footnoteRef/>
        <w:tab/>
        <w:t>das soll (darf) ein ([der]) Mensch nicht trennen</w:t>
      </w:r>
      <w:r>
        <w:rPr/>
        <w:t xml:space="preserve"> Das Verb steht in der dritten Person des Imperativs, den man am besten mit Hilfsverb („soll“, „muss“ bzw. negativ „darf“ oder „möge“) oder einem Konjunktiv umschreibt. Hier beschreibt Jesus eine ethische Maxime aufgrund eines Schöpfungsprinzips, daher ist soll am passendsten. </w:t>
      </w:r>
      <w:r>
        <w:rPr>
          <w:i/>
        </w:rPr>
        <w:t>ein ([der]) Mensch</w:t>
      </w:r>
      <w:r>
        <w:rPr/>
        <w:t xml:space="preserve"> Gemeint ist entweder „(irgend)ein Mensch“ oder „der Mensch“ (Synonym zu „Menschheit“), wobei die meisten Übersetzungen sich für die letzte Variante entscheiden.</w:t>
      </w:r>
    </w:p>
  </w:footnote>
  <w:footnote w:id="4306">
    <w:p>
      <w:pPr>
        <w:pStyle w:val="Funote"/>
        <w:rPr/>
      </w:pPr>
      <w:r>
        <w:rPr>
          <w:i/>
        </w:rPr>
        <w:footnoteRef/>
        <w:tab/>
        <w:t>Als … da</w:t>
      </w:r>
      <w:r>
        <w:rPr/>
        <w:t xml:space="preserve"> W. „Und … und“, hier als temporales Verhältnis verstanden und übersetzt.</w:t>
      </w:r>
    </w:p>
  </w:footnote>
  <w:footnote w:id="4307">
    <w:p>
      <w:pPr>
        <w:pStyle w:val="Funote"/>
        <w:rPr/>
      </w:pPr>
      <w:r>
        <w:rPr/>
        <w:footnoteRef/>
        <w:tab/>
        <w:t>bricht an ihr die Ehe D.h. »bricht so die Ehe, die mit der ersten Frau bestand« (vgl. Collins 2007, 469).</w:t>
      </w:r>
    </w:p>
  </w:footnote>
  <w:footnote w:id="4308">
    <w:p>
      <w:pPr>
        <w:pStyle w:val="Funote"/>
        <w:rPr/>
      </w:pPr>
      <w:r>
        <w:rPr>
          <w:i/>
        </w:rPr>
        <w:footnoteRef/>
        <w:tab/>
        <w:t>sie sich ... geschieden hat und</w:t>
      </w:r>
      <w:r>
        <w:rPr/>
        <w:t xml:space="preserve"> </w:t>
      </w:r>
      <w:hyperlink r:id="rId411">
        <w:r>
          <w:rPr>
            <w:rStyle w:val="Internetverknpfung"/>
          </w:rPr>
          <w:t>Ptz. conj.</w:t>
        </w:r>
      </w:hyperlink>
      <w:r>
        <w:rPr/>
        <w:t>, beigeordnet aufgelöst.</w:t>
      </w:r>
    </w:p>
  </w:footnote>
  <w:footnote w:id="4309">
    <w:p>
      <w:pPr>
        <w:pStyle w:val="Funote"/>
        <w:rPr/>
      </w:pPr>
      <w:r>
        <w:rPr/>
        <w:footnoteRef/>
        <w:tab/>
        <w:t>versuchten, Kinder zu ihm zu bringen Das konative Imperfekt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4310">
    <w:p>
      <w:pPr>
        <w:pStyle w:val="Funote"/>
        <w:rPr/>
      </w:pPr>
      <w:r>
        <w:rPr/>
        <w:footnoteRef/>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4311">
    <w:p>
      <w:pPr>
        <w:pStyle w:val="Funote"/>
        <w:rPr/>
      </w:pPr>
      <w:r>
        <w:rPr>
          <w:i/>
        </w:rPr>
        <w:footnoteRef/>
        <w:tab/>
        <w:t>als Jesus [das] sah</w:t>
      </w:r>
      <w:r>
        <w:rPr/>
        <w:t xml:space="preserve"> Temporales </w:t>
      </w:r>
      <w:hyperlink r:id="rId412">
        <w:r>
          <w:rPr>
            <w:rStyle w:val="Internetverknpfung"/>
          </w:rPr>
          <w:t>Ptz. conj.</w:t>
        </w:r>
      </w:hyperlink>
      <w:r>
        <w:rPr/>
        <w:t>, als Nebensatz aufgelöst.</w:t>
      </w:r>
    </w:p>
  </w:footnote>
  <w:footnote w:id="4312">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313">
    <w:p>
      <w:pPr>
        <w:pStyle w:val="Funote"/>
        <w:rPr/>
      </w:pPr>
      <w:r>
        <w:rPr/>
        <w:footnoteRef/>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4314">
    <w:p>
      <w:pPr>
        <w:pStyle w:val="Funote"/>
        <w:rPr/>
      </w:pPr>
      <w:r>
        <w:rPr>
          <w:i/>
        </w:rPr>
        <w:footnoteRef/>
        <w:tab/>
        <w:t>er nahm sie in die Arme und</w:t>
      </w:r>
      <w:r>
        <w:rPr/>
        <w:t xml:space="preserve"> </w:t>
      </w:r>
      <w:hyperlink r:id="rId413">
        <w:r>
          <w:rPr>
            <w:rStyle w:val="Internetverknpfung"/>
          </w:rPr>
          <w:t>Ptz. conj.</w:t>
        </w:r>
      </w:hyperlink>
      <w:r>
        <w:rPr/>
        <w:t>, beigeordnet aufgelöst.</w:t>
      </w:r>
    </w:p>
  </w:footnote>
  <w:footnote w:id="4315">
    <w:p>
      <w:pPr>
        <w:pStyle w:val="Funote"/>
        <w:rPr/>
      </w:pPr>
      <w:r>
        <w:rPr>
          <w:i/>
        </w:rPr>
        <w:footnoteRef/>
        <w:tab/>
        <w:t>indem er … auflegte</w:t>
      </w:r>
      <w:r>
        <w:rPr/>
        <w:t xml:space="preserve"> Modales </w:t>
      </w:r>
      <w:hyperlink r:id="rId414">
        <w:r>
          <w:rPr>
            <w:rStyle w:val="Internetverknpfung"/>
          </w:rPr>
          <w:t>Ptz. conj.</w:t>
        </w:r>
      </w:hyperlink>
      <w:r>
        <w:rPr/>
        <w:t>, als Nebensatz aufgelöst.</w:t>
      </w:r>
    </w:p>
  </w:footnote>
  <w:footnote w:id="4316">
    <w:p>
      <w:pPr>
        <w:pStyle w:val="Funote"/>
        <w:rPr/>
      </w:pPr>
      <w:r>
        <w:rPr>
          <w:i/>
        </w:rPr>
        <w:footnoteRef/>
        <w:tab/>
        <w:t>kam angerannt und kniete sich hin</w:t>
      </w:r>
      <w:r>
        <w:rPr/>
        <w:t xml:space="preserve"> Temp. </w:t>
      </w:r>
      <w:hyperlink r:id="rId415">
        <w:r>
          <w:rPr>
            <w:rStyle w:val="Internetverknpfung"/>
          </w:rPr>
          <w:t>Ptz. conj.</w:t>
        </w:r>
      </w:hyperlink>
      <w:r>
        <w:rPr/>
        <w:t xml:space="preserve"> (2x), hier als separater Hauptsatz wiedergeben.</w:t>
      </w:r>
    </w:p>
  </w:footnote>
  <w:footnote w:id="4317">
    <w:p>
      <w:pPr>
        <w:pStyle w:val="Funote"/>
        <w:rPr/>
      </w:pPr>
      <w:r>
        <w:rPr/>
        <w:footnoteRef/>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4318">
    <w:p>
      <w:pPr>
        <w:pStyle w:val="Funote"/>
        <w:rPr/>
      </w:pPr>
      <w:r>
        <w:rPr/>
        <w:footnoteRef/>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4319">
    <w:p>
      <w:pPr>
        <w:pStyle w:val="Funote"/>
        <w:rPr/>
      </w:pPr>
      <w:r>
        <w:rPr>
          <w:i/>
        </w:rPr>
        <w:footnoteRef/>
        <w:tab/>
        <w:t>sah ihn an und</w:t>
      </w:r>
      <w:r>
        <w:rPr/>
        <w:t xml:space="preserve"> Beigeordnet aufgelöstes </w:t>
      </w:r>
      <w:hyperlink r:id="rId416">
        <w:r>
          <w:rPr>
            <w:rStyle w:val="Internetverknpfung"/>
          </w:rPr>
          <w:t>Ptz. conj.</w:t>
        </w:r>
      </w:hyperlink>
      <w:r>
        <w:rPr/>
        <w:t>.</w:t>
      </w:r>
    </w:p>
  </w:footnote>
  <w:footnote w:id="4320">
    <w:p>
      <w:pPr>
        <w:pStyle w:val="Funote"/>
        <w:rPr/>
      </w:pPr>
      <w:r>
        <w:rPr/>
        <w:footnoteRef/>
        <w:tab/>
        <w:t>gewann ihn lieb Oder: »zeigte seine Liebe (mit einer Geste)« Die vielleicht sinnvollste Übersetzung von »liebte« ist als ingressives Aorist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4321">
    <w:p>
      <w:pPr>
        <w:pStyle w:val="Funote"/>
        <w:rPr/>
      </w:pPr>
      <w:r>
        <w:rPr>
          <w:i/>
        </w:rPr>
        <w:footnoteRef/>
        <w:tab/>
        <w:t>erschüttert (getroffen; enttäuscht)</w:t>
      </w:r>
      <w:r>
        <w:rPr/>
        <w:t xml:space="preserve">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4322">
    <w:p>
      <w:pPr>
        <w:pStyle w:val="Funote"/>
        <w:rPr/>
      </w:pPr>
      <w:r>
        <w:rPr>
          <w:i/>
        </w:rPr>
        <w:footnoteRef/>
        <w:tab/>
        <w:t>war erschüttert … und</w:t>
      </w:r>
      <w:r>
        <w:rPr/>
        <w:t xml:space="preserve"> </w:t>
      </w:r>
      <w:hyperlink r:id="rId417">
        <w:r>
          <w:rPr>
            <w:rStyle w:val="Internetverknpfung"/>
          </w:rPr>
          <w:t>Ptz. conj.</w:t>
        </w:r>
      </w:hyperlink>
      <w:r>
        <w:rPr/>
        <w:t>, beigeordnet aufgelöst.</w:t>
      </w:r>
    </w:p>
  </w:footnote>
  <w:footnote w:id="4323">
    <w:p>
      <w:pPr>
        <w:pStyle w:val="Funote"/>
        <w:rPr/>
      </w:pPr>
      <w:r>
        <w:rPr>
          <w:i/>
        </w:rPr>
        <w:footnoteRef/>
        <w:tab/>
        <w:t>er besaß</w:t>
      </w:r>
      <w:r>
        <w:rPr/>
        <w:t xml:space="preserve"> </w:t>
      </w:r>
      <w:hyperlink r:id="rId418">
        <w:r>
          <w:rPr>
            <w:rStyle w:val="Internetverknpfung"/>
          </w:rPr>
          <w:t>Pleonastisches Ptz.</w:t>
        </w:r>
      </w:hyperlink>
    </w:p>
  </w:footnote>
  <w:footnote w:id="4324">
    <w:p>
      <w:pPr>
        <w:pStyle w:val="Funote"/>
        <w:rPr/>
      </w:pPr>
      <w:r>
        <w:rPr>
          <w:i/>
        </w:rPr>
        <w:footnoteRef/>
        <w:tab/>
        <w:t>schaute sich um und</w:t>
      </w:r>
      <w:r>
        <w:rPr/>
        <w:t xml:space="preserve"> </w:t>
      </w:r>
      <w:hyperlink r:id="rId419">
        <w:r>
          <w:rPr>
            <w:rStyle w:val="Internetverknpfung"/>
          </w:rPr>
          <w:t>Ptz. conj.</w:t>
        </w:r>
      </w:hyperlink>
      <w:r>
        <w:rPr/>
        <w:t>, beigeordnet aufgelöst. Eine weitere mögliche Auflösung wäre z.B. „mit/nach einem Blick in die Runde“</w:t>
      </w:r>
    </w:p>
  </w:footnote>
  <w:footnote w:id="4325">
    <w:p>
      <w:pPr>
        <w:pStyle w:val="Funote"/>
        <w:rPr/>
      </w:pPr>
      <w:r>
        <w:rPr/>
        <w:footnoteRef/>
        <w:tab/>
        <w:t>die Wohlhabenden W. etwa »diejenigen, welche {die} Güter/Reichtümer haben« (subst. Ptz.), oder wie NGÜ: »Menschen, die viel besitzen«</w:t>
      </w:r>
    </w:p>
  </w:footnote>
  <w:footnote w:id="4326">
    <w:p>
      <w:pPr>
        <w:pStyle w:val="Funote"/>
        <w:rPr/>
      </w:pPr>
      <w:r>
        <w:rPr>
          <w:i/>
        </w:rPr>
        <w:footnoteRef/>
        <w:tab/>
        <w:t>überrascht (bestürzt, entgeistert)</w:t>
      </w:r>
      <w:r>
        <w:rPr/>
        <w:t xml:space="preserve"> D.h. sie hatten so eine Aussage von Jesus nicht erwartet.</w:t>
      </w:r>
    </w:p>
  </w:footnote>
  <w:footnote w:id="4327">
    <w:p>
      <w:pPr>
        <w:pStyle w:val="Funote"/>
        <w:rPr/>
      </w:pPr>
      <w:r>
        <w:rPr/>
        <w:footnoteRef/>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4328">
    <w:p>
      <w:pPr>
        <w:pStyle w:val="Funote"/>
        <w:rPr/>
      </w:pPr>
      <w:r>
        <w:rPr/>
        <w:footnoteRef/>
        <w:tab/>
        <w:t>Kinder D.h. etwa »Leute«, eine freundliche Anrede an die Jüngergruppe (vgl. France 2002, 404). Vgl. Joh 21,5, wo die Wiedergabe mit »Männer« etwas angemessener ist und den Vorzug erhielt.</w:t>
      </w:r>
    </w:p>
  </w:footnote>
  <w:footnote w:id="4329">
    <w:p>
      <w:pPr>
        <w:pStyle w:val="Funote"/>
        <w:rPr/>
      </w:pPr>
      <w:r>
        <w:rPr/>
        <w:footnoteRef/>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4330">
    <w:p>
      <w:pPr>
        <w:pStyle w:val="Funote"/>
        <w:rPr/>
      </w:pPr>
      <w:r>
        <w:rPr/>
        <w:footnoteRef/>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4331">
    <w:p>
      <w:pPr>
        <w:pStyle w:val="Funote"/>
        <w:rPr/>
      </w:pPr>
      <w:r>
        <w:rPr>
          <w:i/>
        </w:rPr>
        <w:footnoteRef/>
        <w:tab/>
        <w:t>und sagten</w:t>
      </w:r>
      <w:r>
        <w:rPr/>
        <w:t xml:space="preserve"> </w:t>
      </w:r>
      <w:hyperlink r:id="rId420">
        <w:r>
          <w:rPr>
            <w:rStyle w:val="Internetverknpfung"/>
          </w:rPr>
          <w:t>Ptz. conj.</w:t>
        </w:r>
      </w:hyperlink>
      <w:r>
        <w:rPr/>
        <w:t xml:space="preserve">, beigeordnet aufgelöst. </w:t>
      </w:r>
    </w:p>
  </w:footnote>
  <w:footnote w:id="4332">
    <w:p>
      <w:pPr>
        <w:pStyle w:val="Funote"/>
        <w:rPr/>
      </w:pPr>
      <w:r>
        <w:rPr>
          <w:i/>
        </w:rPr>
        <w:footnoteRef/>
        <w:tab/>
        <w:t>sah an und</w:t>
      </w:r>
      <w:r>
        <w:rPr/>
        <w:t xml:space="preserve"> </w:t>
      </w:r>
      <w:hyperlink r:id="rId421">
        <w:r>
          <w:rPr>
            <w:rStyle w:val="Internetverknpfung"/>
          </w:rPr>
          <w:t>Ptz. conj.</w:t>
        </w:r>
      </w:hyperlink>
      <w:r>
        <w:rPr/>
        <w:t xml:space="preserve">, beigeordnet aufgelöst. </w:t>
      </w:r>
    </w:p>
  </w:footnote>
  <w:footnote w:id="4333">
    <w:p>
      <w:pPr>
        <w:pStyle w:val="Funote"/>
        <w:rPr/>
      </w:pPr>
      <w:r>
        <w:rPr>
          <w:i/>
        </w:rPr>
        <w:footnoteRef/>
        <w:tab/>
        <w:t>sagte</w:t>
      </w:r>
      <w:r>
        <w:rPr/>
        <w:t xml:space="preserve"> W. „fing an zu sagen“, eine bei Markus typische Wendung, wo „anfangen“ sehr schwache Bedeutung hat.</w:t>
      </w:r>
    </w:p>
  </w:footnote>
  <w:footnote w:id="4334">
    <w:p>
      <w:pPr>
        <w:pStyle w:val="Funote"/>
        <w:rPr/>
      </w:pPr>
      <w:r>
        <w:rPr/>
        <w:footnoteRef/>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4335">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336">
    <w:p>
      <w:pPr>
        <w:pStyle w:val="Funote"/>
        <w:rPr/>
      </w:pPr>
      <w:r>
        <w:rPr>
          <w:i/>
        </w:rPr>
        <w:footnoteRef/>
        <w:tab/>
        <w:t>der nicht</w:t>
      </w:r>
      <w:r>
        <w:rPr/>
        <w:t xml:space="preserve"> W. „(Es gibt niemanden (V. 29)...,) wenn er nicht“</w:t>
      </w:r>
    </w:p>
  </w:footnote>
  <w:footnote w:id="4337">
    <w:p>
      <w:pPr>
        <w:pStyle w:val="Funote"/>
        <w:rPr/>
      </w:pPr>
      <w:r>
        <w:rPr/>
        <w:footnoteRef/>
        <w:tab/>
        <w:t xml:space="preserve">[wenn auch] unter Verfolgungen bezieht sich auf Begleitumstände (BA </w:t>
      </w:r>
      <w:r>
        <w:rPr>
          <w:lang w:val="el-GR"/>
        </w:rPr>
        <w:t>μετά</w:t>
      </w:r>
      <w:r>
        <w:rPr/>
        <w:t>, III.2.). [wenn auch] wurde daher sinngemäß eingefügt, weil »unter Verfolgungen« eine Einschränkung bezeichnet, die man im Deutschen auf diese Weise einleitet.</w:t>
      </w:r>
    </w:p>
  </w:footnote>
  <w:footnote w:id="4338">
    <w:p>
      <w:pPr>
        <w:pStyle w:val="Funote"/>
        <w:rPr/>
      </w:pPr>
      <w:r>
        <w:rPr/>
        <w:footnoteRef/>
        <w:tab/>
        <w:t>Sie waren auf dem Weg nach Jerusalem, und Jesus ging ihnen voran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nach Westen gen Jerusalem.</w:t>
      </w:r>
    </w:p>
  </w:footnote>
  <w:footnote w:id="4339">
    <w:p>
      <w:pPr>
        <w:pStyle w:val="Funote"/>
        <w:rPr/>
      </w:pPr>
      <w:r>
        <w:rPr/>
        <w:footnoteRef/>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zumarschierend darstellt (ebd.). Das Imperfekt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4340">
    <w:p>
      <w:pPr>
        <w:pStyle w:val="Funote"/>
        <w:rPr/>
      </w:pPr>
      <w:r>
        <w:rPr/>
        <w:footnoteRef/>
        <w:tab/>
        <w:t>die hinter ihm hergingen (die ihm Folgenden, seine Nachfolger) (Subst. Ptz.)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4341">
    <w:p>
      <w:pPr>
        <w:pStyle w:val="Funote"/>
        <w:rPr/>
      </w:pPr>
      <w:r>
        <w:rPr>
          <w:i/>
        </w:rPr>
        <w:footnoteRef/>
        <w:tab/>
        <w:t>nahm beiseite und</w:t>
      </w:r>
      <w:r>
        <w:rPr/>
        <w:t xml:space="preserve"> </w:t>
      </w:r>
      <w:hyperlink r:id="rId422">
        <w:r>
          <w:rPr>
            <w:rStyle w:val="Internetverknpfung"/>
          </w:rPr>
          <w:t>Ptz. conj.</w:t>
        </w:r>
      </w:hyperlink>
      <w:r>
        <w:rPr/>
        <w:t xml:space="preserve">, beigeordnet aufgelöst. </w:t>
      </w:r>
      <w:r>
        <w:rPr>
          <w:i/>
        </w:rPr>
        <w:t>teilte ihnen mit</w:t>
      </w:r>
      <w:r>
        <w:rPr/>
        <w:t xml:space="preserve"> W. „begann ihnen zu sagen“</w:t>
      </w:r>
    </w:p>
  </w:footnote>
  <w:footnote w:id="4342">
    <w:p>
      <w:pPr>
        <w:pStyle w:val="Funote"/>
        <w:rPr/>
      </w:pPr>
      <w:r>
        <w:rPr/>
        <w:footnoteRef/>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4343">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344">
    <w:p>
      <w:pPr>
        <w:pStyle w:val="Funote"/>
        <w:rPr/>
      </w:pPr>
      <w:r>
        <w:rPr>
          <w:i/>
        </w:rPr>
        <w:footnoteRef/>
        <w:tab/>
        <w:t>[für] uns</w:t>
      </w:r>
      <w:r>
        <w:rPr/>
        <w:t xml:space="preserve"> </w:t>
      </w:r>
      <w:hyperlink r:id="rId423">
        <w:r>
          <w:rPr>
            <w:rStyle w:val="Internetverknpfung"/>
          </w:rPr>
          <w:t>Dat. commodi</w:t>
        </w:r>
      </w:hyperlink>
      <w:r>
        <w:rPr/>
        <w:t>.</w:t>
      </w:r>
    </w:p>
  </w:footnote>
  <w:footnote w:id="4345">
    <w:p>
      <w:pPr>
        <w:pStyle w:val="Funote"/>
        <w:rPr/>
      </w:pPr>
      <w:r>
        <w:rPr>
          <w:i/>
        </w:rPr>
        <w:footnoteRef/>
        <w:tab/>
        <w:t>[für] euch</w:t>
      </w:r>
      <w:r>
        <w:rPr/>
        <w:t xml:space="preserve"> </w:t>
      </w:r>
      <w:hyperlink r:id="rId424">
        <w:r>
          <w:rPr>
            <w:rStyle w:val="Internetverknpfung"/>
          </w:rPr>
          <w:t>Dat. commodi</w:t>
        </w:r>
      </w:hyperlink>
      <w:r>
        <w:rPr/>
        <w:t>.</w:t>
      </w:r>
    </w:p>
  </w:footnote>
  <w:footnote w:id="4346">
    <w:p>
      <w:pPr>
        <w:pStyle w:val="Funote"/>
        <w:rPr/>
      </w:pPr>
      <w:r>
        <w:rPr>
          <w:i/>
        </w:rPr>
        <w:footnoteRef/>
        <w:tab/>
        <w:t>Gestatte uns</w:t>
      </w:r>
      <w:r>
        <w:rPr/>
        <w:t xml:space="preserve"> W. „Gib uns“, was wohl eine respektvolle Formulierung ist.</w:t>
      </w:r>
    </w:p>
  </w:footnote>
  <w:footnote w:id="4347">
    <w:p>
      <w:pPr>
        <w:pStyle w:val="Funote"/>
        <w:rPr/>
      </w:pPr>
      <w:r>
        <w:rPr/>
        <w:footnoteRef/>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4348">
    <w:p>
      <w:pPr>
        <w:pStyle w:val="Funote"/>
        <w:rPr/>
      </w:pPr>
      <w:r>
        <w:rPr/>
        <w:footnoteRef/>
        <w:tab/>
        <w:t xml:space="preserve">[mit] der Taufe getauft werden Bei [mit] der Taufe handelt es sich um einen »Akkusativ des inneren Objekts«, einen Akkusativ, der hinsichtlich Stamm oder Sinn mit dem dazugehörigen Verb übereinstimmt und so eine figura etymologica bildet (Siebenthal 2011, §151a). Jesus prägt hier scheinbar eine neue Metapher, indem er gleichzeitig die Taufe von Johannes dem Täufer (mit der er getauft wurde) und den verbreiteten übertragenen Gebrauch des gr. </w:t>
      </w:r>
      <w:r>
        <w:rPr>
          <w:lang w:val="el-GR"/>
        </w:rPr>
        <w:t>βαπτίζομαι</w:t>
      </w:r>
      <w:r>
        <w:rPr/>
        <w:t xml:space="preserve"> »überwältigt sein« ins Bewusstsein ruft und so zu einem Bild für das Martyrium verbindet (France 2002, 416f.; vgl. BA 3c). (Vergleichbare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4349">
    <w:p>
      <w:pPr>
        <w:pStyle w:val="Funote"/>
        <w:rPr/>
      </w:pPr>
      <w:r>
        <w:rPr>
          <w:i/>
        </w:rPr>
        <w:footnoteRef/>
        <w:tab/>
        <w:t>gewähren</w:t>
      </w:r>
      <w:r>
        <w:rPr/>
        <w:t xml:space="preserve"> W. „geben“ (vgl. V. 37)</w:t>
      </w:r>
    </w:p>
  </w:footnote>
  <w:footnote w:id="4350">
    <w:p>
      <w:pPr>
        <w:pStyle w:val="Funote"/>
        <w:rPr/>
      </w:pPr>
      <w:r>
        <w:rPr/>
        <w:footnoteRef/>
        <w:tab/>
        <w:t>sondern [das Sitzen steht denjenigen zu], [für] die es vorgesehen (bestimmt, bereitet) ist D.h. »Auf diesen Plätzen werden diejenigen Sitzen, die dafür vorgesehen sind«, und zwar (wie das Passiv anzeigt) von Gott (France 2002, 417). [für] die Dat. commodi.</w:t>
      </w:r>
    </w:p>
  </w:footnote>
  <w:footnote w:id="4351">
    <w:p>
      <w:pPr>
        <w:pStyle w:val="Funote"/>
        <w:rPr/>
      </w:pPr>
      <w:r>
        <w:rPr>
          <w:i/>
        </w:rPr>
        <w:footnoteRef/>
        <w:tab/>
        <w:t>als ... hörten</w:t>
      </w:r>
      <w:r>
        <w:rPr/>
        <w:t xml:space="preserve"> </w:t>
      </w:r>
      <w:hyperlink r:id="rId425">
        <w:r>
          <w:rPr>
            <w:rStyle w:val="Internetverknpfung"/>
          </w:rPr>
          <w:t>Ptz. conj.</w:t>
        </w:r>
      </w:hyperlink>
      <w:r>
        <w:rPr/>
        <w:t>, als temporaler Nebensatz aufgelöst.</w:t>
      </w:r>
    </w:p>
  </w:footnote>
  <w:footnote w:id="4352">
    <w:p>
      <w:pPr>
        <w:pStyle w:val="Funote"/>
        <w:rPr/>
      </w:pPr>
      <w:r>
        <w:rPr>
          <w:i/>
        </w:rPr>
        <w:footnoteRef/>
        <w:tab/>
        <w:t>waren sie wütend</w:t>
      </w:r>
      <w:r>
        <w:rPr/>
        <w:t xml:space="preserve"> W. „begannen sie, wütend zu sein“</w:t>
      </w:r>
    </w:p>
  </w:footnote>
  <w:footnote w:id="4353">
    <w:p>
      <w:pPr>
        <w:pStyle w:val="Funote"/>
        <w:rPr/>
      </w:pPr>
      <w:r>
        <w:rPr/>
        <w:footnoteRef/>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4354">
    <w:p>
      <w:pPr>
        <w:pStyle w:val="Funote"/>
        <w:rPr/>
      </w:pPr>
      <w:r>
        <w:rPr>
          <w:i/>
        </w:rPr>
        <w:footnoteRef/>
        <w:tab/>
        <w:t>die Menschen</w:t>
      </w:r>
      <w:r>
        <w:rPr/>
        <w:t xml:space="preserve"> W. „sie“, d.h. ihre Völker oder Untertanen.</w:t>
      </w:r>
    </w:p>
  </w:footnote>
  <w:footnote w:id="4355">
    <w:p>
      <w:pPr>
        <w:pStyle w:val="Funote"/>
        <w:rPr/>
      </w:pPr>
      <w:r>
        <w:rPr/>
        <w:footnoteRef/>
        <w:tab/>
        <w:t>als er von Jericho aufbrach, [er] und seine Jünger und eine beachtliche Menschenmenge Diese Temporalangabe (Gen. abs.)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4356">
    <w:p>
      <w:pPr>
        <w:pStyle w:val="Funote"/>
        <w:rPr/>
      </w:pPr>
      <w:r>
        <w:rPr/>
        <w:footnoteRef/>
        <w:tab/>
        <w:t>der Sohn von Timäus, Bartimäus Der Name »Bartimäus« bedeutet auf Aramäisch eben das – Sohn von Timäus/Timai (</w:t>
      </w:r>
      <w:r>
        <w:rPr>
          <w:rtl w:val="true"/>
          <w:lang w:bidi="he-IL"/>
        </w:rPr>
        <w:t>בר טמאי</w:t>
      </w:r>
      <w:r>
        <w:rPr/>
        <w:t xml:space="preserve"> </w:t>
      </w:r>
      <w:r>
        <w:rPr/>
        <w:t>bar ṭimʾay). Es könnte auch sein, dass ein anderer aramäische Name hinter der griechischen Form steht. Verknüpfungen mit aramäischen Wörtern für »blind« oder »unrein« wären möglich, sind aber sehr unsicher (Collins 2007, 508f.; vgl. Evans 2001, 131).</w:t>
      </w:r>
    </w:p>
  </w:footnote>
  <w:footnote w:id="4357">
    <w:p>
      <w:pPr>
        <w:pStyle w:val="Funote"/>
        <w:rPr/>
      </w:pPr>
      <w:r>
        <w:rPr/>
        <w:footnoteRef/>
        <w:tab/>
        <w:t xml:space="preserve">am Straßenrand W. »bei/neben der Straße/Weg«, Gr. </w:t>
      </w:r>
      <w:r>
        <w:rPr>
          <w:lang w:val="el-GR"/>
        </w:rPr>
        <w:t>παρὰ τὴν ὁδόν</w:t>
      </w:r>
      <w:r>
        <w:rPr/>
        <w:t xml:space="preserve">. Die genaue Ortsangabe, die im Griechischen die Präposition </w:t>
      </w:r>
      <w:r>
        <w:rPr>
          <w:lang w:val="el-GR"/>
        </w:rPr>
        <w:t>παρὰ</w:t>
      </w:r>
      <w:r>
        <w:rPr/>
        <w:t xml:space="preserve"> ausdrückt, lässt sich im Deutschen nur mittels einer Abwandlung des Substantivs von »Straße« zu »Straßenrand« erreichen (vgl. Mk 4,4.15). Die Position des Bettlers am Straßenrand am Ortsausgang war gut gewählt, weil so der gesamte Reiseverkehr nach Jerusalem an ihm vorbeikommen musste. Nicht nur wohlhabende Reisende, sondern auch Pilger wie Jesus und seine Jünger wären vermutlich zu einem Almosen bereit gewesen (Evans 2001, 131).</w:t>
      </w:r>
    </w:p>
  </w:footnote>
  <w:footnote w:id="4358">
    <w:p>
      <w:pPr>
        <w:pStyle w:val="Funote"/>
        <w:rPr/>
      </w:pPr>
      <w:r>
        <w:rPr>
          <w:i/>
        </w:rPr>
        <w:footnoteRef/>
        <w:tab/>
        <w:t>als er hörte</w:t>
      </w:r>
      <w:r>
        <w:rPr/>
        <w:t xml:space="preserve"> </w:t>
      </w:r>
      <w:hyperlink r:id="rId426">
        <w:r>
          <w:rPr>
            <w:rStyle w:val="Internetverknpfung"/>
          </w:rPr>
          <w:t>Ptz. conj.</w:t>
        </w:r>
      </w:hyperlink>
      <w:r>
        <w:rPr/>
        <w:t>, als temporaler Nebensatz aufgelöst.</w:t>
      </w:r>
    </w:p>
  </w:footnote>
  <w:footnote w:id="4359">
    <w:p>
      <w:pPr>
        <w:pStyle w:val="Funote"/>
        <w:rPr/>
      </w:pPr>
      <w:r>
        <w:rPr/>
        <w:footnoteRef/>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4360">
    <w:p>
      <w:pPr>
        <w:pStyle w:val="Funote"/>
        <w:rPr/>
      </w:pPr>
      <w:r>
        <w:rPr/>
        <w:footnoteRef/>
        <w:tab/>
        <w:t>blieb stehen sowie und sagten Ptz. conj., beigeordnet aufgelöst. blieb stehen (stand auf) Das griechische Wort heißt einfach »er stand«, kann aber für »aufstehen« oder »stehen bleiben« benutzt werden. Stand Jesus auf, dann hatte er sich vielleicht vorher zum Lehren niedergelassen (Evans 2001, 133).</w:t>
      </w:r>
    </w:p>
  </w:footnote>
  <w:footnote w:id="4361">
    <w:p>
      <w:pPr>
        <w:pStyle w:val="Funote"/>
        <w:rPr/>
      </w:pPr>
      <w:r>
        <w:rPr>
          <w:i/>
        </w:rPr>
        <w:footnoteRef/>
        <w:tab/>
        <w:t>warf er … ab, sprang auf und</w:t>
      </w:r>
      <w:r>
        <w:rPr/>
        <w:t xml:space="preserve"> </w:t>
      </w:r>
      <w:hyperlink r:id="rId427">
        <w:r>
          <w:rPr>
            <w:rStyle w:val="Internetverknpfung"/>
          </w:rPr>
          <w:t>Ptz. conj.</w:t>
        </w:r>
      </w:hyperlink>
      <w:r>
        <w:rPr/>
        <w:t xml:space="preserve"> (2x), beigeordnet aufgelöst.</w:t>
      </w:r>
    </w:p>
  </w:footnote>
  <w:footnote w:id="4362">
    <w:p>
      <w:pPr>
        <w:pStyle w:val="Funote"/>
        <w:rPr/>
      </w:pPr>
      <w:r>
        <w:rPr>
          <w:i/>
        </w:rPr>
        <w:footnoteRef/>
        <w:tab/>
        <w:t>fragte ihn</w:t>
      </w:r>
      <w:r>
        <w:rPr/>
        <w:t xml:space="preserve"> W. „antwortete ihm und sagte“ Jesus „antwortet“ (d.h. reagiert) hier auf die Situation, vielleicht auf die Zurufe des Bettlers (DBL Greek 646), allerdings mit einer eigenen Frage (vgl. V. 24).</w:t>
      </w:r>
    </w:p>
  </w:footnote>
  <w:footnote w:id="4363">
    <w:p>
      <w:pPr>
        <w:pStyle w:val="Funote"/>
        <w:rPr/>
      </w:pPr>
      <w:r>
        <w:rPr/>
        <w:footnoteRef/>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4364">
    <w:p>
      <w:pPr>
        <w:pStyle w:val="Funote"/>
        <w:rPr/>
      </w:pPr>
      <w:r>
        <w:rPr/>
        <w:footnoteRef/>
        <w:tab/>
        <w:t>Geh D.h. »Geh nur!« (GNB, NGÜ). Vgl. 7,29. Gemeint ist einfach, dass er geheilt ist und gehen kann, wenn er möchte. Markus stellt Bartimäus also nicht als ungehorsam dar, wenn er sich Jesus im nächsten Vers anschließt (France 2002, 425).</w:t>
      </w:r>
    </w:p>
  </w:footnote>
  <w:footnote w:id="4365">
    <w:p>
      <w:pPr>
        <w:pStyle w:val="Funote"/>
        <w:rPr/>
      </w:pPr>
      <w:r>
        <w:rPr/>
        <w:footnoteRef/>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4366">
    <w:p>
      <w:pPr>
        <w:pStyle w:val="Funote"/>
        <w:rPr/>
      </w:pPr>
      <w:r>
        <w:rPr/>
        <w:footnoteRef/>
        <w:tab/>
        <w:t>[Status: Zuverlässig]</w:t>
      </w:r>
    </w:p>
  </w:footnote>
  <w:footnote w:id="4367">
    <w:p>
      <w:pPr>
        <w:pStyle w:val="Funote"/>
        <w:rPr/>
      </w:pPr>
      <w:r>
        <w:rPr/>
        <w:footnoteRef/>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4368">
    <w:p>
      <w:pPr>
        <w:pStyle w:val="Funote"/>
        <w:rPr/>
      </w:pPr>
      <w:r>
        <w:rPr>
          <w:i/>
        </w:rPr>
        <w:footnoteRef/>
        <w:tab/>
        <w:t>Er sagte</w:t>
      </w:r>
      <w:r>
        <w:rPr/>
        <w:t xml:space="preserve"> Modales </w:t>
      </w:r>
      <w:hyperlink r:id="rId428">
        <w:r>
          <w:rPr>
            <w:rStyle w:val="Internetverknpfung"/>
          </w:rPr>
          <w:t>Ptz. conj.</w:t>
        </w:r>
      </w:hyperlink>
      <w:r>
        <w:rPr/>
        <w:t>, als eigenständiger Hauptsatz aufgelöst.</w:t>
      </w:r>
    </w:p>
  </w:footnote>
  <w:footnote w:id="4369">
    <w:p>
      <w:pPr>
        <w:pStyle w:val="Funote"/>
        <w:rPr/>
      </w:pPr>
      <w:r>
        <w:rPr>
          <w:i/>
        </w:rPr>
        <w:footnoteRef/>
        <w:tab/>
        <w:t>wenn ihr hineingeht</w:t>
      </w:r>
      <w:r>
        <w:rPr/>
        <w:t xml:space="preserve"> Temporales </w:t>
      </w:r>
      <w:hyperlink r:id="rId429">
        <w:r>
          <w:rPr>
            <w:rStyle w:val="Internetverknpfung"/>
          </w:rPr>
          <w:t>Ptz. conj.</w:t>
        </w:r>
      </w:hyperlink>
      <w:r>
        <w:rPr/>
        <w:t>, als Nebensatz aufgelöst.</w:t>
      </w:r>
    </w:p>
  </w:footnote>
  <w:footnote w:id="4370">
    <w:p>
      <w:pPr>
        <w:pStyle w:val="Funote"/>
        <w:rPr/>
      </w:pPr>
      <w:r>
        <w:rPr/>
        <w:footnoteRef/>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4371">
    <w:p>
      <w:pPr>
        <w:pStyle w:val="Funote"/>
        <w:rPr/>
      </w:pPr>
      <w:r>
        <w:rPr>
          <w:i/>
        </w:rPr>
        <w:footnoteRef/>
        <w:tab/>
        <w:t>noch nie ein Mensch</w:t>
      </w:r>
      <w:r>
        <w:rPr/>
        <w:t xml:space="preserve"> W. „niemand der Menschen“</w:t>
      </w:r>
    </w:p>
  </w:footnote>
  <w:footnote w:id="4372">
    <w:p>
      <w:pPr>
        <w:pStyle w:val="Funote"/>
        <w:rPr/>
      </w:pPr>
      <w:r>
        <w:rPr/>
        <w:footnoteRef/>
        <w:tab/>
        <w:t>Für detaillierte Textkritik vgl. den Exkurs im Kommentar.</w:t>
      </w:r>
    </w:p>
  </w:footnote>
  <w:footnote w:id="4373">
    <w:p>
      <w:pPr>
        <w:pStyle w:val="Funote"/>
        <w:rPr/>
      </w:pPr>
      <w:r>
        <w:rPr/>
        <w:footnoteRef/>
        <w:tab/>
        <w:t>macht ihr … dass ihr losbindet Prädikatives Partizip, als Nebensatz aufgelöst. EÜ: »Wie kommt ihr dazu, den Esel loszubinden?«</w:t>
      </w:r>
    </w:p>
  </w:footnote>
  <w:footnote w:id="4374">
    <w:p>
      <w:pPr>
        <w:pStyle w:val="Funote"/>
        <w:rPr/>
      </w:pPr>
      <w:r>
        <w:rPr>
          <w:i/>
        </w:rPr>
        <w:footnoteRef/>
        <w:tab/>
        <w:t>die sie … abgeschnitten (abgerissen) hatten</w:t>
      </w:r>
      <w:r>
        <w:rPr/>
        <w:t xml:space="preserve"> Temp. </w:t>
      </w:r>
      <w:hyperlink r:id="rId430">
        <w:r>
          <w:rPr>
            <w:rStyle w:val="Internetverknpfung"/>
          </w:rPr>
          <w:t>Ptz. conj.</w:t>
        </w:r>
      </w:hyperlink>
      <w:r>
        <w:rPr/>
        <w:t>, als Relativsatz aufgelöst.</w:t>
      </w:r>
    </w:p>
  </w:footnote>
  <w:footnote w:id="4375">
    <w:p>
      <w:pPr>
        <w:pStyle w:val="Funote"/>
        <w:rPr/>
      </w:pPr>
      <w:r>
        <w:rPr>
          <w:i/>
        </w:rPr>
        <w:footnoteRef/>
        <w:tab/>
        <w:t>riefen immer wieder</w:t>
      </w:r>
      <w:r>
        <w:rPr/>
        <w:t xml:space="preserve"> Das </w:t>
      </w:r>
      <w:hyperlink r:id="rId431">
        <w:r>
          <w:rPr>
            <w:rStyle w:val="Internetverknpfung"/>
          </w:rPr>
          <w:t>Impferfekt</w:t>
        </w:r>
      </w:hyperlink>
      <w:r>
        <w:rPr/>
        <w:t xml:space="preserve"> drückt das, dass die Menschen diese Worte in Sprechchören riefen (oder sangen).</w:t>
      </w:r>
    </w:p>
  </w:footnote>
  <w:footnote w:id="4376">
    <w:p>
      <w:pPr>
        <w:pStyle w:val="Funote"/>
        <w:rPr/>
      </w:pPr>
      <w:r>
        <w:rPr/>
        <w:footnoteRef/>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4377">
    <w:p>
      <w:pPr>
        <w:pStyle w:val="Funote"/>
        <w:rPr/>
      </w:pPr>
      <w:r>
        <w:rPr/>
        <w:footnoteRef/>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4378">
    <w:p>
      <w:pPr>
        <w:pStyle w:val="Funote"/>
        <w:rPr/>
      </w:pPr>
      <w:r>
        <w:rPr>
          <w:i/>
        </w:rPr>
        <w:footnoteRef/>
        <w:tab/>
        <w:t>wurde er hungrig</w:t>
      </w:r>
      <w:r>
        <w:rPr/>
        <w:t xml:space="preserve"> Als </w:t>
      </w:r>
      <w:hyperlink r:id="rId432">
        <w:r>
          <w:rPr>
            <w:rStyle w:val="Internetverknpfung"/>
          </w:rPr>
          <w:t>ingressives Aorist</w:t>
        </w:r>
      </w:hyperlink>
      <w:r>
        <w:rPr/>
        <w:t xml:space="preserve"> übersetzt.</w:t>
      </w:r>
    </w:p>
  </w:footnote>
  <w:footnote w:id="4379">
    <w:p>
      <w:pPr>
        <w:pStyle w:val="Funote"/>
        <w:rPr/>
      </w:pPr>
      <w:r>
        <w:rPr>
          <w:i/>
        </w:rPr>
        <w:footnoteRef/>
        <w:tab/>
        <w:t>als er … sah</w:t>
      </w:r>
      <w:r>
        <w:rPr/>
        <w:t xml:space="preserve"> </w:t>
      </w:r>
      <w:hyperlink r:id="rId433">
        <w:r>
          <w:rPr>
            <w:rStyle w:val="Internetverknpfung"/>
          </w:rPr>
          <w:t>Ptz. conj.</w:t>
        </w:r>
      </w:hyperlink>
      <w:r>
        <w:rPr/>
        <w:t>, als temporaler Nebensatz aufgelöst.</w:t>
      </w:r>
    </w:p>
  </w:footnote>
  <w:footnote w:id="4380">
    <w:p>
      <w:pPr>
        <w:pStyle w:val="Funote"/>
        <w:rPr/>
      </w:pPr>
      <w:r>
        <w:rPr>
          <w:i/>
        </w:rPr>
        <w:footnoteRef/>
        <w:tab/>
        <w:t>Da (Und) sagte er zu [dem Baum]</w:t>
      </w:r>
      <w:r>
        <w:rPr/>
        <w:t xml:space="preserve"> W. „antwortete und sagte er zu ihm“. Jesus „antwortet“ (d.h. reagiert) hier auf die Situation (DBL Greek 646; vgl. V. 51).</w:t>
      </w:r>
    </w:p>
  </w:footnote>
  <w:footnote w:id="4381">
    <w:p>
      <w:pPr>
        <w:pStyle w:val="Funote"/>
        <w:rPr/>
      </w:pPr>
      <w:r>
        <w:rPr>
          <w:i/>
        </w:rPr>
        <w:footnoteRef/>
        <w:tab/>
        <w:t>Nie mehr, bis in Ewigkeit soll jemand</w:t>
      </w:r>
      <w:r>
        <w:rPr/>
        <w:t xml:space="preserve"> W. „nie mehr, bis in Ewigkeit, soll niemand“. Die doppelte Verneinung verstärkt den Schwur.</w:t>
      </w:r>
    </w:p>
  </w:footnote>
  <w:footnote w:id="4382">
    <w:p>
      <w:pPr>
        <w:pStyle w:val="Funote"/>
        <w:rPr/>
      </w:pPr>
      <w:r>
        <w:rPr>
          <w:i/>
        </w:rPr>
        <w:footnoteRef/>
        <w:tab/>
        <w:t>Als (Und) ... {und}</w:t>
      </w:r>
      <w:r>
        <w:rPr/>
        <w:t xml:space="preserve"> W. „und … und“, hier als temporale Verknüpfung wiedergegeben.</w:t>
      </w:r>
    </w:p>
  </w:footnote>
  <w:footnote w:id="4383">
    <w:p>
      <w:pPr>
        <w:pStyle w:val="Funote"/>
        <w:rPr/>
      </w:pPr>
      <w:r>
        <w:rPr>
          <w:i/>
        </w:rPr>
        <w:footnoteRef/>
        <w:tab/>
        <w:t>ging er … und</w:t>
      </w:r>
      <w:r>
        <w:rPr/>
        <w:t xml:space="preserve"> </w:t>
      </w:r>
      <w:hyperlink r:id="rId434">
        <w:r>
          <w:rPr>
            <w:rStyle w:val="Internetverknpfung"/>
          </w:rPr>
          <w:t>Ptz. conj.</w:t>
        </w:r>
      </w:hyperlink>
      <w:r>
        <w:rPr/>
        <w:t>, beigeordnet aufgelöst.</w:t>
      </w:r>
    </w:p>
  </w:footnote>
  <w:footnote w:id="4384">
    <w:p>
      <w:pPr>
        <w:pStyle w:val="Funote"/>
        <w:rPr/>
      </w:pPr>
      <w:r>
        <w:rPr/>
        <w:footnoteRef/>
        <w:tab/>
        <w:t>Taubenverkäufer W. „die Tauben verkauften“ (Subst. Ptz.). Jesus ist gegen Kommerz im Tempelhof, der der Anbetung Gottes vorbehalten sein sollte (vgl. V. 17) (Evans 2001, 169-171).</w:t>
      </w:r>
    </w:p>
  </w:footnote>
  <w:footnote w:id="4385">
    <w:p>
      <w:pPr>
        <w:pStyle w:val="Funote"/>
        <w:rPr/>
      </w:pPr>
      <w:r>
        <w:rPr/>
        <w:footnoteRef/>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4386">
    <w:p>
      <w:pPr>
        <w:pStyle w:val="Funote"/>
        <w:rPr/>
      </w:pPr>
      <w:r>
        <w:rPr/>
        <w:footnoteRef/>
        <w:tab/>
        <w:t>Dabei lehrte er sie Imperfekt, das etwas Fortdauerndes beschreibt und hier vielleicht anzeigt, dass Jesu Vorwurf die kondensierte Form einer längeren Rede ist. Oder inchoativ „er fing an, sie zu lehren“ (so Evans 2001, 173). W. „Und er lehrte und sagte zu ihnen“</w:t>
      </w:r>
    </w:p>
  </w:footnote>
  <w:footnote w:id="4387">
    <w:p>
      <w:pPr>
        <w:pStyle w:val="Funote"/>
        <w:rPr/>
      </w:pPr>
      <w:r>
        <w:rPr/>
        <w:footnoteRef/>
        <w:tab/>
        <w:t>Haus des Gebets [für] alle Völker (Dat. commodi). Der griechische Text folgt in diesem Zitat wörtlich der LXX und dem hebräischen.</w:t>
      </w:r>
    </w:p>
  </w:footnote>
  <w:footnote w:id="4388">
    <w:p>
      <w:pPr>
        <w:pStyle w:val="Funote"/>
        <w:rPr/>
      </w:pPr>
      <w:r>
        <w:rPr/>
        <w:footnoteRef/>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4389">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390">
    <w:p>
      <w:pPr>
        <w:pStyle w:val="Funote"/>
        <w:rPr/>
      </w:pPr>
      <w:r>
        <w:rPr>
          <w:i/>
        </w:rPr>
        <w:footnoteRef/>
        <w:tab/>
        <w:t>suchten ... fürchteten … war fasziniert</w:t>
      </w:r>
      <w:r>
        <w:rPr/>
        <w:t xml:space="preserve"> Die letzten beiden </w:t>
      </w:r>
      <w:hyperlink r:id="rId435">
        <w:r>
          <w:rPr>
            <w:rStyle w:val="Internetverknpfung"/>
          </w:rPr>
          <w:t>Imperfekte</w:t>
        </w:r>
      </w:hyperlink>
      <w:r>
        <w:rPr/>
        <w:t xml:space="preserve"> erklären die Situation. Der erste könnte auch linear „suchten weiter/ständig [nach einer Möglichkeit]“ oder inchoativ „begannen (erneut) zu suchen“ wiedergegeben werden. Zu </w:t>
      </w:r>
      <w:r>
        <w:rPr>
          <w:i/>
        </w:rPr>
        <w:t>suchten</w:t>
      </w:r>
      <w:r>
        <w:rPr/>
        <w:t xml:space="preserve"> oder inchoativ „begannen zu suchen“ vgl. die parallelen Formulierungen in Mk 12,12; 14,1 und 11.</w:t>
      </w:r>
    </w:p>
  </w:footnote>
  <w:footnote w:id="4391">
    <w:p>
      <w:pPr>
        <w:pStyle w:val="Funote"/>
        <w:rPr/>
      </w:pPr>
      <w:r>
        <w:rPr>
          <w:i/>
        </w:rPr>
        <w:footnoteRef/>
        <w:tab/>
        <w:t>das ganze Volk</w:t>
      </w:r>
      <w:r>
        <w:rPr/>
        <w:t xml:space="preserve"> D.h. nicht das Volk der Juden, sondern das Straßenvolk (gr. </w:t>
      </w:r>
      <w:r>
        <w:rPr>
          <w:lang w:val="el-GR"/>
        </w:rPr>
        <w:t>ὄχλος</w:t>
      </w:r>
      <w:r>
        <w:rPr/>
        <w:t xml:space="preserve"> „Menschenmenge“), die Leute, die Jesus zuhörten.</w:t>
      </w:r>
    </w:p>
  </w:footnote>
  <w:footnote w:id="4392">
    <w:p>
      <w:pPr>
        <w:pStyle w:val="Funote"/>
        <w:rPr/>
      </w:pPr>
      <w:r>
        <w:rPr/>
        <w:footnoteRef/>
        <w:tab/>
        <w:t>verließen Das Imperfekt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4393">
    <w:p>
      <w:pPr>
        <w:pStyle w:val="Funote"/>
        <w:rPr/>
      </w:pPr>
      <w:r>
        <w:rPr>
          <w:i/>
        </w:rPr>
        <w:footnoteRef/>
        <w:tab/>
        <w:t>als sie … vorbeikamen</w:t>
      </w:r>
      <w:r>
        <w:rPr/>
        <w:t xml:space="preserve"> </w:t>
      </w:r>
      <w:hyperlink r:id="rId436">
        <w:r>
          <w:rPr>
            <w:rStyle w:val="Internetverknpfung"/>
          </w:rPr>
          <w:t>Ptz. conj.</w:t>
        </w:r>
      </w:hyperlink>
      <w:r>
        <w:rPr/>
        <w:t>, temporal aufgelöst.</w:t>
      </w:r>
    </w:p>
  </w:footnote>
  <w:footnote w:id="4394">
    <w:p>
      <w:pPr>
        <w:pStyle w:val="Funote"/>
        <w:rPr/>
      </w:pPr>
      <w:r>
        <w:rPr/>
        <w:footnoteRef/>
        <w:tab/>
        <w:t>Glauben (Vertrauen) [an] Gott Objektiver Genitiv (Evans 2001, 186).</w:t>
      </w:r>
    </w:p>
  </w:footnote>
  <w:footnote w:id="4395">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396">
    <w:p>
      <w:pPr>
        <w:pStyle w:val="Funote"/>
        <w:rPr/>
      </w:pPr>
      <w:r>
        <w:rPr/>
        <w:footnoteRef/>
        <w:tab/>
        <w:t>für den wird es eintreffen W. »dem wird es zuteil werden« (vgl. NSS)</w:t>
      </w:r>
    </w:p>
  </w:footnote>
  <w:footnote w:id="4397">
    <w:p>
      <w:pPr>
        <w:pStyle w:val="Funote"/>
        <w:rPr/>
      </w:pPr>
      <w:r>
        <w:rPr>
          <w:i/>
        </w:rPr>
        <w:footnoteRef/>
        <w:tab/>
        <w:t>Glaubt [bei] allen [Dingen], für die...</w:t>
      </w:r>
      <w:r>
        <w:rPr/>
        <w:t xml:space="preserve"> W. „Alle [Dinge], für die ihr betet und bittet: glaubt, dass ihr...“</w:t>
      </w:r>
    </w:p>
  </w:footnote>
  <w:footnote w:id="4398">
    <w:p>
      <w:pPr>
        <w:pStyle w:val="Funote"/>
        <w:rPr/>
      </w:pPr>
      <w:r>
        <w:rPr/>
        <w:footnoteRef/>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4399">
    <w:p>
      <w:pPr>
        <w:pStyle w:val="Funote"/>
        <w:rPr/>
      </w:pPr>
      <w:r>
        <w:rPr/>
        <w:footnoteRef/>
        <w:tab/>
        <w:t>dann werden sie {für euch} eintreffen W. »dann wird es euch zuteil werden« (vgl. NSS)</w:t>
      </w:r>
    </w:p>
  </w:footnote>
  <w:footnote w:id="4400">
    <w:p>
      <w:pPr>
        <w:pStyle w:val="Funote"/>
        <w:rPr/>
      </w:pPr>
      <w:r>
        <w:rPr/>
        <w:footnoteRef/>
        <w:tab/>
        <w:t>wenn ihr dasteht und betet bzw. zum Beten steht Das Stehen war eine normale Gebetshaltung (Evans 2001, 192). Der Vers umschreibt also: »Immer wenn ihr beten wollt« (EÜ, NGÜ, MEN) »euch zum Gebet vorbereitet« oder einfach »wenn ihr betet« (GNB). und betet Ptz. conj., beigeordnet aufgelöst. Alternativ zum Beten Ptz. conj., als finale Präpositionalphrase aufgelöst.</w:t>
      </w:r>
    </w:p>
  </w:footnote>
  <w:footnote w:id="4401">
    <w:p>
      <w:pPr>
        <w:pStyle w:val="Funote"/>
        <w:rPr/>
      </w:pPr>
      <w:r>
        <w:rPr/>
        <w:footnoteRef/>
        <w:tab/>
        <w:t>Textkritik: In einigen der besten Zeugen fehlt V. 26.</w:t>
      </w:r>
    </w:p>
  </w:footnote>
  <w:footnote w:id="4402">
    <w:p>
      <w:pPr>
        <w:pStyle w:val="Funote"/>
        <w:rPr/>
      </w:pPr>
      <w:r>
        <w:rPr/>
        <w:footnoteRef/>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4403">
    <w:p>
      <w:pPr>
        <w:pStyle w:val="Funote"/>
        <w:rPr/>
      </w:pPr>
      <w:r>
        <w:rPr/>
        <w:footnoteRef/>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4404">
    <w:p>
      <w:pPr>
        <w:pStyle w:val="Funote"/>
        <w:rPr/>
      </w:pPr>
      <w:r>
        <w:rPr/>
        <w:footnoteRef/>
        <w:tab/>
        <w:t>{und} Antwortet mir Oder »Wenn ihr mir antwortet...« Der Imperativ steht hier wie in einem semitischen Bedingungssatz für die Bedingung (Evans 2001, 204). GNB: »Die beantwortet mir, dann...«</w:t>
      </w:r>
    </w:p>
  </w:footnote>
  <w:footnote w:id="4405">
    <w:p>
      <w:pPr>
        <w:pStyle w:val="Funote"/>
        <w:rPr/>
      </w:pPr>
      <w:r>
        <w:rPr>
          <w:i/>
        </w:rPr>
        <w:footnoteRef/>
        <w:tab/>
        <w:t>{und sagten}</w:t>
      </w:r>
      <w:r>
        <w:rPr/>
        <w:t xml:space="preserve"> Das </w:t>
      </w:r>
      <w:hyperlink r:id="rId437">
        <w:r>
          <w:rPr>
            <w:rStyle w:val="Internetverknpfung"/>
          </w:rPr>
          <w:t>pleonatische Partizip</w:t>
        </w:r>
      </w:hyperlink>
      <w:r>
        <w:rPr/>
        <w:t xml:space="preserve"> leitet die zitierte Rede ein, ist im Deutschen aber unnötig.</w:t>
      </w:r>
    </w:p>
  </w:footnote>
  <w:footnote w:id="4406">
    <w:p>
      <w:pPr>
        <w:pStyle w:val="Funote"/>
        <w:rPr/>
      </w:pPr>
      <w:r>
        <w:rPr/>
        <w:footnoteRef/>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Konjunktiv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4407">
    <w:p>
      <w:pPr>
        <w:pStyle w:val="Funote"/>
        <w:rPr/>
      </w:pPr>
      <w:r>
        <w:rPr/>
        <w:footnoteRef/>
        <w:tab/>
        <w:t>[Bayer 2008, S. 423]</w:t>
      </w:r>
    </w:p>
  </w:footnote>
  <w:footnote w:id="4408">
    <w:p>
      <w:pPr>
        <w:pStyle w:val="Funote"/>
        <w:rPr/>
      </w:pPr>
      <w:r>
        <w:rPr/>
        <w:footnoteRef/>
        <w:tab/>
        <w:t>[Gnilka 1979, S. 160 ]</w:t>
      </w:r>
    </w:p>
  </w:footnote>
  <w:footnote w:id="4409">
    <w:p>
      <w:pPr>
        <w:pStyle w:val="Funote"/>
        <w:rPr/>
      </w:pPr>
      <w:r>
        <w:rPr/>
        <w:footnoteRef/>
        <w:tab/>
        <w:t>[Bayer 2008, S. 432f ]</w:t>
      </w:r>
    </w:p>
  </w:footnote>
  <w:footnote w:id="4410">
    <w:p>
      <w:pPr>
        <w:pStyle w:val="Funote"/>
        <w:rPr/>
      </w:pPr>
      <w:r>
        <w:rPr/>
        <w:footnoteRef/>
        <w:tab/>
        <w:t>[Bayer 2008, S. 436 - 440, Gnilka 1979, S. 175 und 178]</w:t>
      </w:r>
    </w:p>
  </w:footnote>
  <w:footnote w:id="4411">
    <w:p>
      <w:pPr>
        <w:pStyle w:val="Funote"/>
        <w:rPr/>
      </w:pPr>
      <w:r>
        <w:rPr/>
        <w:footnoteRef/>
        <w:tab/>
        <w:t>[Status: Zuverlässig]</w:t>
      </w:r>
    </w:p>
  </w:footnote>
  <w:footnote w:id="4412">
    <w:p>
      <w:pPr>
        <w:pStyle w:val="Funote"/>
        <w:rPr/>
      </w:pPr>
      <w:r>
        <w:rPr/>
        <w:footnoteRef/>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4413">
    <w:p>
      <w:pPr>
        <w:pStyle w:val="Funote"/>
        <w:rPr/>
      </w:pPr>
      <w:r>
        <w:rPr/>
        <w:footnoteRef/>
        <w:tab/>
        <w:t>mit ihnen D.h. die Vertreter der jüdischen Führung aus dem vorigen Kapitel, die wegen der Tempelreinigung Streit mit Jesus gesucht hatten (vgl. V. 12) (vgl. France 2002, 458; Collins 2007, 544).</w:t>
      </w:r>
    </w:p>
  </w:footnote>
  <w:footnote w:id="4414">
    <w:p>
      <w:pPr>
        <w:pStyle w:val="Funote"/>
        <w:rPr/>
      </w:pPr>
      <w:r>
        <w:rPr>
          <w:i/>
        </w:rPr>
        <w:footnoteRef/>
        <w:tab/>
        <w:t>Mauer</w:t>
      </w:r>
      <w:r>
        <w:rPr/>
        <w:t xml:space="preserve">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w:t>
      </w:r>
      <w:hyperlink r:id="rId438">
        <w:r>
          <w:rPr>
            <w:rStyle w:val="Internetverknpfung"/>
          </w:rPr>
          <w:t>Dalman 1935</w:t>
        </w:r>
      </w:hyperlink>
      <w:r>
        <w:rPr/>
        <w:t>, 316, 309, 334f.).</w:t>
      </w:r>
    </w:p>
  </w:footnote>
  <w:footnote w:id="4415">
    <w:p>
      <w:pPr>
        <w:pStyle w:val="Funote"/>
        <w:rPr/>
      </w:pPr>
      <w:r>
        <w:rPr/>
        <w:footnoteRef/>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4416">
    <w:p>
      <w:pPr>
        <w:pStyle w:val="Funote"/>
        <w:rPr/>
      </w:pPr>
      <w:r>
        <w:rPr>
          <w:i/>
        </w:rPr>
        <w:footnoteRef/>
        <w:tab/>
        <w:t>Wachtturm</w:t>
      </w:r>
      <w:r>
        <w:rPr/>
        <w:t xml:space="preserve"> und Schutzmauer waren nötig, um die reifenden Trauben vor Eindringlingen zu schützen. Der Turm konnte eine erhöhte Aussichtsplattform, ein einfaches Häuschen oder, recht häufig, ein gemauerter Steinturm sein, der dazu diente, den gesamten Weinberg zu überblicken (</w:t>
      </w:r>
      <w:hyperlink r:id="rId439">
        <w:r>
          <w:rPr>
            <w:rStyle w:val="Internetverknpfung"/>
          </w:rPr>
          <w:t>Dalman 1935</w:t>
        </w:r>
      </w:hyperlink>
      <w:r>
        <w:rPr/>
        <w:t>,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4417">
    <w:p>
      <w:pPr>
        <w:pStyle w:val="Funote"/>
        <w:rPr/>
      </w:pPr>
      <w:r>
        <w:rPr/>
        <w:footnoteRef/>
        <w:tab/>
        <w:t>zur [vereinbarten] Zeit Temporaler Dativ. Gemeint ist die in der Pachtvereinbarung abgesprochene Zeit (Evans 2001, 233). Bei einem neuen Weinberg wären bis zur ersten Ernte wenigstens 4 Jahre vergangen (France 2002, 459).</w:t>
      </w:r>
    </w:p>
  </w:footnote>
  <w:footnote w:id="4418">
    <w:p>
      <w:pPr>
        <w:pStyle w:val="Funote"/>
        <w:rPr/>
      </w:pPr>
      <w:r>
        <w:rPr/>
        <w:footnoteRef/>
        <w:tab/>
        <w:t>[seinen Anteil] an den Erträgen (Früchten) Der partitive Genitiv macht im Deutschen die Ergänzung von [seinen Anteil] nötig. Der Ertrag bezeichnet wohl eher einen Geldwert aus dem Erlös der Ernte als einen tatsächlichen Anteil der Ernte (Evans 2001, 233).</w:t>
      </w:r>
    </w:p>
  </w:footnote>
  <w:footnote w:id="4419">
    <w:p>
      <w:pPr>
        <w:pStyle w:val="Funote"/>
        <w:rPr/>
      </w:pPr>
      <w:r>
        <w:rPr/>
        <w:footnoteRef/>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4420">
    <w:p>
      <w:pPr>
        <w:pStyle w:val="Funote"/>
        <w:rPr/>
      </w:pPr>
      <w:r>
        <w:rPr/>
        <w:footnoteRef/>
        <w:tab/>
        <w:t>entehrten ihn (behandelten ihn verächtlich) - Vermutlich in Form von Beschimpfungen; viele Üss. daher sinnvoll: »beschimpften ihn« (z.B. BB, EÜ, GN, HER05, HfA).</w:t>
      </w:r>
    </w:p>
  </w:footnote>
  <w:footnote w:id="4421">
    <w:p>
      <w:pPr>
        <w:pStyle w:val="Funote"/>
        <w:rPr/>
      </w:pPr>
      <w:r>
        <w:rPr/>
        <w:footnoteRef/>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4422">
    <w:p>
      <w:pPr>
        <w:pStyle w:val="Funote"/>
        <w:rPr/>
      </w:pPr>
      <w:r>
        <w:rPr>
          <w:i/>
        </w:rPr>
        <w:footnoteRef/>
        <w:tab/>
        <w:t>verprügelten sie ... brachten sie um</w:t>
      </w:r>
      <w:r>
        <w:rPr/>
        <w:t xml:space="preserve"> Modales </w:t>
      </w:r>
      <w:hyperlink r:id="rId440">
        <w:r>
          <w:rPr>
            <w:rStyle w:val="Internetverknpfung"/>
          </w:rPr>
          <w:t>Ptz. conj.</w:t>
        </w:r>
      </w:hyperlink>
      <w:r>
        <w:rPr/>
        <w:t xml:space="preserve"> (2x), hier als Indikative aufgelöst. </w:t>
      </w:r>
    </w:p>
  </w:footnote>
  <w:footnote w:id="4423">
    <w:p>
      <w:pPr>
        <w:pStyle w:val="Funote"/>
        <w:rPr/>
      </w:pPr>
      <w:r>
        <w:rPr/>
        <w:footnoteRef/>
        <w:tab/>
        <w:t>noch einen: [seinen] geliebten Sohn bzw. noch [seinen] einzigen geliebten Sohn Der geliebte Sohn ist Jesus, der in Mk schon zweimal als »geliebter Sohn« bezeichnet worden ist (1,11; 9,7)(France 2002, 458). Das Wort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4424">
    <w:p>
      <w:pPr>
        <w:pStyle w:val="Funote"/>
        <w:rPr/>
      </w:pPr>
      <w:r>
        <w:rPr>
          <w:i/>
        </w:rPr>
        <w:footnoteRef/>
        <w:tab/>
        <w:t>weil er glaubte (dachte, sich sagte)</w:t>
      </w:r>
      <w:r>
        <w:rPr/>
        <w:t xml:space="preserve"> Kausales (oder modales) </w:t>
      </w:r>
      <w:hyperlink r:id="rId441">
        <w:r>
          <w:rPr>
            <w:rStyle w:val="Internetverknpfung"/>
          </w:rPr>
          <w:t>Ptz. conj.</w:t>
        </w:r>
      </w:hyperlink>
      <w:r>
        <w:rPr/>
        <w:t>, als Nebensatz aufgelöst.</w:t>
      </w:r>
    </w:p>
  </w:footnote>
  <w:footnote w:id="4425">
    <w:p>
      <w:pPr>
        <w:pStyle w:val="Funote"/>
        <w:rPr/>
      </w:pPr>
      <w:r>
        <w:rPr>
          <w:i/>
        </w:rPr>
        <w:footnoteRef/>
        <w:tab/>
        <w:t>uns gehören</w:t>
      </w:r>
      <w:r>
        <w:rPr/>
        <w:t xml:space="preserve"> W. „unser sein“. </w:t>
      </w:r>
    </w:p>
  </w:footnote>
  <w:footnote w:id="4426">
    <w:p>
      <w:pPr>
        <w:pStyle w:val="Funote"/>
        <w:rPr/>
      </w:pPr>
      <w:r>
        <w:rPr>
          <w:i/>
        </w:rPr>
        <w:footnoteRef/>
        <w:tab/>
        <w:t>sie packten ihn und</w:t>
      </w:r>
      <w:r>
        <w:rPr/>
        <w:t xml:space="preserve"> Modales </w:t>
      </w:r>
      <w:hyperlink r:id="rId442">
        <w:r>
          <w:rPr>
            <w:rStyle w:val="Internetverknpfung"/>
          </w:rPr>
          <w:t>Ptz. conj.</w:t>
        </w:r>
      </w:hyperlink>
      <w:r>
        <w:rPr/>
        <w:t>, beigeordnet aufgelöst.</w:t>
      </w:r>
    </w:p>
  </w:footnote>
  <w:footnote w:id="4427">
    <w:p>
      <w:pPr>
        <w:pStyle w:val="Funote"/>
        <w:rPr/>
      </w:pPr>
      <w:r>
        <w:rPr/>
        <w:footnoteRef/>
        <w:tab/>
        <w:t>diese Schriftstelle W. »diese Schrift«, d.h. »den folgenden Abschnitt der Schrift«. Viele Übersetzungen geben das Wort nach LUT mit »Schriftwort« wieder, GNB: »die Stelle in den Heiligen Schriften, wo es heißt«</w:t>
      </w:r>
    </w:p>
  </w:footnote>
  <w:footnote w:id="4428">
    <w:p>
      <w:pPr>
        <w:pStyle w:val="Funote"/>
        <w:rPr/>
      </w:pPr>
      <w:r>
        <w:rPr/>
        <w:footnoteRef/>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4429">
    <w:p>
      <w:pPr>
        <w:pStyle w:val="Funote"/>
        <w:rPr/>
      </w:pPr>
      <w:r>
        <w:rPr>
          <w:i/>
        </w:rPr>
        <w:footnoteRef/>
        <w:tab/>
        <w:t xml:space="preserve">[Der] Stein, … , </w:t>
      </w:r>
      <w:r>
        <w:rPr>
          <w:i/>
          <w:u w:val="single"/>
        </w:rPr>
        <w:t>der</w:t>
      </w:r>
      <w:r>
        <w:rPr>
          <w:i/>
        </w:rPr>
        <w:t xml:space="preserve"> ist zum Eckstein geworden</w:t>
      </w:r>
      <w:r>
        <w:rPr/>
        <w:t xml:space="preserve"> Die Konstruktion legt Gewicht auf den angesprochenen Gegensatz. Man könnte auch formulieren: „Gerade [der] Stein … ist geworden“. W. „[der] Stein … dieser ist geworden.“</w:t>
      </w:r>
    </w:p>
  </w:footnote>
  <w:footnote w:id="4430">
    <w:p>
      <w:pPr>
        <w:pStyle w:val="Funote"/>
        <w:rPr/>
      </w:pPr>
      <w:r>
        <w:rPr/>
        <w:footnoteRef/>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4431">
    <w:p>
      <w:pPr>
        <w:pStyle w:val="Funote"/>
        <w:rPr/>
      </w:pPr>
      <w:r>
        <w:rPr/>
        <w:footnoteRef/>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4432">
    <w:p>
      <w:pPr>
        <w:pStyle w:val="Funote"/>
        <w:rPr/>
      </w:pPr>
      <w:r>
        <w:rPr/>
        <w:footnoteRef/>
        <w:tab/>
        <w:t xml:space="preserve">Da wollten sie ihn gerne bzw. suchten sie [nach einer Möglichkeit], auch als inchoatives Imperfekt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4433">
    <w:p>
      <w:pPr>
        <w:pStyle w:val="Funote"/>
        <w:rPr/>
      </w:pPr>
      <w:r>
        <w:rPr/>
        <w:footnoteRef/>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4434">
    <w:p>
      <w:pPr>
        <w:pStyle w:val="Funote"/>
        <w:rPr/>
      </w:pPr>
      <w:r>
        <w:rPr/>
        <w:footnoteRef/>
        <w:tab/>
        <w:t>gegen sie gesprochen hatte Etwas freier formuliert, würde man in heutigem Deutsch sagen: „dass sie mit dem Gleichnis gemeint waren“ (vgl. NGÜ, EÜ). MEN: „gegen sie gerichtet hatte“, GNB: „dass das Gleichnis auf sie gemünzt war “.</w:t>
      </w:r>
    </w:p>
  </w:footnote>
  <w:footnote w:id="4435">
    <w:p>
      <w:pPr>
        <w:pStyle w:val="Funote"/>
        <w:rPr/>
      </w:pPr>
      <w:r>
        <w:rPr/>
        <w:footnoteRef/>
        <w:tab/>
        <w:t xml:space="preserve">Die Anhänger des Herodes Antipas waren zwar politisch an sich nicht mit den Pharisäern gleicher Meinung, taten sich hier aber gegen den äußeren Feind zusammen. (Hans F. Bayer, Das Evangelium des Markus, S. 421) [in]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4436">
    <w:p>
      <w:pPr>
        <w:pStyle w:val="Funote"/>
        <w:rPr/>
      </w:pPr>
      <w:r>
        <w:rPr>
          <w:i/>
        </w:rPr>
        <w:footnoteRef/>
        <w:tab/>
        <w:t>als sie ankamen</w:t>
      </w:r>
      <w:r>
        <w:rPr/>
        <w:t xml:space="preserve"> Temporal-modales </w:t>
      </w:r>
      <w:hyperlink r:id="rId443">
        <w:r>
          <w:rPr>
            <w:rStyle w:val="Internetverknpfung"/>
          </w:rPr>
          <w:t>Ptz. conj.</w:t>
        </w:r>
      </w:hyperlink>
      <w:r>
        <w:rPr/>
        <w:t>, mit temporalem Nebensatz übersetzt.</w:t>
      </w:r>
    </w:p>
  </w:footnote>
  <w:footnote w:id="4437">
    <w:p>
      <w:pPr>
        <w:pStyle w:val="Funote"/>
        <w:rPr/>
      </w:pPr>
      <w:r>
        <w:rPr/>
        <w:footnoteRef/>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4438">
    <w:p>
      <w:pPr>
        <w:pStyle w:val="Funote"/>
        <w:rPr/>
      </w:pPr>
      <w:r>
        <w:rPr/>
        <w:footnoteRef/>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4439">
    <w:p>
      <w:pPr>
        <w:pStyle w:val="Funote"/>
        <w:rPr/>
      </w:pPr>
      <w:r>
        <w:rPr/>
        <w:footnoteRef/>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4440">
    <w:p>
      <w:pPr>
        <w:pStyle w:val="Funote"/>
        <w:rPr/>
      </w:pPr>
      <w:r>
        <w:rPr/>
        <w:footnoteRef/>
        <w:tab/>
        <w:t>Weg Gottes bezeichnet Gottes Willen für das menschliche Leben (vgl. France 2002, 468; NSS). Die gleiche Wendung findet sich in Apg 18,26 sowie Bar 3,13. Vgl. Apg 16,17; 18,25, aber auch Joh 14,6.</w:t>
      </w:r>
    </w:p>
  </w:footnote>
  <w:footnote w:id="4441">
    <w:p>
      <w:pPr>
        <w:pStyle w:val="Funote"/>
        <w:rPr/>
      </w:pPr>
      <w:r>
        <w:rPr/>
        <w:footnoteRef/>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4442">
    <w:p>
      <w:pPr>
        <w:pStyle w:val="Funote"/>
        <w:rPr/>
      </w:pPr>
      <w:r>
        <w:rPr/>
        <w:footnoteRef/>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4443">
    <w:p>
      <w:pPr>
        <w:pStyle w:val="Funote"/>
        <w:rPr/>
      </w:pPr>
      <w:r>
        <w:rPr>
          <w:i/>
        </w:rPr>
        <w:footnoteRef/>
        <w:tab/>
        <w:t>er erkannte … und</w:t>
      </w:r>
      <w:r>
        <w:rPr/>
        <w:t xml:space="preserve"> Temporal-modales </w:t>
      </w:r>
      <w:hyperlink r:id="rId444">
        <w:r>
          <w:rPr>
            <w:rStyle w:val="Internetverknpfung"/>
          </w:rPr>
          <w:t>Ptz. conj.</w:t>
        </w:r>
      </w:hyperlink>
      <w:r>
        <w:rPr/>
        <w:t xml:space="preserve">, mit „und“-Kombination aufgelöst. Auch die kausale Sinnrichtung wäre denkbar. </w:t>
      </w:r>
    </w:p>
  </w:footnote>
  <w:footnote w:id="4444">
    <w:p>
      <w:pPr>
        <w:pStyle w:val="Funote"/>
        <w:rPr/>
      </w:pPr>
      <w:r>
        <w:rPr>
          <w:i/>
        </w:rPr>
        <w:footnoteRef/>
        <w:tab/>
        <w:t>Warum stellt ihr mir eine Falle?</w:t>
      </w:r>
      <w:r>
        <w:rPr/>
        <w:t xml:space="preserve"> Die Pharisäer haben sich schon zweimal vorher an Fangfragen versucht (Mk 8,11; 10,2; vgl. Joh 8,6). Jetzt spricht Jesus den Vorwurf zum ersten Mal aus. Vorher benutzte nur Markus den Begriff. </w:t>
      </w:r>
    </w:p>
  </w:footnote>
  <w:footnote w:id="4445">
    <w:p>
      <w:pPr>
        <w:pStyle w:val="Funote"/>
        <w:rPr/>
      </w:pPr>
      <w:r>
        <w:rPr/>
        <w:footnoteRef/>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4446">
    <w:p>
      <w:pPr>
        <w:pStyle w:val="Funote"/>
        <w:rPr/>
      </w:pPr>
      <w:r>
        <w:rPr>
          <w:i/>
        </w:rPr>
        <w:footnoteRef/>
        <w:tab/>
        <w:t>Was [dem] Kaiser (Cäsar) gehört...</w:t>
      </w:r>
      <w:r>
        <w:rPr/>
        <w:t xml:space="preserve"> Oder „Des Kaisers [Eigentum] gebt [dem] Kaiser“. W. etwa „was des Kaisers [ist], gebt...“. Ebenso bei </w:t>
      </w:r>
      <w:r>
        <w:rPr>
          <w:i/>
        </w:rPr>
        <w:t>was Gott gehört...</w:t>
      </w:r>
    </w:p>
  </w:footnote>
  <w:footnote w:id="4447">
    <w:p>
      <w:pPr>
        <w:pStyle w:val="Funote"/>
        <w:rPr/>
      </w:pPr>
      <w:r>
        <w:rPr>
          <w:i/>
        </w:rPr>
        <w:footnoteRef/>
        <w:tab/>
        <w:t>waren sie sehr erstaunt</w:t>
      </w:r>
      <w:r>
        <w:rPr/>
        <w:t xml:space="preserve"> Die Gute Nachricht trifft den Sinn am besten: „Solch eine Antwort hatten sie nicht von ihm erwartet.“</w:t>
      </w:r>
    </w:p>
  </w:footnote>
  <w:footnote w:id="4448">
    <w:p>
      <w:pPr>
        <w:pStyle w:val="Funote"/>
        <w:rPr/>
      </w:pPr>
      <w:r>
        <w:rPr>
          <w:i/>
        </w:rPr>
        <w:footnoteRef/>
        <w:tab/>
        <w:t>geschrieben</w:t>
      </w:r>
      <w:r>
        <w:rPr/>
        <w:t xml:space="preserve"> gemeint ist in der Torah als Gesetz aufgeschrieben</w:t>
      </w:r>
    </w:p>
  </w:footnote>
  <w:footnote w:id="4449">
    <w:p>
      <w:pPr>
        <w:pStyle w:val="Funote"/>
        <w:rPr/>
      </w:pPr>
      <w:r>
        <w:rPr>
          <w:i/>
        </w:rPr>
        <w:footnoteRef/>
        <w:tab/>
        <w:t>und eine Frau zurücklässt</w:t>
      </w:r>
      <w:r>
        <w:rPr/>
        <w:t xml:space="preserve"> ist eine Ergänzung des Markus zu diesem Zitat aus dem Dtn.</w:t>
      </w:r>
    </w:p>
  </w:footnote>
  <w:footnote w:id="4450">
    <w:p>
      <w:pPr>
        <w:pStyle w:val="Funote"/>
        <w:rPr/>
      </w:pPr>
      <w:r>
        <w:rPr/>
        <w:footnoteRef/>
        <w:tab/>
        <w:t>Der zweite Teil des Zitats stammt aus Gen</w:t>
      </w:r>
    </w:p>
  </w:footnote>
  <w:footnote w:id="4451">
    <w:p>
      <w:pPr>
        <w:pStyle w:val="Funote"/>
        <w:rPr/>
      </w:pPr>
      <w:r>
        <w:rPr/>
        <w:footnoteRef/>
        <w:tab/>
        <w:t>Textkritik:»Wenn sie auferstehen« fehlt in vielen Handschriften - Der schwierigren (doppelten) Lesart wird der Vorzug gegeben, weil es wahrscheinicher scheint, dass eine solche von den Schreibern gestrichen wurde, als dass sie ergänzt wurde (siehe TCNT, S.93)</w:t>
      </w:r>
    </w:p>
  </w:footnote>
  <w:footnote w:id="4452">
    <w:p>
      <w:pPr>
        <w:pStyle w:val="Funote"/>
        <w:rPr/>
      </w:pPr>
      <w:r>
        <w:rPr/>
        <w:footnoteRef/>
        <w:tab/>
        <w:t>Abrahams, Isaaks und Jakobs - Die Erzväter galten als bei Gott lebend (Dschulnigg 2007, 320) und dienen Jesus so gleichzeitig als Beleg aus der Schrift für die Auferstehung.</w:t>
      </w:r>
    </w:p>
  </w:footnote>
  <w:footnote w:id="4453">
    <w:p>
      <w:pPr>
        <w:pStyle w:val="Funote"/>
        <w:rPr/>
      </w:pPr>
      <w:r>
        <w:rPr/>
        <w:footnoteRef/>
        <w:tab/>
        <w:t xml:space="preserve">gr. </w:t>
      </w:r>
      <w:r>
        <w:rPr>
          <w:lang w:val="el-GR"/>
        </w:rPr>
        <w:t>συνέσεως</w:t>
      </w:r>
    </w:p>
  </w:footnote>
  <w:footnote w:id="4454">
    <w:p>
      <w:pPr>
        <w:pStyle w:val="Funote"/>
        <w:rPr/>
      </w:pPr>
      <w:r>
        <w:rPr/>
        <w:footnoteRef/>
        <w:tab/>
        <w:t>Ps 110,1</w:t>
      </w:r>
    </w:p>
  </w:footnote>
  <w:footnote w:id="4455">
    <w:p>
      <w:pPr>
        <w:pStyle w:val="Funote"/>
        <w:rPr/>
      </w:pPr>
      <w:r>
        <w:rPr/>
        <w:footnoteRef/>
        <w:tab/>
        <w:t>Amen, ich sage euch -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Sehr sinnvoll übersetzt daher Zink: »Was ich sage, ist wahr: ...«</w:t>
      </w:r>
    </w:p>
  </w:footnote>
  <w:footnote w:id="4456">
    <w:p>
      <w:pPr>
        <w:pStyle w:val="Funote"/>
        <w:rPr/>
      </w:pPr>
      <w:r>
        <w:rPr>
          <w:i/>
        </w:rPr>
        <w:footnoteRef/>
        <w:tab/>
        <w:t>ihr ganzes Leben (ihren ganzen Lebensunterhalt)</w:t>
      </w:r>
      <w:r>
        <w:rPr/>
        <w:t xml:space="preserve"> - </w:t>
      </w:r>
      <w:r>
        <w:rPr>
          <w:i/>
        </w:rPr>
        <w:t>bios</w:t>
      </w:r>
      <w:r>
        <w:rPr/>
        <w:t>, das gr. Wort für „Leben“, hat oft die Bedeutung „Lebensunterhalt“; eine Üs. mit „Leben“ wäre daher nicht einmal überwörtlich, sondern falsch. Dennoch muss „Leben“ hier mindestens mitgehört werden: Die Witwe gibt ihren ganzen Lebensunterhalt und damit auch ihr ganzes Leben für Gott hin.</w:t>
      </w:r>
    </w:p>
  </w:footnote>
  <w:footnote w:id="4457">
    <w:p>
      <w:pPr>
        <w:pStyle w:val="Funote"/>
        <w:rPr/>
      </w:pPr>
      <w:r>
        <w:rPr/>
        <w:footnoteRef/>
        <w:tab/>
        <w:t>[Status: Zuverlässig]</w:t>
      </w:r>
    </w:p>
  </w:footnote>
  <w:footnote w:id="4458">
    <w:p>
      <w:pPr>
        <w:pStyle w:val="Funote"/>
        <w:rPr/>
      </w:pPr>
      <w:r>
        <w:rPr/>
        <w:footnoteRef/>
        <w:tab/>
        <w:t xml:space="preserve">und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4459">
    <w:p>
      <w:pPr>
        <w:pStyle w:val="Funote"/>
        <w:rPr/>
      </w:pPr>
      <w:r>
        <w:rPr>
          <w:i/>
        </w:rPr>
        <w:footnoteRef/>
        <w:tab/>
        <w:t>als er hinausging</w:t>
      </w:r>
      <w:r>
        <w:rPr/>
        <w:t xml:space="preserve"> - Da das Präsens </w:t>
      </w:r>
      <w:r>
        <w:rPr>
          <w:lang w:val="el-GR"/>
        </w:rPr>
        <w:t>λέγει</w:t>
      </w:r>
      <w:r>
        <w:rPr/>
        <w:t xml:space="preserve"> </w:t>
      </w:r>
      <w:r>
        <w:rPr>
          <w:i/>
        </w:rPr>
        <w:t>er sagt(e)</w:t>
      </w:r>
      <w:r>
        <w:rPr/>
        <w:t xml:space="preserve">, zu dem der temporale Genitivus absolutus </w:t>
      </w:r>
      <w:r>
        <w:rPr>
          <w:lang w:val="el-GR"/>
        </w:rPr>
        <w:t>ἐκπορευομένου</w:t>
      </w:r>
      <w:r>
        <w:rPr/>
        <w:t xml:space="preserve"> </w:t>
      </w:r>
      <w:r>
        <w:rPr>
          <w:i/>
        </w:rPr>
        <w:t>als er hinausgeht/hinausging</w:t>
      </w:r>
      <w:r>
        <w:rPr/>
        <w:t xml:space="preserve"> in gleichzeitiger Relation steht, </w:t>
      </w:r>
      <w:r>
        <w:rPr>
          <w:i/>
        </w:rPr>
        <w:t>historisches</w:t>
      </w:r>
      <w:r>
        <w:rPr/>
        <w:t xml:space="preserve"> Präsens ist (s. nächste Fußnote), ist die präsentische Wiedergabe überwörtlich und sollte vermieden werden.</w:t>
      </w:r>
    </w:p>
  </w:footnote>
  <w:footnote w:id="4460">
    <w:p>
      <w:pPr>
        <w:pStyle w:val="Funote"/>
        <w:rPr/>
      </w:pPr>
      <w:r>
        <w:rPr/>
        <w:footnoteRef/>
        <w:tab/>
        <w:t>sagte - Historisches Präsens, vgl. Kmiecik 1997, S. 36; Mateos 1987, S. 81</w:t>
      </w:r>
    </w:p>
  </w:footnote>
  <w:footnote w:id="4461">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4462">
    <w:p>
      <w:pPr>
        <w:pStyle w:val="Funote"/>
        <w:rPr/>
      </w:pPr>
      <w:r>
        <w:rPr/>
        <w:footnoteRef/>
        <w:tab/>
        <w:t xml:space="preserve">Sieh nur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4463">
    <w:p>
      <w:pPr>
        <w:pStyle w:val="Funote"/>
        <w:rPr/>
      </w:pPr>
      <w:r>
        <w:rPr/>
        <w:footnoteRef/>
        <w:tab/>
        <w:t xml:space="preserve">Der Tempel war Teil einer größeren Tempelanlage (für ein Modell vgl. z.B. </w:t>
      </w:r>
      <w:hyperlink r:id="rId445">
        <w:r>
          <w:rPr>
            <w:rStyle w:val="Internetverknpfung"/>
          </w:rPr>
          <w:t>Reidinger 2004, S. 13</w:t>
        </w:r>
      </w:hyperlink>
      <w:r>
        <w:rPr/>
        <w:t>; daher Plural.</w:t>
      </w:r>
    </w:p>
  </w:footnote>
  <w:footnote w:id="4464">
    <w:p>
      <w:pPr>
        <w:pStyle w:val="Funote"/>
        <w:rPr/>
      </w:pPr>
      <w:r>
        <w:rPr>
          <w:lang w:val="el-GR"/>
        </w:rPr>
        <w:footnoteRef/>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4465">
    <w:p>
      <w:pPr>
        <w:pStyle w:val="Funote"/>
        <w:rPr/>
      </w:pPr>
      <w:r>
        <w:rPr>
          <w:lang w:val="el-GR"/>
        </w:rPr>
        <w:footnoteRef/>
        <w:tab/>
        <w:t>οὐ μὴ</w:t>
      </w:r>
      <w:r>
        <w:rPr/>
        <w:t xml:space="preserve"> </w:t>
      </w:r>
      <w:r>
        <w:rPr>
          <w:i/>
        </w:rPr>
        <w:t>(sicher) nicht</w:t>
      </w:r>
      <w:r>
        <w:rPr/>
        <w:t xml:space="preserve"> ist eine besonders starke Verneinung, sie dient hier aber nur der Intensivierung, um Jesu Äußerung sprachlich zu markieren als (</w:t>
      </w:r>
      <w:r>
        <w:rPr>
          <w:i/>
        </w:rPr>
        <w:t>sichere</w:t>
      </w:r>
      <w:r>
        <w:rPr/>
        <w:t>) Prophezeiung. Das Deutsche verwendet hierfür andere Konstruktionen.</w:t>
      </w:r>
    </w:p>
  </w:footnote>
  <w:footnote w:id="4466">
    <w:p>
      <w:pPr>
        <w:pStyle w:val="Funote"/>
        <w:rPr/>
      </w:pPr>
      <w:r>
        <w:rPr/>
        <w:footnoteRef/>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4467">
    <w:p>
      <w:pPr>
        <w:pStyle w:val="Funote"/>
        <w:rPr/>
      </w:pPr>
      <w:r>
        <w:rPr/>
        <w:footnoteRef/>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4468">
    <w:p>
      <w:pPr>
        <w:pStyle w:val="Funote"/>
        <w:rPr/>
      </w:pPr>
      <w:r>
        <w:rPr/>
        <w:footnoteRef/>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4469">
    <w:p>
      <w:pPr>
        <w:pStyle w:val="Funote"/>
        <w:rPr/>
      </w:pPr>
      <w:r>
        <w:rPr/>
        <w:footnoteRef/>
        <w:tab/>
        <w:t xml:space="preserve">Die Redeeinleitung </w:t>
      </w:r>
      <w:r>
        <w:rPr>
          <w:lang w:val="el-GR"/>
        </w:rPr>
        <w:t>Εἰπὸν ἡμῖν</w:t>
      </w:r>
      <w:r>
        <w:rPr/>
        <w:t xml:space="preserve"> </w:t>
      </w:r>
      <w:r>
        <w:rPr>
          <w:i/>
        </w:rPr>
        <w:t>sage uns</w:t>
      </w:r>
      <w:r>
        <w:rPr/>
        <w:t xml:space="preserve"> dient im NT häufiger nur als Bitte um eine Antwort (z.B. </w:t>
      </w:r>
      <w:r>
        <w:fldChar w:fldCharType="begin"/>
      </w:r>
      <w:r>
        <w:instrText> HYPERLINK "file:///wiki/Matthäus_22" \l "s17"</w:instrText>
      </w:r>
      <w:r>
        <w:fldChar w:fldCharType="separate"/>
      </w:r>
      <w:r>
        <w:rPr>
          <w:rStyle w:val="Internetverknpfung"/>
        </w:rPr>
        <w:t>Mt 22,17</w:t>
      </w:r>
      <w:r>
        <w:fldChar w:fldCharType="end"/>
      </w:r>
      <w:r>
        <w:rPr/>
        <w:t xml:space="preserve">; </w:t>
      </w:r>
      <w:r>
        <w:fldChar w:fldCharType="begin"/>
      </w:r>
      <w:r>
        <w:instrText> HYPERLINK "file:///wiki/Lukas_20" \l "s20"</w:instrText>
      </w:r>
      <w:r>
        <w:fldChar w:fldCharType="separate"/>
      </w:r>
      <w:r>
        <w:rPr>
          <w:rStyle w:val="Internetverknpfung"/>
        </w:rPr>
        <w:t>Lk 20,2</w:t>
      </w:r>
      <w:r>
        <w:fldChar w:fldCharType="end"/>
      </w:r>
      <w:r>
        <w:rPr/>
        <w:t xml:space="preserve">; </w:t>
      </w:r>
      <w:hyperlink r:id="rId446">
        <w:r>
          <w:rPr>
            <w:rStyle w:val="Internetverknpfung"/>
          </w:rPr>
          <w:t>22,67</w:t>
        </w:r>
      </w:hyperlink>
      <w:r>
        <w:rPr/>
        <w:t xml:space="preserve"> u.ö.); im Deutschen entspricht dem funktional eher eine uneingeleitete Frage.</w:t>
      </w:r>
    </w:p>
  </w:footnote>
  <w:footnote w:id="4470">
    <w:p>
      <w:pPr>
        <w:pStyle w:val="Funote"/>
        <w:rPr/>
      </w:pPr>
      <w:r>
        <w:rPr/>
        <w:footnoteRef/>
        <w:tab/>
        <w:t xml:space="preserve">Die Referenz der Demonstrativpronomen </w:t>
      </w:r>
      <w:r>
        <w:rPr>
          <w:lang w:val="el-GR"/>
        </w:rPr>
        <w:t>ταῦτα</w:t>
      </w:r>
      <w:r>
        <w:rPr/>
        <w:t xml:space="preserve"> </w:t>
      </w:r>
      <w:r>
        <w:rPr>
          <w:i/>
        </w:rPr>
        <w:t>dies</w:t>
      </w:r>
      <w:r>
        <w:rPr/>
        <w:t xml:space="preserve"> und </w:t>
      </w:r>
      <w:r>
        <w:rPr>
          <w:lang w:val="el-GR"/>
        </w:rPr>
        <w:t>ταῦτα πάντα</w:t>
      </w:r>
      <w:r>
        <w:rPr/>
        <w:t xml:space="preserve"> </w:t>
      </w:r>
      <w:r>
        <w:rPr>
          <w:i/>
        </w:rPr>
        <w:t>all dies</w:t>
      </w:r>
      <w:r>
        <w:rPr/>
        <w:t xml:space="preserve"> sind in der Exegese umstritten; vgl. dazu den </w:t>
      </w:r>
      <w:r>
        <w:fldChar w:fldCharType="begin"/>
      </w:r>
      <w:r>
        <w:instrText> HYPERLINK "http://www.offene-bibel.de/wiki/index.php5?title=Kommentar:Markus_13" \l "Vv._28-31:_Abschnitt_1"</w:instrText>
      </w:r>
      <w:r>
        <w:fldChar w:fldCharType="separate"/>
      </w:r>
      <w:r>
        <w:rPr>
          <w:rStyle w:val="Internetverknpfung"/>
        </w:rPr>
        <w:t>Kommentar</w:t>
      </w:r>
      <w:r>
        <w:fldChar w:fldCharType="end"/>
      </w:r>
    </w:p>
  </w:footnote>
  <w:footnote w:id="4471">
    <w:p>
      <w:pPr>
        <w:pStyle w:val="Funote"/>
        <w:rPr/>
      </w:pPr>
      <w:r>
        <w:rPr>
          <w:lang w:val="el-GR"/>
        </w:rPr>
        <w:footnoteRef/>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4472">
    <w:p>
      <w:pPr>
        <w:pStyle w:val="Funote"/>
        <w:rPr/>
      </w:pPr>
      <w:r>
        <w:rPr>
          <w:lang w:val="el-GR"/>
        </w:rPr>
        <w:footnoteRef/>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4473">
    <w:p>
      <w:pPr>
        <w:pStyle w:val="Funote"/>
        <w:rPr/>
      </w:pPr>
      <w:r>
        <w:rPr/>
        <w:footnoteRef/>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4474">
    <w:p>
      <w:pPr>
        <w:pStyle w:val="Funote"/>
        <w:rPr/>
      </w:pPr>
      <w:r>
        <w:rPr/>
        <w:footnoteRef/>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4475">
    <w:p>
      <w:pPr>
        <w:pStyle w:val="Funote"/>
        <w:rPr/>
      </w:pPr>
      <w:r>
        <w:rPr/>
        <w:footnoteRef/>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4476">
    <w:p>
      <w:pPr>
        <w:pStyle w:val="Funote"/>
        <w:rPr/>
      </w:pPr>
      <w:r>
        <w:rPr/>
        <w:footnoteRef/>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4477">
    <w:p>
      <w:pPr>
        <w:pStyle w:val="Funote"/>
        <w:rPr/>
      </w:pPr>
      <w:r>
        <w:rPr/>
        <w:footnoteRef/>
        <w:tab/>
        <w:t xml:space="preserve">Meist: </w:t>
      </w:r>
      <w:r>
        <w:rPr>
          <w:i/>
        </w:rPr>
        <w:t>denn erheben wird sich...</w:t>
      </w:r>
      <w:r>
        <w:rPr/>
        <w:t xml:space="preserve">; besser aber: </w:t>
      </w:r>
      <w:r>
        <w:rPr>
          <w:i/>
        </w:rPr>
        <w:t>es wird sich nämlich erheben...</w:t>
      </w:r>
      <w:r>
        <w:rPr/>
        <w:t xml:space="preserve"> - das </w:t>
      </w:r>
      <w:r>
        <w:rPr>
          <w:lang w:val="el-GR"/>
        </w:rPr>
        <w:t>γὰρ</w:t>
      </w:r>
      <w:r>
        <w:rPr/>
        <w:t xml:space="preserve"> </w:t>
      </w:r>
      <w:r>
        <w:rPr>
          <w:i/>
        </w:rPr>
        <w:t>denn</w:t>
      </w:r>
      <w:r>
        <w:rPr/>
        <w:t xml:space="preserve"> ist besser als explikatives </w:t>
      </w:r>
      <w:r>
        <w:rPr>
          <w:lang w:val="el-GR"/>
        </w:rPr>
        <w:t>γὰρ</w:t>
      </w:r>
      <w:r>
        <w:rPr/>
        <w:t xml:space="preserve"> </w:t>
      </w:r>
      <w:r>
        <w:rPr>
          <w:i/>
        </w:rPr>
        <w:t>nämlich</w:t>
      </w:r>
      <w:r>
        <w:rPr/>
        <w:t xml:space="preserve"> zu interpretieren; vgl. </w:t>
      </w:r>
      <w:r>
        <w:fldChar w:fldCharType="begin"/>
      </w:r>
      <w:r>
        <w:instrText> HYPERLINK "http://www.offene-bibel.de/wiki/index.php5?title=Kommentar:Markus_13" \l "Vv._5-8:_Abschnitt_1"</w:instrText>
      </w:r>
      <w:r>
        <w:fldChar w:fldCharType="separate"/>
      </w:r>
      <w:r>
        <w:rPr>
          <w:rStyle w:val="Internetverknpfung"/>
        </w:rPr>
        <w:t>Kommentar</w:t>
      </w:r>
      <w:r>
        <w:fldChar w:fldCharType="end"/>
      </w:r>
      <w:r>
        <w:rPr/>
        <w:t>.</w:t>
      </w:r>
    </w:p>
  </w:footnote>
  <w:footnote w:id="4478">
    <w:p>
      <w:pPr>
        <w:pStyle w:val="Funote"/>
        <w:rPr/>
      </w:pPr>
      <w:r>
        <w:rPr>
          <w:i/>
        </w:rPr>
        <w:footnoteRef/>
        <w:tab/>
        <w:t>Anfang der Wehen</w:t>
      </w:r>
      <w:r>
        <w:rPr/>
        <w:t xml:space="preserve"> - apokalyptische Formel, die v.a. in der rabbinischen Literatur gebräuchlich ist. Die </w:t>
      </w:r>
      <w:r>
        <w:rPr>
          <w:i/>
        </w:rPr>
        <w:t>(Geburts-)wehen</w:t>
      </w:r>
      <w:r>
        <w:rPr/>
        <w:t xml:space="preserve"> stehen für die Zeit der Not, die vor dem Einbruch der schönen Endzeit ertragen werden müssen (so fast alle Kommentare)</w:t>
      </w:r>
    </w:p>
  </w:footnote>
  <w:footnote w:id="4479">
    <w:p>
      <w:pPr>
        <w:pStyle w:val="Funote"/>
        <w:rPr/>
      </w:pPr>
      <w:r>
        <w:rPr/>
        <w:footnoteRef/>
        <w:tab/>
        <w:t>impersonaler Plural; vgl. ad loc. Turner 1924a, S. 382. Pryke 1978, S. 107 hält es hier für ein Passivsubstitut, aber das ist angesichts der direkt folgenden Passivformen nicht sehr wahrscheinlich.</w:t>
      </w:r>
    </w:p>
  </w:footnote>
  <w:footnote w:id="4480">
    <w:p>
      <w:pPr>
        <w:pStyle w:val="Funote"/>
        <w:rPr/>
      </w:pPr>
      <w:r>
        <w:rPr>
          <w:lang w:val="el-GR"/>
        </w:rPr>
        <w:footnoteRef/>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4481">
    <w:p>
      <w:pPr>
        <w:pStyle w:val="Funote"/>
        <w:rPr/>
      </w:pPr>
      <w:r>
        <w:rPr/>
        <w:footnoteRef/>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4482">
    <w:p>
      <w:pPr>
        <w:pStyle w:val="Funote"/>
        <w:rPr/>
      </w:pPr>
      <w:r>
        <w:rPr>
          <w:lang w:val="el-GR"/>
        </w:rPr>
        <w:footnoteRef/>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4483">
    <w:p>
      <w:pPr>
        <w:pStyle w:val="Funote"/>
        <w:rPr/>
      </w:pPr>
      <w:r>
        <w:rPr/>
        <w:footnoteRef/>
        <w:tab/>
        <w:t xml:space="preserve">Die Bedeutung dieses Nachsatzes ist etwas unklar. (1) ist nicht klar, ob </w:t>
      </w:r>
      <w:r>
        <w:rPr>
          <w:lang w:val="el-GR"/>
        </w:rPr>
        <w:t>αὐτοῖς</w:t>
      </w:r>
      <w:r>
        <w:rPr/>
        <w:t xml:space="preserve"> </w:t>
      </w:r>
      <w:r>
        <w:rPr>
          <w:i/>
        </w:rPr>
        <w:t>ihnen</w:t>
      </w:r>
      <w:r>
        <w:rPr/>
        <w:t xml:space="preserve"> sich auf die Statthalter und Könige bezieht oder auf die Auslieferer, Prügler, Statthalter und Könige, (2) lässt sich aus V. 9 allein nicht erkennen, worauf das </w:t>
      </w:r>
      <w:r>
        <w:rPr>
          <w:i/>
        </w:rPr>
        <w:t>ihnen zum Zeugnis</w:t>
      </w:r>
      <w:r>
        <w:rPr/>
        <w:t xml:space="preserve"> sich eigentlich beziehen soll. Die Mehrheitsmeinung bei der Interpretation von </w:t>
      </w:r>
      <w:r>
        <w:rPr>
          <w:i/>
        </w:rPr>
        <w:t>V. 10</w:t>
      </w:r>
      <w:r>
        <w:rPr/>
        <w:t xml:space="preserve"> ist aber, dass er parenthetisch das </w:t>
      </w:r>
      <w:r>
        <w:rPr>
          <w:i/>
        </w:rPr>
        <w:t>ihnen zum Zeugnis</w:t>
      </w:r>
      <w:r>
        <w:rPr/>
        <w:t xml:space="preserve"> auslegt und </w:t>
      </w:r>
      <w:r>
        <w:rPr>
          <w:i/>
        </w:rPr>
        <w:t>Zeugnis</w:t>
      </w:r>
      <w:r>
        <w:rPr/>
        <w:t xml:space="preserve">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4484">
    <w:p>
      <w:pPr>
        <w:pStyle w:val="Funote"/>
        <w:rPr/>
      </w:pPr>
      <w:r>
        <w:rPr/>
        <w:footnoteRef/>
        <w:tab/>
        <w:t xml:space="preserve">Kausales </w:t>
      </w:r>
      <w:r>
        <w:rPr>
          <w:lang w:val="el-GR"/>
        </w:rPr>
        <w:t>καὶ</w:t>
      </w:r>
      <w:r>
        <w:rPr/>
        <w:t>; vgl. Reiser 1983, S. 127; Wilckens.</w:t>
      </w:r>
    </w:p>
  </w:footnote>
  <w:footnote w:id="4485">
    <w:p>
      <w:pPr>
        <w:pStyle w:val="Funote"/>
        <w:rPr/>
      </w:pPr>
      <w:r>
        <w:rPr/>
        <w:footnoteRef/>
        <w:tab/>
        <w:t>recht sicher i.S.v. „vor dem Ende“</w:t>
      </w:r>
    </w:p>
  </w:footnote>
  <w:footnote w:id="4486">
    <w:p>
      <w:pPr>
        <w:pStyle w:val="Funote"/>
        <w:rPr/>
      </w:pPr>
      <w:r>
        <w:rPr>
          <w:lang w:val="el-GR"/>
        </w:rPr>
        <w:footnoteRef/>
        <w:tab/>
        <w:t>εἰς</w:t>
      </w:r>
      <w:r>
        <w:rPr/>
        <w:t xml:space="preserve"> wird hier verwendet wie </w:t>
      </w:r>
      <w:r>
        <w:rPr>
          <w:lang w:val="el-GR"/>
        </w:rPr>
        <w:t>ἔν</w:t>
      </w:r>
      <w:r>
        <w:rPr/>
        <w:t>; vgl Cranfield 1959, S. 199; Turner 1924b, S. 20</w:t>
      </w:r>
    </w:p>
  </w:footnote>
  <w:footnote w:id="4487">
    <w:p>
      <w:pPr>
        <w:pStyle w:val="Funote"/>
        <w:rPr/>
      </w:pPr>
      <w:r>
        <w:rPr/>
        <w:footnoteRef/>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4488">
    <w:p>
      <w:pPr>
        <w:pStyle w:val="Funote"/>
        <w:rPr/>
      </w:pPr>
      <w:r>
        <w:rPr/>
        <w:footnoteRef/>
        <w:tab/>
        <w:t>theologischer Passiv, eigentlich also besser »das, was Gott euch in jener Stunde eingeben wird«. Vgl. Grosvenor/Zerwick 1993, S. 151</w:t>
      </w:r>
    </w:p>
  </w:footnote>
  <w:footnote w:id="4489">
    <w:p>
      <w:pPr>
        <w:pStyle w:val="Funote"/>
        <w:rPr/>
      </w:pPr>
      <w:r>
        <w:rPr/>
        <w:footnoteRef/>
        <w:tab/>
        <w:t xml:space="preserve">wie im Hebräischen dient auch in der Koine </w:t>
      </w:r>
      <w:r>
        <w:rPr>
          <w:i/>
        </w:rPr>
        <w:t>Name</w:t>
      </w:r>
      <w:r>
        <w:rPr/>
        <w:t xml:space="preserve"> als Wechselbegriff für den Namensträger, also </w:t>
      </w:r>
      <w:r>
        <w:rPr>
          <w:i/>
        </w:rPr>
        <w:t>wegen meinem Namen</w:t>
      </w:r>
      <w:r>
        <w:rPr/>
        <w:t xml:space="preserve"> = </w:t>
      </w:r>
      <w:r>
        <w:rPr>
          <w:i/>
        </w:rPr>
        <w:t>wegen mir</w:t>
      </w:r>
      <w:r>
        <w:rPr/>
        <w:t>.</w:t>
      </w:r>
    </w:p>
  </w:footnote>
  <w:footnote w:id="4490">
    <w:p>
      <w:pPr>
        <w:pStyle w:val="Funote"/>
        <w:rPr/>
      </w:pPr>
      <w:r>
        <w:rPr/>
        <w:footnoteRef/>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4491">
    <w:p>
      <w:pPr>
        <w:pStyle w:val="Funote"/>
        <w:rPr/>
      </w:pPr>
      <w:r>
        <w:rPr>
          <w:lang w:val="el-GR"/>
        </w:rPr>
        <w:footnoteRef/>
        <w:tab/>
        <w:t>ὑπομένω</w:t>
      </w:r>
      <w:r>
        <w:rPr/>
        <w:t xml:space="preserve"> steht nicht nur für ausharren i.S.v. warten, sondern - bes. hier - für das Ertragen und Erdulden von Leiden; vgl. EWNT III, S. 968</w:t>
      </w:r>
    </w:p>
  </w:footnote>
  <w:footnote w:id="4492">
    <w:p>
      <w:pPr>
        <w:pStyle w:val="Funote"/>
        <w:rPr/>
      </w:pPr>
      <w:r>
        <w:rPr/>
        <w:footnoteRef/>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4493">
    <w:p>
      <w:pPr>
        <w:pStyle w:val="Funote"/>
        <w:rPr/>
      </w:pPr>
      <w:r>
        <w:rPr/>
        <w:footnoteRef/>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4494">
    <w:p>
      <w:pPr>
        <w:pStyle w:val="Funote"/>
        <w:rPr/>
      </w:pPr>
      <w:r>
        <w:rPr/>
        <w:footnoteRef/>
        <w:tab/>
        <w:t>Das Motiv der Flucht ins Gebirge ist ein häufigeres Motiv; vgl. z.B. 1Makk 2,28 (s. z.B. Gnilka 1978, S. 195f); umgekehrt kennt man auch das Motiv der Flucht aus dem Umland in die Hauptstadt, vgl. z.B. Jer 4,1ff. (s. z.B. Pesch 1977, S. 292).</w:t>
      </w:r>
    </w:p>
  </w:footnote>
  <w:footnote w:id="4495">
    <w:p>
      <w:pPr>
        <w:pStyle w:val="Funote"/>
        <w:rPr/>
      </w:pPr>
      <w:r>
        <w:rPr/>
        <w:footnoteRef/>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4496">
    <w:p>
      <w:pPr>
        <w:pStyle w:val="Funote"/>
        <w:rPr/>
      </w:pPr>
      <w:r>
        <w:rPr>
          <w:i/>
        </w:rPr>
        <w:footnoteRef/>
        <w:tab/>
        <w:t>nicht hinabsteigen, um hineinzugehen</w:t>
      </w:r>
      <w:r>
        <w:rPr/>
        <w:t xml:space="preserve"> vs. </w:t>
      </w:r>
      <w:r>
        <w:rPr>
          <w:i/>
        </w:rPr>
        <w:t>weder herabsteigen noch hineingehen</w:t>
      </w:r>
      <w:r>
        <w:rPr/>
        <w:t xml:space="preserve">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w:t>
      </w:r>
      <w:r>
        <w:rPr>
          <w:strike/>
        </w:rPr>
        <w:t>hinuntersteigen, um</w:t>
      </w:r>
      <w:r>
        <w:rPr/>
        <w:t xml:space="preserve"> ins Haus gehen, um sich etwas zu holen“</w:t>
      </w:r>
    </w:p>
  </w:footnote>
  <w:footnote w:id="4497">
    <w:p>
      <w:pPr>
        <w:pStyle w:val="Funote"/>
        <w:rPr/>
      </w:pPr>
      <w:r>
        <w:rPr/>
        <w:footnoteRef/>
        <w:tab/>
        <w:t xml:space="preserve">W. </w:t>
      </w:r>
      <w:r>
        <w:rPr>
          <w:i/>
        </w:rPr>
        <w:t>soll sich nicht zurückwenden nach zurück</w:t>
      </w:r>
      <w:r>
        <w:rPr/>
        <w:t>; gemeint ist sicher „nach Hause zurückkehren“.</w:t>
      </w:r>
    </w:p>
  </w:footnote>
  <w:footnote w:id="4498">
    <w:p>
      <w:pPr>
        <w:pStyle w:val="Funote"/>
        <w:rPr/>
      </w:pPr>
      <w:r>
        <w:rPr/>
        <w:footnoteRef/>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4499">
    <w:p>
      <w:pPr>
        <w:pStyle w:val="Funote"/>
        <w:rPr/>
      </w:pPr>
      <w:r>
        <w:rPr>
          <w:i/>
        </w:rPr>
        <w:footnoteRef/>
        <w:tab/>
        <w:t>in jenen Tagen</w:t>
      </w:r>
      <w:r>
        <w:rPr/>
        <w:t xml:space="preserve">: Stereotype alttestamentliche Phrase, die häufig in eschatologischen Kontexten verwendet wird; s. z.B. </w:t>
      </w:r>
      <w:r>
        <w:fldChar w:fldCharType="begin"/>
      </w:r>
      <w:r>
        <w:instrText> HYPERLINK "file:///wiki/Jeremia_3" \l "s16"</w:instrText>
      </w:r>
      <w:r>
        <w:fldChar w:fldCharType="separate"/>
      </w:r>
      <w:r>
        <w:rPr>
          <w:rStyle w:val="Internetverknpfung"/>
        </w:rPr>
        <w:t>Jer 3,16</w:t>
      </w:r>
      <w:r>
        <w:fldChar w:fldCharType="end"/>
      </w:r>
      <w:r>
        <w:rPr/>
        <w:t>.</w:t>
      </w:r>
      <w:r>
        <w:fldChar w:fldCharType="begin"/>
      </w:r>
      <w:r>
        <w:instrText> HYPERLINK "file:///wiki/Jeremia_3" \l "s18"</w:instrText>
      </w:r>
      <w:r>
        <w:fldChar w:fldCharType="separate"/>
      </w:r>
      <w:r>
        <w:rPr>
          <w:rStyle w:val="Internetverknpfung"/>
        </w:rPr>
        <w:t>18</w:t>
      </w:r>
      <w:r>
        <w:fldChar w:fldCharType="end"/>
      </w:r>
      <w:r>
        <w:rPr/>
        <w:t xml:space="preserve">; </w:t>
      </w:r>
      <w:hyperlink r:id="rId447">
        <w:r>
          <w:rPr>
            <w:rStyle w:val="Internetverknpfung"/>
          </w:rPr>
          <w:t>31,29</w:t>
        </w:r>
      </w:hyperlink>
      <w:r>
        <w:rPr/>
        <w:t xml:space="preserve">; </w:t>
      </w:r>
      <w:hyperlink r:id="rId448">
        <w:r>
          <w:rPr>
            <w:rStyle w:val="Internetverknpfung"/>
          </w:rPr>
          <w:t>33,15f</w:t>
        </w:r>
      </w:hyperlink>
      <w:r>
        <w:rPr/>
        <w:t xml:space="preserve">.; </w:t>
      </w:r>
      <w:hyperlink r:id="rId449">
        <w:r>
          <w:rPr>
            <w:rStyle w:val="Internetverknpfung"/>
          </w:rPr>
          <w:t>Joel 3,1</w:t>
        </w:r>
      </w:hyperlink>
      <w:r>
        <w:rPr/>
        <w:t xml:space="preserve">; </w:t>
      </w:r>
      <w:hyperlink r:id="rId450">
        <w:r>
          <w:rPr>
            <w:rStyle w:val="Internetverknpfung"/>
          </w:rPr>
          <w:t>Sach 8,23</w:t>
        </w:r>
      </w:hyperlink>
      <w:r>
        <w:rPr/>
        <w:t xml:space="preserve"> u.ö.</w:t>
      </w:r>
    </w:p>
  </w:footnote>
  <w:footnote w:id="4500">
    <w:p>
      <w:pPr>
        <w:pStyle w:val="Funote"/>
        <w:rPr/>
      </w:pPr>
      <w:r>
        <w:rPr/>
        <w:footnoteRef/>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w:t>
      </w:r>
      <w:r>
        <w:rPr>
          <w:i/>
        </w:rPr>
        <w:t>Darum betet, dass es nicht winters geschieht!</w:t>
      </w:r>
    </w:p>
  </w:footnote>
  <w:footnote w:id="4501">
    <w:p>
      <w:pPr>
        <w:pStyle w:val="Funote"/>
        <w:rPr/>
      </w:pPr>
      <w:r>
        <w:rPr/>
        <w:footnoteRef/>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während dem sizilischen Krieg; Mk 13,19 seit Beginn von Gottes Schöpfung; Mk 13,20 um seiner/der von ihm Auserwählten willen.</w:t>
      </w:r>
    </w:p>
  </w:footnote>
  <w:footnote w:id="4502">
    <w:p>
      <w:pPr>
        <w:pStyle w:val="Funote"/>
        <w:rPr/>
      </w:pPr>
      <w:r>
        <w:rPr>
          <w:lang w:val="el-GR"/>
        </w:rPr>
        <w:footnoteRef/>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4503">
    <w:p>
      <w:pPr>
        <w:pStyle w:val="Funote"/>
        <w:rPr/>
      </w:pPr>
      <w:r>
        <w:rPr/>
        <w:footnoteRef/>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4504">
    <w:p>
      <w:pPr>
        <w:pStyle w:val="Funote"/>
        <w:rPr/>
      </w:pPr>
      <w:r>
        <w:rPr/>
        <w:footnoteRef/>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4505">
    <w:p>
      <w:pPr>
        <w:pStyle w:val="Funote"/>
        <w:rPr/>
      </w:pPr>
      <w:r>
        <w:rPr/>
        <w:footnoteRef/>
        <w:tab/>
        <w:t>Bailey 2009, S. 360 hat die beiden Ausrufe sehr gut analysiert: Fokalisiert ist in beiden jeweils der Lokativ (</w:t>
      </w:r>
      <w:r>
        <w:rPr>
          <w:i/>
        </w:rPr>
        <w:t>Hier</w:t>
      </w:r>
      <w:r>
        <w:rPr/>
        <w:t xml:space="preserve"> + </w:t>
      </w:r>
      <w:r>
        <w:rPr>
          <w:i/>
        </w:rPr>
        <w:t>dort</w:t>
      </w:r>
      <w:r>
        <w:rPr/>
        <w:t xml:space="preserve">);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w:t>
      </w:r>
      <w:r>
        <w:rPr>
          <w:i/>
        </w:rPr>
        <w:t>Hier!</w:t>
      </w:r>
      <w:r>
        <w:rPr/>
        <w:t xml:space="preserve"> und </w:t>
      </w:r>
      <w:r>
        <w:rPr>
          <w:i/>
        </w:rPr>
        <w:t>dort!</w:t>
      </w:r>
      <w:r>
        <w:rPr/>
        <w:t xml:space="preserve"> auf die verschiedenen Pseudo-christusse verweisen soll; also sinngemäß eher „Dieser hier ist der Christus!“ und „jener dort ist der Christus!“. Ich denke aber, dass das auch bei wörtlicher Übersetzung klar herauskommt.</w:t>
      </w:r>
    </w:p>
  </w:footnote>
  <w:footnote w:id="4506">
    <w:p>
      <w:pPr>
        <w:pStyle w:val="Funote"/>
        <w:rPr/>
      </w:pPr>
      <w:r>
        <w:rPr/>
        <w:footnoteRef/>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4507">
    <w:p>
      <w:pPr>
        <w:pStyle w:val="Funote"/>
        <w:rPr/>
      </w:pPr>
      <w:r>
        <w:rPr/>
        <w:footnoteRef/>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4508">
    <w:p>
      <w:pPr>
        <w:pStyle w:val="Funote"/>
        <w:rPr/>
      </w:pPr>
      <w:r>
        <w:rPr/>
        <w:footnoteRef/>
        <w:tab/>
        <w:t xml:space="preserve">Das Verb </w:t>
      </w:r>
      <w:r>
        <w:rPr>
          <w:lang w:val="el-GR"/>
        </w:rPr>
        <w:t>ἀποπλανάω</w:t>
      </w:r>
      <w:r>
        <w:rPr/>
        <w:t xml:space="preserve"> hat hier »die Bedeutung eschatologischer Verführung« (EWNT III, S. 236)</w:t>
      </w:r>
    </w:p>
  </w:footnote>
  <w:footnote w:id="4509">
    <w:p>
      <w:pPr>
        <w:pStyle w:val="Funote"/>
        <w:rPr/>
      </w:pPr>
      <w:r>
        <w:rPr/>
        <w:footnoteRef/>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t>
      </w:r>
      <w:r>
        <w:rPr>
          <w:i/>
        </w:rPr>
        <w:t>wenn möglich</w:t>
      </w:r>
      <w:r>
        <w:rPr/>
        <w:t xml:space="preserve"> in V. 22 könnte theoretisch auch bedeuten </w:t>
      </w:r>
      <w:r>
        <w:rPr>
          <w:i/>
        </w:rPr>
        <w:t>wo/bei wem immer das möglich ist (=ihnen das gelingt)</w:t>
      </w:r>
      <w:r>
        <w:rPr/>
        <w:t xml:space="preserve">;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w:t>
      </w:r>
      <w:r>
        <w:rPr>
          <w:i/>
        </w:rPr>
        <w:t>und so all jene</w:t>
      </w:r>
      <w:r>
        <w:rPr/>
        <w:t xml:space="preserve"> Erwählten verführen, </w:t>
      </w:r>
      <w:r>
        <w:rPr>
          <w:i/>
        </w:rPr>
        <w:t>bei denen</w:t>
      </w:r>
      <w:r>
        <w:rPr/>
        <w:t xml:space="preserve"> es ihnen gelingt. </w:t>
      </w:r>
      <w:r>
        <w:rPr>
          <w:i/>
        </w:rPr>
        <w:t>Ihr dagegen</w:t>
      </w:r>
      <w:r>
        <w:rPr/>
        <w:t xml:space="preserve">: Achtet auf euch selbst...“ - So aber m.W. niemand und es ist diese Verwendung von </w:t>
      </w:r>
      <w:r>
        <w:rPr>
          <w:lang w:val="el-GR"/>
        </w:rPr>
        <w:t>εἰ</w:t>
      </w:r>
      <w:r>
        <w:rPr/>
        <w:t xml:space="preserve"> auch eher selten, daher können wir getrost bei der angegebenen Standard-übersetzung bleiben.</w:t>
      </w:r>
    </w:p>
  </w:footnote>
  <w:footnote w:id="4510">
    <w:p>
      <w:pPr>
        <w:pStyle w:val="Funote"/>
        <w:rPr/>
      </w:pPr>
      <w:r>
        <w:rPr/>
        <w:footnoteRef/>
        <w:tab/>
        <w:t xml:space="preserve">Die Bedeutung von </w:t>
      </w:r>
      <w:r>
        <w:rPr>
          <w:lang w:val="el-GR"/>
        </w:rPr>
        <w:t>πάντα</w:t>
      </w:r>
      <w:r>
        <w:rPr/>
        <w:t xml:space="preserve"> ist in der Exegese umstritten; vgl. dazu den </w:t>
      </w:r>
      <w:r>
        <w:fldChar w:fldCharType="begin"/>
      </w:r>
      <w:r>
        <w:instrText> HYPERLINK "http://www.offene-bibel.de/wiki/index.php5?title=Kommentar:Markus_13" \l "Vv._28-31:_Abschnitt_1"</w:instrText>
      </w:r>
      <w:r>
        <w:fldChar w:fldCharType="separate"/>
      </w:r>
      <w:r>
        <w:rPr>
          <w:rStyle w:val="Internetverknpfung"/>
        </w:rPr>
        <w:t>Kommentar</w:t>
      </w:r>
      <w:r>
        <w:fldChar w:fldCharType="end"/>
      </w:r>
      <w:r>
        <w:rPr/>
        <w:t>.</w:t>
      </w:r>
    </w:p>
  </w:footnote>
  <w:footnote w:id="4511">
    <w:p>
      <w:pPr>
        <w:pStyle w:val="Funote"/>
        <w:rPr/>
      </w:pPr>
      <w:r>
        <w:rPr/>
        <w:footnoteRef/>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w:t>
      </w:r>
      <w:hyperlink r:id="rId451">
        <w:r>
          <w:rPr>
            <w:rStyle w:val="Internetverknpfung"/>
          </w:rPr>
          <w:t>CH 8,1</w:t>
        </w:r>
      </w:hyperlink>
      <w:r>
        <w:rPr/>
        <w:t xml:space="preserve">); heute stellen sie in der Engellehre sozusagen „ganz offiziell“ einen der Neun Englischen Chöre: die </w:t>
      </w:r>
      <w:r>
        <w:rPr>
          <w:i/>
        </w:rPr>
        <w:t>virtutes</w:t>
      </w:r>
      <w:r>
        <w:rPr/>
        <w:t xml:space="preserve">, die dafür verantwortlich sind, in Gottes Auftrag Wunder zu wirken. Vermutlich stammt das Bild noch aus der Apokalypse-Schilderung in </w:t>
      </w:r>
      <w:hyperlink r:id="rId452">
        <w:r>
          <w:rPr>
            <w:rStyle w:val="Internetverknpfung"/>
          </w:rPr>
          <w:t>Jes 34,4</w:t>
        </w:r>
      </w:hyperlink>
      <w:r>
        <w:rPr/>
        <w:t>.</w:t>
      </w:r>
    </w:p>
  </w:footnote>
  <w:footnote w:id="4512">
    <w:p>
      <w:pPr>
        <w:pStyle w:val="Funote"/>
        <w:rPr/>
      </w:pPr>
      <w:r>
        <w:rPr/>
        <w:footnoteRef/>
        <w:tab/>
        <w:t xml:space="preserve">W. werden sie sehen, aber impersonaler Plural (vgl. z.B. Martin 2009, S. 477), daher besser wird man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4513">
    <w:p>
      <w:pPr>
        <w:pStyle w:val="Funote"/>
        <w:rPr/>
      </w:pPr>
      <w:r>
        <w:rPr/>
        <w:footnoteRef/>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4514">
    <w:p>
      <w:pPr>
        <w:pStyle w:val="Funote"/>
        <w:rPr/>
      </w:pPr>
      <w:r>
        <w:rPr/>
        <w:footnoteRef/>
        <w:tab/>
        <w:t xml:space="preserve">Im Singular (anders als im Plural, V. 25) ist die </w:t>
      </w:r>
      <w:r>
        <w:rPr>
          <w:lang w:val="el-GR"/>
        </w:rPr>
        <w:t>δύναμις</w:t>
      </w:r>
      <w:r>
        <w:rPr/>
        <w:t xml:space="preserve"> ein Attribut Gottes/Christi und bezeichnet deren (All)Macht.</w:t>
      </w:r>
    </w:p>
  </w:footnote>
  <w:footnote w:id="4515">
    <w:p>
      <w:pPr>
        <w:pStyle w:val="Funote"/>
        <w:rPr/>
      </w:pPr>
      <w:r>
        <w:rPr>
          <w:lang w:val="el-GR"/>
        </w:rPr>
        <w:footnoteRef/>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4516">
    <w:p>
      <w:pPr>
        <w:pStyle w:val="Funote"/>
        <w:rPr/>
      </w:pPr>
      <w:r>
        <w:rPr/>
        <w:footnoteRef/>
        <w:tab/>
        <w:t>Himmelsrichtungen - W. »Winde«; zur Bedeutung »Himmelsrichtungen« vgl. EWNT I, S. 231. Im Hintergrund steht die im Alten Orient häufigere Verortung der (Personifikationen der) vier Winde an die vier Enden der Erde (s. in der Bibel noch Offb 7,1; auch Ez 37,9; für ein Bsp. in der ägyptischen Ikonographie s. z.B. hier oder hier, S. 328; jeweils dargestellt durch vier geflügelte Tiere). Damit und dadurch stehen die Winde gleichzeitig für die Himmelsrichtungen.</w:t>
      </w:r>
    </w:p>
  </w:footnote>
  <w:footnote w:id="4517">
    <w:p>
      <w:pPr>
        <w:pStyle w:val="Funote"/>
        <w:rPr/>
      </w:pPr>
      <w:r>
        <w:rPr/>
        <w:footnoteRef/>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auf die Stadt auf dem Berg statt Ich gehe zur Stadt auf dem Berg und im Falle von Mk 13,27 Er wird die Auserwählten aus den vier Himmelsrichtungen am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4518">
    <w:p>
      <w:pPr>
        <w:pStyle w:val="Funote"/>
        <w:rPr/>
      </w:pPr>
      <w:r>
        <w:rPr/>
        <w:footnoteRef/>
        <w:tab/>
        <w:t xml:space="preserve">zu </w:t>
      </w:r>
      <w:r>
        <w:rPr>
          <w:lang w:val="el-GR"/>
        </w:rPr>
        <w:t>Ἀπὸ</w:t>
      </w:r>
      <w:r>
        <w:rPr/>
        <w:t xml:space="preserve"> i.S.v. </w:t>
      </w:r>
      <w:r>
        <w:rPr>
          <w:i/>
        </w:rPr>
        <w:t>über</w:t>
      </w:r>
      <w:r>
        <w:rPr/>
        <w:t xml:space="preserve"> vgl. LSJ (Bed. A7)</w:t>
      </w:r>
    </w:p>
  </w:footnote>
  <w:footnote w:id="4519">
    <w:p>
      <w:pPr>
        <w:pStyle w:val="Funote"/>
        <w:rPr/>
      </w:pPr>
      <w:r>
        <w:rPr/>
        <w:footnoteRef/>
        <w:tab/>
        <w:t xml:space="preserve">zu </w:t>
      </w:r>
      <w:r>
        <w:rPr>
          <w:lang w:val="el-GR"/>
        </w:rPr>
        <w:t>ὅταν ἤδη</w:t>
      </w:r>
      <w:r>
        <w:rPr/>
        <w:t xml:space="preserve"> i.S.v. sobald vgl. ad loc. Grosvenor/Zerwick.</w:t>
      </w:r>
    </w:p>
  </w:footnote>
  <w:footnote w:id="4520">
    <w:p>
      <w:pPr>
        <w:pStyle w:val="Funote"/>
        <w:rPr/>
      </w:pPr>
      <w:r>
        <w:rPr/>
        <w:footnoteRef/>
        <w:tab/>
        <w:t xml:space="preserve">W. </w:t>
      </w:r>
      <w:r>
        <w:rPr>
          <w:i/>
        </w:rPr>
        <w:t>sein Zweig</w:t>
      </w:r>
      <w:r>
        <w:rPr/>
        <w:t>; kollektiver Singular</w:t>
      </w:r>
    </w:p>
  </w:footnote>
  <w:footnote w:id="4521">
    <w:p>
      <w:pPr>
        <w:pStyle w:val="Funote"/>
        <w:rPr/>
      </w:pPr>
      <w:r>
        <w:rPr/>
        <w:footnoteRef/>
        <w:tab/>
        <w:t>sicher i.S.v. Wenn der Saft in die Zweige steigt (so z.B. GN, NGÜ). Sehr schön BB: Wenn seine Zweige frisch austreiben und Blätter bekommen.</w:t>
      </w:r>
    </w:p>
  </w:footnote>
  <w:footnote w:id="4522">
    <w:p>
      <w:pPr>
        <w:pStyle w:val="Funote"/>
        <w:rPr/>
      </w:pPr>
      <w:r>
        <w:rPr/>
        <w:footnoteRef/>
        <w:tab/>
        <w:t xml:space="preserve">Zum Gleichnis vgl. den </w:t>
      </w:r>
      <w:r>
        <w:fldChar w:fldCharType="begin"/>
      </w:r>
      <w:r>
        <w:instrText> HYPERLINK "http://www.offene-bibel.de/wiki/index.php5?title=Kommentar:Markus_13" \l "Vv._28-31:_Abschnitt_1"</w:instrText>
      </w:r>
      <w:r>
        <w:fldChar w:fldCharType="separate"/>
      </w:r>
      <w:r>
        <w:rPr>
          <w:rStyle w:val="Internetverknpfung"/>
        </w:rPr>
        <w:t>Kommentar</w:t>
      </w:r>
      <w:r>
        <w:fldChar w:fldCharType="end"/>
      </w:r>
    </w:p>
  </w:footnote>
  <w:footnote w:id="4523">
    <w:p>
      <w:pPr>
        <w:pStyle w:val="Funote"/>
        <w:rPr/>
      </w:pPr>
      <w:r>
        <w:rPr>
          <w:lang w:val="el-GR"/>
        </w:rPr>
        <w:footnoteRef/>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4524">
    <w:p>
      <w:pPr>
        <w:pStyle w:val="Funote"/>
        <w:rPr/>
      </w:pPr>
      <w:r>
        <w:rPr/>
        <w:footnoteRef/>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4525">
    <w:p>
      <w:pPr>
        <w:pStyle w:val="Funote"/>
        <w:rPr/>
      </w:pPr>
      <w:r>
        <w:rPr/>
        <w:footnoteRef/>
        <w:tab/>
        <w:t xml:space="preserve">Die Bedeutung von </w:t>
      </w:r>
      <w:r>
        <w:rPr>
          <w:lang w:val="el-GR"/>
        </w:rPr>
        <w:t>ταῦτα πάντα</w:t>
      </w:r>
      <w:r>
        <w:rPr/>
        <w:t xml:space="preserve"> </w:t>
      </w:r>
      <w:r>
        <w:rPr>
          <w:i/>
        </w:rPr>
        <w:t>dies alles</w:t>
      </w:r>
      <w:r>
        <w:rPr/>
        <w:t xml:space="preserve"> ist in der Exegese umstritten; vgl. dazu den </w:t>
      </w:r>
      <w:r>
        <w:fldChar w:fldCharType="begin"/>
      </w:r>
      <w:r>
        <w:instrText> HYPERLINK "http://www.offene-bibel.de/wiki/index.php5?title=Kommentar:Markus_13" \l "Vv._28-31:_Abschnitt_1"</w:instrText>
      </w:r>
      <w:r>
        <w:fldChar w:fldCharType="separate"/>
      </w:r>
      <w:r>
        <w:rPr>
          <w:rStyle w:val="Internetverknpfung"/>
        </w:rPr>
        <w:t>Kommentar</w:t>
      </w:r>
      <w:r>
        <w:fldChar w:fldCharType="end"/>
      </w:r>
    </w:p>
  </w:footnote>
  <w:footnote w:id="4526">
    <w:p>
      <w:pPr>
        <w:pStyle w:val="Funote"/>
        <w:rPr/>
      </w:pPr>
      <w:r>
        <w:rPr/>
        <w:footnoteRef/>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4527">
    <w:p>
      <w:pPr>
        <w:pStyle w:val="Funote"/>
        <w:rPr/>
      </w:pPr>
      <w:r>
        <w:rPr/>
        <w:footnoteRef/>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4528">
    <w:p>
      <w:pPr>
        <w:pStyle w:val="Funote"/>
        <w:rPr/>
      </w:pPr>
      <w:r>
        <w:rPr/>
        <w:footnoteRef/>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4529">
    <w:p>
      <w:pPr>
        <w:pStyle w:val="Funote"/>
        <w:rPr/>
      </w:pPr>
      <w:r>
        <w:rPr/>
        <w:footnoteRef/>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4530">
    <w:p>
      <w:pPr>
        <w:pStyle w:val="Funote"/>
        <w:rPr/>
      </w:pPr>
      <w:r>
        <w:rPr/>
        <w:footnoteRef/>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4531">
    <w:p>
      <w:pPr>
        <w:pStyle w:val="Funote"/>
        <w:rPr/>
      </w:pPr>
      <w:r>
        <w:rPr/>
        <w:footnoteRef/>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4532">
    <w:p>
      <w:pPr>
        <w:pStyle w:val="Funote"/>
        <w:rPr/>
      </w:pPr>
      <w:r>
        <w:rPr/>
        <w:footnoteRef/>
        <w:tab/>
        <w:t xml:space="preserve">partikularisierendes </w:t>
      </w:r>
      <w:r>
        <w:rPr>
          <w:lang w:val="el-GR"/>
        </w:rPr>
        <w:t>καὶ</w:t>
      </w:r>
      <w:r>
        <w:rPr/>
        <w:t xml:space="preserve">: Der Torhüter ist bereits in </w:t>
      </w:r>
      <w:r>
        <w:rPr>
          <w:i/>
        </w:rPr>
        <w:t>seinen Knechten</w:t>
      </w:r>
      <w:r>
        <w:rPr/>
        <w:t xml:space="preserve"> inkludiert; nun wird noch einmal gesondert auf den Torhüter Bezug genommen</w:t>
      </w:r>
    </w:p>
  </w:footnote>
  <w:footnote w:id="4533">
    <w:p>
      <w:pPr>
        <w:pStyle w:val="Funote"/>
        <w:rPr/>
      </w:pPr>
      <w:r>
        <w:rPr/>
        <w:footnoteRef/>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4534">
    <w:p>
      <w:pPr>
        <w:pStyle w:val="Funote"/>
        <w:rPr/>
      </w:pPr>
      <w:r>
        <w:rPr/>
        <w:footnoteRef/>
        <w:tab/>
        <w:t xml:space="preserve">Der Satz ist spannend, denn er steht sowohl auf der Bildseite als auch auf der Sachseite des Gleichnisses (-&gt;°Gleichnis°) und bezieht sich sowohl auf die </w:t>
      </w:r>
      <w:r>
        <w:rPr>
          <w:i/>
        </w:rPr>
        <w:t>Rückkehr</w:t>
      </w:r>
      <w:r>
        <w:rPr/>
        <w:t xml:space="preserve"> des Hausherrn als auch als die eschatologisch zu verstehende (vgl. </w:t>
      </w:r>
      <w:r>
        <w:fldChar w:fldCharType="begin"/>
      </w:r>
      <w:r>
        <w:instrText> HYPERLINK "http://www.offene-bibel.de/wiki/index.php5?title=Markus_13" \l "note_bg"</w:instrText>
      </w:r>
      <w:r>
        <w:fldChar w:fldCharType="separate"/>
      </w:r>
      <w:r>
        <w:rPr>
          <w:rStyle w:val="Internetverknpfung"/>
        </w:rPr>
        <w:t>Fußnote bg</w:t>
      </w:r>
      <w:r>
        <w:fldChar w:fldCharType="end"/>
      </w:r>
      <w:r>
        <w:rPr/>
        <w:t xml:space="preserve">) </w:t>
      </w:r>
      <w:r>
        <w:rPr>
          <w:i/>
        </w:rPr>
        <w:t>Wiederkunft</w:t>
      </w:r>
      <w:r>
        <w:rPr/>
        <w:t xml:space="preserve"> des </w:t>
      </w:r>
      <w:r>
        <w:rPr>
          <w:i/>
        </w:rPr>
        <w:t>Herrn</w:t>
      </w:r>
      <w:r>
        <w:rPr/>
        <w:t>, also des Menschensohnes.</w:t>
      </w:r>
    </w:p>
  </w:footnote>
  <w:footnote w:id="4535">
    <w:p>
      <w:pPr>
        <w:pStyle w:val="Funote"/>
        <w:rPr/>
      </w:pPr>
      <w:r>
        <w:rPr/>
        <w:footnoteRef/>
        <w:tab/>
        <w:t>Abend, Mitternacht, Hahnenschrei und Morgengrauen sind die vier Nachtwachenzeiten der Römer (vgl. Thüsing 2011, S. 115); die Zeitangaben passen also ausgesprochen gut zur Aufgabe des Wache-haltens eines Torwächters.</w:t>
      </w:r>
    </w:p>
  </w:footnote>
  <w:footnote w:id="4536">
    <w:p>
      <w:pPr>
        <w:pStyle w:val="Funote"/>
        <w:rPr/>
      </w:pPr>
      <w:r>
        <w:rPr/>
        <w:footnoteRef/>
        <w:tab/>
        <w:t>sehr gut GN: »Was ich euch gesagt habe, gilt für alle«.</w:t>
      </w:r>
    </w:p>
  </w:footnote>
  <w:footnote w:id="4537">
    <w:p>
      <w:pPr>
        <w:pStyle w:val="Funote"/>
        <w:rPr/>
      </w:pPr>
      <w:r>
        <w:rPr/>
        <w:footnoteRef/>
        <w:tab/>
        <w:t>[... Der Verrat des Judas ist letztlich die höchste Steigerungsform des fortwährenden Jüngerunverständnisses, das das ganze Mk-Evanelium durchzieht.]</w:t>
      </w:r>
    </w:p>
  </w:footnote>
  <w:footnote w:id="4538">
    <w:p>
      <w:pPr>
        <w:pStyle w:val="Funote"/>
        <w:rPr/>
      </w:pPr>
      <w:r>
        <w:rPr/>
        <w:footnoteRef/>
        <w:tab/>
        <w:t>[S. auch die Formulierung „durch den der Menschensohn ausgeliefert wird“ - das gr. Äquivalent von „durch“ drückt nicht den Handelnden selbst aus, sondern das Medium, durch das eine Handlung vollbracht wird (vgl. gut Marcus 2009, S. 952)]</w:t>
      </w:r>
    </w:p>
  </w:footnote>
  <w:footnote w:id="4539">
    <w:p>
      <w:pPr>
        <w:pStyle w:val="Funote"/>
        <w:rPr/>
      </w:pPr>
      <w:r>
        <w:rPr/>
        <w:footnoteRef/>
        <w:tab/>
        <w:t>[Mittlerweile sind eine ganze Reihe Eucharistiegebete ohne Einsetzungsworte bekannt: Did 9,5; 10,1-6; AcJoh 85; 109; AcThom 49f; 133; 158; das sog. „Papyrus Strasbourg“ Gk 254; Didask 7,25; die noch heute gebräuchliche Anaphora von Addai und Mari. Das erste überlieferte Eucharistiegebet mit Zitierung der Einsetzungsworte findet sich in der ca. 200-250 n.Chr. entstandenen Traditio Apostolica (4,9f), aber auch dort werden sie noch „nur“ als letzter Abschnitt eines heilsgeschichtlichen Abrisses des Lebens Jesu zitiert und auch aus der Zeit danach finden sich Eucharistiegebete ohne die Einsetzungsworte; z.B. in Cyrill von Jerusalems „Mystischen Katechesen“ aus dem 4. Jh. (vgl. z.B. Baldovin 2013, S. 193f).]</w:t>
      </w:r>
    </w:p>
  </w:footnote>
  <w:footnote w:id="4540">
    <w:p>
      <w:pPr>
        <w:pStyle w:val="Funote"/>
        <w:rPr/>
      </w:pPr>
      <w:r>
        <w:rPr/>
        <w:footnoteRef/>
        <w:tab/>
        <w:t>[Das Singen in V. 26 dagegen ist nichts Besonderes. Bei jedem griechischen Symposium wurden religiöse Lieder gesungen; u.a. z.B. ein die abschließende Becherhandlung (s. u.) begleitender „Paian“. Ein solcher könnte gut auch hier gemeint sein, denn ob zu Jesu Zeit bereits die Psalmen 114/115-118 zum Abschluss des Pascha-Hauptgangs gesungen wurde, wissen wir nicht.]</w:t>
      </w:r>
    </w:p>
  </w:footnote>
  <w:footnote w:id="4541">
    <w:p>
      <w:pPr>
        <w:pStyle w:val="Funote"/>
        <w:rPr/>
      </w:pPr>
      <w:r>
        <w:rPr/>
        <w:footnoteRef/>
        <w:tab/>
        <w:t>[Beim griechischen Gastmahl gingen mehrere solcher geweihter Becher um, die verschiedenen Göttern geweiht waren, und eines der Probleme Pauli mit der Eucharistie der Korinther scheint gewesen zu sein, dass sie den „Jesus-becher“ einfach zusätzlich zu den anderen Gottheiten geweihten Bechern getrunken haben (s. 1 Kor 10,21).]</w:t>
      </w:r>
    </w:p>
  </w:footnote>
  <w:footnote w:id="4542">
    <w:p>
      <w:pPr>
        <w:pStyle w:val="Funote"/>
        <w:rPr/>
      </w:pPr>
      <w:r>
        <w:rPr/>
        <w:footnoteRef/>
        <w:tab/>
        <w:t>[Man beachte, wie sehr schon in der bloßen Handlng die spätere theologische Ausdeutung der Eucharistie vorgezeichnet ist. Vgl. z.B. folgenden Ausschnitt aus dem Eucharistiegebet der Traditio Apostolica: „Seines Todes und seiner Auferstehung eingedenk bringen wir dir das Brot und den Kelch dar. ... Auch bitten wir dich, deinen Heiligen Geist auf die Gaben deiner Kirche herabzusenden. ... Gib allen Heiligen, die sie empfangen, Erfüllung mit Heiligem Geist...“ - Die eucharistischen Gaben werden Gott als Opfer dargebracht; gleichwohl aber konsumiert. Und im Gegenzug sendet Gott seinen Geist auf die Gaben - und über den Umweg des Gabenkonsums auch auf die Gemeinde - herab und schenkt ihnen so durch die „Geist-Erfüllung“ Gemeinschaft mit sich und untereinander.]</w:t>
      </w:r>
    </w:p>
  </w:footnote>
  <w:footnote w:id="4543">
    <w:p>
      <w:pPr>
        <w:pStyle w:val="Funote"/>
        <w:rPr/>
      </w:pPr>
      <w:r>
        <w:rPr/>
        <w:footnoteRef/>
        <w:tab/>
        <w:t>[Status: Ungeprüft]</w:t>
      </w:r>
    </w:p>
  </w:footnote>
  <w:footnote w:id="4544">
    <w:p>
      <w:pPr>
        <w:pStyle w:val="Funote"/>
        <w:rPr/>
      </w:pPr>
      <w:r>
        <w:rPr/>
        <w:footnoteRef/>
        <w:tab/>
        <w:t xml:space="preserve">Zu den Zeitangaben s. den </w:t>
      </w:r>
      <w:r>
        <w:fldChar w:fldCharType="begin"/>
      </w:r>
      <w:r>
        <w:instrText> HYPERLINK "http://www.offene-bibel.de/wiki/index.php5?title=Kommentar:Markus_14" \l "Exkurs_zur_Zeitrechnung"</w:instrText>
      </w:r>
      <w:r>
        <w:fldChar w:fldCharType="separate"/>
      </w:r>
      <w:r>
        <w:rPr>
          <w:rStyle w:val="Internetverknpfung"/>
        </w:rPr>
        <w:t>Exkurs zur Zeitrechnung</w:t>
      </w:r>
      <w:r>
        <w:fldChar w:fldCharType="end"/>
      </w:r>
      <w:r>
        <w:rPr/>
        <w:t xml:space="preserve">. Das „Pascha“ war die jährliche jüdische Feier des Auszugs aus Ägypten (vgl. näher </w:t>
      </w:r>
      <w:hyperlink r:id="rId453">
        <w:r>
          <w:rPr>
            <w:rStyle w:val="Internetverknpfung"/>
          </w:rPr>
          <w:t>Passa (AT) (WiBiLex)</w:t>
        </w:r>
      </w:hyperlink>
      <w:r>
        <w:rPr/>
        <w:t xml:space="preserve">, zur heutigen Gestalt des Paschafestes gut </w:t>
      </w:r>
      <w:hyperlink r:id="rId454">
        <w:r>
          <w:rPr>
            <w:rStyle w:val="Internetverknpfung"/>
          </w:rPr>
          <w:t>Böckler 2006: Das Geburtstagsfest des Volkes</w:t>
        </w:r>
      </w:hyperlink>
      <w:r>
        <w:rPr/>
        <w:t xml:space="preserve">), das „Fest der ungesäuerten Brote“ ursprünglich ein Frühlingsfest, das direkt an das Paschafest anschloss, eine Woche dauerte und für das charakteristisch war, dass man während dieser Zeit nur Brot ohne Sauerteig (eine Art Hefe) essen durfte (vgl. näher </w:t>
      </w:r>
      <w:hyperlink r:id="rId455">
        <w:r>
          <w:rPr>
            <w:rStyle w:val="Internetverknpfung"/>
          </w:rPr>
          <w:t>Mazzen / Mazzotfest (WiBiLex)</w:t>
        </w:r>
      </w:hyperlink>
      <w:r>
        <w:rPr/>
        <w:t>.</w:t>
      </w:r>
    </w:p>
  </w:footnote>
  <w:footnote w:id="4545">
    <w:p>
      <w:pPr>
        <w:pStyle w:val="Funote"/>
        <w:rPr/>
      </w:pPr>
      <w:r>
        <w:rPr>
          <w:i/>
        </w:rPr>
        <w:footnoteRef/>
        <w:tab/>
        <w:t>die Hohepriester und die Schriftgelehrten</w:t>
      </w:r>
      <w:r>
        <w:rPr/>
        <w:t xml:space="preserve"> - „Die Hohepriester“ sind die Priester unter den Mitgliedern des Sanhedrins (=die höchste jüdische Gerichtsinstanz). Die Bezeichnung „die Hohepriester“ fungiert daher im NT oft als Wechselbegriff für den Jerusalemer Sanhedrin selbst; v.a., wenn sie - wie hier - zusammen mit den „Schriftgelehrten“ oder auch den „Ältesten“ oder den „Pharisäern“ genannt werden.</w:t>
      </w:r>
    </w:p>
  </w:footnote>
  <w:footnote w:id="4546">
    <w:p>
      <w:pPr>
        <w:pStyle w:val="Funote"/>
        <w:rPr/>
      </w:pPr>
      <w:r>
        <w:rPr/>
        <w:footnoteRef/>
        <w:tab/>
        <w:t>oder: vor den Festgängern – so Jeremias 1960, S. 65-67; dagegen aber z.B. gut Marcus 2009, S. 933.</w:t>
      </w:r>
    </w:p>
  </w:footnote>
  <w:footnote w:id="4547">
    <w:p>
      <w:pPr>
        <w:pStyle w:val="Funote"/>
        <w:rPr/>
      </w:pPr>
      <w:r>
        <w:rPr/>
        <w:footnoteRef/>
        <w:tab/>
        <w:t>Da das Pascha-Lamm zu Jesu Zeit nur im Tempel geschlachtet werden und das Pascha-Fest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4548">
    <w:p>
      <w:pPr>
        <w:pStyle w:val="Funote"/>
        <w:rPr/>
      </w:pPr>
      <w:r>
        <w:rPr/>
        <w:footnoteRef/>
        <w:tab/>
        <w:t>Simons des Leprakranken - Die Identität dieses Simon ist ungeklärt. Das biblische „Lepra“ meint nicht die selbe Krankheit wie unser heutiges Wort „Lepra“. Ob eine bestimmte andere Krankheit damit gemeint war oder ob der Begriff eine Sammelbezeichnung für verschiedene Hautkrankheiten war, ist ebenfalls noch unklar. Entscheidend ist aber ohnehin nicht, welche Krankheit genau gemeint ist, sondern die Tatsache, dass derartige Hautkrankheiten den Kranken „unrein“ machten und der Aufenthalt Jesu in seinem Haus klar den Normen seiner Zeit widerspricht (vgl. z.B. van Iersel 1998, S. 416; Marcus 2009, S. 933). Jesu Feiern im Haus von Leprösen liegt also auf einer Linie mit seinem Feiern mit Zöllnern und Sündern.</w:t>
      </w:r>
    </w:p>
  </w:footnote>
  <w:footnote w:id="4549">
    <w:p>
      <w:pPr>
        <w:pStyle w:val="Funote"/>
        <w:rPr/>
      </w:pPr>
      <w:r>
        <w:rPr>
          <w:i/>
        </w:rPr>
        <w:footnoteRef/>
        <w:tab/>
        <w:t>[bei Tisch] lag</w:t>
      </w:r>
      <w:r>
        <w:rPr/>
        <w:t xml:space="preserve"> – in besonders wohlhabenden Haushalten pflegte man zur Zeit Jesu zu speisen, indem man sich um einen niedrigen Tisch herum auf Liegen niederlegte, mit einem Arm abstützte und mit dem anderen aß.</w:t>
      </w:r>
    </w:p>
  </w:footnote>
  <w:footnote w:id="4550">
    <w:p>
      <w:pPr>
        <w:pStyle w:val="Funote"/>
        <w:rPr/>
      </w:pPr>
      <w:r>
        <w:rPr/>
        <w:footnoteRef/>
        <w:tab/>
        <w:t xml:space="preserve">Keiner der drei Synoptiker identifiziert diese Frau. Johannes dagegen berichtet, es sei Maria, die Schwester Marthas, gewesen, verortet aber auch die ganze Szene in das Haus der beiden Schwestern. Ephräm der Syrer war es, der die namenlose Frau im 4. Jh. mit Maria Magdalena </w:t>
      </w:r>
      <w:r>
        <w:rPr>
          <w:i/>
        </w:rPr>
        <w:t>und gleichzeitig</w:t>
      </w:r>
      <w:r>
        <w:rPr/>
        <w:t xml:space="preserve"> mit Maria, der Schwester Marthas, gleichgesetzt hat. Papst Gregor I baut das 591 noch weiter aus und identifiziert auch ihre Sünde: Sie ist eine Prostituierte.</w:t>
        <w:br/>
        <w:t>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4551">
    <w:p>
      <w:pPr>
        <w:pStyle w:val="Funote"/>
        <w:rPr/>
      </w:pPr>
      <w:r>
        <w:rPr/>
        <w:footnoteRef/>
        <w:tab/>
        <w:t>Alabastergefäß voll kostbarem, reinem Nardenparfums - W.: „Ein Alabastergefäß des Parfums der Narde der pistikäs des Werts“; die Reihung von vier Genitiven soll auch stilistisch die exorbitante Kostbarkeit des Parfums zum Ausdruck bringen (France 2002, S. 551).Die Bedeutung von pistikäs ist umstritten. Am verbreitetsten sind die Deutungen, (1) dass „Narde der pistikäs“ der Ausdruck für die Behennuß/Pistazie sei (so schon Lightfoot 1859, S. 446; z.B. auch Black 1967, S. 224; Cranfield 1959, S. 45; Gnilka 1979, S. 221) -&gt; „Pistazienparfum“, und (2), dass das Wort pistikäs von pistis („Treue“) abzuleiten sei (so schon Theophylakt, vgl. Lücking 1993, S. 50; z.B. auch Evans 2001, S. 360; Gundry 2000, S. 812; Spicq 1978b, S. 696) -&gt; „Parfum aus echter Narde / echtes/reines Nardenparfum“. Daneben lassen sich noch viele weitere Deutungen finden; weil eine Lösung der Frage nicht in Aussicht liegt, wählen wir Deutung (2), da sie häufiger in Üss. gewählt wird.</w:t>
      </w:r>
    </w:p>
  </w:footnote>
  <w:footnote w:id="4552">
    <w:p>
      <w:pPr>
        <w:pStyle w:val="Funote"/>
        <w:rPr/>
      </w:pPr>
      <w:r>
        <w:rPr/>
        <w:footnoteRef/>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2009,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4553">
    <w:p>
      <w:pPr>
        <w:pStyle w:val="Funote"/>
        <w:rPr/>
      </w:pPr>
      <w:r>
        <w:rPr/>
        <w:footnoteRef/>
        <w:tab/>
        <w:t>300 Denare - Mehr als das Jahreseinkommen eines durchschnittlichen Arbeiters. M. Pea 8,8 nennt 200 Denare als jährliches Existenzminimum (vgl. Dschulnigg 2007, S. 357; s. die Üs. bei Open Mishnah); umgerechnet auf heutige Verhältnisse hätte das Parfum also (laut dt. Steuersystem) einen Wert von fast 13.000 €.</w:t>
      </w:r>
    </w:p>
  </w:footnote>
  <w:footnote w:id="4554">
    <w:p>
      <w:pPr>
        <w:pStyle w:val="Funote"/>
        <w:rPr/>
      </w:pPr>
      <w:r>
        <w:rPr>
          <w:i/>
        </w:rPr>
        <w:footnoteRef/>
        <w:tab/>
        <w:t>Man hätte dieses Parfum verkaufen können</w:t>
      </w:r>
      <w:r>
        <w:rPr/>
        <w:t xml:space="preserve"> - W. „Dieses Salböl konnte verkauft werden.“</w:t>
      </w:r>
    </w:p>
  </w:footnote>
  <w:footnote w:id="4555">
    <w:p>
      <w:pPr>
        <w:pStyle w:val="Funote"/>
        <w:rPr/>
      </w:pPr>
      <w:r>
        <w:rPr>
          <w:i/>
        </w:rPr>
        <w:footnoteRef/>
        <w:tab/>
        <w:t>Was macht ihr ihr Beschwerden?</w:t>
      </w:r>
      <w:r>
        <w:rPr/>
        <w:t xml:space="preserve"> – Gr. Idiom, die Bed. ist etwa „Was lasst ihr sie nicht in Frieden?“ (s. noch </w:t>
      </w:r>
      <w:r>
        <w:fldChar w:fldCharType="begin"/>
      </w:r>
      <w:r>
        <w:instrText> HYPERLINK "file:///wiki/Lukas_11" \l "s7"</w:instrText>
      </w:r>
      <w:r>
        <w:fldChar w:fldCharType="separate"/>
      </w:r>
      <w:r>
        <w:rPr>
          <w:rStyle w:val="Internetverknpfung"/>
        </w:rPr>
        <w:t>Lk 11,7</w:t>
      </w:r>
      <w:r>
        <w:fldChar w:fldCharType="end"/>
      </w:r>
      <w:r>
        <w:rPr/>
        <w:t xml:space="preserve">; </w:t>
      </w:r>
      <w:r>
        <w:fldChar w:fldCharType="begin"/>
      </w:r>
      <w:r>
        <w:instrText> HYPERLINK "file:///wiki/Lukas_18" \l "s5"</w:instrText>
      </w:r>
      <w:r>
        <w:fldChar w:fldCharType="separate"/>
      </w:r>
      <w:r>
        <w:rPr>
          <w:rStyle w:val="Internetverknpfung"/>
        </w:rPr>
        <w:t>18,5</w:t>
      </w:r>
      <w:r>
        <w:fldChar w:fldCharType="end"/>
      </w:r>
      <w:r>
        <w:rPr/>
        <w:t xml:space="preserve">; </w:t>
      </w:r>
      <w:r>
        <w:fldChar w:fldCharType="begin"/>
      </w:r>
      <w:r>
        <w:instrText> HYPERLINK "file:///wiki/Galater_6" \l "s17"</w:instrText>
      </w:r>
      <w:r>
        <w:fldChar w:fldCharType="separate"/>
      </w:r>
      <w:r>
        <w:rPr>
          <w:rStyle w:val="Internetverknpfung"/>
        </w:rPr>
        <w:t>Gal 6,17</w:t>
      </w:r>
      <w:r>
        <w:fldChar w:fldCharType="end"/>
      </w:r>
      <w:r>
        <w:rPr/>
        <w:t>).</w:t>
      </w:r>
    </w:p>
  </w:footnote>
  <w:footnote w:id="4556">
    <w:p>
      <w:pPr>
        <w:pStyle w:val="Funote"/>
        <w:rPr/>
      </w:pPr>
      <w:r>
        <w:rPr/>
        <w:footnoteRef/>
        <w:tab/>
        <w:t>gutes Werk - kalon ergon, wie im Dt. ein Terminus technicus für Wohltätigkeit. Im Judentum wurden auch gute Taten an Toten zu solchen »guten Werken« gerechnet; schon hier wird also auf V. 8 vorausverwiesen (vgl. z.B. Dschulnigg 2007, S. 357).</w:t>
      </w:r>
    </w:p>
  </w:footnote>
  <w:footnote w:id="4557">
    <w:p>
      <w:pPr>
        <w:pStyle w:val="Funote"/>
        <w:rPr/>
      </w:pPr>
      <w:r>
        <w:rPr>
          <w:i/>
        </w:rPr>
        <w:footnoteRef/>
        <w:tab/>
        <w:t>und</w:t>
      </w:r>
      <w:r>
        <w:rPr/>
        <w:t xml:space="preserve"> - W. „denn“; der Satz ist die Rechtfertigung dafür, warum es in Ordnung ist, etwas Gutes an Jesus zu tun, wenn dies gleichzeitig verhindert, etwas Gutes für die Armen zu tun.</w:t>
      </w:r>
    </w:p>
  </w:footnote>
  <w:footnote w:id="4558">
    <w:p>
      <w:pPr>
        <w:pStyle w:val="Funote"/>
        <w:rPr/>
      </w:pPr>
      <w:r>
        <w:rPr/>
        <w:footnoteRef/>
        <w:tab/>
        <w:t>Textkritik: (immer) - so viele Handschriften. Ob dies dritte immer aus stilistischen Gründen zum Urtext hinzugefügt wurde (=&gt; Symmetrie) oder aus dem Urtext gestrichen wurde (=&gt; redundante Wortwdh.), lässt sich nicht entscheiden. Die überwältigende Mehrheit übersetzt es nicht. Sinnvoll wäre es im Kontext allemal: Das Entscheidende an dieser Aussage Jesu ist, dass der aktuelle Zeitpunkt eine absolute Ausnahmesituation ist (s. Anmerkungen).</w:t>
      </w:r>
    </w:p>
  </w:footnote>
  <w:footnote w:id="4559">
    <w:p>
      <w:pPr>
        <w:pStyle w:val="Funote"/>
        <w:rPr/>
      </w:pPr>
      <w:r>
        <w:rPr/>
        <w:footnoteRef/>
        <w:tab/>
        <w:t>konnte (hatte) - W. »Was sie hatte«, hier (wie auch sonst manchmal) i.S.v. »vermögen, können«. Mit dieser Wortwahl soll vermutlich angespielt werden auf Jesu Aussage über das letzte Scherflein der Witwe in Mk 12,44: Mk 13 - die Markus-apokalypse - wird gerahmt von zwei Erzählungen von Frauen, die paradigmatisch für den richtigen Gebrauch von Geld (am Ende der Zeit) sind (vgl. z.B. van Iersel 1998, S. 417; Marcus 2009, S. 941).</w:t>
      </w:r>
    </w:p>
  </w:footnote>
  <w:footnote w:id="4560">
    <w:p>
      <w:pPr>
        <w:pStyle w:val="Funote"/>
        <w:rPr/>
      </w:pPr>
      <w:r>
        <w:rPr/>
        <w:footnoteRef/>
        <w:tab/>
        <w:t>einzubalsamieren - Hier wird das Verb myrizo statt chrio (»salben«) verwendet. Viele denken, die Parfumierung der Frau habe auf einer zweiten Bedeutungsebene den Sinn, dass Jesus hier zum Messias gesalbt werden sollte (wie z.B. David in 1 Sam 16,13; so z.B. Guijarro/Rodriguez 2011; Park 2012). Doch dafür wäre sehr wahrscheinlich eben chrio statt katacheo (»herabgießen«) und murizo (»einbalsamieren«) verwendet worden (Marcus 2009, S. 396; vgl. ähnlich Lücking 1993, S. 110) und außerdem wohl elaion (»Öl«) statt muron (»Parfum«). Aus diesem Grund muss man die Salbung zunächst wohl doch »nur« als »schlichte Wohltat beim Mahl« verstehen (vgl. Ps 23,5; Jos.Ant 19,239: »[...Er] erschien [...] dort mit gesalbtem Haar, als käme er von einem Trinkgelage [...].«) - und was sie auf der tieferen Ebene bedeutet, sagt Jesus in diesem Vers ja selbst.</w:t>
      </w:r>
    </w:p>
  </w:footnote>
  <w:footnote w:id="4561">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In V. 25 außerdem verstärkt durch die Konstruktion ou me + Aorist; die stärkstmögliche Verneinung zukünftiger Geschehnisse im Griechischen. Am sinnvollsten übersetzt daher Zink: »Was ich sage, ist wahr: ...«</w:t>
      </w:r>
    </w:p>
  </w:footnote>
  <w:footnote w:id="4562">
    <w:p>
      <w:pPr>
        <w:pStyle w:val="Funote"/>
        <w:rPr/>
      </w:pPr>
      <w:r>
        <w:rPr/>
        <w:footnoteRef/>
        <w:tab/>
        <w:t>dieses Evangelium – »Evangelium« ist hier noch keine Gattungsbezeichnung für eine Textsorte, sondern ein stehender Begriff für die frohe (!) Botschaft über Leiden und Tod Jesu, die die Kirche in der ganzen Welt verkündigen muss (zur Stelle vgl. gut Schillebeeckx 1975, S. 97). »Dieses Evangelium« bezieht sich also zurück auf das, was durch das »Sie hat es vorweggenommen, mich für mein Begräbnis einzubalsamieren« angesprochen ist, nämlich den Tod Jesu - und dieser ist eine »frohe Botschaft«.Richtig daher die Paraphrase von Zink: »Wo immer Menschen einander sagen werden, daß ich starb, um der Welt das Leben zu schenken, da wird man erwähnen, was sie eben getan hat.«</w:t>
      </w:r>
    </w:p>
  </w:footnote>
  <w:footnote w:id="4563">
    <w:p>
      <w:pPr>
        <w:pStyle w:val="Funote"/>
        <w:rPr/>
      </w:pPr>
      <w:r>
        <w:rPr/>
        <w:footnoteRef/>
        <w:tab/>
        <w:t>zur rechten Zeit - sehr oft: „bei günstiger Gelegenheit“. Im Gr. steht hier aber eukairos, die „gute rechte-Zeit“, und da sowohl in Vv. 1f. als auch Vv. 3-9 die Zeit das Thema ist, liegt eine andere Übersetzung als „zur rechten Zeit“ sehr fern. Richtig daher MSG: „He started looking for just the right moment to hand im over“.</w:t>
      </w:r>
    </w:p>
  </w:footnote>
  <w:footnote w:id="4564">
    <w:p>
      <w:pPr>
        <w:pStyle w:val="Funote"/>
        <w:rPr/>
      </w:pPr>
      <w:r>
        <w:rPr/>
        <w:footnoteRef/>
        <w:tab/>
        <w:t xml:space="preserve">Zur Zeitangabe s. den </w:t>
      </w:r>
      <w:r>
        <w:fldChar w:fldCharType="begin"/>
      </w:r>
      <w:r>
        <w:instrText> HYPERLINK "http://www.offene-bibel.de/wiki/index.php5?title=Kommentar:Markus_14" \l "Exkurs_zur_Zeitrechnung"</w:instrText>
      </w:r>
      <w:r>
        <w:fldChar w:fldCharType="separate"/>
      </w:r>
      <w:r>
        <w:rPr>
          <w:rStyle w:val="Internetverknpfung"/>
        </w:rPr>
        <w:t>Exkurs zur Zeitrechnung</w:t>
      </w:r>
      <w:r>
        <w:fldChar w:fldCharType="end"/>
      </w:r>
      <w:r>
        <w:rPr/>
        <w:t>.</w:t>
      </w:r>
    </w:p>
  </w:footnote>
  <w:footnote w:id="4565">
    <w:p>
      <w:pPr>
        <w:pStyle w:val="Funote"/>
        <w:rPr/>
      </w:pPr>
      <w:r>
        <w:rPr/>
        <w:footnoteRef/>
        <w:tab/>
        <w:t>als sie das Pascha[lamm] opferten (an dem man das Pascha[lamm] zu opfern pflegte) (V. 12) + Geht in die Stadt - Weil das Verb ethuon sich sowohl personal („als sie (sc. die Jünger) opferten“) als auch impersonal („an welchem man zu opfern pflegte“) deuten lässt, lassen sich zwei mögliche Situationen der Perikope rekonstruieren: (1) Jesus und seine Jünger sind gerade im Tempelbezirk, wo nach Vorschrift Jesus als der Vorsteher des Paschamahls das Lamm schlachtet, das dann am Abend verspeist werden wird. In dieser Situation fragen die Jünger Jesus, wo sie das Mahl vorbereiten sollen, und er gibt ihnen daher die Anweisung, [aus dem Tempelbezirk hinaus] in die Stadt zu gehen. (2) Jesus und seine Jünger befinden sich zum Zeitpunkt, zu dem „man“ üblicherweise das Paschalamm schlachtet, noch in Bethanien oder auf dem Weg von Bethanien nach Jerusalem, als die Jünger Jesus ihre Frage stellen, und also weist er sie an, [von Bethanien/vom Weg aus] in die Stadt zu gehen.Nach V. 15 ist der Speisesaal bereits vorbereitet, weshalb der größte Teil der noch zu leistenden Vorbereitungen im Braten des Lammes besteht. Weil nach Sitte Jesus es war, der dieses Lamm zu schlachten hatte, würde Rekonstruktion (2) bedeuten, dass Jesus die Jünger ohne ein Lamm zum Kochen schickt. Das macht nicht viel Sinn; wahrscheinlicher ist daher Rekonstruktion (1). So z.B. auch Casey 2004, S. 203f.; Evans 2001, S. 373. Für Rekonstuktion (2) dagegen z.B. France 2002, S. 564; Gundry 2000, S. 820; Marcus 2009, S. 944.</w:t>
      </w:r>
    </w:p>
  </w:footnote>
  <w:footnote w:id="4566">
    <w:p>
      <w:pPr>
        <w:pStyle w:val="Funote"/>
        <w:rPr/>
      </w:pPr>
      <w:hyperlink r:id="rId456">
        <w:r>
          <w:rPr>
            <w:rStyle w:val="Internetverknpfung"/>
          </w:rPr>
          <w:footnoteRef/>
          <w:tab/>
          <w:t>Historisches Präsens</w:t>
        </w:r>
      </w:hyperlink>
      <w:r>
        <w:rPr/>
        <w:t xml:space="preserve">. </w:t>
      </w:r>
    </w:p>
  </w:footnote>
  <w:footnote w:id="4567">
    <w:p>
      <w:pPr>
        <w:pStyle w:val="Funote"/>
        <w:rPr/>
      </w:pPr>
      <w:r>
        <w:rPr/>
        <w:footnoteRef/>
        <w:tab/>
        <w:t>zwei seiner Jünger - Offenbar keine Mitglieder des Zwölferkreises, s. V. 17. Für das Abendmahl muss dann die Anwesenheit von noch mehr Gästen als nur Jesus und dem Zwölferkreis vorausgesetzt werden (so auch Casey 2004, S. 227f.; Evans 2001, S. 374), und aus diesem Grund muss in V. 15 die Größe des Oberzimmers betont werden. Casey und Evans setzen außerdem die Anwesenheit von Frauen als Selbstverständlichkeit voraus - der Text selbst jedenfalls schweigt sich darüber aus. Vgl. auch Heininger 2005, S. 12 zu Mk 15,40f: Wo sonst blieben die „vielen Frauen“, die Jesus nach Jerusalem gefolgt waren?</w:t>
      </w:r>
    </w:p>
  </w:footnote>
  <w:footnote w:id="4568">
    <w:p>
      <w:pPr>
        <w:pStyle w:val="Funote"/>
        <w:rPr/>
      </w:pPr>
      <w:r>
        <w:rPr>
          <w:i/>
        </w:rPr>
        <w:footnoteRef/>
        <w:tab/>
        <w:t>auf euch zutreten</w:t>
      </w:r>
      <w:r>
        <w:rPr/>
        <w:t xml:space="preserve"> - nicht: „</w:t>
      </w:r>
      <w:r>
        <w:rPr>
          <w:i/>
        </w:rPr>
        <w:t>Ihr</w:t>
      </w:r>
      <w:r>
        <w:rPr/>
        <w:t xml:space="preserve"> werdet treffen“ (so viele Üss.), LSJ S. 178: „move from a place to meet a person“ - die Initiative liegt beim Wasserträger. S. die Anmerkungen.</w:t>
      </w:r>
    </w:p>
  </w:footnote>
  <w:footnote w:id="4569">
    <w:p>
      <w:pPr>
        <w:pStyle w:val="Funote"/>
        <w:rPr/>
      </w:pPr>
      <w:r>
        <w:rPr/>
        <w:footnoteRef/>
        <w:tab/>
        <w:t xml:space="preserve">Da man zu Jesu Zeit das Paschamahl in Jerusalem zu sich nehmen sollte (s. </w:t>
      </w:r>
      <w:r>
        <w:fldChar w:fldCharType="begin"/>
      </w:r>
      <w:r>
        <w:instrText> HYPERLINK "http://offene-bibel.de/mediawiki/index.php?title=Markus_14" \l "note_d"</w:instrText>
      </w:r>
      <w:r>
        <w:fldChar w:fldCharType="separate"/>
      </w:r>
      <w:r>
        <w:rPr>
          <w:rStyle w:val="Internetverknpfung"/>
        </w:rPr>
        <w:t>FN d</w:t>
      </w:r>
      <w:r>
        <w:fldChar w:fldCharType="end"/>
      </w:r>
      <w:r>
        <w:rPr/>
        <w:t>), war es üblich, die Gastfreundlichkeit von Einheimischen in Anspruch zu nehmen und das Paschamahl in deren Haus zu sich zu nehmen.</w:t>
      </w:r>
    </w:p>
  </w:footnote>
  <w:footnote w:id="4570">
    <w:p>
      <w:pPr>
        <w:pStyle w:val="Funote"/>
        <w:rPr/>
      </w:pPr>
      <w:r>
        <w:rPr/>
        <w:footnoteRef/>
        <w:tab/>
        <w:t>vorbereitet ... dort bereitet vor - nämlich Möblierung etc. ist vorbereitet, das Essen aber noch nicht (vgl. z.B. Evans 2001, S. 375).</w:t>
      </w:r>
    </w:p>
  </w:footnote>
  <w:footnote w:id="4571">
    <w:p>
      <w:pPr>
        <w:pStyle w:val="Funote"/>
        <w:spacing w:before="0" w:after="283"/>
        <w:rPr/>
      </w:pPr>
      <w:r>
        <w:rPr>
          <w:i/>
        </w:rPr>
        <w:footnoteRef/>
        <w:tab/>
        <w:t>Und während (als) sie zum Essen lagen</w:t>
      </w:r>
      <w:r>
        <w:rPr/>
        <w:t xml:space="preserve"> (V. 18) + </w:t>
      </w:r>
      <w:r>
        <w:rPr>
          <w:i/>
        </w:rPr>
        <w:t>Und als er bei (nach) ihrem Essen</w:t>
      </w:r>
      <w:r>
        <w:rPr/>
        <w:t xml:space="preserve"> (V. 22) – Zu Jesu Zeit liefen ein griechisches Gastmahl, ein jüdisches Festmahl und später auch ein Passamahl alle nach dem selben Muster ab: Nach einer im Sitzen eingenommenen Vorspeise ging man in den Speisesaal, um dort im Liegen den Hauptgang einzunehmen, an den sich danach noch ein längerer Umtrunk anschloss. Das Gebet über dem Brot und das Brotbrechen leitete den Hauptgang ein, das Gebet über dem Kelch war die Brücke zwischen Hauptgang und Umtrunk. Diese Abfolge müssen wir uns auch für das Letzte Abendmahl denken (</w:t>
      </w:r>
      <w:hyperlink r:id="rId457">
        <w:r>
          <w:rPr>
            <w:rStyle w:val="Internetverknpfung"/>
          </w:rPr>
          <w:t>Lk 22,20</w:t>
        </w:r>
      </w:hyperlink>
      <w:r>
        <w:rPr/>
        <w:t xml:space="preserve">; </w:t>
      </w:r>
      <w:r>
        <w:fldChar w:fldCharType="begin"/>
      </w:r>
      <w:r>
        <w:instrText> HYPERLINK "file:///wiki/1_Korinther_11" \l "s25"</w:instrText>
      </w:r>
      <w:r>
        <w:fldChar w:fldCharType="separate"/>
      </w:r>
      <w:r>
        <w:rPr>
          <w:rStyle w:val="Internetverknpfung"/>
        </w:rPr>
        <w:t>1 Kor 11,25</w:t>
      </w:r>
      <w:r>
        <w:fldChar w:fldCharType="end"/>
      </w:r>
      <w:r>
        <w:rPr/>
        <w:t xml:space="preserve">: „Der Becher </w:t>
      </w:r>
      <w:r>
        <w:rPr>
          <w:i/>
        </w:rPr>
        <w:t>nach</w:t>
      </w:r>
      <w:r>
        <w:rPr/>
        <w:t xml:space="preserve"> dem Essen“).</w:t>
        <w:br/>
        <w:t xml:space="preserve">Bei Mk und Mt aber wirkt es wegen der Zeitangaben in Vv. 18.22.23 so, als würde sowohl die Brot- als auch die Becherhandlung </w:t>
      </w:r>
      <w:r>
        <w:rPr>
          <w:i/>
        </w:rPr>
        <w:t>nach</w:t>
      </w:r>
      <w:r>
        <w:rPr/>
        <w:t xml:space="preserve"> Beginn des Essens stattfinden. Mögliche Erklärungen sind:</w:t>
      </w:r>
    </w:p>
    <w:p>
      <w:pPr>
        <w:pStyle w:val="Textkrper"/>
        <w:rPr/>
      </w:pPr>
      <w:r>
        <w:rPr/>
        <w:tab/>
        <w:t xml:space="preserve">1. Die Gemeinde des Markus hat die Feier des Abendmahls vielleicht in einer anderen als der üblichen Abfolge gefeiert und die Brothandlung zur Kelchhandlung ans Ende der Feier verschoben. Markus hätte das dann auch in den Bericht vom Abendmahl „hineingeschrieben“: Während des Hauptgangs macht Jesus seine Judas-Prophezeiung und erst </w:t>
      </w:r>
      <w:r>
        <w:rPr>
          <w:i/>
        </w:rPr>
        <w:t>nach</w:t>
      </w:r>
      <w:r>
        <w:rPr/>
        <w:t xml:space="preserve"> dem Hauptgang folgen Brot- und Becherhandlung. Dann wäre V. 22 zu deuten als: „Als er am Ende ihres Essens ...“</w:t>
        <w:br/>
        <w:t xml:space="preserve">2. Die beiden Präsenspartizipien in V. 18 könnte man unter Umständen auch als „volitive Partizipien“ auffassen (vgl. z.B. </w:t>
      </w:r>
      <w:hyperlink r:id="rId458">
        <w:r>
          <w:rPr>
            <w:rStyle w:val="Internetverknpfung"/>
          </w:rPr>
          <w:t>Mt 27,40</w:t>
        </w:r>
      </w:hyperlink>
      <w:r>
        <w:rPr/>
        <w:t xml:space="preserve">: „Der du den Tempel einreißen und aufrichten </w:t>
      </w:r>
      <w:r>
        <w:rPr>
          <w:i/>
        </w:rPr>
        <w:t>willst</w:t>
      </w:r>
      <w:r>
        <w:rPr/>
        <w:t xml:space="preserve">...“; </w:t>
      </w:r>
      <w:r>
        <w:fldChar w:fldCharType="begin"/>
      </w:r>
      <w:r>
        <w:instrText> HYPERLINK "file:///wiki/Hebräer_11" \l "s6"</w:instrText>
      </w:r>
      <w:r>
        <w:fldChar w:fldCharType="separate"/>
      </w:r>
      <w:r>
        <w:rPr>
          <w:rStyle w:val="Internetverknpfung"/>
        </w:rPr>
        <w:t>Heb 11,6</w:t>
      </w:r>
      <w:r>
        <w:fldChar w:fldCharType="end"/>
      </w:r>
      <w:r>
        <w:rPr/>
        <w:t xml:space="preserve">: „Dem, der Gott nahen </w:t>
      </w:r>
      <w:r>
        <w:rPr>
          <w:i/>
        </w:rPr>
        <w:t>will</w:t>
      </w:r>
      <w:r>
        <w:rPr/>
        <w:t xml:space="preserve">...“ ): „Und als sie lagen und essen </w:t>
      </w:r>
      <w:r>
        <w:rPr>
          <w:i/>
        </w:rPr>
        <w:t>wollten</w:t>
      </w:r>
      <w:r>
        <w:rPr/>
        <w:t>“, d.h., direkt vor dem Hauptgang und dem Umzug ins Speisezimmer.</w:t>
      </w:r>
    </w:p>
    <w:p>
      <w:pPr>
        <w:pStyle w:val="Textkrper"/>
        <w:spacing w:before="0" w:after="283"/>
        <w:rPr/>
      </w:pPr>
      <w:r>
        <w:rPr/>
        <w:tab/>
        <w:t>3. Vielleicht erzählt Markus die Begebenheiten aus dem letzten Abendmahl (Ankündigung des Verrats und Einsetzungsworte) auch einfach unabhängig voneinander, ohne die Erzählung streng chronologisch zu verstehen.</w:t>
      </w:r>
    </w:p>
  </w:footnote>
  <w:footnote w:id="4572">
    <w:p>
      <w:pPr>
        <w:pStyle w:val="Funote"/>
        <w:rPr/>
      </w:pPr>
      <w:r>
        <w:rPr>
          <w:i/>
        </w:rPr>
        <w:footnoteRef/>
        <w:tab/>
        <w:t>lagen</w:t>
      </w:r>
      <w:r>
        <w:rPr/>
        <w:t xml:space="preserve"> - S. </w:t>
      </w:r>
      <w:r>
        <w:fldChar w:fldCharType="begin"/>
      </w:r>
      <w:r>
        <w:instrText> HYPERLINK "http://offene-bibel.de/mediawiki/index.php?title=Markus_14" \l "note_f"</w:instrText>
      </w:r>
      <w:r>
        <w:fldChar w:fldCharType="separate"/>
      </w:r>
      <w:r>
        <w:rPr>
          <w:rStyle w:val="Internetverknpfung"/>
        </w:rPr>
        <w:t>FN f</w:t>
      </w:r>
      <w:r>
        <w:fldChar w:fldCharType="end"/>
      </w:r>
      <w:r>
        <w:rPr/>
        <w:t>: Jesus feiert sein Letztes Abendmahl nach dem Muster eines Abendmahls wohlhabender Menschen. Das Liegen ist nicht auf das Datum zurückzuführen, s. die Anmerkungen.</w:t>
      </w:r>
    </w:p>
  </w:footnote>
  <w:footnote w:id="4573">
    <w:p>
      <w:pPr>
        <w:pStyle w:val="Funote"/>
        <w:rPr/>
      </w:pPr>
      <w:r>
        <w:rPr/>
        <w:footnoteRef/>
        <w:tab/>
        <w:t>der mit mir isst - Vermutlich ein Zitat von Ps 41,9, wo ein unschuldig Leidender sich darüber beklagt, dass seine Feinde ihn töten wollten und auch sein Freund, dem er vertraute und der mit ihm Brot aß, ihn verderben wolle. Das Präsens ist daher besser gnomisch zu verstehen: Nicht »einer, der aktuell mit uns am Tisch sitzt«, sondern »einer meiner üblichen Tischgenossen«.Miteinander zu essen, Tisch und Schüssel zu teilen (s. V. 20), ist ein Symbol für Freundschaft und Verbundenheit; dass es »einer von euch« ist, »einer der Zwölf«, »einer, der mit mir isst« und »einer, der mit mir in die selbe Schüssel tunkt«, macht den Verrat noch verwerflicher, als er ohnehin schon ist.Zur Verwendung des Artikels vgl. Zerwick §192.</w:t>
      </w:r>
    </w:p>
  </w:footnote>
  <w:footnote w:id="4574">
    <w:p>
      <w:pPr>
        <w:pStyle w:val="Funote"/>
        <w:rPr/>
      </w:pPr>
      <w:r>
        <w:rPr>
          <w:i/>
        </w:rPr>
        <w:footnoteRef/>
        <w:tab/>
        <w:t>ausliefern</w:t>
      </w:r>
      <w:r>
        <w:rPr/>
        <w:t xml:space="preserve"> - Leitwort im Mk-Evangelium; stets im Sinne von „feindlichen Institutionen ausliefern“ verwendet (s. </w:t>
      </w:r>
      <w:r>
        <w:fldChar w:fldCharType="begin"/>
      </w:r>
      <w:r>
        <w:instrText> HYPERLINK "file:///wiki/Markus_9" \l "s31"</w:instrText>
      </w:r>
      <w:r>
        <w:fldChar w:fldCharType="separate"/>
      </w:r>
      <w:r>
        <w:rPr>
          <w:rStyle w:val="Internetverknpfung"/>
        </w:rPr>
        <w:t>Mk 9,31</w:t>
      </w:r>
      <w:r>
        <w:fldChar w:fldCharType="end"/>
      </w:r>
      <w:r>
        <w:rPr/>
        <w:t xml:space="preserve">; </w:t>
      </w:r>
      <w:r>
        <w:fldChar w:fldCharType="begin"/>
      </w:r>
      <w:r>
        <w:instrText> HYPERLINK "file:///wiki/Markus_10" \l "s33"</w:instrText>
      </w:r>
      <w:r>
        <w:fldChar w:fldCharType="separate"/>
      </w:r>
      <w:r>
        <w:rPr>
          <w:rStyle w:val="Internetverknpfung"/>
        </w:rPr>
        <w:t>10,33</w:t>
      </w:r>
      <w:r>
        <w:fldChar w:fldCharType="end"/>
      </w:r>
      <w:r>
        <w:rPr/>
        <w:t xml:space="preserve">; </w:t>
      </w:r>
      <w:r>
        <w:fldChar w:fldCharType="begin"/>
      </w:r>
      <w:r>
        <w:instrText> HYPERLINK "file:///wiki/Markus_13" \l "s9"</w:instrText>
      </w:r>
      <w:r>
        <w:fldChar w:fldCharType="separate"/>
      </w:r>
      <w:r>
        <w:rPr>
          <w:rStyle w:val="Internetverknpfung"/>
        </w:rPr>
        <w:t>13,9</w:t>
      </w:r>
      <w:r>
        <w:fldChar w:fldCharType="end"/>
      </w:r>
      <w:r>
        <w:rPr/>
        <w:t>.</w:t>
      </w:r>
      <w:r>
        <w:fldChar w:fldCharType="begin"/>
      </w:r>
      <w:r>
        <w:instrText> HYPERLINK "file:///wiki/Markus_13" \l "s11"</w:instrText>
      </w:r>
      <w:r>
        <w:fldChar w:fldCharType="separate"/>
      </w:r>
      <w:r>
        <w:rPr>
          <w:rStyle w:val="Internetverknpfung"/>
        </w:rPr>
        <w:t>11f</w:t>
      </w:r>
      <w:r>
        <w:fldChar w:fldCharType="end"/>
      </w:r>
      <w:r>
        <w:rPr/>
        <w:t xml:space="preserve">; </w:t>
      </w:r>
      <w:r>
        <w:fldChar w:fldCharType="begin"/>
      </w:r>
      <w:r>
        <w:instrText> HYPERLINK "file:///wiki/Markus_14" \l "s11"</w:instrText>
      </w:r>
      <w:r>
        <w:fldChar w:fldCharType="separate"/>
      </w:r>
      <w:r>
        <w:rPr>
          <w:rStyle w:val="Internetverknpfung"/>
        </w:rPr>
        <w:t>14,11</w:t>
      </w:r>
      <w:r>
        <w:fldChar w:fldCharType="end"/>
      </w:r>
      <w:r>
        <w:rPr/>
        <w:t>.</w:t>
      </w:r>
      <w:r>
        <w:fldChar w:fldCharType="begin"/>
      </w:r>
      <w:r>
        <w:instrText> HYPERLINK "file:///wiki/Markus_14" \l "s21"</w:instrText>
      </w:r>
      <w:r>
        <w:fldChar w:fldCharType="separate"/>
      </w:r>
      <w:r>
        <w:rPr>
          <w:rStyle w:val="Internetverknpfung"/>
        </w:rPr>
        <w:t>21</w:t>
      </w:r>
      <w:r>
        <w:fldChar w:fldCharType="end"/>
      </w:r>
      <w:r>
        <w:rPr/>
        <w:t>.</w:t>
      </w:r>
      <w:r>
        <w:fldChar w:fldCharType="begin"/>
      </w:r>
      <w:r>
        <w:instrText> HYPERLINK "file:///wiki/Markus_14" \l "s42"</w:instrText>
      </w:r>
      <w:r>
        <w:fldChar w:fldCharType="separate"/>
      </w:r>
      <w:r>
        <w:rPr>
          <w:rStyle w:val="Internetverknpfung"/>
        </w:rPr>
        <w:t>42</w:t>
      </w:r>
      <w:r>
        <w:fldChar w:fldCharType="end"/>
      </w:r>
      <w:r>
        <w:rPr/>
        <w:t>.</w:t>
      </w:r>
      <w:r>
        <w:fldChar w:fldCharType="begin"/>
      </w:r>
      <w:r>
        <w:instrText> HYPERLINK "file:///wiki/Markus_14" \l "s44"</w:instrText>
      </w:r>
      <w:r>
        <w:fldChar w:fldCharType="separate"/>
      </w:r>
      <w:r>
        <w:rPr>
          <w:rStyle w:val="Internetverknpfung"/>
        </w:rPr>
        <w:t>44</w:t>
      </w:r>
      <w:r>
        <w:fldChar w:fldCharType="end"/>
      </w:r>
      <w:r>
        <w:rPr/>
        <w:t xml:space="preserve">; </w:t>
      </w:r>
      <w:r>
        <w:fldChar w:fldCharType="begin"/>
      </w:r>
      <w:r>
        <w:instrText> HYPERLINK "file:///wiki/Markus_15" \l "s1"</w:instrText>
      </w:r>
      <w:r>
        <w:fldChar w:fldCharType="separate"/>
      </w:r>
      <w:r>
        <w:rPr>
          <w:rStyle w:val="Internetverknpfung"/>
        </w:rPr>
        <w:t>15,1</w:t>
      </w:r>
      <w:r>
        <w:fldChar w:fldCharType="end"/>
      </w:r>
      <w:r>
        <w:rPr/>
        <w:t>.</w:t>
      </w:r>
      <w:r>
        <w:fldChar w:fldCharType="begin"/>
      </w:r>
      <w:r>
        <w:instrText> HYPERLINK "file:///wiki/Markus_15" \l "s10"</w:instrText>
      </w:r>
      <w:r>
        <w:fldChar w:fldCharType="separate"/>
      </w:r>
      <w:r>
        <w:rPr>
          <w:rStyle w:val="Internetverknpfung"/>
        </w:rPr>
        <w:t>10</w:t>
      </w:r>
      <w:r>
        <w:fldChar w:fldCharType="end"/>
      </w:r>
      <w:r>
        <w:rPr/>
        <w:t>.</w:t>
      </w:r>
      <w:r>
        <w:fldChar w:fldCharType="begin"/>
      </w:r>
      <w:r>
        <w:instrText> HYPERLINK "file:///wiki/Markus_15" \l "s15"</w:instrText>
      </w:r>
      <w:r>
        <w:fldChar w:fldCharType="separate"/>
      </w:r>
      <w:r>
        <w:rPr>
          <w:rStyle w:val="Internetverknpfung"/>
        </w:rPr>
        <w:t>15</w:t>
      </w:r>
      <w:r>
        <w:fldChar w:fldCharType="end"/>
      </w:r>
      <w:r>
        <w:rPr/>
        <w:t>). Vermutlich auf die Verfolgungssituation der ursprünglichen Leser des Markus zurückzuführen, in der Jesusanhänger dazu gezwungen wurden, andere Christen an die Behörden auszuliefern - die Botschaft ist dann die: Auch Jesus und seine Jünger haben schon dieses Schicksal mit euch geteilt.</w:t>
      </w:r>
    </w:p>
  </w:footnote>
  <w:footnote w:id="4575">
    <w:p>
      <w:pPr>
        <w:pStyle w:val="Funote"/>
        <w:rPr/>
      </w:pPr>
      <w:r>
        <w:rPr/>
        <w:footnoteRef/>
        <w:tab/>
        <w:t>Textkritik: die (eine) - Einige Handschriften haben hier ein zusätzliches »eine«. Ob die Handschriften damit den Ausdruck verschärfen (»in die selbe Schüssel«) und an die vorigen »eins, eine« (»einer von euch...«, »einer nach dem anderen...«, »einer der Zwölf...«) anpassen oder aus stilistischen Gründen wegen derselben »eins, eine« dieses vierte »eine« streichen wollten, lässt sich nicht entscheiden (so auch Wilckens 2014). Tendenziell für den längeren Text sprechen sich z.B. Cranfield 1959, S. 424; Gundry 2000, S. 837 und Marcus 2009, S. 950 aus; so auch H-R; EÜ. Die meisten Üs. aber übersetzen den kürzeren Text, so daher auch wir.</w:t>
      </w:r>
    </w:p>
  </w:footnote>
  <w:footnote w:id="4576">
    <w:p>
      <w:pPr>
        <w:pStyle w:val="Funote"/>
        <w:rPr/>
      </w:pPr>
      <w:r>
        <w:rPr/>
        <w:footnoteRef/>
        <w:tab/>
        <w:t>in die Schüssel tunkt - der Satz meint das selbe wie das vorige »der mit mir isst«: »Einer meiner (üblichen) Tischgenossen«. Zum Eintunken von Speißen in eine Schüssel s. z.B. Rut 2,14; nicht gemeint ist hier Charoset (das Fruchtmus, das zu den vorgeschriebenen Speißen eines Passaseders gehört); auch dieses wurde vermutlich erst einige Jahrzehnte nach Jesu Tod eingeführt (s. Anmerkungen und vgl. Kulp 2005, S. 113).</w:t>
      </w:r>
    </w:p>
  </w:footnote>
  <w:footnote w:id="4577">
    <w:p>
      <w:pPr>
        <w:pStyle w:val="Funote"/>
        <w:rPr/>
      </w:pPr>
      <w:r>
        <w:rPr/>
        <w:footnoteRef/>
        <w:tab/>
        <w:t>Menschensohn - Ein weiteres Leitwort bei Markus.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578">
    <w:p>
      <w:pPr>
        <w:pStyle w:val="Funote"/>
        <w:rPr/>
      </w:pPr>
      <w:r>
        <w:rPr/>
        <w:footnoteRef/>
        <w:tab/>
        <w:t>geht - In jüd. Schriften verbreiteter Euphemismus für »Sterben« (vgl. gut z.B. Marcus 2009, S. 951). Bes. häufig bei Joh zu finden, s. z.B. Joh 7,33; 8,21f; 13,3.</w:t>
      </w:r>
    </w:p>
  </w:footnote>
  <w:footnote w:id="4579">
    <w:p>
      <w:pPr>
        <w:pStyle w:val="Funote"/>
        <w:rPr/>
      </w:pPr>
      <w:r>
        <w:rPr/>
        <w:footnoteRef/>
        <w:tab/>
        <w:t>wie geschrieben steht - Übliche Formel, um auszudrücken, dass etwas den Prophezeiungen des AT und damit dem Willen Gottes, der sich aus diesen Prophezeiungen herauslesen lässt, entspricht (vgl. z.B. Donner 1994); bei Mk s.. z.B. noch Mk 1,2; 9,12f; 11,17; 14,27. Auf welche Stelle unser Vers sich bezieht, ist aber (wie öfters) ungewiss.</w:t>
      </w:r>
    </w:p>
  </w:footnote>
  <w:footnote w:id="4580">
    <w:p>
      <w:pPr>
        <w:pStyle w:val="Funote"/>
        <w:rPr/>
      </w:pPr>
      <w:r>
        <w:rPr>
          <w:i/>
        </w:rPr>
        <w:footnoteRef/>
        <w:tab/>
        <w:t>[Gott] gedankt</w:t>
      </w:r>
      <w:r>
        <w:rPr/>
        <w:t xml:space="preserve"> - Nicht: „[das Brot] gesegnet“. Nach späteren rabbinischen Texten betete man vor dem Hauptgang über dem Brot und nach dem Hauptgang über dem Wein eine sogenannte </w:t>
      </w:r>
      <w:r>
        <w:rPr>
          <w:i/>
        </w:rPr>
        <w:t>Berakah</w:t>
      </w:r>
      <w:r>
        <w:rPr/>
        <w:t xml:space="preserve">; über dem Brot z.B.: „[Gepriesen bist du, Herr unser Gott, König des Alls], der du das Brot der Erde hervorbringst“ (m.Ber. 6,1). Ein ähnliches Gebet müssen wir uns auch bei Jesus denken; die Didache z.B. empfiehlt daher als Eucharistiegebet eine „christianisierte“ Form einer solchen Berakah: „Wir danken dir, unser Vater, für das Leben und die Erkenntnis, die du uns kundgetan hast durch Jesus, deinen Knecht. Dir sei die Herrlichkeit in Ewigkeit!“ (Did 9,3). Dass </w:t>
      </w:r>
      <w:hyperlink r:id="rId459">
        <w:r>
          <w:rPr>
            <w:rStyle w:val="Internetverknpfung"/>
          </w:rPr>
          <w:t>Lk 22,19</w:t>
        </w:r>
      </w:hyperlink>
      <w:r>
        <w:rPr/>
        <w:t xml:space="preserve"> und </w:t>
      </w:r>
      <w:r>
        <w:fldChar w:fldCharType="begin"/>
      </w:r>
      <w:r>
        <w:instrText> HYPERLINK "file:///wiki/1_Korinther_11" \l "s24"</w:instrText>
      </w:r>
      <w:r>
        <w:fldChar w:fldCharType="separate"/>
      </w:r>
      <w:r>
        <w:rPr>
          <w:rStyle w:val="Internetverknpfung"/>
        </w:rPr>
        <w:t>1 Kor 11,24</w:t>
      </w:r>
      <w:r>
        <w:fldChar w:fldCharType="end"/>
      </w:r>
      <w:r>
        <w:rPr/>
        <w:t xml:space="preserve"> statt hier „danken“ statt „segnen“ stehen haben, ist nicht bedeutsam; eine Berakah </w:t>
      </w:r>
      <w:r>
        <w:rPr>
          <w:i/>
        </w:rPr>
        <w:t>ist</w:t>
      </w:r>
      <w:r>
        <w:rPr/>
        <w:t xml:space="preserve"> ein Dankgebet und „Gepriesen bist du, der du / denn du...“ </w:t>
      </w:r>
      <w:r>
        <w:rPr>
          <w:i/>
        </w:rPr>
        <w:t>meint nur</w:t>
      </w:r>
      <w:r>
        <w:rPr/>
        <w:t xml:space="preserve"> „Danke dafür, dass...“.</w:t>
      </w:r>
    </w:p>
  </w:footnote>
  <w:footnote w:id="4581">
    <w:p>
      <w:pPr>
        <w:pStyle w:val="Funote"/>
        <w:rPr/>
      </w:pPr>
      <w:r>
        <w:rPr/>
        <w:footnoteRef/>
        <w:tab/>
        <w:t>nachdem er [Gott] gepriesen hatte, brach er [es] - Die üblichen jüdischen Gesten zur Eröffnung einer Hauptmahlzeit (vgl. z.B. gut Hofius 1988, S. 379). Markus scheint diese Handlung ans Ende der Hauptmahlzeit verschoben zu haben (s. dazu FN ab).</w:t>
      </w:r>
    </w:p>
  </w:footnote>
  <w:footnote w:id="4582">
    <w:p>
      <w:pPr>
        <w:pStyle w:val="Funote"/>
        <w:rPr/>
      </w:pPr>
      <w:r>
        <w:rPr/>
        <w:footnoteRef/>
        <w:tab/>
        <w:t>tFN: dies - Immer wieder wiederholt worden ist in letzter Zeit die Analyse von Luz, das Neutrum »dies« könne sich nicht auf das Maskulinum »Brot« beziehen und müsse daher die Handlung des Brotbrechens und -verteilens meinen (so z.B. Heininger 2005, S. 44; Niemand 2002, S. 97; Luz 2002, S. 4f; Schröter 2006, S. 128; Trummer 2001, S. 136f). Das ist falsch. Im Griechischen richten sich Demonstrativpronomen sogar häufiger im Genus nach der Subjektsergänzung (hier also das Neutrum »Leib«) als nicht (vgl. HvS §263e; z.St. auch Söding 2002, S. 55; Weidemann 2013, S. 84f). Dass mit »dies« also nicht das Brot, sondern die Handlung bezeichnet wird, ist grammatisch möglich, aber keinesfalls notwendig und auch nicht sehr wahrscheinlich.</w:t>
      </w:r>
    </w:p>
  </w:footnote>
  <w:footnote w:id="4583">
    <w:p>
      <w:pPr>
        <w:pStyle w:val="Funote"/>
        <w:rPr/>
      </w:pPr>
      <w:r>
        <w:rPr/>
        <w:footnoteRef/>
        <w:tab/>
        <w:t>Hierzu s. die Anmerkungen.</w:t>
      </w:r>
    </w:p>
  </w:footnote>
  <w:footnote w:id="4584">
    <w:p>
      <w:pPr>
        <w:pStyle w:val="Funote"/>
        <w:rPr/>
      </w:pPr>
      <w:r>
        <w:rPr/>
        <w:footnoteRef/>
        <w:tab/>
        <w:t>Becher (Kelch) - Eher „Becher“ als „Kelch“. Das Wort ist bis vor Kurzem intensiver im anglophonen Sprachraum diskutiert worden, da dort in der kath. Kirche bis zur Revision des Römischen Messbuchs die Übersetzung „cup“ („Becher“) in Gebrauch war, nach der Revision aber durch „chalice“ („Kelch“) abgelöst wurde. Im Griechischen steht hier poterion, womit allgemein Trinkgefäße bezeichnet wurden; die Entsprechung von „Kelch“ wäre tendenziell eher kylix. Das Missale übersetzt dennoch „Kelch“, um so der Übersetzungsentscheidung von Hieronymus in der Vulgata zu folgen (calix). Calix aber wurde zu Hieronymus Zeit allgemein für Trinkgefäße verwendet (daher übersetzt er z.B. auch in Mt 10,42 poterion mit calix, wo klar ein Becher gemeint ist), weshalb auch in der VUL beide Deutungen möglich sind. In den dt. Üss. sind beide Varianten gebräuchlich.</w:t>
      </w:r>
    </w:p>
  </w:footnote>
  <w:footnote w:id="4585">
    <w:p>
      <w:pPr>
        <w:pStyle w:val="Funote"/>
        <w:rPr/>
      </w:pPr>
      <w:r>
        <w:rPr>
          <w:i/>
        </w:rPr>
        <w:footnoteRef/>
        <w:tab/>
        <w:t>[Gott] gedankt</w:t>
      </w:r>
      <w:r>
        <w:rPr/>
        <w:t xml:space="preserve"> - hierzu s. </w:t>
      </w:r>
      <w:r>
        <w:fldChar w:fldCharType="begin"/>
      </w:r>
      <w:r>
        <w:instrText> HYPERLINK "http://offene-bibel.de/mediawiki/index.php?title=Markus_14" \l "note_aj"</w:instrText>
      </w:r>
      <w:r>
        <w:fldChar w:fldCharType="separate"/>
      </w:r>
      <w:r>
        <w:rPr>
          <w:rStyle w:val="Internetverknpfung"/>
        </w:rPr>
        <w:t>FN aj</w:t>
      </w:r>
      <w:r>
        <w:fldChar w:fldCharType="end"/>
      </w:r>
      <w:r>
        <w:rPr/>
        <w:t>. m.Ber 6,1 empfiehlt als Berakah über dem Weinbecher „[Gepriesen bist du, Herr unser Gott, König des Alls], der du die Frucht des Weinstocks geschaffen hast“; die christianisierte Berakah der Didache lautet „Wir danken dir, unser Vater, für den heiligen Weinstocks Davids, deines Knechtes, den du uns kundgetan hast durch Jesus, deinen Knecht. Dir sei die Herrlichkeit in Ewigkeit!“ (Did 9,2).</w:t>
      </w:r>
    </w:p>
  </w:footnote>
  <w:footnote w:id="4586">
    <w:p>
      <w:pPr>
        <w:pStyle w:val="Funote"/>
        <w:rPr/>
      </w:pPr>
      <w:r>
        <w:rPr/>
        <w:footnoteRef/>
        <w:tab/>
        <w:t>Hierzu und zum nächsten Vers s. die Anmerkungen</w:t>
      </w:r>
    </w:p>
  </w:footnote>
  <w:footnote w:id="4587">
    <w:p>
      <w:pPr>
        <w:pStyle w:val="Funote"/>
        <w:rPr/>
      </w:pPr>
      <w:r>
        <w:rPr/>
        <w:footnoteRef/>
        <w:tab/>
        <w:t>Textkritik: neuen - Nicht wenige Handschriften haben hier ein zusätzliches »neue« - zweifellos eine Angleichung an Lk 22,20; 1 Kor 11,25 und damit sekundär (so z.B. auch TCNT).</w:t>
      </w:r>
    </w:p>
  </w:footnote>
  <w:footnote w:id="4588">
    <w:p>
      <w:pPr>
        <w:pStyle w:val="Funote"/>
        <w:rPr/>
      </w:pPr>
      <w:r>
        <w:rPr/>
        <w:footnoteRef/>
        <w:tab/>
        <w:t>viele - dient vermutlich zum Ausdruck des Zahlenverhältnisses: Einer vergießt sein Blut für viele. S. genauer unten.Auch dieses Wort wird aktuell sehr heftig diskutiert, daher auch hierzu eine etwas längere Erklärung der Diskussion und zur Rechtfertigung der Übersetzung. Hintergrund der Diskussion ist der, dass in der kath. Liturgie in Deutschland lange Zeit die Formulierung »das für euch und für alle vergossen wird« gebräuchlich war. In einem Brief der Kongregation für den Gottesdienst und die Sakramentenordnung von 2006 wurde stattdessen die Übersetzung »für viele« vorgeschrieben, und vor allem infolge eines Folgebriefes von Benedikt XVI. an die deutschen Bischöfe entbrannte ein heftiger und leider seltenst sachlich geführter Streit, der mittlerweile nur noch oberflächlich etwas mit der Übersetzung selbst zu tun hat. Beide Parteien berufen sich auf Jes 53,12. Weil auch dort von jemandem die Rede sei, der für die Sünden anderer stirbt und wegen den gemeinsamen Vokabeln »vergossen« und eben »viele« sei klar, dass Mk hier die Jes-Stelle zitiert. Die einen leiten daraus ab, dass das »viele« in Jesaja wie oft im Hebräischen als »alle« verstanden werden müsse und dass dies demnach auch die Bedeutung des »viele« bei Mk sei; die anderen erkennen zwar die Bedeutung »alle« in Jesaja (und meistens auch Markus!) an, fordern aber dennoch eine »wörtliche« Übersetzung in Mk, damit der Bezug zu Jes erkennbar sei und keine Deutung in die Mk-Übersetzung eingetragen werde. Beide Argumentationen sind sehr problematisch. Zunächst wurde zu ntl Zeiten nicht der heb. Jes-Text verwendet, sondern entweder die LXX-Übersetzung oder ein Targum. Die LXX-Übersetzung lautet aber nicht »Weil er sein Leben in den Tod ausgegossen hat«, sondern »weil er seine Seele in den Tod auslieferte«, die von TgJ »Weil er sein Leben dem Tod übergab«. Der einzige Bezug im Vokabular ist damit das »viele«, und auf dieser Basis von einem »Zitat« zu sprechen, geht durchaus nicht an (so z.B. richtig Chilton 1994, S. 87; Dunn 2003, S. 815f.; Schröter 2006, S. 129; übrigens sogar Benedikt, obwohl er im Folgenden dann doch mit dem Jes-Text argumentiert). Sodann motivisch: Der Gottesknecht im Jes-Text wurde im frühen 1. Jahrhundert überhaupt nicht als Paradigma eines Menschen aufgefasst, der die Sünden anderer Menschen auf sich nimmt - weder in jüdischen noch in christlichen Texten. Im NT z.B. wird Jes 52,13-53,12 insgesamt sieben Mal zitiert - und nur im spätesten Text, 1 Pet 2,22-25, ist er Paradigma dieses Motivs (vgl. z.B. Zager 1996, S. 180f). Aus diesem Grund kommen heute immer mehr Wissenschaftler von der Vorstellung ab, dass das Gottesknechtslied ein Vorbild für die ntl Texte gewesen sei (vgl. z.B. Versnel 2005, S. 215 und die dort zusammengetragene Literatur). Und weiter: Gerade, wenn wir dennoch davon ausgingen, dass hier ein Jes-Zitat vorläge, gingen beide Argumentationen am Text vorbei, denn der Zweck des »Viele« wäre dann wie in Jes nicht die Identifikation einer Zielgruppe der »Leistung« von Gottesknecht und Jesus, sondern der Ausdruck eines Zahlenverhältnisses: Einer nimmt die Verfehlungen von Vielen auf sich / legt für viele Fürsprache ein / vergießt sein Blut für viele; s. ähnlich z.B. 1 Kor 10,17: »Weil es ein Brot ist, sind wir - wir viele - ein Leib.« So ist das »viele« hier wahrscheinlich auch unabhängig von der Jes-Stelle zu verstehen. Und schließlich: Selbst dann, wenn die Übersetzung »alle« sich hier ebenso gut rechtfertigen ließe wie »viele«: Nur von den wenigsten Üss. wird sie gewählt (z.B. GN, KAM); daher nach Kriterium 1b auch von uns nicht. Welche Übersetzung die sinnvollste für eine Messliturgie ist, ist natürlich eine andere Frage.</w:t>
      </w:r>
    </w:p>
  </w:footnote>
  <w:footnote w:id="4589">
    <w:p>
      <w:pPr>
        <w:pStyle w:val="Funote"/>
        <w:rPr/>
      </w:pPr>
      <w:r>
        <w:rPr/>
        <w:footnoteRef/>
        <w:tab/>
        <w:t>Zum Gesamtsinn des Verses s. die Anmerkungen. Die Formulierung lässt sich am leichtesten genetisch erklären. Die Vorstellung, dass ein Mensch »für andere« sterben könne, stammt ursprünglich aus dem hellenistischen Kulturraum und ist dort gerade in der ntl. Zeit außerordentlich populär (s. bes. das von Versnel 2005 auf S. 230-244 zusammengetragene Material): Zürnte eine Gottheit einer Person/einem Volk/ ..., konnte ein Mensch ersatzweise für diese Person/dieses Volk/... sterben und so die Gottheit beschwichtigen (vgl. gut z.B. Breytenbach 2003). Relativ rein lässt sich dieser Gedanke z.B. auch in den johanneischen Schriften betrachten (s. z.B. Joh 10,11.15; 15,13; 1 Joh 3,16. Bei unserer Stelle ist diese Vorstellung aber verschmolzen mit einer weiteren Vorstellung; diesmal aus dem jüdischen Kulturraum: Wenn Gott einer Person zürnt, liegt das nach jüd. Vorstellung an den Sünden dieser Person, die wie eine Trennwand zwischen die Person und Gott treten. Eingerissen werden muss diese Trennwand durch en Opfer - durch die Darbringung von Opferblut -, dessen Effekt die Errichtung eines »Bundes« zwischen Gott und dem Opfernden ist (s. Ex 24,8; Sach 9,11; vgl. z.B. Willi-Plein 1993, S. 97f. S. bes. die Variante von Ex 24,8 im etwa zeitgleich zum Mk entstandenen TgO: »Da nahm Mose das Blut und sprengte es auf den Altar, um für das Volk Sühnung zu schaffen...«). Kombiniert lauten die beiden Vorstellungen dann: Jemand, der für jemanden stirbt, wird so zum »Opfer« für diesen zum Zwecke der Sühnung seiner Sünden (vgl. gut Merklein 1986, S. 71). Diese »Vorstellungskombination« wird z.B. auch in Joh 1,29; Röm 3,25f und Heb 9,13-15 auf Jesus übertragen; außerhalb des NT findet sich die Vorstellung z.B. auch in 4 Makk 17,21f. und j.Sanh. 11,5.</w:t>
      </w:r>
    </w:p>
  </w:footnote>
  <w:footnote w:id="4590">
    <w:p>
      <w:pPr>
        <w:pStyle w:val="Funote"/>
        <w:rPr/>
      </w:pPr>
      <w:r>
        <w:rPr/>
        <w:footnoteRef/>
        <w:tab/>
        <w:t>[von] ihm erneut (ihn als neuen) - Beide Positionen werden in der Forschung vertreten; für die erste z.B. Gundry 2000, S. 834; Marcus 2009, S. 959; für die zweite z.B. France 2002, S. 572; NSS. »Ihn als neuen« soll dann vom »neuen [Wein]« sprechen und dieser widerum ein Symbol für das »messianische Bankett« sein, das nach dem endgültigen Anbruch des Reiches Gottes stattfinden wird. tirosh, »neuer Wein«, ist im AT aber meist als durchaus innerweltliches, aktuell vorhandenes Getränk gedacht und daher schlicht als »Most« zu übersetzen, und auch syntaktisch ist diese Auflösung ganz unwahrscheinlich. Der Satz ist vielmehr als Todesprophetie aufzufassen: Hiermit trinkt Jesus seinen letzten Becher Wein, doch schon bald - nämlich im Reich Gottes, das Jesus für die näheste Zukunft erwartete - wird er von Neuem mit dem Trinken beginnen.</w:t>
      </w:r>
    </w:p>
  </w:footnote>
  <w:footnote w:id="4591">
    <w:p>
      <w:pPr>
        <w:pStyle w:val="Funote"/>
        <w:rPr/>
      </w:pPr>
      <w:r>
        <w:rPr/>
        <w:footnoteRef/>
        <w:tab/>
        <w:t xml:space="preserve">Gemeint sind möglicherweise </w:t>
      </w:r>
      <w:hyperlink r:id="rId460">
        <w:r>
          <w:rPr>
            <w:rStyle w:val="Internetverknpfung"/>
          </w:rPr>
          <w:t>Ps 115-118</w:t>
        </w:r>
      </w:hyperlink>
      <w:r>
        <w:rPr/>
        <w:t xml:space="preserve"> (France, 574)</w:t>
      </w:r>
    </w:p>
  </w:footnote>
  <w:footnote w:id="4592">
    <w:p>
      <w:pPr>
        <w:pStyle w:val="Funote"/>
        <w:rPr/>
      </w:pPr>
      <w:r>
        <w:rPr/>
        <w:footnoteRef/>
        <w:tab/>
        <w:t>ärgern – Entweder im Sinne von a) "Jesus ablehnen" (so NGÜ, NL, HFA), oder im Sinne von b) "sündigen" (so EU). Im Kontext (v. 30) ist a) wahrscheinlicher.</w:t>
      </w:r>
    </w:p>
  </w:footnote>
  <w:footnote w:id="4593">
    <w:p>
      <w:pPr>
        <w:pStyle w:val="Funote"/>
        <w:rPr/>
      </w:pPr>
      <w:r>
        <w:rPr>
          <w:i/>
        </w:rPr>
        <w:footnoteRef/>
        <w:tab/>
        <w:t>dreimal verleugnen</w:t>
      </w:r>
      <w:r>
        <w:rPr/>
        <w:t xml:space="preserve">: Dies geschieht in </w:t>
      </w:r>
      <w:hyperlink w:anchor="s72">
        <w:r>
          <w:rPr>
            <w:rStyle w:val="Internetverknpfung"/>
          </w:rPr>
          <w:t>V. 72</w:t>
        </w:r>
      </w:hyperlink>
      <w:r>
        <w:rPr/>
        <w:t>.</w:t>
      </w:r>
    </w:p>
  </w:footnote>
  <w:footnote w:id="4594">
    <w:p>
      <w:pPr>
        <w:pStyle w:val="Funote"/>
        <w:rPr/>
      </w:pPr>
      <w:r>
        <w:rPr/>
        <w:footnoteRef/>
        <w:tab/>
        <w:t>stärkstmögliche Verneinung</w:t>
      </w:r>
    </w:p>
  </w:footnote>
  <w:footnote w:id="4595">
    <w:p>
      <w:pPr>
        <w:pStyle w:val="Funote"/>
        <w:rPr/>
      </w:pPr>
      <w:r>
        <w:rPr>
          <w:i/>
        </w:rPr>
        <w:footnoteRef/>
        <w:tab/>
        <w:t>Meine Seele ist zu Tode betrübt</w:t>
      </w:r>
      <w:r>
        <w:rPr/>
        <w:t xml:space="preserve"> – d.h. er ist so traurig, dass es sich wie sterben anfühlt</w:t>
      </w:r>
    </w:p>
  </w:footnote>
  <w:footnote w:id="4596">
    <w:p>
      <w:pPr>
        <w:pStyle w:val="Funote"/>
        <w:rPr/>
      </w:pPr>
      <w:r>
        <w:rPr>
          <w:i/>
        </w:rPr>
        <w:footnoteRef/>
        <w:tab/>
        <w:t>Kelch</w:t>
      </w:r>
      <w:r>
        <w:rPr/>
        <w:t>: Hier ist nicht nur der bevorstehende Tod und das Leiden gemeint (</w:t>
      </w:r>
      <w:hyperlink w:anchor="s24">
        <w:r>
          <w:rPr>
            <w:rStyle w:val="Internetverknpfung"/>
          </w:rPr>
          <w:t>V. 24</w:t>
        </w:r>
      </w:hyperlink>
      <w:r>
        <w:rPr/>
        <w:t>). Im AT wird dieses Bild für das kommende Gericht Gottes verwendet (</w:t>
      </w:r>
      <w:hyperlink r:id="rId461">
        <w:r>
          <w:rPr>
            <w:rStyle w:val="Internetverknpfung"/>
          </w:rPr>
          <w:t>Jer 25,15</w:t>
        </w:r>
      </w:hyperlink>
      <w:r>
        <w:rPr/>
        <w:t xml:space="preserve">; </w:t>
      </w:r>
      <w:hyperlink r:id="rId462">
        <w:r>
          <w:rPr>
            <w:rStyle w:val="Internetverknpfung"/>
          </w:rPr>
          <w:t>Hes 23,31-34</w:t>
        </w:r>
      </w:hyperlink>
      <w:r>
        <w:rPr/>
        <w:t xml:space="preserve"> uvm.).</w:t>
      </w:r>
    </w:p>
  </w:footnote>
  <w:footnote w:id="4597">
    <w:p>
      <w:pPr>
        <w:pStyle w:val="Funote"/>
        <w:rPr/>
      </w:pPr>
      <w:r>
        <w:rPr/>
        <w:footnoteRef/>
        <w:tab/>
        <w:t>Gemeint ist der öffentlich zugängliche Vorhof des Tempels.</w:t>
      </w:r>
    </w:p>
  </w:footnote>
  <w:footnote w:id="4598">
    <w:p>
      <w:pPr>
        <w:pStyle w:val="Funote"/>
        <w:rPr/>
      </w:pPr>
      <w:r>
        <w:rPr>
          <w:i/>
        </w:rPr>
        <w:footnoteRef/>
        <w:tab/>
        <w:t>oberste Priester</w:t>
      </w:r>
      <w:r>
        <w:rPr/>
        <w:t xml:space="preserve"> Auf Griechisch ebenfalls „Hohe Priester“. </w:t>
      </w:r>
    </w:p>
  </w:footnote>
  <w:footnote w:id="4599">
    <w:p>
      <w:pPr>
        <w:pStyle w:val="Funote"/>
        <w:rPr/>
      </w:pPr>
      <w:r>
        <w:rPr/>
        <w:footnoteRef/>
        <w:tab/>
        <w:t>ZÜR, EÜ, Menge übersetzen den Aorist kontextgerecht als Plusquamperfekt.</w:t>
      </w:r>
    </w:p>
  </w:footnote>
  <w:footnote w:id="4600">
    <w:p>
      <w:pPr>
        <w:pStyle w:val="Funote"/>
        <w:rPr/>
      </w:pPr>
      <w:r>
        <w:rPr/>
        <w:footnoteRef/>
        <w:tab/>
        <w:t xml:space="preserve">Aufgelöstes „war“+attr. Ptz., das wohl so verstanden werden muss, dass Petrus schon saß - und sich nicht eben erst setzte. Es scheint ein Zeitsprung stattgefunden zu haben. Darum wird der Aor. im ersten Satzteil gelegentlich als Plqpf. übersetzt. </w:t>
      </w:r>
    </w:p>
  </w:footnote>
  <w:footnote w:id="4601">
    <w:p>
      <w:pPr>
        <w:pStyle w:val="Funote"/>
        <w:rPr/>
      </w:pPr>
      <w:r>
        <w:rPr/>
        <w:footnoteRef/>
        <w:tab/>
        <w:t>Das griechische Wort kann sowohl auf Diener meinen (so Gnilka 1979 2 1989; Collins 2007) als auch hochgestellte Untergebene oder Wächter (so NET Fußnote 78 zu Mk 14,54)</w:t>
      </w:r>
    </w:p>
  </w:footnote>
  <w:footnote w:id="4602">
    <w:p>
      <w:pPr>
        <w:pStyle w:val="Funote"/>
        <w:rPr/>
      </w:pPr>
      <w:r>
        <w:rPr/>
        <w:footnoteRef/>
        <w:tab/>
        <w:t xml:space="preserve">Da man sich an Licht nicht wärmen kann, steht es hier metonymisch für Feuer (vgl. Louw/Nida 2,5; a.dt.Ü.). </w:t>
      </w:r>
    </w:p>
  </w:footnote>
  <w:footnote w:id="4603">
    <w:p>
      <w:pPr>
        <w:pStyle w:val="Funote"/>
        <w:rPr/>
      </w:pPr>
      <w:r>
        <w:rPr/>
        <w:footnoteRef/>
        <w:tab/>
        <w:t xml:space="preserve">D.h. „von Menschen/menschlichen Händen“. </w:t>
      </w:r>
    </w:p>
  </w:footnote>
  <w:footnote w:id="4604">
    <w:p>
      <w:pPr>
        <w:pStyle w:val="Funote"/>
        <w:rPr/>
      </w:pPr>
      <w:r>
        <w:rPr/>
        <w:footnoteRef/>
        <w:tab/>
        <w:t xml:space="preserve">Zumindest in der uns überlieferten fraglichen Situation in </w:t>
      </w:r>
      <w:r>
        <w:fldChar w:fldCharType="begin"/>
      </w:r>
      <w:r>
        <w:instrText> HYPERLINK "file:///wiki/Johannes_2" \l "s19"</w:instrText>
      </w:r>
      <w:r>
        <w:fldChar w:fldCharType="separate"/>
      </w:r>
      <w:r>
        <w:rPr>
          <w:rStyle w:val="Internetverknpfung"/>
        </w:rPr>
        <w:t>Joh 2,19</w:t>
      </w:r>
      <w:r>
        <w:fldChar w:fldCharType="end"/>
      </w:r>
      <w:r>
        <w:rPr/>
        <w:t xml:space="preserve"> sagt Jesus aber nicht, dass er den Tempel abreißen würde, sondern er fordert die jüdischen Führer dazu auf, spielt aber in Wirklichkeit auf seinen eigenen Körper an (</w:t>
      </w:r>
      <w:r>
        <w:fldChar w:fldCharType="begin"/>
      </w:r>
      <w:r>
        <w:instrText> HYPERLINK "file:///wiki/Johannes_2" \l "s21"</w:instrText>
      </w:r>
      <w:r>
        <w:fldChar w:fldCharType="separate"/>
      </w:r>
      <w:r>
        <w:rPr>
          <w:rStyle w:val="Internetverknpfung"/>
        </w:rPr>
        <w:t>2,21-22</w:t>
      </w:r>
      <w:r>
        <w:fldChar w:fldCharType="end"/>
      </w:r>
      <w:r>
        <w:rPr/>
        <w:t xml:space="preserve">). Vielleicht stellt diese Verdrehung die gemachte Falschaussage dar. </w:t>
      </w:r>
    </w:p>
  </w:footnote>
  <w:footnote w:id="4605">
    <w:p>
      <w:pPr>
        <w:pStyle w:val="Funote"/>
        <w:rPr/>
      </w:pPr>
      <w:r>
        <w:rPr/>
        <w:footnoteRef/>
        <w:tab/>
        <w:t>So NSS nach BA. Vgl. a.dt.Ü.</w:t>
      </w:r>
    </w:p>
  </w:footnote>
  <w:footnote w:id="4606">
    <w:p>
      <w:pPr>
        <w:pStyle w:val="Funote"/>
        <w:rPr/>
      </w:pPr>
      <w:r>
        <w:rPr/>
        <w:footnoteRef/>
        <w:tab/>
        <w:t xml:space="preserve">Attr. Ptz. mit Und-Kombination aufgelöst. </w:t>
      </w:r>
    </w:p>
  </w:footnote>
  <w:footnote w:id="4607">
    <w:p>
      <w:pPr>
        <w:pStyle w:val="Funote"/>
        <w:rPr/>
      </w:pPr>
      <w:r>
        <w:rPr/>
        <w:footnoteRef/>
        <w:tab/>
        <w:t xml:space="preserve">Das hier verwendete </w:t>
      </w:r>
      <w:hyperlink r:id="rId463">
        <w:r>
          <w:rPr>
            <w:rStyle w:val="Internetverknpfung"/>
          </w:rPr>
          <w:t>Imperfekt</w:t>
        </w:r>
      </w:hyperlink>
      <w:r>
        <w:rPr/>
        <w:t xml:space="preserve"> drückt eine wiederholte oder fortgesetzte Handlung aus. </w:t>
      </w:r>
    </w:p>
  </w:footnote>
  <w:footnote w:id="4608">
    <w:p>
      <w:pPr>
        <w:pStyle w:val="Funote"/>
        <w:rPr/>
      </w:pPr>
      <w:r>
        <w:rPr/>
        <w:footnoteRef/>
        <w:tab/>
        <w:t xml:space="preserve">Eine jüdische Bezeichnung Gottes, um das Aussprechen eines Gottesnamens oder -titels zu vermeiden (TWNT </w:t>
      </w:r>
      <w:r>
        <w:rPr>
          <w:lang w:val="el-GR"/>
        </w:rPr>
        <w:t>δύναμις</w:t>
      </w:r>
      <w:r>
        <w:rPr/>
        <w:t xml:space="preserve"> C.I.c). Der Platz an der rechten Seite des Gastgebers gilt im Orient als Ehrenplatz. </w:t>
      </w:r>
    </w:p>
  </w:footnote>
  <w:footnote w:id="4609">
    <w:p>
      <w:pPr>
        <w:pStyle w:val="Funote"/>
        <w:rPr/>
      </w:pPr>
      <w:r>
        <w:rPr/>
        <w:footnoteRef/>
        <w:tab/>
        <w:t xml:space="preserve">Das Reiten auf Wolken war eine Handlung, die im vorderen Orient nur Göttern zugeschrieben wurde. </w:t>
      </w:r>
    </w:p>
  </w:footnote>
  <w:footnote w:id="4610">
    <w:p>
      <w:pPr>
        <w:pStyle w:val="Funote"/>
        <w:rPr/>
      </w:pPr>
      <w:r>
        <w:rPr/>
        <w:footnoteRef/>
        <w:tab/>
        <w:t xml:space="preserve">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 </w:t>
      </w:r>
    </w:p>
  </w:footnote>
  <w:footnote w:id="4611">
    <w:p>
      <w:pPr>
        <w:pStyle w:val="Funote"/>
        <w:rPr/>
      </w:pPr>
      <w:r>
        <w:rPr/>
        <w:footnoteRef/>
        <w:tab/>
        <w:t>Als Zeichen des Entsetzens oder der Trauer riss man seine Kleider mit einem Ruck am Kragen ein. Es war vorgeschrieben, wenn man eine Gotteslästerung mitbekam (Mischna, Sanhedrin 7.5; vgl. NSS).</w:t>
      </w:r>
    </w:p>
  </w:footnote>
  <w:footnote w:id="4612">
    <w:p>
      <w:pPr>
        <w:pStyle w:val="Funote"/>
        <w:rPr/>
      </w:pPr>
      <w:r>
        <w:rPr/>
        <w:footnoteRef/>
        <w:tab/>
        <w:t xml:space="preserve">Attr. Ptz. mit Und-Kombination aufgelöst. </w:t>
      </w:r>
    </w:p>
  </w:footnote>
  <w:footnote w:id="4613">
    <w:p>
      <w:pPr>
        <w:pStyle w:val="Funote"/>
        <w:rPr/>
      </w:pPr>
      <w:r>
        <w:rPr/>
        <w:footnoteRef/>
        <w:tab/>
        <w:t xml:space="preserve">Wörtlich „Bedarf haben“, idiomatisch für „brauchen“. </w:t>
      </w:r>
    </w:p>
  </w:footnote>
  <w:footnote w:id="4614">
    <w:p>
      <w:pPr>
        <w:pStyle w:val="Funote"/>
        <w:rPr/>
      </w:pPr>
      <w:r>
        <w:rPr/>
        <w:footnoteRef/>
        <w:tab/>
        <w:t>D.h. „schuldig zu sein und den Tod zu verdienen“ (LN 88.313)</w:t>
      </w:r>
    </w:p>
  </w:footnote>
  <w:footnote w:id="4615">
    <w:p>
      <w:pPr>
        <w:pStyle w:val="Funote"/>
        <w:rPr/>
      </w:pPr>
      <w:r>
        <w:rPr/>
        <w:footnoteRef/>
        <w:tab/>
        <w:t xml:space="preserve">AcI. Anders aufgelöst: „Und sie alle urteilten, dass er des Todes schuldig war.“ </w:t>
      </w:r>
    </w:p>
  </w:footnote>
  <w:footnote w:id="4616">
    <w:p>
      <w:pPr>
        <w:pStyle w:val="Funote"/>
        <w:rPr/>
      </w:pPr>
      <w:r>
        <w:rPr/>
        <w:footnoteRef/>
        <w:tab/>
        <w:t>Als Teil der Bedeutung des Verbs ergänzt.</w:t>
      </w:r>
    </w:p>
  </w:footnote>
  <w:footnote w:id="4617">
    <w:p>
      <w:pPr>
        <w:pStyle w:val="Funote"/>
        <w:rPr/>
      </w:pPr>
      <w:r>
        <w:rPr/>
        <w:footnoteRef/>
        <w:tab/>
        <w:t>Die Deutung des Wortes nehmen ist hier nicht ganz klar. Es handelt sich entweder um einen umgangssprachlichen Ausdruck für „schlagen“, oder sie nahmen ihn tatsächlich von den Soldaten in Empfang (NSS).</w:t>
      </w:r>
    </w:p>
  </w:footnote>
  <w:footnote w:id="4618">
    <w:p>
      <w:pPr>
        <w:pStyle w:val="Funote"/>
        <w:rPr/>
      </w:pPr>
      <w:r>
        <w:rPr>
          <w:i/>
        </w:rPr>
        <w:footnoteRef/>
        <w:tab/>
        <w:t>gehört zu</w:t>
      </w:r>
      <w:r>
        <w:rPr/>
        <w:t xml:space="preserve"> W. ist von</w:t>
      </w:r>
    </w:p>
  </w:footnote>
  <w:footnote w:id="4619">
    <w:p>
      <w:pPr>
        <w:pStyle w:val="Funote"/>
        <w:rPr/>
      </w:pPr>
      <w:r>
        <w:rPr>
          <w:i/>
        </w:rPr>
        <w:footnoteRef/>
        <w:tab/>
        <w:t>gehörst zu</w:t>
      </w:r>
      <w:r>
        <w:rPr/>
        <w:t xml:space="preserve"> W. bist von</w:t>
      </w:r>
    </w:p>
  </w:footnote>
  <w:footnote w:id="4620">
    <w:p>
      <w:pPr>
        <w:pStyle w:val="Funote"/>
        <w:rPr/>
      </w:pPr>
      <w:r>
        <w:rPr/>
        <w:footnoteRef/>
        <w:tab/>
        <w:t>andere Handschriften haben zusätzlich: „und du deine Sprache ist ähnlich“</w:t>
      </w:r>
    </w:p>
  </w:footnote>
  <w:footnote w:id="4621">
    <w:p>
      <w:pPr>
        <w:pStyle w:val="Funote"/>
        <w:rPr/>
      </w:pPr>
      <w:r>
        <w:rPr/>
        <w:footnoteRef/>
        <w:tab/>
        <w:t>[Status: Zuverlässig]</w:t>
      </w:r>
    </w:p>
  </w:footnote>
  <w:footnote w:id="4622">
    <w:p>
      <w:pPr>
        <w:pStyle w:val="Funote"/>
        <w:rPr/>
      </w:pPr>
      <w:r>
        <w:rPr/>
        <w:footnoteRef/>
        <w:tab/>
        <w:t>wollt ihr und den ihr nennt nicht in allen Zeugen vorhanden. Es könnte sich um eine Anpassung an Mt 27,21.22 handeln oder einem Versuch den Hohepriestern den Titel König der Juden in den Mund zu legen. Wir folgen hier der Entscheidung NA27/28 (TCNT, S.99) Alternative Leseart: Was nun tue ich mit dem König der Juden?</w:t>
      </w:r>
    </w:p>
  </w:footnote>
  <w:footnote w:id="4623">
    <w:p>
      <w:pPr>
        <w:pStyle w:val="Funote"/>
        <w:rPr/>
      </w:pPr>
      <w:r>
        <w:rPr/>
        <w:footnoteRef/>
        <w:tab/>
        <w:t>Historisches Präsens</w:t>
      </w:r>
    </w:p>
  </w:footnote>
  <w:footnote w:id="4624">
    <w:p>
      <w:pPr>
        <w:pStyle w:val="Funote"/>
        <w:rPr/>
      </w:pPr>
      <w:r>
        <w:rPr>
          <w:b/>
          <w:lang w:val="el-GR"/>
        </w:rPr>
        <w:footnoteRef/>
        <w:tab/>
        <w:t>προσκυνεο</w:t>
      </w:r>
      <w:r>
        <w:rPr/>
        <w:t xml:space="preserve"> wird im Kontext des NT immer nur in Hinblick auf die Verehrung eines Gottes verwendet.</w:t>
      </w:r>
    </w:p>
  </w:footnote>
  <w:footnote w:id="4625">
    <w:p>
      <w:pPr>
        <w:pStyle w:val="Funote"/>
        <w:rPr/>
      </w:pPr>
      <w:r>
        <w:rPr/>
        <w:footnoteRef/>
        <w:tab/>
        <w:t>Historisches Präsens</w:t>
      </w:r>
    </w:p>
  </w:footnote>
  <w:footnote w:id="4626">
    <w:p>
      <w:pPr>
        <w:pStyle w:val="Funote"/>
        <w:rPr/>
      </w:pPr>
      <w:r>
        <w:rPr/>
        <w:footnoteRef/>
        <w:tab/>
        <w:t>Historisches Präsens</w:t>
      </w:r>
    </w:p>
  </w:footnote>
  <w:footnote w:id="4627">
    <w:p>
      <w:pPr>
        <w:pStyle w:val="Funote"/>
        <w:rPr/>
      </w:pPr>
      <w:r>
        <w:rPr/>
        <w:footnoteRef/>
        <w:tab/>
        <w:t>Sollte in Lesefassug entfallen. Vers 28 fehlt in den wichtigsten und frühsten Zeugen. Eine nachträgliches Hinzufügen aufgrund von Lk 22,37 scheint wahrscheinlicher als eine nachträgliche Streichung (TCNT, S.99).</w:t>
      </w:r>
    </w:p>
  </w:footnote>
  <w:footnote w:id="4628">
    <w:p>
      <w:pPr>
        <w:pStyle w:val="Funote"/>
        <w:rPr/>
      </w:pPr>
      <w:r>
        <w:rPr/>
        <w:footnoteRef/>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4629">
    <w:p>
      <w:pPr>
        <w:pStyle w:val="Funote"/>
        <w:rPr/>
      </w:pPr>
      <w:r>
        <w:rPr/>
        <w:footnoteRef/>
        <w:tab/>
        <w:t>Imperfekt consecutivum</w:t>
      </w:r>
    </w:p>
  </w:footnote>
  <w:footnote w:id="4630">
    <w:p>
      <w:pPr>
        <w:pStyle w:val="Funote"/>
        <w:rPr/>
      </w:pPr>
      <w:r>
        <w:rPr/>
        <w:footnoteRef/>
        <w:tab/>
        <w:t>Ptz. fem. - Daher Frauen ergänzt.</w:t>
      </w:r>
    </w:p>
  </w:footnote>
  <w:footnote w:id="4631">
    <w:p>
      <w:pPr>
        <w:pStyle w:val="Funote"/>
        <w:rPr/>
      </w:pPr>
      <w:r>
        <w:rPr/>
        <w:footnoteRef/>
        <w:tab/>
        <w:t>[Status: Zuverlässig]</w:t>
      </w:r>
    </w:p>
  </w:footnote>
  <w:footnote w:id="4632">
    <w:p>
      <w:pPr>
        <w:pStyle w:val="Funote"/>
        <w:rPr/>
      </w:pPr>
      <w:hyperlink r:id="rId464">
        <w:r>
          <w:rPr>
            <w:rStyle w:val="Internetverknpfung"/>
          </w:rPr>
          <w:footnoteRef/>
          <w:tab/>
          <w:t>Gen. abs.</w:t>
        </w:r>
      </w:hyperlink>
      <w:r>
        <w:rPr/>
        <w:t xml:space="preserve">, temporal aufgelöst </w:t>
      </w:r>
    </w:p>
  </w:footnote>
  <w:footnote w:id="4633">
    <w:p>
      <w:pPr>
        <w:pStyle w:val="Funote"/>
        <w:rPr/>
      </w:pPr>
      <w:r>
        <w:rPr/>
        <w:footnoteRef/>
        <w:tab/>
        <w:t>Bezeichnung der Mutter nach dem Sohn: BDR § 162,3</w:t>
      </w:r>
    </w:p>
  </w:footnote>
  <w:footnote w:id="4634">
    <w:p>
      <w:pPr>
        <w:pStyle w:val="Funote"/>
        <w:rPr/>
      </w:pPr>
      <w:r>
        <w:rPr/>
        <w:footnoteRef/>
        <w:tab/>
        <w:t>Die Salbung der Toten geschah mit Öl; Aromata wurden nur für die Salbung von Königen verwendet. Bei den Aromata handelt es sich um seltene, wohlriechende pflanzliche Essenzen. Ziel der Salbung ist die Erhaltung des Leichnams - diese Absicht bildet an dieser Stelle einen (gewollten) Kontrast. „Es scheint die Frauen nicht zu stören, dass die Salbung einer bereits eingewickelten Leiche ‚ein kühner Gedanke‘ (Wellhausen) ist“ (Gnilka 1979, 340).</w:t>
      </w:r>
    </w:p>
  </w:footnote>
  <w:footnote w:id="4635">
    <w:p>
      <w:pPr>
        <w:pStyle w:val="Funote"/>
        <w:rPr/>
      </w:pPr>
      <w:r>
        <w:rPr>
          <w:lang w:val="el-GR"/>
        </w:rPr>
        <w:footnoteRef/>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(Gnilka 1979, 341), daher als Übersetzung am besten „am ersten Tag der Woche“. Gemeint ist aber natürlich der Sonntag.</w:t>
      </w:r>
    </w:p>
  </w:footnote>
  <w:footnote w:id="4636">
    <w:p>
      <w:pPr>
        <w:pStyle w:val="Funote"/>
        <w:rPr/>
      </w:pPr>
      <w:hyperlink r:id="rId465">
        <w:r>
          <w:rPr>
            <w:rStyle w:val="Internetverknpfung"/>
          </w:rPr>
          <w:footnoteRef/>
          <w:tab/>
          <w:t>Gen. abs.</w:t>
        </w:r>
      </w:hyperlink>
      <w:r>
        <w:rPr/>
        <w:t xml:space="preserve">, temporal aufgelöst </w:t>
      </w:r>
    </w:p>
  </w:footnote>
  <w:footnote w:id="4637">
    <w:p>
      <w:pPr>
        <w:pStyle w:val="Funote"/>
        <w:rPr/>
      </w:pPr>
      <w:hyperlink r:id="rId466">
        <w:r>
          <w:rPr>
            <w:rStyle w:val="Internetverknpfung"/>
          </w:rPr>
          <w:footnoteRef/>
          <w:tab/>
          <w:t>Ptz. coni.</w:t>
        </w:r>
      </w:hyperlink>
      <w:r>
        <w:rPr/>
        <w:t>, temporal aufgelöst</w:t>
      </w:r>
    </w:p>
  </w:footnote>
  <w:footnote w:id="4638">
    <w:p>
      <w:pPr>
        <w:pStyle w:val="Funote"/>
        <w:rPr/>
      </w:pPr>
      <w:hyperlink r:id="rId467">
        <w:r>
          <w:rPr>
            <w:rStyle w:val="Internetverknpfung"/>
          </w:rPr>
          <w:footnoteRef/>
          <w:tab/>
          <w:t>Ptz. coni.</w:t>
        </w:r>
      </w:hyperlink>
      <w:r>
        <w:rPr/>
        <w:t>, temporal aufgelöst</w:t>
      </w:r>
    </w:p>
  </w:footnote>
  <w:footnote w:id="4639">
    <w:p>
      <w:pPr>
        <w:pStyle w:val="Funote"/>
        <w:rPr/>
      </w:pPr>
      <w:hyperlink r:id="rId468">
        <w:r>
          <w:rPr>
            <w:rStyle w:val="Internetverknpfung"/>
          </w:rPr>
          <w:footnoteRef/>
          <w:tab/>
          <w:t>Historisches Präsens</w:t>
        </w:r>
      </w:hyperlink>
      <w:r>
        <w:rPr/>
        <w:t>.</w:t>
      </w:r>
    </w:p>
  </w:footnote>
  <w:footnote w:id="4640">
    <w:p>
      <w:pPr>
        <w:pStyle w:val="Funote"/>
        <w:rPr/>
      </w:pPr>
      <w:r>
        <w:rPr/>
        <w:footnoteRef/>
        <w:tab/>
        <w:t>Die rechte Seite war die glückverheißende Seite (Gnilka 1979, 341).</w:t>
      </w:r>
    </w:p>
  </w:footnote>
  <w:footnote w:id="4641">
    <w:p>
      <w:pPr>
        <w:pStyle w:val="Funote"/>
        <w:rPr/>
      </w:pPr>
      <w:r>
        <w:rPr/>
        <w:footnoteRef/>
        <w:tab/>
        <w:t>Die Stola, eine lange Stoffbahn, wurde nicht angezogen, sondern umgeworfen. Aber im dt. Sprachgebrauch werfen wir keine Kleidung um, sd. eine Jacke oder ein Tuch; das ist hier aber nicht gemeint: die Stola ist die normale Bekleidung</w:t>
      </w:r>
    </w:p>
  </w:footnote>
  <w:footnote w:id="4642">
    <w:p>
      <w:pPr>
        <w:pStyle w:val="Funote"/>
        <w:rPr/>
      </w:pPr>
      <w:r>
        <w:rPr/>
        <w:footnoteRef/>
        <w:tab/>
        <w:t>Die Botschaft des Engels wird präsentisch eingeführt, um darauf hinzuweisen, dass sie das Zentrum dieser Perikope ist(Gnilka 1979, 340).</w:t>
      </w:r>
    </w:p>
  </w:footnote>
  <w:footnote w:id="4643">
    <w:p>
      <w:pPr>
        <w:pStyle w:val="Funote"/>
        <w:rPr/>
      </w:pPr>
      <w:r>
        <w:rPr/>
        <w:footnoteRef/>
        <w:tab/>
        <w:t xml:space="preserve">Das Passiv von </w:t>
      </w:r>
      <w:r>
        <w:rPr>
          <w:lang w:val="el-GR"/>
        </w:rPr>
        <w:t>ἐγείρω</w:t>
      </w:r>
      <w:r>
        <w:rPr/>
        <w:t xml:space="preserve"> bedeutet auferstehen; man kann es aber auch passiv übersetzen: wurde auferweckt, um das Handeln Gottes zu betonen, so Gnilka 1979, 342.</w:t>
      </w:r>
    </w:p>
  </w:footnote>
  <w:footnote w:id="4644">
    <w:p>
      <w:pPr>
        <w:pStyle w:val="Funote"/>
        <w:rPr/>
      </w:pPr>
      <w:r>
        <w:rPr/>
        <w:footnoteRef/>
        <w:tab/>
        <w:t>Also Jesus.</w:t>
      </w:r>
    </w:p>
  </w:footnote>
  <w:footnote w:id="4645">
    <w:p>
      <w:pPr>
        <w:pStyle w:val="Funote"/>
        <w:rPr/>
      </w:pPr>
      <w:r>
        <w:rPr/>
        <w:footnoteRef/>
        <w:tab/>
        <w:t xml:space="preserve">Man kann das </w:t>
      </w:r>
      <w:r>
        <w:rPr>
          <w:lang w:val="el-GR"/>
        </w:rPr>
        <w:t>ὅτι</w:t>
      </w:r>
      <w:r>
        <w:rPr/>
        <w:t xml:space="preserve"> auch als </w:t>
      </w:r>
      <w:hyperlink r:id="rId469">
        <w:r>
          <w:rPr>
            <w:rStyle w:val="Internetverknpfung"/>
          </w:rPr>
          <w:t>Ὅτι recitativum"&gt;</w:t>
        </w:r>
        <w:r>
          <w:rPr>
            <w:rStyle w:val="Internetverknpfung"/>
            <w:lang w:val="el-GR"/>
          </w:rPr>
          <w:t>Ὅτι</w:t>
        </w:r>
        <w:r>
          <w:rPr>
            <w:rStyle w:val="Internetverknpfung"/>
          </w:rPr>
          <w:t xml:space="preserve"> recitativum</w:t>
        </w:r>
      </w:hyperlink>
      <w:r>
        <w:rPr/>
        <w:t xml:space="preserve"> auffassen, das eine wörtliche Rede einleitet und dann nicht übersetzt wird: Er geht euch voran nach Galiläa</w:t>
      </w:r>
    </w:p>
  </w:footnote>
  <w:footnote w:id="4646">
    <w:p>
      <w:pPr>
        <w:pStyle w:val="Funote"/>
        <w:rPr/>
      </w:pPr>
      <w:hyperlink r:id="rId470">
        <w:r>
          <w:rPr>
            <w:rStyle w:val="Internetverknpfung"/>
          </w:rPr>
          <w:footnoteRef/>
          <w:tab/>
          <w:t>Ptz. coni.</w:t>
        </w:r>
      </w:hyperlink>
      <w:r>
        <w:rPr/>
        <w:t>, beiordnend aufgelöst</w:t>
      </w:r>
    </w:p>
  </w:footnote>
  <w:footnote w:id="4647">
    <w:p>
      <w:pPr>
        <w:pStyle w:val="Funote"/>
        <w:rPr/>
      </w:pPr>
      <w:r>
        <w:rPr/>
        <w:footnoteRef/>
        <w:tab/>
        <w:t>Vgl. auch Markus 4,41; 5,15.33.42</w:t>
      </w:r>
    </w:p>
  </w:footnote>
  <w:footnote w:id="4648">
    <w:p>
      <w:pPr>
        <w:pStyle w:val="Funote"/>
        <w:rPr/>
      </w:pPr>
      <w:r>
        <w:rPr/>
        <w:footnoteRef/>
        <w:tab/>
        <w:t>oder: nämlich (dann am Schluss des Satzes: sie fürchteten sich nämlich)</w:t>
      </w:r>
    </w:p>
  </w:footnote>
  <w:footnote w:id="4649">
    <w:p>
      <w:pPr>
        <w:pStyle w:val="Funote"/>
        <w:rPr/>
      </w:pPr>
      <w:r>
        <w:rPr/>
        <w:footnoteRef/>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4650">
    <w:p>
      <w:pPr>
        <w:pStyle w:val="Funote"/>
        <w:rPr/>
      </w:pPr>
      <w:r>
        <w:rPr/>
        <w:footnoteRef/>
        <w:tab/>
        <w:t>Partizip aufgelöst</w:t>
      </w:r>
    </w:p>
  </w:footnote>
  <w:footnote w:id="4651">
    <w:p>
      <w:pPr>
        <w:pStyle w:val="Funote"/>
        <w:rPr/>
      </w:pPr>
      <w:r>
        <w:rPr/>
        <w:footnoteRef/>
        <w:tab/>
        <w:t>Nach griechischer Tischsitte war es üblich, beim Essen zu liegen.</w:t>
      </w:r>
    </w:p>
  </w:footnote>
  <w:footnote w:id="4652">
    <w:p>
      <w:pPr>
        <w:pStyle w:val="Funote"/>
        <w:rPr/>
      </w:pPr>
      <w:hyperlink r:id="rId471">
        <w:r>
          <w:rPr>
            <w:rStyle w:val="Internetverknpfung"/>
          </w:rPr>
          <w:footnoteRef/>
          <w:tab/>
          <w:t>Generisches Maskulinum</w:t>
        </w:r>
      </w:hyperlink>
    </w:p>
  </w:footnote>
  <w:footnote w:id="4653">
    <w:p>
      <w:pPr>
        <w:pStyle w:val="Funote"/>
        <w:rPr/>
      </w:pPr>
      <w:r>
        <w:rPr/>
        <w:footnoteRef/>
        <w:tab/>
        <w:t>Viele Handschriften haben zusätzlich die Worte „Und mit ihren Händen …“.</w:t>
      </w:r>
    </w:p>
  </w:footnote>
  <w:footnote w:id="4654">
    <w:p>
      <w:pPr>
        <w:pStyle w:val="Funote"/>
        <w:rPr/>
      </w:pPr>
      <w:r>
        <w:rPr/>
        <w:footnoteRef/>
        <w:tab/>
        <w:t>Absoluter Genitiv</w:t>
      </w:r>
    </w:p>
  </w:footnote>
  <w:footnote w:id="4655">
    <w:p>
      <w:pPr>
        <w:pStyle w:val="Funote"/>
        <w:rPr/>
      </w:pPr>
      <w:r>
        <w:rPr/>
        <w:footnoteRef/>
        <w:tab/>
        <w:t>[Status: Ungeprüft]</w:t>
      </w:r>
    </w:p>
  </w:footnote>
  <w:footnote w:id="4656">
    <w:p>
      <w:pPr>
        <w:pStyle w:val="Funote"/>
        <w:rPr/>
      </w:pPr>
      <w:r>
        <w:rPr/>
        <w:footnoteRef/>
        <w:tab/>
        <w:t>[Status: Ungeprüft]</w:t>
      </w:r>
    </w:p>
  </w:footnote>
  <w:footnote w:id="4657">
    <w:p>
      <w:pPr>
        <w:pStyle w:val="Funote"/>
        <w:rPr/>
      </w:pPr>
      <w:r>
        <w:rPr/>
        <w:footnoteRef/>
        <w:tab/>
        <w:t>[Status: Zuverlässig]</w:t>
      </w:r>
    </w:p>
  </w:footnote>
  <w:footnote w:id="4658">
    <w:p>
      <w:pPr>
        <w:pStyle w:val="Funote"/>
        <w:rPr/>
      </w:pPr>
      <w:r>
        <w:rPr/>
        <w:footnoteRef/>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4659">
    <w:p>
      <w:pPr>
        <w:pStyle w:val="Funote"/>
        <w:rPr/>
      </w:pPr>
      <w:r>
        <w:rPr/>
        <w:footnoteRef/>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4660">
    <w:p>
      <w:pPr>
        <w:pStyle w:val="Funote"/>
        <w:rPr/>
      </w:pPr>
      <w:r>
        <w:rPr/>
        <w:footnoteRef/>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4661">
    <w:p>
      <w:pPr>
        <w:pStyle w:val="Funote"/>
        <w:rPr/>
      </w:pPr>
      <w:r>
        <w:rPr/>
        <w:footnoteRef/>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4662">
    <w:p>
      <w:pPr>
        <w:pStyle w:val="Funote"/>
        <w:rPr/>
      </w:pPr>
      <w:r>
        <w:rPr>
          <w:lang w:val="el-GR"/>
        </w:rPr>
        <w:footnoteRef/>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4663">
    <w:p>
      <w:pPr>
        <w:pStyle w:val="Funote"/>
        <w:rPr/>
      </w:pPr>
      <w:r>
        <w:rPr/>
        <w:footnoteRef/>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4664">
    <w:p>
      <w:pPr>
        <w:pStyle w:val="Funote"/>
        <w:rPr/>
      </w:pPr>
      <w:r>
        <w:rPr/>
        <w:footnoteRef/>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4665">
    <w:p>
      <w:pPr>
        <w:pStyle w:val="Funote"/>
        <w:rPr/>
      </w:pPr>
      <w:r>
        <w:rPr/>
        <w:footnoteRef/>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4666">
    <w:p>
      <w:pPr>
        <w:pStyle w:val="Funote"/>
        <w:rPr/>
      </w:pPr>
      <w:r>
        <w:rPr>
          <w:lang w:val="el-GR"/>
        </w:rPr>
        <w:footnoteRef/>
        <w:tab/>
        <w:t>ἰδοὺ</w:t>
      </w:r>
      <w:r>
        <w:rPr/>
        <w:t xml:space="preserve"> i.d.R. (wie auch hier) nicht mehr als bloße Fokuspartikel.</w:t>
      </w:r>
    </w:p>
  </w:footnote>
  <w:footnote w:id="4667">
    <w:p>
      <w:pPr>
        <w:pStyle w:val="Funote"/>
        <w:rPr/>
      </w:pPr>
      <w:r>
        <w:rPr/>
        <w:footnoteRef/>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4668">
    <w:p>
      <w:pPr>
        <w:pStyle w:val="Funote"/>
        <w:rPr/>
      </w:pPr>
      <w:r>
        <w:rPr/>
        <w:footnoteRef/>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Denn Der Mächtige hat Großes an mir getan!...«.</w:t>
      </w:r>
    </w:p>
  </w:footnote>
  <w:footnote w:id="4669">
    <w:p>
      <w:pPr>
        <w:pStyle w:val="Funote"/>
        <w:rPr/>
      </w:pPr>
      <w:r>
        <w:rPr/>
        <w:footnoteRef/>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4670">
    <w:p>
      <w:pPr>
        <w:pStyle w:val="Funote"/>
        <w:rPr/>
      </w:pPr>
      <w:r>
        <w:rPr/>
        <w:footnoteRef/>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4671">
    <w:p>
      <w:pPr>
        <w:pStyle w:val="Funote"/>
        <w:rPr/>
      </w:pPr>
      <w:r>
        <w:rPr/>
        <w:footnoteRef/>
        <w:tab/>
        <w:t xml:space="preserve">S. zu </w:t>
      </w:r>
      <w:r>
        <w:rPr>
          <w:i/>
        </w:rPr>
        <w:t>{und}</w:t>
      </w:r>
      <w:r>
        <w:rPr/>
        <w:t xml:space="preserve"> in V. 49.</w:t>
      </w:r>
    </w:p>
  </w:footnote>
  <w:footnote w:id="4672">
    <w:p>
      <w:pPr>
        <w:pStyle w:val="Funote"/>
        <w:rPr/>
      </w:pPr>
      <w:r>
        <w:rPr/>
        <w:footnoteRef/>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4673">
    <w:p>
      <w:pPr>
        <w:pStyle w:val="Funote"/>
        <w:rPr/>
      </w:pPr>
      <w:r>
        <w:rPr/>
        <w:footnoteRef/>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4674">
    <w:p>
      <w:pPr>
        <w:pStyle w:val="Funote"/>
        <w:rPr/>
      </w:pPr>
      <w:r>
        <w:rPr/>
        <w:footnoteRef/>
        <w:tab/>
        <w:t>W.: »den ihn Fürchtenden«; Ptz. mit der Funktion des dativus commodi (daher: »für«) (vgl. Culy et al. 2010, S. 44; NSS).</w:t>
      </w:r>
    </w:p>
  </w:footnote>
  <w:footnote w:id="4675">
    <w:p>
      <w:pPr>
        <w:pStyle w:val="Funote"/>
        <w:rPr/>
      </w:pPr>
      <w:r>
        <w:rPr/>
        <w:footnoteRef/>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4676">
    <w:p>
      <w:pPr>
        <w:pStyle w:val="Funote"/>
        <w:rPr/>
      </w:pPr>
      <w:r>
        <w:rPr/>
        <w:footnoteRef/>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4677">
    <w:p>
      <w:pPr>
        <w:pStyle w:val="Funote"/>
        <w:rPr/>
      </w:pPr>
      <w:r>
        <w:rPr/>
        <w:footnoteRef/>
        <w:tab/>
        <w:t>Doppelpunkt sehr gut mit EÜ, Schneider 1977, S. 54 und dem unrevidierten NTL (leider nicht mehr im revidierten): Was folgt, sind einzelne Ausfaltungen des Sammelbegriffs „Machttaten“ in V. 51a.</w:t>
      </w:r>
    </w:p>
  </w:footnote>
  <w:footnote w:id="4678">
    <w:p>
      <w:pPr>
        <w:pStyle w:val="Funote"/>
        <w:rPr/>
      </w:pPr>
      <w:r>
        <w:rPr/>
        <w:footnoteRef/>
        <w:tab/>
        <w:t>„</w:t>
      </w:r>
      <w:r>
        <w:rPr/>
        <w:t>zerstreuen“ ist im AT ein Ausdruck, der vor Allem verwendet wird, wenn davon die Rede ist, dass eine Armee vernichtend geschlagen wird (vgl. die Parallelstellen).</w:t>
      </w:r>
    </w:p>
  </w:footnote>
  <w:footnote w:id="4679">
    <w:p>
      <w:pPr>
        <w:pStyle w:val="Funote"/>
        <w:rPr/>
      </w:pPr>
      <w:r>
        <w:rPr/>
        <w:footnoteRef/>
        <w:tab/>
        <w:t xml:space="preserve">zur „Hochmut“ im alten Judentum vgl. das in </w:t>
      </w:r>
      <w:r>
        <w:fldChar w:fldCharType="begin"/>
      </w:r>
      <w:r>
        <w:instrText> HYPERLINK "http://archive.org/stream/KommentarZumNeuenTestamentAusTalmudUndMidraschVol.2/Kommentar.Strack.Billerbeck.v.2" \l "page/n115/mode/1up"</w:instrText>
      </w:r>
      <w:r>
        <w:fldChar w:fldCharType="separate"/>
      </w:r>
      <w:r>
        <w:rPr>
          <w:rStyle w:val="Internetverknpfung"/>
        </w:rPr>
        <w:t>B/S 1924, S. 101ff.</w:t>
      </w:r>
      <w:r>
        <w:fldChar w:fldCharType="end"/>
      </w:r>
      <w:r>
        <w:rPr/>
        <w:t xml:space="preserve"> zusammengetragene Material</w:t>
      </w:r>
    </w:p>
  </w:footnote>
  <w:footnote w:id="4680">
    <w:p>
      <w:pPr>
        <w:pStyle w:val="Funote"/>
        <w:rPr/>
      </w:pPr>
      <w:r>
        <w:rPr/>
        <w:footnoteRef/>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4681">
    <w:p>
      <w:pPr>
        <w:pStyle w:val="Funote"/>
        <w:rPr/>
      </w:pPr>
      <w:r>
        <w:rPr/>
        <w:footnoteRef/>
        <w:tab/>
        <w:t xml:space="preserve">Da Gott die </w:t>
      </w:r>
      <w:r>
        <w:rPr>
          <w:lang w:val="el-GR"/>
        </w:rPr>
        <w:t>δυνάστας</w:t>
      </w:r>
      <w:r>
        <w:rPr/>
        <w:t xml:space="preserve"> von ihren </w:t>
      </w:r>
      <w:r>
        <w:rPr>
          <w:i/>
        </w:rPr>
        <w:t>Thronen</w:t>
      </w:r>
      <w:r>
        <w:rPr/>
        <w:t xml:space="preserve"> stürzt, ist „Machthaber“ hier die kontextuell wesentlich passendere Übertragung.</w:t>
      </w:r>
    </w:p>
  </w:footnote>
  <w:footnote w:id="4682">
    <w:p>
      <w:pPr>
        <w:pStyle w:val="Funote"/>
        <w:rPr/>
      </w:pPr>
      <w:r>
        <w:rPr/>
        <w:footnoteRef/>
        <w:tab/>
        <w:t>V. 52b kontrastiert eine Aufwärtsbewegung mit der hieriegen Abwärtsbewegung des „Stürzens“; im Deutschen besser ausdrücklich zu machen, etwa als „herabstürzen“.</w:t>
      </w:r>
    </w:p>
  </w:footnote>
  <w:footnote w:id="4683">
    <w:p>
      <w:pPr>
        <w:pStyle w:val="Funote"/>
        <w:rPr/>
      </w:pPr>
      <w:r>
        <w:rPr/>
        <w:footnoteRef/>
        <w:tab/>
        <w:t>die Wortstellung VV 52-53 sollte beibehalten werden, da sie eine chiastische Doppelstruktur hat: V 52: V - S / V - S; V 53: S - V / S - V</w:t>
      </w:r>
    </w:p>
  </w:footnote>
  <w:footnote w:id="4684">
    <w:p>
      <w:pPr>
        <w:pStyle w:val="Funote"/>
        <w:rPr/>
      </w:pPr>
      <w:r>
        <w:rPr/>
        <w:footnoteRef/>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4685">
    <w:p>
      <w:pPr>
        <w:pStyle w:val="Funote"/>
        <w:rPr/>
      </w:pPr>
      <w:r>
        <w:rPr/>
        <w:footnoteRef/>
        <w:tab/>
        <w:t>»Mit leeren Händen« nach BA 870</w:t>
      </w:r>
    </w:p>
  </w:footnote>
  <w:footnote w:id="4686">
    <w:p>
      <w:pPr>
        <w:pStyle w:val="Funote"/>
        <w:rPr/>
      </w:pPr>
      <w:r>
        <w:rPr/>
        <w:footnoteRef/>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4687">
    <w:p>
      <w:pPr>
        <w:pStyle w:val="Funote"/>
        <w:spacing w:before="0" w:after="283"/>
        <w:rPr/>
      </w:pPr>
      <w:r>
        <w:rPr/>
        <w:footnoteRef/>
        <w:tab/>
        <w:t xml:space="preserve">Ein weiterer grammatischer Zweifelsfall: Es ist fraglich, wie V 54b, 55a und 55b sich zueinander verhalten. Vorgeschlagen wurde, </w:t>
      </w:r>
    </w:p>
    <w:p>
      <w:pPr>
        <w:pStyle w:val="Textkrper"/>
        <w:numPr>
          <w:ilvl w:val="0"/>
          <w:numId w:val="4"/>
        </w:numPr>
        <w:tabs>
          <w:tab w:val="left" w:pos="0" w:leader="none"/>
        </w:tabs>
        <w:spacing w:before="0" w:after="0"/>
        <w:ind w:left="707" w:hanging="283"/>
        <w:rPr/>
      </w:pPr>
      <w:r>
        <w:rPr/>
        <w:tab/>
        <w:t xml:space="preserve">dass V 55a Parenthese ist und V 55b nicht mehr, sondern dativus commodi zu 54b („Gott hat sich erbarmt - wie er ja auch schon unseren Vätern verheißen hat - zugunsten von Abraham und seinen Nachkommen.“) - dies ist heute die Mehrheitsmeinung, </w:t>
      </w:r>
    </w:p>
    <w:p>
      <w:pPr>
        <w:pStyle w:val="Textkrper"/>
        <w:numPr>
          <w:ilvl w:val="0"/>
          <w:numId w:val="4"/>
        </w:numPr>
        <w:tabs>
          <w:tab w:val="left" w:pos="0" w:leader="none"/>
        </w:tabs>
        <w:spacing w:before="0" w:after="0"/>
        <w:ind w:left="707" w:hanging="283"/>
        <w:rPr/>
      </w:pPr>
      <w:r>
        <w:rPr/>
        <w:tab/>
        <w:t xml:space="preserve">dass V 55a eine Art „Nachsatz“ ist, V 55b zu diesem Nachsatz gehört und „verheißen hat“ näher bestimmt („Gott hat sich erbarmt - wie er ja auch schon unseren Väter zugunsten von Abraham und seinen Nachfahren auf ewig verheißen hat“), oder </w:t>
      </w:r>
    </w:p>
    <w:p>
      <w:pPr>
        <w:pStyle w:val="Textkrper"/>
        <w:numPr>
          <w:ilvl w:val="0"/>
          <w:numId w:val="4"/>
        </w:numPr>
        <w:tabs>
          <w:tab w:val="left" w:pos="0" w:leader="none"/>
        </w:tabs>
        <w:ind w:left="707" w:hanging="283"/>
        <w:rPr/>
      </w:pPr>
      <w:r>
        <w:rPr/>
        <w:tab/>
        <w:t>dass V 55b inkongruente Apposition zu V 55a ist („Gott hat sich erbarmt - wie er unseren Vätern (d.h. Abraham und seinen Nachkommen auf ewig) verheißen hat“).</w:t>
      </w:r>
    </w:p>
    <w:p>
      <w:pPr>
        <w:pStyle w:val="Textkrper"/>
        <w:rPr/>
      </w:pPr>
      <w:r>
        <w:rPr/>
        <w:tab/>
        <w:t>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w:t>
      </w:r>
    </w:p>
    <w:p>
      <w:pPr>
        <w:pStyle w:val="Textkrper"/>
        <w:spacing w:before="0" w:after="283"/>
        <w:rPr/>
      </w:pPr>
      <w:r>
        <w:rPr/>
        <w:tab/>
        <w:t>Der Sinn ist dann, dass mit Mariens Empfängnis des Messias die Verheißung Gottes an Abraham in Erfüllung geht, dass er sich ihm und seinen Nachfahren gegenüber gemäß seiner Bundestreue verhalten würde.</w:t>
      </w:r>
    </w:p>
  </w:footnote>
  <w:footnote w:id="4688">
    <w:p>
      <w:pPr>
        <w:pStyle w:val="Funote"/>
        <w:rPr/>
      </w:pPr>
      <w:r>
        <w:rPr/>
        <w:footnoteRef/>
        <w:tab/>
        <w:t>wörtl.: „gesagt hat“. Semitismus; im Hebräischen steht auch für „verheißen“ das gewöhnliche „sagen“ (vgl. Grosvenor/Zerwick 1993, S. 174).</w:t>
      </w:r>
    </w:p>
  </w:footnote>
  <w:footnote w:id="4689">
    <w:p>
      <w:pPr>
        <w:pStyle w:val="Funote"/>
        <w:rPr/>
      </w:pPr>
      <w:r>
        <w:rPr/>
        <w:footnoteRef/>
        <w:tab/>
        <w:t>[Status: Ungeprüft]</w:t>
      </w:r>
    </w:p>
  </w:footnote>
  <w:footnote w:id="4690">
    <w:p>
      <w:pPr>
        <w:pStyle w:val="Funote"/>
        <w:rPr/>
      </w:pPr>
      <w:r>
        <w:rPr/>
        <w:footnoteRef/>
        <w:tab/>
        <w:t>Im Griechischen steht „Ökumene“, d.h. „die ganze belebte Welt“ oder „alle Bewohner des Römischen Reichs“.</w:t>
      </w:r>
    </w:p>
  </w:footnote>
  <w:footnote w:id="4691">
    <w:p>
      <w:pPr>
        <w:pStyle w:val="Funote"/>
        <w:rPr/>
      </w:pPr>
      <w:r>
        <w:rPr/>
        <w:footnoteRef/>
        <w:tab/>
        <w:t>Das Verb kann entweder medial oder passiv (so in der Klammer) übersetzt werden.</w:t>
      </w:r>
    </w:p>
  </w:footnote>
  <w:footnote w:id="4692">
    <w:p>
      <w:pPr>
        <w:pStyle w:val="Funote"/>
        <w:rPr/>
      </w:pPr>
      <w:r>
        <w:rPr/>
        <w:footnoteRef/>
        <w:tab/>
        <w:t>AcI mit „dass“ aufgelöst.</w:t>
      </w:r>
    </w:p>
  </w:footnote>
  <w:footnote w:id="4693">
    <w:p>
      <w:pPr>
        <w:pStyle w:val="Funote"/>
        <w:rPr/>
      </w:pPr>
      <w:r>
        <w:rPr/>
        <w:footnoteRef/>
        <w:tab/>
        <w:t xml:space="preserve">Dass die ersten drei Wörter im Vers nicht als „Dieser erste Zensus“ zu verstehen und die Einfügungen für ein korrektes Verständnis darum notwendig sind, vgl. </w:t>
      </w:r>
      <w:r>
        <w:fldChar w:fldCharType="begin"/>
      </w:r>
      <w:r>
        <w:instrText> HYPERLINK "http://bible.org/article/problem-luke-22-ithis-was-first-census-taken-when-quirinius-was-governor-syriai" \l "P17_3611"</w:instrText>
      </w:r>
      <w:r>
        <w:fldChar w:fldCharType="separate"/>
      </w:r>
      <w:r>
        <w:rPr>
          <w:rStyle w:val="Internetverknpfung"/>
        </w:rPr>
        <w:t>Wallace, The Problem of Luke 2:2</w:t>
      </w:r>
      <w:r>
        <w:fldChar w:fldCharType="end"/>
      </w:r>
      <w:r>
        <w:rPr/>
        <w:t>.</w:t>
      </w:r>
    </w:p>
  </w:footnote>
  <w:footnote w:id="4694">
    <w:p>
      <w:pPr>
        <w:pStyle w:val="Funote"/>
        <w:rPr/>
      </w:pPr>
      <w:r>
        <w:rPr/>
        <w:footnoteRef/>
        <w:tab/>
        <w:t>Gen. abs. Hier temporal aufgelöst.</w:t>
      </w:r>
    </w:p>
  </w:footnote>
  <w:footnote w:id="4695">
    <w:p>
      <w:pPr>
        <w:pStyle w:val="Funote"/>
        <w:rPr/>
      </w:pPr>
      <w:r>
        <w:rPr/>
        <w:footnoteRef/>
        <w:tab/>
        <w:t>Gr.: kausaler AcI. M.E. spricht nichts gegen eine gleichzeitige Übersetzung.</w:t>
      </w:r>
    </w:p>
  </w:footnote>
  <w:footnote w:id="4696">
    <w:p>
      <w:pPr>
        <w:pStyle w:val="Funote"/>
        <w:rPr/>
      </w:pPr>
      <w:r>
        <w:rPr/>
        <w:footnoteRef/>
        <w:tab/>
        <w:t>Kann auch parataktisch übersetzt werden: „die mit ihm verlobt war“ (Pt. pass. Pf.).</w:t>
      </w:r>
    </w:p>
  </w:footnote>
  <w:footnote w:id="4697">
    <w:p>
      <w:pPr>
        <w:pStyle w:val="Funote"/>
        <w:rPr/>
      </w:pPr>
      <w:r>
        <w:rPr/>
        <w:footnoteRef/>
        <w:tab/>
        <w:t>Quelle: NSS</w:t>
      </w:r>
    </w:p>
  </w:footnote>
  <w:footnote w:id="4698">
    <w:p>
      <w:pPr>
        <w:pStyle w:val="Funote"/>
        <w:rPr/>
      </w:pPr>
      <w:r>
        <w:rPr/>
        <w:footnoteRef/>
        <w:tab/>
        <w:t>Temp. aufgelöster AcI.</w:t>
      </w:r>
    </w:p>
  </w:footnote>
  <w:footnote w:id="4699">
    <w:p>
      <w:pPr>
        <w:pStyle w:val="Funote"/>
        <w:rPr/>
      </w:pPr>
      <w:r>
        <w:rPr/>
        <w:footnoteRef/>
        <w:tab/>
        <w:t>Gr.: AcI; fin. od. kons.</w:t>
      </w:r>
    </w:p>
  </w:footnote>
  <w:footnote w:id="4700">
    <w:p>
      <w:pPr>
        <w:pStyle w:val="Funote"/>
        <w:rPr/>
      </w:pPr>
      <w:r>
        <w:rPr/>
        <w:footnoteRef/>
        <w:tab/>
        <w:t>i.e. „kam die Zeit der Entbindung“</w:t>
      </w:r>
    </w:p>
  </w:footnote>
  <w:footnote w:id="4701">
    <w:p>
      <w:pPr>
        <w:pStyle w:val="Funote"/>
        <w:rPr/>
      </w:pPr>
      <w:r>
        <w:rPr/>
        <w:footnoteRef/>
        <w:tab/>
        <w:t>So B/A, NSS.</w:t>
      </w:r>
    </w:p>
  </w:footnote>
  <w:footnote w:id="4702">
    <w:p>
      <w:pPr>
        <w:pStyle w:val="Funote"/>
        <w:rPr/>
      </w:pPr>
      <w:r>
        <w:rPr/>
        <w:footnoteRef/>
        <w:tab/>
        <w:t>Die letzten beiden Verben sind aufgelöste Partizipien.</w:t>
      </w:r>
    </w:p>
  </w:footnote>
  <w:footnote w:id="4703">
    <w:p>
      <w:pPr>
        <w:pStyle w:val="Funote"/>
        <w:rPr/>
      </w:pPr>
      <w:r>
        <w:rPr/>
        <w:footnoteRef/>
        <w:tab/>
        <w:t>Dieses Verb steht im Urtext im Aorist Passiv. Der Passiv hat in diesem Fall allerdings keine Passiv-Bedeutung.</w:t>
      </w:r>
    </w:p>
  </w:footnote>
  <w:footnote w:id="4704">
    <w:p>
      <w:pPr>
        <w:pStyle w:val="Funote"/>
        <w:rPr/>
      </w:pPr>
      <w:r>
        <w:rPr>
          <w:i/>
        </w:rPr>
        <w:footnoteRef/>
        <w:tab/>
        <w:t>fürchteten große Furcht</w:t>
      </w:r>
      <w:r>
        <w:rPr/>
        <w:t xml:space="preserve"> ist eine aus dem Hebräischen entlehnte figura etymologica, ein Wortspiel mit Wörtern derselben Wurzel, das die Formulierung intensiviert. Deutsch am ehesten „und sie fürchteten sich sehr“</w:t>
      </w:r>
    </w:p>
  </w:footnote>
  <w:footnote w:id="4705">
    <w:p>
      <w:pPr>
        <w:pStyle w:val="Funote"/>
        <w:rPr/>
      </w:pPr>
      <w:r>
        <w:rPr/>
        <w:footnoteRef/>
        <w:tab/>
        <w:t>Wörtlich: eine gute Nachricht bringen. Diese Bedeutung ist allerdings in der dt. Übersetzung implizit.</w:t>
      </w:r>
    </w:p>
  </w:footnote>
  <w:footnote w:id="4706">
    <w:p>
      <w:pPr>
        <w:pStyle w:val="Funote"/>
        <w:rPr/>
      </w:pPr>
      <w:r>
        <w:rPr/>
        <w:footnoteRef/>
        <w:tab/>
        <w:t>Im Griechischen steht hier ein verallgemeinerndes Relativpronomen („jede, die“).</w:t>
      </w:r>
    </w:p>
  </w:footnote>
  <w:footnote w:id="4707">
    <w:p>
      <w:pPr>
        <w:pStyle w:val="Funote"/>
        <w:rPr/>
      </w:pPr>
      <w:r>
        <w:rPr/>
        <w:footnoteRef/>
        <w:tab/>
        <w:t>Lokalangabe zu „geboren“.</w:t>
      </w:r>
    </w:p>
  </w:footnote>
  <w:footnote w:id="4708">
    <w:p>
      <w:pPr>
        <w:pStyle w:val="Funote"/>
        <w:rPr/>
      </w:pPr>
      <w:r>
        <w:rPr>
          <w:i/>
        </w:rPr>
        <w:footnoteRef/>
        <w:tab/>
        <w:t>der ... gewickelt ist und ... liegt</w:t>
      </w:r>
      <w:r>
        <w:rPr/>
        <w:t xml:space="preserve"> Zwei attributive </w:t>
      </w:r>
      <w:hyperlink r:id="rId472">
        <w:r>
          <w:rPr>
            <w:rStyle w:val="Internetverknpfung"/>
          </w:rPr>
          <w:t>Partizipien</w:t>
        </w:r>
      </w:hyperlink>
      <w:r>
        <w:rPr/>
        <w:t xml:space="preserve">, hier als Relativsatz aufgelöst. </w:t>
      </w:r>
    </w:p>
  </w:footnote>
  <w:footnote w:id="4709">
    <w:p>
      <w:pPr>
        <w:pStyle w:val="Funote"/>
        <w:rPr/>
      </w:pPr>
      <w:r>
        <w:rPr/>
        <w:footnoteRef/>
        <w:tab/>
        <w:t xml:space="preserve">Beide lt. NSS für </w:t>
      </w:r>
      <w:r>
        <w:rPr>
          <w:lang w:val="el-GR"/>
        </w:rPr>
        <w:t>γίνομαι σύν τινι</w:t>
      </w:r>
      <w:r>
        <w:rPr/>
        <w:t>.</w:t>
      </w:r>
    </w:p>
  </w:footnote>
  <w:footnote w:id="4710">
    <w:p>
      <w:pPr>
        <w:pStyle w:val="Funote"/>
        <w:rPr/>
      </w:pPr>
      <w:r>
        <w:rPr/>
        <w:footnoteRef/>
        <w:tab/>
        <w:t>Gott steht im Dativ.</w:t>
      </w:r>
    </w:p>
  </w:footnote>
  <w:footnote w:id="4711">
    <w:p>
      <w:pPr>
        <w:pStyle w:val="Funote"/>
        <w:rPr/>
      </w:pPr>
      <w:r>
        <w:rPr/>
        <w:footnoteRef/>
        <w:tab/>
        <w:t>Wörtl.: „die geschehene Sache/Aussage“. Das verwendete Nomen bezeichnet hier den Redeinhalt der Vorhersage des Engels und lässt sich nicht direkt übersetzen. Das Ptz. Pf. wurde hier aufgelöst.</w:t>
      </w:r>
    </w:p>
  </w:footnote>
  <w:footnote w:id="4712">
    <w:p>
      <w:pPr>
        <w:pStyle w:val="Funote"/>
        <w:rPr/>
      </w:pPr>
      <w:r>
        <w:rPr/>
        <w:footnoteRef/>
        <w:tab/>
        <w:t xml:space="preserve">Als Relativsatz aufgelöstes, attributives </w:t>
      </w:r>
      <w:hyperlink r:id="rId473">
        <w:r>
          <w:rPr>
            <w:rStyle w:val="Internetverknpfung"/>
          </w:rPr>
          <w:t>Ptz</w:t>
        </w:r>
      </w:hyperlink>
      <w:r>
        <w:rPr/>
        <w:t>.</w:t>
      </w:r>
    </w:p>
  </w:footnote>
  <w:footnote w:id="4713">
    <w:p>
      <w:pPr>
        <w:pStyle w:val="Funote"/>
        <w:rPr/>
      </w:pPr>
      <w:r>
        <w:rPr/>
        <w:footnoteRef/>
        <w:tab/>
        <w:t>Temp. Auflösung des Ptz. Aor. Akt.</w:t>
      </w:r>
    </w:p>
  </w:footnote>
  <w:footnote w:id="4714">
    <w:p>
      <w:pPr>
        <w:pStyle w:val="Funote"/>
        <w:rPr/>
      </w:pPr>
      <w:r>
        <w:rPr/>
        <w:footnoteRef/>
        <w:tab/>
        <w:t>wörtlich: „über die Aussage/das Wort“</w:t>
      </w:r>
    </w:p>
  </w:footnote>
  <w:footnote w:id="4715">
    <w:p>
      <w:pPr>
        <w:pStyle w:val="Funote"/>
        <w:rPr/>
      </w:pPr>
      <w:r>
        <w:rPr/>
        <w:footnoteRef/>
        <w:tab/>
        <w:t>So B/A.</w:t>
      </w:r>
    </w:p>
  </w:footnote>
  <w:footnote w:id="4716">
    <w:p>
      <w:pPr>
        <w:pStyle w:val="Funote"/>
        <w:rPr/>
      </w:pPr>
      <w:r>
        <w:rPr/>
        <w:footnoteRef/>
        <w:tab/>
        <w:t>Auflösung des Ptz. Aor. Pass. Ntr.</w:t>
      </w:r>
    </w:p>
  </w:footnote>
  <w:footnote w:id="4717">
    <w:p>
      <w:pPr>
        <w:pStyle w:val="Funote"/>
        <w:rPr/>
      </w:pPr>
      <w:r>
        <w:rPr/>
        <w:footnoteRef/>
        <w:tab/>
        <w:t>Auflösung des Ptz. Aor. Pass. Gen. Pl. Ntr. Wörtl.: „die gesagten [Dinge]“ -&gt; „das Gesagte“</w:t>
      </w:r>
    </w:p>
  </w:footnote>
  <w:footnote w:id="4718">
    <w:p>
      <w:pPr>
        <w:pStyle w:val="Funote"/>
        <w:rPr/>
      </w:pPr>
      <w:r>
        <w:rPr/>
        <w:footnoteRef/>
        <w:tab/>
        <w:t>Aufgelöstes Ptz. Präs. Bedeutung nach B/A.</w:t>
      </w:r>
    </w:p>
  </w:footnote>
  <w:footnote w:id="4719">
    <w:p>
      <w:pPr>
        <w:pStyle w:val="Funote"/>
        <w:rPr/>
      </w:pPr>
      <w:r>
        <w:rPr/>
        <w:footnoteRef/>
        <w:tab/>
        <w:t>beide Verben temporal aufgelöste Ptz. Alternativ modal.</w:t>
      </w:r>
    </w:p>
  </w:footnote>
  <w:footnote w:id="4720">
    <w:p>
      <w:pPr>
        <w:pStyle w:val="Funote"/>
        <w:rPr/>
      </w:pPr>
      <w:r>
        <w:rPr/>
        <w:footnoteRef/>
        <w:tab/>
        <w:t>AcI, final aufgelöst.</w:t>
      </w:r>
    </w:p>
  </w:footnote>
  <w:footnote w:id="4721">
    <w:p>
      <w:pPr>
        <w:pStyle w:val="Funote"/>
        <w:rPr/>
      </w:pPr>
      <w:r>
        <w:rPr/>
        <w:footnoteRef/>
        <w:tab/>
        <w:t>Wörtl.: und</w:t>
      </w:r>
    </w:p>
  </w:footnote>
  <w:footnote w:id="4722">
    <w:p>
      <w:pPr>
        <w:pStyle w:val="Funote"/>
        <w:rPr/>
      </w:pPr>
      <w:r>
        <w:rPr/>
        <w:footnoteRef/>
        <w:tab/>
        <w:t>Wörtl.: genannt/gerufen</w:t>
      </w:r>
    </w:p>
  </w:footnote>
  <w:footnote w:id="4723">
    <w:p>
      <w:pPr>
        <w:pStyle w:val="Funote"/>
        <w:rPr/>
      </w:pPr>
      <w:r>
        <w:rPr/>
        <w:footnoteRef/>
        <w:tab/>
        <w:t>Aufgelöstes Ptz. Aor. Pass. Ntr.</w:t>
      </w:r>
    </w:p>
  </w:footnote>
  <w:footnote w:id="4724">
    <w:p>
      <w:pPr>
        <w:pStyle w:val="Funote"/>
        <w:rPr/>
      </w:pPr>
      <w:r>
        <w:rPr/>
        <w:footnoteRef/>
        <w:tab/>
        <w:t>oder: „ihre Tage der Reinigung“. „ihre“ steht im Gen. Pl., bezieht sich also auf mehrere Personen.</w:t>
      </w:r>
    </w:p>
  </w:footnote>
  <w:footnote w:id="4725">
    <w:p>
      <w:pPr>
        <w:pStyle w:val="Funote"/>
        <w:rPr/>
      </w:pPr>
      <w:r>
        <w:rPr/>
        <w:footnoteRef/>
        <w:tab/>
        <w:t>Lt. NSS hier womöglich ohne das Bedeutungselement „hinauf“. Der Begriff könnte sich auf eine übliche Wallfahrt beziehen.</w:t>
      </w:r>
    </w:p>
  </w:footnote>
  <w:footnote w:id="4726">
    <w:p>
      <w:pPr>
        <w:pStyle w:val="Funote"/>
        <w:rPr/>
      </w:pPr>
      <w:r>
        <w:rPr/>
        <w:footnoteRef/>
        <w:tab/>
        <w:t>wörtl.: darzustellen</w:t>
      </w:r>
    </w:p>
  </w:footnote>
  <w:footnote w:id="4727">
    <w:p>
      <w:pPr>
        <w:pStyle w:val="Funote"/>
        <w:rPr/>
      </w:pPr>
      <w:r>
        <w:rPr/>
        <w:footnoteRef/>
        <w:tab/>
        <w:t>AcI aufgelöst.</w:t>
      </w:r>
    </w:p>
  </w:footnote>
  <w:footnote w:id="4728">
    <w:p>
      <w:pPr>
        <w:pStyle w:val="Funote"/>
        <w:rPr/>
      </w:pPr>
      <w:r>
        <w:rPr/>
        <w:footnoteRef/>
        <w:tab/>
        <w:t>Wörtlich: „geschrieben ist“. Formel zur Einführung von Schriftzitaten (NSS).</w:t>
      </w:r>
    </w:p>
  </w:footnote>
  <w:footnote w:id="4729">
    <w:p>
      <w:pPr>
        <w:pStyle w:val="Funote"/>
        <w:rPr/>
      </w:pPr>
      <w:r>
        <w:rPr/>
        <w:footnoteRef/>
        <w:tab/>
        <w:t xml:space="preserve">Hier steht im Griechischen ein </w:t>
      </w:r>
      <w:hyperlink r:id="rId474">
        <w:r>
          <w:rPr>
            <w:rStyle w:val="Internetverknpfung"/>
          </w:rPr>
          <w:t>Ὅτι recitativum"&gt;</w:t>
        </w:r>
        <w:r>
          <w:rPr>
            <w:rStyle w:val="Internetverknpfung"/>
            <w:lang w:val="el-GR"/>
          </w:rPr>
          <w:t>Ὅτι</w:t>
        </w:r>
        <w:r>
          <w:rPr>
            <w:rStyle w:val="Internetverknpfung"/>
          </w:rPr>
          <w:t xml:space="preserve"> recitativum</w:t>
        </w:r>
      </w:hyperlink>
      <w:r>
        <w:rPr/>
        <w:t>, das man im Deutschen am einfachsten als Doppelpunkt wiedergibt.</w:t>
      </w:r>
    </w:p>
  </w:footnote>
  <w:footnote w:id="4730">
    <w:p>
      <w:pPr>
        <w:pStyle w:val="Funote"/>
        <w:rPr/>
      </w:pPr>
      <w:r>
        <w:rPr/>
        <w:footnoteRef/>
        <w:tab/>
        <w:t>Komplizierte Wendung. Die gewählte Übersetzung kommt dem Urtext am nächsten (s.a. NSS).</w:t>
      </w:r>
    </w:p>
  </w:footnote>
  <w:footnote w:id="4731">
    <w:p>
      <w:pPr>
        <w:pStyle w:val="Funote"/>
        <w:rPr/>
      </w:pPr>
      <w:r>
        <w:rPr/>
        <w:footnoteRef/>
        <w:tab/>
        <w:t xml:space="preserve">Futur als bindendes Gebot. </w:t>
      </w:r>
    </w:p>
  </w:footnote>
  <w:footnote w:id="4732">
    <w:p>
      <w:pPr>
        <w:pStyle w:val="Funote"/>
        <w:rPr/>
      </w:pPr>
      <w:r>
        <w:rPr/>
        <w:footnoteRef/>
        <w:tab/>
        <w:t xml:space="preserve">eigtl. Ptz. Perf. Pass. von </w:t>
      </w:r>
      <w:r>
        <w:rPr>
          <w:lang w:val="el-GR"/>
        </w:rPr>
        <w:t>λέγω</w:t>
      </w:r>
      <w:r>
        <w:rPr/>
        <w:t>. Dieser Vorschlag stammt von NSS.</w:t>
      </w:r>
    </w:p>
  </w:footnote>
  <w:footnote w:id="4733">
    <w:p>
      <w:pPr>
        <w:pStyle w:val="Funote"/>
        <w:rPr/>
      </w:pPr>
      <w:r>
        <w:rPr/>
        <w:footnoteRef/>
        <w:tab/>
        <w:t>wörtl. Joch. Anspielung auf die paarweise Anspannung von Tieren im Joch.</w:t>
      </w:r>
    </w:p>
  </w:footnote>
  <w:footnote w:id="4734">
    <w:p>
      <w:pPr>
        <w:pStyle w:val="Funote"/>
        <w:rPr/>
      </w:pPr>
      <w:r>
        <w:rPr/>
        <w:footnoteRef/>
        <w:tab/>
        <w:t>wörtl.: „(Tier-)Junge der Tauben“</w:t>
      </w:r>
    </w:p>
  </w:footnote>
  <w:footnote w:id="4735">
    <w:p>
      <w:pPr>
        <w:pStyle w:val="Funote"/>
        <w:rPr/>
      </w:pPr>
      <w:r>
        <w:rPr/>
        <w:footnoteRef/>
        <w:tab/>
        <w:t>[Status: Zuverlässig]</w:t>
      </w:r>
    </w:p>
  </w:footnote>
  <w:footnote w:id="4736">
    <w:p>
      <w:pPr>
        <w:pStyle w:val="Funote"/>
        <w:rPr/>
      </w:pPr>
      <w:r>
        <w:rPr/>
        <w:footnoteRef/>
        <w:tab/>
        <w:t>Partizip Präsens Aktiv zu Nebensatz aufgelöst</w:t>
      </w:r>
    </w:p>
  </w:footnote>
  <w:footnote w:id="4737">
    <w:p>
      <w:pPr>
        <w:pStyle w:val="Funote"/>
        <w:rPr/>
      </w:pPr>
      <w:r>
        <w:rPr/>
        <w:footnoteRef/>
        <w:tab/>
        <w:t>Nach dem Tod von Herodes dem Großen (4 v. Chr.) wurde sein Herrschaftgebiet in mehrere Fürstentümer aufgeteilt, deren Herrscher Tetrarchen (Vierfürsten) genannt wurden.</w:t>
      </w:r>
    </w:p>
  </w:footnote>
  <w:footnote w:id="4738">
    <w:p>
      <w:pPr>
        <w:pStyle w:val="Funote"/>
        <w:rPr/>
      </w:pPr>
      <w:r>
        <w:rPr/>
        <w:footnoteRef/>
        <w:tab/>
        <w:t>Partizip Präsens Aktiv gleichgeordnet aufgelöst</w:t>
      </w:r>
    </w:p>
  </w:footnote>
  <w:footnote w:id="4739">
    <w:p>
      <w:pPr>
        <w:pStyle w:val="Funote"/>
        <w:rPr/>
      </w:pPr>
      <w:r>
        <w:rPr/>
        <w:footnoteRef/>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4740">
    <w:p>
      <w:pPr>
        <w:pStyle w:val="Funote"/>
        <w:rPr/>
      </w:pPr>
      <w:r>
        <w:rPr/>
        <w:footnoteRef/>
        <w:tab/>
        <w:t>Partizip Präsens Medium/Passiv zu einem Nebensatz aufgelöst</w:t>
      </w:r>
    </w:p>
  </w:footnote>
  <w:footnote w:id="4741">
    <w:p>
      <w:pPr>
        <w:pStyle w:val="Funote"/>
        <w:rPr/>
      </w:pPr>
      <w:r>
        <w:rPr/>
        <w:footnoteRef/>
        <w:tab/>
        <w:t>Oder: Wer hat euch angewiesen, vor dem kommenden Zorn die Flucht zu ergreifen?</w:t>
      </w:r>
    </w:p>
  </w:footnote>
  <w:footnote w:id="4742">
    <w:p>
      <w:pPr>
        <w:pStyle w:val="Funote"/>
        <w:rPr/>
      </w:pPr>
      <w:r>
        <w:rPr/>
        <w:footnoteRef/>
        <w:tab/>
        <w:t>Oder: Tut also Werke, die der Reue angemessen sind / Bringt also Früchte, wie es der Umkehr entspricht</w:t>
      </w:r>
    </w:p>
  </w:footnote>
  <w:footnote w:id="4743">
    <w:p>
      <w:pPr>
        <w:pStyle w:val="Funote"/>
        <w:rPr/>
      </w:pPr>
      <w:r>
        <w:rPr/>
        <w:footnoteRef/>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4744">
    <w:p>
      <w:pPr>
        <w:pStyle w:val="Funote"/>
        <w:rPr/>
      </w:pPr>
      <w:r>
        <w:rPr/>
        <w:footnoteRef/>
        <w:tab/>
        <w:t>Substantiviertes Adjektiv als Satzsubjekt zu einem Nebensatz aufgelöst.</w:t>
      </w:r>
    </w:p>
  </w:footnote>
  <w:footnote w:id="4745">
    <w:p>
      <w:pPr>
        <w:pStyle w:val="Funote"/>
        <w:rPr/>
      </w:pPr>
      <w:r>
        <w:rPr/>
        <w:footnoteRef/>
        <w:tab/>
        <w:t>Relativischer Anschluss</w:t>
      </w:r>
    </w:p>
  </w:footnote>
  <w:footnote w:id="4746">
    <w:p>
      <w:pPr>
        <w:pStyle w:val="Funote"/>
        <w:rPr/>
      </w:pPr>
      <w:r>
        <w:rPr/>
        <w:footnoteRef/>
        <w:tab/>
        <w:t>Das Lösen von Schuhriemen galt als Sklavenarbeit</w:t>
      </w:r>
    </w:p>
  </w:footnote>
  <w:footnote w:id="4747">
    <w:p>
      <w:pPr>
        <w:pStyle w:val="Funote"/>
        <w:rPr/>
      </w:pPr>
      <w:r>
        <w:rPr/>
        <w:footnoteRef/>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4748">
    <w:p>
      <w:pPr>
        <w:pStyle w:val="Funote"/>
        <w:rPr/>
      </w:pPr>
      <w:r>
        <w:rPr/>
        <w:footnoteRef/>
        <w:tab/>
        <w:t>Genitivus absolutus mit Partizip Aorist Passiv und Partizip Präsens Medium/Passiv zu einem gemeinsamen Nebensatz aufgelöst</w:t>
      </w:r>
    </w:p>
  </w:footnote>
  <w:footnote w:id="4749">
    <w:p>
      <w:pPr>
        <w:pStyle w:val="Funote"/>
        <w:rPr/>
      </w:pPr>
      <w:r>
        <w:rPr/>
        <w:footnoteRef/>
        <w:tab/>
        <w:t>Partizip Präsens gleichgeordnet aufgelöst</w:t>
      </w:r>
    </w:p>
  </w:footnote>
  <w:footnote w:id="4750">
    <w:p>
      <w:pPr>
        <w:pStyle w:val="Funote"/>
        <w:rPr/>
      </w:pPr>
      <w:r>
        <w:rPr/>
        <w:footnoteRef/>
        <w:tab/>
        <w:t>Wörtlich aus Dtn 8,3 in der Fassung der Septuaginta.</w:t>
      </w:r>
    </w:p>
  </w:footnote>
  <w:footnote w:id="4751">
    <w:p>
      <w:pPr>
        <w:pStyle w:val="Funote"/>
        <w:rPr/>
      </w:pPr>
      <w:r>
        <w:rPr/>
        <w:footnoteRef/>
        <w:tab/>
        <w:t>Bezieht sich auf die in Vers 5 erwähnten Reiche.</w:t>
      </w:r>
    </w:p>
  </w:footnote>
  <w:footnote w:id="4752">
    <w:p>
      <w:pPr>
        <w:pStyle w:val="Funote"/>
        <w:rPr/>
      </w:pPr>
      <w:r>
        <w:rPr/>
        <w:footnoteRef/>
        <w:tab/>
        <w:t>Am nächsten kommen Septuaginta Dtn 6,13 und 10,20, wo es allerdings heißt: „Den Herrn, deinen Gott sollst (wirst) du fürchten und ihm sollst (wirst) du dienen.“ (D.h. „fürchten“ statt „dich niederwerfend verehren“ und ohne „allein“.) Nur der Septuagintatext des Codex Alexandrinus (5. Jahrhundert) hat den exakten Wortlaut.</w:t>
      </w:r>
    </w:p>
  </w:footnote>
  <w:footnote w:id="4753">
    <w:p>
      <w:pPr>
        <w:pStyle w:val="Funote"/>
        <w:rPr/>
      </w:pPr>
      <w:r>
        <w:rPr/>
        <w:footnoteRef/>
        <w:tab/>
        <w:t>Exakte Wiedergabe eines Teils von Septuagina Ps 90 (91), 11.</w:t>
      </w:r>
    </w:p>
  </w:footnote>
  <w:footnote w:id="4754">
    <w:p>
      <w:pPr>
        <w:pStyle w:val="Funote"/>
        <w:rPr/>
      </w:pPr>
      <w:r>
        <w:rPr/>
        <w:footnoteRef/>
        <w:tab/>
        <w:t>Exakte Wiedergabe Septuaginta Ps 90 (91),12.</w:t>
      </w:r>
    </w:p>
  </w:footnote>
  <w:footnote w:id="4755">
    <w:p>
      <w:pPr>
        <w:pStyle w:val="Funote"/>
        <w:rPr/>
      </w:pPr>
      <w:r>
        <w:rPr/>
        <w:footnoteRef/>
        <w:tab/>
        <w:t>Exakte Wiedergabe von Septuaginta Dtn 6,16a.</w:t>
      </w:r>
    </w:p>
  </w:footnote>
  <w:footnote w:id="4756">
    <w:p>
      <w:pPr>
        <w:pStyle w:val="Funote"/>
        <w:rPr/>
      </w:pPr>
      <w:r>
        <w:rPr/>
        <w:footnoteRef/>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4757">
    <w:p>
      <w:pPr>
        <w:pStyle w:val="Funote"/>
        <w:rPr/>
      </w:pPr>
      <w:r>
        <w:rPr/>
        <w:footnoteRef/>
        <w:tab/>
        <w:t>Partizip Aorist, temporal aufgelöst</w:t>
      </w:r>
    </w:p>
  </w:footnote>
  <w:footnote w:id="4758">
    <w:p>
      <w:pPr>
        <w:pStyle w:val="Funote"/>
        <w:rPr/>
      </w:pPr>
      <w:r>
        <w:rPr/>
        <w:footnoteRef/>
        <w:tab/>
        <w:t>Luther übersetzt "Gnadenjahr"</w:t>
      </w:r>
    </w:p>
  </w:footnote>
  <w:footnote w:id="4759">
    <w:p>
      <w:pPr>
        <w:pStyle w:val="Funote"/>
        <w:rPr/>
      </w:pPr>
      <w:r>
        <w:rPr/>
        <w:footnoteRef/>
        <w:tab/>
        <w:t>Partizip Aorist, temporal übersetzt</w:t>
      </w:r>
    </w:p>
  </w:footnote>
  <w:footnote w:id="4760">
    <w:p>
      <w:pPr>
        <w:pStyle w:val="Funote"/>
        <w:rPr/>
      </w:pPr>
      <w:r>
        <w:rPr/>
        <w:footnoteRef/>
        <w:tab/>
        <w:t>Partizip Präsens, beiordnend übersetzt</w:t>
      </w:r>
    </w:p>
  </w:footnote>
  <w:footnote w:id="4761">
    <w:p>
      <w:pPr>
        <w:pStyle w:val="Funote"/>
        <w:rPr/>
      </w:pPr>
      <w:r>
        <w:rPr>
          <w:lang w:val="el-GR"/>
        </w:rPr>
        <w:footnoteRef/>
        <w:tab/>
        <w:t>ὅτι</w:t>
      </w:r>
      <w:r>
        <w:rPr/>
        <w:t xml:space="preserve"> zitativum entfällt, im Dt. durch den Doppelpunkt wiedergegeben</w:t>
      </w:r>
    </w:p>
  </w:footnote>
  <w:footnote w:id="4762">
    <w:p>
      <w:pPr>
        <w:pStyle w:val="Funote"/>
        <w:rPr/>
      </w:pPr>
      <w:r>
        <w:rPr>
          <w:lang w:val="el-GR"/>
        </w:rPr>
        <w:footnoteRef/>
        <w:tab/>
        <w:t>γραφἠ</w:t>
      </w:r>
      <w:r>
        <w:rPr/>
        <w:t xml:space="preserve"> bezeichnet nicht nur die Bibel als (Heilige) Schrift, sondern auch die einzelne Schriftstelle (Periskope), s. Bauer WB s.v.</w:t>
      </w:r>
    </w:p>
  </w:footnote>
  <w:footnote w:id="4763">
    <w:p>
      <w:pPr>
        <w:pStyle w:val="Funote"/>
        <w:rPr/>
      </w:pPr>
      <w:r>
        <w:rPr>
          <w:lang w:val="el-GR"/>
        </w:rPr>
        <w:footnoteRef/>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4764">
    <w:p>
      <w:pPr>
        <w:pStyle w:val="Funote"/>
        <w:rPr/>
      </w:pPr>
      <w:r>
        <w:rPr/>
        <w:footnoteRef/>
        <w:tab/>
        <w:t xml:space="preserve">Einige bedeutende Handschriften lassen das </w:t>
      </w:r>
      <w:r>
        <w:rPr>
          <w:lang w:val="el-GR"/>
        </w:rPr>
        <w:t>καί</w:t>
      </w:r>
      <w:r>
        <w:rPr/>
        <w:t xml:space="preserve"> hier aus</w:t>
      </w:r>
    </w:p>
  </w:footnote>
  <w:footnote w:id="4765">
    <w:p>
      <w:pPr>
        <w:pStyle w:val="Funote"/>
        <w:rPr/>
      </w:pPr>
      <w:r>
        <w:rPr>
          <w:lang w:val="el-GR"/>
        </w:rPr>
        <w:footnoteRef/>
        <w:tab/>
        <w:t>οὐ μή</w:t>
      </w:r>
      <w:r>
        <w:rPr/>
        <w:t xml:space="preserve"> + Konj. Aor. (so hier, oder Ind. Fut.) ist die Form der verneinenden Aussage über Zukünftiges, BDR § 365</w:t>
      </w:r>
    </w:p>
  </w:footnote>
  <w:footnote w:id="4766">
    <w:p>
      <w:pPr>
        <w:pStyle w:val="Funote"/>
        <w:rPr/>
      </w:pPr>
      <w:r>
        <w:rPr/>
        <w:footnoteRef/>
        <w:tab/>
        <w:t>Ptz. pass.: wenn er ganz vollendet ist</w:t>
      </w:r>
    </w:p>
  </w:footnote>
  <w:footnote w:id="4767">
    <w:p>
      <w:pPr>
        <w:pStyle w:val="Funote"/>
        <w:rPr/>
      </w:pPr>
      <w:hyperlink r:id="rId475">
        <w:r>
          <w:rPr>
            <w:rStyle w:val="Internetverknpfung"/>
          </w:rPr>
          <w:footnoteRef/>
          <w:tab/>
          <w:t>Ptz. coni.</w:t>
        </w:r>
      </w:hyperlink>
      <w:r>
        <w:rPr/>
        <w:t>, konzessiv übersetzt</w:t>
      </w:r>
    </w:p>
  </w:footnote>
  <w:footnote w:id="4768">
    <w:p>
      <w:pPr>
        <w:pStyle w:val="Funote"/>
        <w:rPr/>
      </w:pPr>
      <w:r>
        <w:rPr/>
        <w:footnoteRef/>
        <w:tab/>
        <w:t>D.h. Moses und Elias.</w:t>
      </w:r>
    </w:p>
  </w:footnote>
  <w:footnote w:id="4769">
    <w:p>
      <w:pPr>
        <w:pStyle w:val="Funote"/>
        <w:rPr/>
      </w:pPr>
      <w:hyperlink r:id="rId476">
        <w:r>
          <w:rPr>
            <w:rStyle w:val="Internetverknpfung"/>
          </w:rPr>
          <w:footnoteRef/>
          <w:tab/>
          <w:t>Ptz. coni.</w:t>
        </w:r>
      </w:hyperlink>
      <w:r>
        <w:rPr/>
        <w:t>, beiordnend aufgelöst</w:t>
      </w:r>
    </w:p>
  </w:footnote>
  <w:footnote w:id="4770">
    <w:p>
      <w:pPr>
        <w:pStyle w:val="Funote"/>
        <w:rPr/>
      </w:pPr>
      <w:r>
        <w:rPr/>
        <w:footnoteRef/>
        <w:tab/>
        <w:t>Eine große Zahl von Handschriften hat das "zwei" hier nicht; die Bezeugung des Zahlwortes durch zwei Papyri und den Codex Vatikanus legt aber nahe, darin die ursprüngliche Lesart zu sehen.</w:t>
      </w:r>
    </w:p>
  </w:footnote>
  <w:footnote w:id="4771">
    <w:p>
      <w:pPr>
        <w:pStyle w:val="Funote"/>
        <w:rPr/>
      </w:pPr>
      <w:r>
        <w:rPr/>
        <w:footnoteRef/>
        <w:tab/>
        <w:t>Damit gemeint sind selbständige Zwischenwesen und Geister, die nach dem Volksglauben der Zeit Jesu in den Menschen eingehen und Krankheiten besonders des Seelenlebens verursachen. Vgl. BW z.St.</w:t>
      </w:r>
    </w:p>
  </w:footnote>
  <w:footnote w:id="4772">
    <w:p>
      <w:pPr>
        <w:pStyle w:val="Funote"/>
        <w:rPr/>
      </w:pPr>
      <w:r>
        <w:rPr/>
        <w:footnoteRef/>
        <w:tab/>
        <w:t>Das Verb steht im Griech. im Sg., weil das Nomen ein Neutr. Pl. ist.</w:t>
      </w:r>
    </w:p>
  </w:footnote>
  <w:footnote w:id="4773">
    <w:p>
      <w:pPr>
        <w:pStyle w:val="Funote"/>
        <w:rPr/>
      </w:pPr>
      <w:r>
        <w:rPr/>
        <w:footnoteRef/>
        <w:tab/>
        <w:t xml:space="preserve">Von hebr. </w:t>
      </w:r>
      <w:r>
        <w:rPr>
          <w:rtl w:val="true"/>
          <w:lang w:bidi="he-IL"/>
        </w:rPr>
        <w:t>שתן</w:t>
      </w:r>
      <w:r>
        <w:rPr/>
        <w:t xml:space="preserve"> </w:t>
      </w:r>
      <w:r>
        <w:rPr/>
        <w:t>eigentlich der Widersacher, hier nur der Widersacher als Gegner Gottes und aller, die zu Gott gehören, schlechthin, der Satan, vgl. BW z.St.</w:t>
      </w:r>
    </w:p>
  </w:footnote>
  <w:footnote w:id="4774">
    <w:p>
      <w:pPr>
        <w:pStyle w:val="Funote"/>
        <w:rPr/>
      </w:pPr>
      <w:r>
        <w:rPr/>
        <w:footnoteRef/>
        <w:tab/>
        <w:t>Hier als Bild höchster Schnelligkeit, vgl. BW z.St.</w:t>
      </w:r>
    </w:p>
  </w:footnote>
  <w:footnote w:id="4775">
    <w:p>
      <w:pPr>
        <w:pStyle w:val="Funote"/>
        <w:rPr/>
      </w:pPr>
      <w:r>
        <w:rPr/>
        <w:footnoteRef/>
        <w:tab/>
        <w:t>Hier: Plural = der Sitz Gottes, im Ggs. zu Vers 18; dort Singular = der eigentliche Himmel.</w:t>
      </w:r>
    </w:p>
  </w:footnote>
  <w:footnote w:id="4776">
    <w:p>
      <w:pPr>
        <w:pStyle w:val="Funote"/>
        <w:rPr/>
      </w:pPr>
      <w:r>
        <w:rPr/>
        <w:footnoteRef/>
        <w:tab/>
        <w:t>Einige Übersetzungen von Wortkombinationen entnommen aus Bauer/Aland: V.29: Sp.397 V. 30: Sp.1309; Sp. 613; Sp. 253 V. 31: Sp.150 V. 34: Sp. 833 V. 35: Sp. 245; Sp. 573 V. 37: Sp. 1367.</w:t>
      </w:r>
    </w:p>
  </w:footnote>
  <w:footnote w:id="4777">
    <w:p>
      <w:pPr>
        <w:pStyle w:val="Funote"/>
        <w:rPr/>
      </w:pPr>
      <w:r>
        <w:rPr/>
        <w:footnoteRef/>
        <w:tab/>
        <w:t>vl. einen Geist, und dieser war taubstumm</w:t>
      </w:r>
    </w:p>
  </w:footnote>
  <w:footnote w:id="4778">
    <w:p>
      <w:pPr>
        <w:pStyle w:val="Funote"/>
        <w:rPr/>
      </w:pPr>
      <w:r>
        <w:rPr/>
        <w:footnoteRef/>
        <w:tab/>
        <w:t>wörtl. Söhne</w:t>
      </w:r>
    </w:p>
  </w:footnote>
  <w:footnote w:id="4779">
    <w:p>
      <w:pPr>
        <w:pStyle w:val="Funote"/>
        <w:rPr/>
      </w:pPr>
      <w:r>
        <w:rPr/>
        <w:footnoteRef/>
        <w:tab/>
        <w:t>im Griech. Plural</w:t>
      </w:r>
    </w:p>
  </w:footnote>
  <w:footnote w:id="4780">
    <w:p>
      <w:pPr>
        <w:pStyle w:val="Funote"/>
        <w:rPr/>
      </w:pPr>
      <w:r>
        <w:rPr/>
        <w:footnoteRef/>
        <w:tab/>
        <w:t xml:space="preserve">Partizip Perfekt passiv. Wer sich bereit macht für eine Wanderung, bindet sein Gewand mit einem Gürtel hoch. Vgl. </w:t>
      </w:r>
      <w:hyperlink r:id="rId477">
        <w:r>
          <w:rPr>
            <w:rStyle w:val="Internetverknpfung"/>
          </w:rPr>
          <w:t>Exodus 12,11</w:t>
        </w:r>
      </w:hyperlink>
    </w:p>
  </w:footnote>
  <w:footnote w:id="4781">
    <w:p>
      <w:pPr>
        <w:pStyle w:val="Funote"/>
        <w:rPr/>
      </w:pPr>
      <w:r>
        <w:rPr/>
        <w:footnoteRef/>
        <w:tab/>
        <w:t>Partizip Perfekt passiv</w:t>
      </w:r>
    </w:p>
  </w:footnote>
  <w:footnote w:id="4782">
    <w:p>
      <w:pPr>
        <w:pStyle w:val="Funote"/>
        <w:rPr/>
      </w:pPr>
      <w:r>
        <w:rPr>
          <w:i/>
        </w:rPr>
        <w:footnoteRef/>
        <w:tab/>
        <w:t>wie</w:t>
      </w:r>
      <w:r>
        <w:rPr/>
        <w:t>: w. "Gleicht ..." – Hier wird deutlich, dass Jesus ein Gleichnis erzählt.</w:t>
      </w:r>
    </w:p>
  </w:footnote>
  <w:footnote w:id="4783">
    <w:p>
      <w:pPr>
        <w:pStyle w:val="Funote"/>
        <w:rPr/>
      </w:pPr>
      <w:r>
        <w:rPr/>
        <w:footnoteRef/>
        <w:tab/>
        <w:t>Gen. abs., konditional übersetzt</w:t>
      </w:r>
    </w:p>
  </w:footnote>
  <w:footnote w:id="4784">
    <w:p>
      <w:pPr>
        <w:pStyle w:val="Funote"/>
        <w:rPr/>
      </w:pPr>
      <w:r>
        <w:rPr/>
        <w:footnoteRef/>
        <w:tab/>
        <w:t>Partizip Präs. – durativ, es ist also ein Zustand</w:t>
      </w:r>
    </w:p>
  </w:footnote>
  <w:footnote w:id="4785">
    <w:p>
      <w:pPr>
        <w:pStyle w:val="Funote"/>
        <w:rPr/>
      </w:pPr>
      <w:r>
        <w:rPr/>
        <w:footnoteRef/>
        <w:tab/>
        <w:t>wörtl. Futur: finden wird</w:t>
      </w:r>
    </w:p>
  </w:footnote>
  <w:footnote w:id="4786">
    <w:p>
      <w:pPr>
        <w:pStyle w:val="Funote"/>
        <w:rPr/>
      </w:pPr>
      <w:r>
        <w:rPr/>
        <w:footnoteRef/>
        <w:tab/>
        <w:t>Partizip Aorist (Ereignis), konditional aufgelöst</w:t>
      </w:r>
    </w:p>
  </w:footnote>
  <w:footnote w:id="4787">
    <w:p>
      <w:pPr>
        <w:pStyle w:val="Funote"/>
        <w:rPr/>
      </w:pPr>
      <w:r>
        <w:rPr>
          <w:i/>
        </w:rPr>
        <w:footnoteRef/>
        <w:tab/>
        <w:t>Amen</w:t>
      </w:r>
      <w:r>
        <w:rPr/>
        <w:t>: ...</w:t>
      </w:r>
    </w:p>
  </w:footnote>
  <w:footnote w:id="4788">
    <w:p>
      <w:pPr>
        <w:pStyle w:val="Funote"/>
        <w:rPr/>
      </w:pPr>
      <w:r>
        <w:rPr>
          <w:lang w:val="el-GR"/>
        </w:rPr>
        <w:footnoteRef/>
        <w:tab/>
        <w:t>ὃτι</w:t>
      </w:r>
      <w:r>
        <w:rPr/>
        <w:t xml:space="preserve"> citativum</w:t>
      </w:r>
    </w:p>
  </w:footnote>
  <w:footnote w:id="4789">
    <w:p>
      <w:pPr>
        <w:pStyle w:val="Funote"/>
        <w:rPr/>
      </w:pPr>
      <w:r>
        <w:rPr>
          <w:i/>
        </w:rPr>
        <w:footnoteRef/>
        <w:tab/>
        <w:t>umgürten</w:t>
      </w:r>
      <w:r>
        <w:rPr/>
        <w:t xml:space="preserve">: Also, sich bereit machen zur Arbeit. Vgl. </w:t>
      </w:r>
      <w:hyperlink w:anchor="s35">
        <w:r>
          <w:rPr>
            <w:rStyle w:val="Internetverknpfung"/>
          </w:rPr>
          <w:t>V. 35</w:t>
        </w:r>
      </w:hyperlink>
    </w:p>
  </w:footnote>
  <w:footnote w:id="4790">
    <w:p>
      <w:pPr>
        <w:pStyle w:val="Funote"/>
        <w:rPr/>
      </w:pPr>
      <w:r>
        <w:rPr/>
        <w:footnoteRef/>
        <w:tab/>
        <w:t>Lesefassung: zu Tisch setzen lassen? sie zum Tisch führen?</w:t>
      </w:r>
    </w:p>
  </w:footnote>
  <w:footnote w:id="4791">
    <w:p>
      <w:pPr>
        <w:pStyle w:val="Funote"/>
        <w:rPr/>
      </w:pPr>
      <w:r>
        <w:rPr/>
        <w:footnoteRef/>
        <w:tab/>
        <w:t>3 Verben, die sehr ausführlich beschreiben, dass der Herr die Sklaven zum Essen einlädt.</w:t>
      </w:r>
    </w:p>
  </w:footnote>
  <w:footnote w:id="4792">
    <w:p>
      <w:pPr>
        <w:pStyle w:val="Funote"/>
        <w:rPr/>
      </w:pPr>
      <w:r>
        <w:rPr/>
        <w:footnoteRef/>
        <w:tab/>
        <w:t>Futuralis</w:t>
      </w:r>
    </w:p>
  </w:footnote>
  <w:footnote w:id="4793">
    <w:p>
      <w:pPr>
        <w:pStyle w:val="Funote"/>
        <w:rPr/>
      </w:pPr>
      <w:r>
        <w:rPr/>
        <w:footnoteRef/>
        <w:tab/>
        <w:t xml:space="preserve">wörtl.: und, aber </w:t>
      </w:r>
      <w:r>
        <w:rPr>
          <w:lang w:val="el-GR"/>
        </w:rPr>
        <w:t>κάι - κάι</w:t>
      </w:r>
      <w:r>
        <w:rPr/>
        <w:t xml:space="preserve"> = entweder - oder</w:t>
      </w:r>
    </w:p>
  </w:footnote>
  <w:footnote w:id="4794">
    <w:p>
      <w:pPr>
        <w:pStyle w:val="Funote"/>
        <w:rPr/>
      </w:pPr>
      <w:r>
        <w:rPr/>
        <w:footnoteRef/>
        <w:tab/>
        <w:t>eine Nacht (von 6 Uhr abends bis 6 Uhr morgens) wurde in 4 Nachtwachen zu je 3 Stunden unterteilt, wobei man an dieser Stelle auch an drei Nachtwachen à 4 Stunden denken könnte, wie sie bei Hebräern und Griechen üblich waren, vgl. BW Sp. 1716</w:t>
      </w:r>
    </w:p>
  </w:footnote>
  <w:footnote w:id="4795">
    <w:p>
      <w:pPr>
        <w:pStyle w:val="Funote"/>
        <w:rPr/>
      </w:pPr>
      <w:r>
        <w:rPr/>
        <w:footnoteRef/>
        <w:tab/>
        <w:t>nämlich: wachend</w:t>
      </w:r>
    </w:p>
  </w:footnote>
  <w:footnote w:id="4796">
    <w:p>
      <w:pPr>
        <w:pStyle w:val="Funote"/>
        <w:rPr/>
      </w:pPr>
      <w:r>
        <w:rPr>
          <w:lang w:val="el-GR"/>
        </w:rPr>
        <w:footnoteRef/>
        <w:tab/>
        <w:t>ὃτι</w:t>
      </w:r>
      <w:r>
        <w:rPr/>
        <w:t xml:space="preserve"> citativum</w:t>
      </w:r>
    </w:p>
  </w:footnote>
  <w:footnote w:id="4797">
    <w:p>
      <w:pPr>
        <w:pStyle w:val="Funote"/>
        <w:rPr/>
      </w:pPr>
      <w:r>
        <w:rPr/>
        <w:footnoteRef/>
        <w:tab/>
        <w:t>Irrealis der Vergangenheit</w:t>
      </w:r>
    </w:p>
  </w:footnote>
  <w:footnote w:id="4798">
    <w:p>
      <w:pPr>
        <w:pStyle w:val="Funote"/>
        <w:rPr/>
      </w:pPr>
      <w:r>
        <w:rPr/>
        <w:footnoteRef/>
        <w:tab/>
        <w:t>wörtl.: Infintiv - einzubrechen</w:t>
      </w:r>
    </w:p>
  </w:footnote>
  <w:footnote w:id="4799">
    <w:p>
      <w:pPr>
        <w:pStyle w:val="Funote"/>
        <w:rPr/>
      </w:pPr>
      <w:r>
        <w:rPr/>
        <w:footnoteRef/>
        <w:tab/>
        <w:t>wörtl.: nicht zugelassen, aber die Negation und das zu negierende Verb verschmelzen zu einem Begriff, BDR § 423, Anm. 2</w:t>
      </w:r>
    </w:p>
  </w:footnote>
  <w:footnote w:id="4800">
    <w:p>
      <w:pPr>
        <w:pStyle w:val="Funote"/>
        <w:rPr/>
      </w:pPr>
      <w:r>
        <w:rPr/>
        <w:footnoteRef/>
        <w:tab/>
        <w:t>wörtl.: werdet</w:t>
      </w:r>
    </w:p>
  </w:footnote>
  <w:footnote w:id="4801">
    <w:p>
      <w:pPr>
        <w:pStyle w:val="Funote"/>
        <w:rPr/>
      </w:pPr>
      <w:r>
        <w:rPr/>
        <w:footnoteRef/>
        <w:tab/>
        <w:t>Partizip Präs.</w:t>
      </w:r>
    </w:p>
  </w:footnote>
  <w:footnote w:id="4802">
    <w:p>
      <w:pPr>
        <w:pStyle w:val="Funote"/>
        <w:rPr/>
      </w:pPr>
      <w:r>
        <w:rPr>
          <w:lang w:val="el-GR"/>
        </w:rPr>
        <w:footnoteRef/>
        <w:tab/>
        <w:t>δοκέω</w:t>
      </w:r>
      <w:r>
        <w:rPr/>
        <w:t>, meinen, glauben, hier elliptisch verwendet, BW Sp. 400</w:t>
      </w:r>
    </w:p>
  </w:footnote>
  <w:footnote w:id="4803">
    <w:p>
      <w:pPr>
        <w:pStyle w:val="Funote"/>
        <w:rPr/>
      </w:pPr>
      <w:r>
        <w:rPr/>
        <w:footnoteRef/>
        <w:tab/>
        <w:t xml:space="preserve">NA27 setzt </w:t>
      </w:r>
      <w:r>
        <w:rPr>
          <w:lang w:val="el-GR"/>
        </w:rPr>
        <w:t>οὖν</w:t>
      </w:r>
      <w:r>
        <w:rPr/>
        <w:t xml:space="preserve"> (also) in eckige Klammern, um anzudeuten, dass erhebliche Zweifel bestehen, dass dieses Wort tatsächlich zum Urtext gehört, auch wenn die externe Evidenz ausgeglichen ist und es keine zwingende interne Argumente gegen seinen Einschluss gibt. Cf. Metzger, Bruce M., United Bible Societies (1994). A Textual Commentary on the Greek New Testament.</w:t>
      </w:r>
    </w:p>
  </w:footnote>
  <w:footnote w:id="4804">
    <w:p>
      <w:pPr>
        <w:pStyle w:val="Funote"/>
        <w:rPr/>
      </w:pPr>
      <w:r>
        <w:rPr/>
        <w:footnoteRef/>
        <w:tab/>
        <w:t>Joche, Doppelgespanne</w:t>
      </w:r>
    </w:p>
  </w:footnote>
  <w:footnote w:id="4805">
    <w:p>
      <w:pPr>
        <w:pStyle w:val="Funote"/>
        <w:rPr/>
      </w:pPr>
      <w:r>
        <w:rPr/>
        <w:footnoteRef/>
        <w:tab/>
        <w:t>3.Sg, Fut.Med.</w:t>
      </w:r>
    </w:p>
  </w:footnote>
  <w:footnote w:id="4806">
    <w:p>
      <w:pPr>
        <w:pStyle w:val="Funote"/>
        <w:rPr/>
      </w:pPr>
      <w:r>
        <w:rPr>
          <w:lang w:val="el-GR"/>
        </w:rPr>
        <w:footnoteRef/>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4807">
    <w:p>
      <w:pPr>
        <w:pStyle w:val="Funote"/>
        <w:rPr/>
      </w:pPr>
      <w:r>
        <w:rPr>
          <w:lang w:val="el-GR"/>
        </w:rPr>
        <w:footnoteRef/>
        <w:tab/>
        <w:t>ἐγένετο ... καί</w:t>
      </w:r>
      <w:r>
        <w:rPr/>
        <w:t xml:space="preserve"> ist ein Hebraismus (</w:t>
      </w:r>
      <w:r>
        <w:rPr>
          <w:rtl w:val="true"/>
          <w:lang w:bidi="he-IL"/>
        </w:rPr>
        <w:t xml:space="preserve">וַיְהִי </w:t>
      </w:r>
      <w:r>
        <w:rPr>
          <w:rtl w:val="true"/>
          <w:lang w:val="he-IL"/>
        </w:rPr>
        <w:t xml:space="preserve">... </w:t>
      </w:r>
      <w:r>
        <w:rPr>
          <w:rtl w:val="true"/>
          <w:lang w:bidi="he-IL"/>
        </w:rPr>
        <w:t>וְ</w:t>
      </w:r>
      <w:r>
        <w:rPr/>
        <w:t xml:space="preserve">); das </w:t>
      </w:r>
      <w:r>
        <w:rPr>
          <w:lang w:val="el-GR"/>
        </w:rPr>
        <w:t>καί</w:t>
      </w:r>
      <w:r>
        <w:rPr/>
        <w:t xml:space="preserve"> ist hier koordinierend verwendet -&gt; da, als. BDR § 442,Anm. 11</w:t>
      </w:r>
    </w:p>
  </w:footnote>
  <w:footnote w:id="4808">
    <w:p>
      <w:pPr>
        <w:pStyle w:val="Funote"/>
        <w:rPr/>
      </w:pPr>
      <w:r>
        <w:rPr/>
        <w:footnoteRef/>
        <w:tab/>
        <w:t xml:space="preserve">Substantivierter Infinitiv im Dativ hat temporalen Sinn; Inf. Präs.: durativ, entspricht dem Hebr. </w:t>
      </w:r>
      <w:r>
        <w:rPr>
          <w:rtl w:val="true"/>
          <w:lang w:bidi="he-IL"/>
        </w:rPr>
        <w:t>בְּ</w:t>
      </w:r>
      <w:r>
        <w:rPr/>
        <w:t>, BDR § 404,1</w:t>
      </w:r>
    </w:p>
  </w:footnote>
  <w:footnote w:id="4809">
    <w:p>
      <w:pPr>
        <w:pStyle w:val="Funote"/>
        <w:rPr/>
      </w:pPr>
      <w:r>
        <w:rPr/>
        <w:footnoteRef/>
        <w:tab/>
        <w:t>Der Infinitiv ist eine indefinite Verbform, deshalb ist nicht eindeutig, ob es einer ist, der wandert, oder mehrere (wörtl.: während des Wanderns). Der Kontext des Kapitels legt nahe, dass Jesus mit seinen Jüngern unterwegs ist (es ist schlecht vorstellbar, dass Jesus plötzlich allein geht); im unmittelbaren Kontext der Perikope aber kommen seine Jünger nicht vor. Deshalb ist hier der Sg. zu übersetzen.</w:t>
      </w:r>
    </w:p>
  </w:footnote>
  <w:footnote w:id="4810">
    <w:p>
      <w:pPr>
        <w:pStyle w:val="Funote"/>
        <w:rPr/>
      </w:pPr>
      <w:r>
        <w:rPr/>
        <w:footnoteRef/>
        <w:tab/>
        <w:t xml:space="preserve">Einzige Stelle im NT, wo </w:t>
      </w:r>
      <w:r>
        <w:rPr>
          <w:lang w:val="el-GR"/>
        </w:rPr>
        <w:t>διά</w:t>
      </w:r>
      <w:r>
        <w:rPr/>
        <w:t xml:space="preserve"> mit Akk. lokal übersetzt wird. Die Stelle macht inhaltlich Schwierigkeiten, weil die Orte geographisch falsch angegeben sind: Jesus müsste erst durch Galiläa und dann durch Samaria, um nach Jerusalem zu wandern. Diesen "Irrtum" haben jüngere Handschriften zu korrigieren versucht, indem sie Jesus "zwischen" Samaria und Galiläa gehen ließen. Die "inkorrekte" Lesart ist aber die besser bezeugte und die schwierigere und daher als die ursprüngliche anzusehen. Offenbar kam es Lukas hier nicht auf geographische Genauigkeit an, sondern darauf, dass die Zehn, die Jesus begegnen, Juden und Samaritaner sind. Vgl. BW s.v. und BDR § 222,1.</w:t>
      </w:r>
    </w:p>
  </w:footnote>
  <w:footnote w:id="4811">
    <w:p>
      <w:pPr>
        <w:pStyle w:val="Funote"/>
        <w:rPr/>
      </w:pPr>
      <w:hyperlink r:id="rId478">
        <w:r>
          <w:rPr>
            <w:rStyle w:val="Internetverknpfung"/>
          </w:rPr>
          <w:footnoteRef/>
          <w:tab/>
          <w:t>Gen. abs.</w:t>
        </w:r>
      </w:hyperlink>
      <w:r>
        <w:rPr/>
        <w:t>, temporal aufgelöst.</w:t>
      </w:r>
    </w:p>
  </w:footnote>
  <w:footnote w:id="4812">
    <w:p>
      <w:pPr>
        <w:pStyle w:val="Funote"/>
        <w:rPr/>
      </w:pPr>
      <w:r>
        <w:rPr/>
        <w:footnoteRef/>
        <w:tab/>
        <w:t>Weil Leprakranke sich Gesunden nicht nähern durften.</w:t>
      </w:r>
    </w:p>
  </w:footnote>
  <w:footnote w:id="4813">
    <w:p>
      <w:pPr>
        <w:pStyle w:val="Funote"/>
        <w:rPr/>
      </w:pPr>
      <w:r>
        <w:rPr/>
        <w:footnoteRef/>
        <w:tab/>
        <w:t>Vgl. Anm. zu Vers 11</w:t>
      </w:r>
    </w:p>
  </w:footnote>
  <w:footnote w:id="4814">
    <w:p>
      <w:pPr>
        <w:pStyle w:val="Funote"/>
        <w:rPr/>
      </w:pPr>
      <w:hyperlink r:id="rId479">
        <w:r>
          <w:rPr>
            <w:rStyle w:val="Internetverknpfung"/>
          </w:rPr>
          <w:footnoteRef/>
          <w:tab/>
          <w:t>Ptz. coni.</w:t>
        </w:r>
      </w:hyperlink>
      <w:r>
        <w:rPr/>
        <w:t>, temporal aufgelöst</w:t>
      </w:r>
    </w:p>
  </w:footnote>
  <w:footnote w:id="4815">
    <w:p>
      <w:pPr>
        <w:pStyle w:val="Funote"/>
        <w:rPr/>
      </w:pPr>
      <w:hyperlink r:id="rId480">
        <w:r>
          <w:rPr>
            <w:rStyle w:val="Internetverknpfung"/>
          </w:rPr>
          <w:footnoteRef/>
          <w:tab/>
          <w:t>Ptz. coni.</w:t>
        </w:r>
      </w:hyperlink>
      <w:r>
        <w:rPr/>
        <w:t>, temporal aufgelöst</w:t>
      </w:r>
    </w:p>
  </w:footnote>
  <w:footnote w:id="4816">
    <w:p>
      <w:pPr>
        <w:pStyle w:val="Funote"/>
        <w:rPr/>
      </w:pPr>
      <w:hyperlink r:id="rId481">
        <w:r>
          <w:rPr>
            <w:rStyle w:val="Internetverknpfung"/>
          </w:rPr>
          <w:footnoteRef/>
          <w:tab/>
          <w:t>Ptz. coni.</w:t>
        </w:r>
      </w:hyperlink>
      <w:r>
        <w:rPr/>
        <w:t>, temporal aufgelöst</w:t>
      </w:r>
    </w:p>
  </w:footnote>
  <w:footnote w:id="4817">
    <w:p>
      <w:pPr>
        <w:pStyle w:val="Funote"/>
        <w:rPr/>
      </w:pPr>
      <w:r>
        <w:rPr>
          <w:lang w:val="el-GR"/>
        </w:rPr>
        <w:footnoteRef/>
        <w:tab/>
        <w:t>καί</w:t>
      </w:r>
      <w:r>
        <w:rPr/>
        <w:t xml:space="preserve"> verstärkt das Pronomen, BDR § 442, Anm. 24</w:t>
      </w:r>
    </w:p>
  </w:footnote>
  <w:footnote w:id="4818">
    <w:p>
      <w:pPr>
        <w:pStyle w:val="Funote"/>
        <w:rPr/>
      </w:pPr>
      <w:r>
        <w:rPr>
          <w:lang w:val="el-GR"/>
        </w:rPr>
        <w:footnoteRef/>
        <w:tab/>
        <w:t>ἀποκριθεῖς ... εἶπεν</w:t>
      </w:r>
      <w:r>
        <w:rPr/>
        <w:t xml:space="preserve"> ist eine formelhafte Wendung, wörtl.: "Antwortend aber sprach Jesus". Da Jesus hier keine Frage gestellt wird, kann sich seine Antwort nur auf das Verhalten des Samaritaners beziehen. Wollte man den formelhaften Ausdruck wörtlich wiedergeben, müsste man vielleicht übersetzen: "Jesus reagierte (auf sein Verhalten) und sprach".</w:t>
      </w:r>
    </w:p>
  </w:footnote>
  <w:footnote w:id="4819">
    <w:p>
      <w:pPr>
        <w:pStyle w:val="Funote"/>
        <w:rPr/>
      </w:pPr>
      <w:r>
        <w:rPr/>
        <w:footnoteRef/>
        <w:tab/>
        <w:t>Bei Zahlen drückt der Artikel aus, dass von einer angegebenen Zahl jetzt ein Teil eingeführt wird. Bezogen auf die Zehn Geheilten: die Neun davon. BDR § 265.</w:t>
      </w:r>
    </w:p>
  </w:footnote>
  <w:footnote w:id="4820">
    <w:p>
      <w:pPr>
        <w:pStyle w:val="Funote"/>
        <w:rPr/>
      </w:pPr>
      <w:r>
        <w:rPr/>
        <w:footnoteRef/>
        <w:tab/>
        <w:t>Betonte Teile des Nebensatzes stehen vor dem Fragepronomen, BDR § 475, Anm. 2.</w:t>
      </w:r>
    </w:p>
  </w:footnote>
  <w:footnote w:id="4821">
    <w:p>
      <w:pPr>
        <w:pStyle w:val="Funote"/>
        <w:rPr/>
      </w:pPr>
      <w:r>
        <w:rPr/>
        <w:footnoteRef/>
        <w:tab/>
        <w:t xml:space="preserve">"Erwiesen sie sich nicht" ist ein Hebraismus, wie hebr. </w:t>
      </w:r>
      <w:r>
        <w:rPr>
          <w:rtl w:val="true"/>
          <w:lang w:bidi="he-IL"/>
        </w:rPr>
        <w:t>נִמְצָא</w:t>
      </w:r>
      <w:r>
        <w:rPr/>
        <w:t xml:space="preserve"> </w:t>
      </w:r>
      <w:r>
        <w:rPr/>
        <w:t>sich erweisen, erfunden werden, BW Sp. 644</w:t>
      </w:r>
    </w:p>
  </w:footnote>
  <w:footnote w:id="4822">
    <w:p>
      <w:pPr>
        <w:pStyle w:val="Funote"/>
        <w:rPr/>
      </w:pPr>
      <w:r>
        <w:rPr/>
        <w:footnoteRef/>
        <w:tab/>
        <w:t>Ptz., beiordnend aufgelöst.</w:t>
      </w:r>
    </w:p>
  </w:footnote>
  <w:footnote w:id="4823">
    <w:p>
      <w:pPr>
        <w:pStyle w:val="Funote"/>
        <w:rPr/>
      </w:pPr>
      <w:r>
        <w:rPr>
          <w:lang w:val="el-GR"/>
        </w:rPr>
        <w:footnoteRef/>
        <w:tab/>
        <w:t>ἡ βασιλεία τοῦ θεοῦ</w:t>
      </w:r>
      <w:r>
        <w:rPr/>
        <w:t xml:space="preserve">: mögliche Übersetzungen: Gottesreich, </w:t>
      </w:r>
      <w:hyperlink r:id="rId482">
        <w:r>
          <w:rPr>
            <w:rStyle w:val="Internetverknpfung"/>
          </w:rPr>
          <w:t>Reich Gottes</w:t>
        </w:r>
      </w:hyperlink>
      <w:r>
        <w:rPr/>
        <w:t>, Gottesherrschaft, die Herrschaft Gottes</w:t>
      </w:r>
    </w:p>
  </w:footnote>
  <w:footnote w:id="4824">
    <w:p>
      <w:pPr>
        <w:pStyle w:val="Funote"/>
        <w:rPr/>
      </w:pPr>
      <w:r>
        <w:rPr/>
        <w:footnoteRef/>
        <w:tab/>
        <w:t xml:space="preserve">Der Vers 36 taucht erst in späteren </w:t>
      </w:r>
      <w:hyperlink r:id="rId483">
        <w:r>
          <w:rPr>
            <w:rStyle w:val="Internetverknpfung"/>
          </w:rPr>
          <w:t>Handschriften</w:t>
        </w:r>
      </w:hyperlink>
      <w:r>
        <w:rPr/>
        <w:t xml:space="preserve"> auf.</w:t>
      </w:r>
    </w:p>
  </w:footnote>
  <w:footnote w:id="4825">
    <w:p>
      <w:pPr>
        <w:pStyle w:val="Funote"/>
        <w:rPr/>
      </w:pPr>
      <w:r>
        <w:rPr/>
        <w:footnoteRef/>
        <w:tab/>
        <w:t>Gr. „</w:t>
      </w:r>
      <w:r>
        <w:rPr>
          <w:lang w:val="el-GR"/>
        </w:rPr>
        <w:t>πρὸς τὸ δεῖν</w:t>
      </w:r>
      <w:r>
        <w:rPr/>
        <w:t xml:space="preserve">“: will die Wichtigkeit des als kommenden Satzteiles hervorheben. </w:t>
      </w:r>
    </w:p>
  </w:footnote>
  <w:footnote w:id="4826">
    <w:p>
      <w:pPr>
        <w:pStyle w:val="Funote"/>
        <w:rPr/>
      </w:pPr>
      <w:r>
        <w:rPr/>
        <w:footnoteRef/>
        <w:tab/>
        <w:t>Präd. Ptz.</w:t>
      </w:r>
    </w:p>
  </w:footnote>
  <w:footnote w:id="4827">
    <w:p>
      <w:pPr>
        <w:pStyle w:val="Funote"/>
        <w:rPr/>
      </w:pPr>
      <w:r>
        <w:rPr/>
        <w:footnoteRef/>
        <w:tab/>
        <w:t xml:space="preserve">Attr. Ptz., als Relativsatz aufgelöst. </w:t>
      </w:r>
    </w:p>
  </w:footnote>
  <w:footnote w:id="4828">
    <w:p>
      <w:pPr>
        <w:pStyle w:val="Funote"/>
        <w:rPr/>
      </w:pPr>
      <w:r>
        <w:rPr/>
        <w:footnoteRef/>
        <w:tab/>
        <w:t>besser: Danach aber überlegte er sich kurz:</w:t>
      </w:r>
    </w:p>
  </w:footnote>
  <w:footnote w:id="4829">
    <w:p>
      <w:pPr>
        <w:pStyle w:val="Funote"/>
        <w:rPr/>
      </w:pPr>
      <w:r>
        <w:rPr/>
        <w:footnoteRef/>
        <w:tab/>
        <w:t xml:space="preserve">Gr. </w:t>
      </w:r>
      <w:r>
        <w:rPr>
          <w:lang w:val="el-GR"/>
        </w:rPr>
        <w:t>δια + το</w:t>
      </w:r>
      <w:r>
        <w:rPr/>
        <w:t xml:space="preserve"> + Inf.: weil; vgl. Bauer/Aland,S.362f.1265</w:t>
      </w:r>
    </w:p>
  </w:footnote>
  <w:footnote w:id="4830">
    <w:p>
      <w:pPr>
        <w:pStyle w:val="Funote"/>
        <w:rPr/>
      </w:pPr>
      <w:r>
        <w:rPr/>
        <w:footnoteRef/>
        <w:tab/>
        <w:t>Fut.1.Sg; mit nachdrücklichem Sinn.</w:t>
      </w:r>
    </w:p>
  </w:footnote>
  <w:footnote w:id="4831">
    <w:p>
      <w:pPr>
        <w:pStyle w:val="Funote"/>
        <w:rPr/>
      </w:pPr>
      <w:r>
        <w:rPr/>
        <w:footnoteRef/>
        <w:tab/>
        <w:t>Aor. Imp.</w:t>
      </w:r>
    </w:p>
  </w:footnote>
  <w:footnote w:id="4832">
    <w:p>
      <w:pPr>
        <w:pStyle w:val="Funote"/>
        <w:rPr/>
      </w:pPr>
      <w:r>
        <w:rPr/>
        <w:footnoteRef/>
        <w:tab/>
        <w:t>vgl. Gute Nachricht Ü.</w:t>
      </w:r>
    </w:p>
  </w:footnote>
  <w:footnote w:id="4833">
    <w:p>
      <w:pPr>
        <w:pStyle w:val="Funote"/>
        <w:rPr/>
      </w:pPr>
      <w:r>
        <w:rPr/>
        <w:footnoteRef/>
        <w:tab/>
        <w:t>vllt. besser: Wird Gott nicht erst recht seinen Erwählten [nun] zu Recht verhelfen?</w:t>
      </w:r>
    </w:p>
  </w:footnote>
  <w:footnote w:id="4834">
    <w:p>
      <w:pPr>
        <w:pStyle w:val="Funote"/>
        <w:rPr/>
      </w:pPr>
      <w:r>
        <w:rPr/>
        <w:footnoteRef/>
        <w:tab/>
        <w:t>Part.Perf.Akt.</w:t>
      </w:r>
    </w:p>
  </w:footnote>
  <w:footnote w:id="4835">
    <w:p>
      <w:pPr>
        <w:pStyle w:val="Funote"/>
        <w:rPr/>
      </w:pPr>
      <w:r>
        <w:rPr/>
        <w:footnoteRef/>
        <w:tab/>
        <w:t>wörtl.: die auf sich selbst vertrauten (Part.Perf.!), weil sie gerecht sind</w:t>
      </w:r>
    </w:p>
  </w:footnote>
  <w:footnote w:id="4836">
    <w:p>
      <w:pPr>
        <w:pStyle w:val="Funote"/>
        <w:rPr/>
      </w:pPr>
      <w:r>
        <w:rPr/>
        <w:footnoteRef/>
        <w:tab/>
        <w:t>Vorschlag Bauer/Aland,Sp.762: Lass dich mit mir Sünder versöhnen!</w:t>
      </w:r>
    </w:p>
  </w:footnote>
  <w:footnote w:id="4837">
    <w:p>
      <w:pPr>
        <w:pStyle w:val="Funote"/>
        <w:rPr/>
      </w:pPr>
      <w:r>
        <w:rPr/>
        <w:footnoteRef/>
        <w:tab/>
        <w:t>Part.Ps.</w:t>
      </w:r>
    </w:p>
  </w:footnote>
  <w:footnote w:id="4838">
    <w:p>
      <w:pPr>
        <w:pStyle w:val="Funote"/>
        <w:rPr/>
      </w:pPr>
      <w:r>
        <w:rPr/>
        <w:footnoteRef/>
        <w:tab/>
        <w:t>Aor.3.Sg.Med.Konj.; eine Segenswirkung soll hier erzeugt werden; vgl. NGÜ</w:t>
      </w:r>
    </w:p>
  </w:footnote>
  <w:footnote w:id="4839">
    <w:p>
      <w:pPr>
        <w:pStyle w:val="Funote"/>
        <w:rPr/>
      </w:pPr>
      <w:r>
        <w:rPr/>
        <w:footnoteRef/>
        <w:tab/>
        <w:t>Aor.3.Sg.Akt.Konj.</w:t>
      </w:r>
    </w:p>
  </w:footnote>
  <w:footnote w:id="4840">
    <w:p>
      <w:pPr>
        <w:pStyle w:val="Funote"/>
        <w:rPr/>
      </w:pPr>
      <w:r>
        <w:rPr/>
        <w:footnoteRef/>
        <w:tab/>
        <w:t>Fut. mit finalem Sinn; ausgelöst durch den in V.16 benutzten Imperativ</w:t>
      </w:r>
    </w:p>
  </w:footnote>
  <w:footnote w:id="4841">
    <w:p>
      <w:pPr>
        <w:pStyle w:val="Funote"/>
        <w:rPr/>
      </w:pPr>
      <w:r>
        <w:rPr/>
        <w:footnoteRef/>
        <w:tab/>
        <w:t>wörtl.: [irgend]ein Oberster; vermutlich ein in der Gegend bekannter Mann.</w:t>
      </w:r>
    </w:p>
  </w:footnote>
  <w:footnote w:id="4842">
    <w:p>
      <w:pPr>
        <w:pStyle w:val="Funote"/>
        <w:rPr/>
      </w:pPr>
      <w:r>
        <w:rPr/>
        <w:footnoteRef/>
        <w:tab/>
        <w:t>LuthÜ.: „Guter Meister“; würde ich auch hier nehmen, klingt in meinen Ohren schöner.</w:t>
      </w:r>
    </w:p>
  </w:footnote>
  <w:footnote w:id="4843">
    <w:p>
      <w:pPr>
        <w:pStyle w:val="Funote"/>
        <w:rPr/>
      </w:pPr>
      <w:r>
        <w:rPr/>
        <w:footnoteRef/>
        <w:tab/>
        <w:t>Part.Aor.Akt.Nom.Sg.</w:t>
      </w:r>
    </w:p>
  </w:footnote>
  <w:footnote w:id="4844">
    <w:p>
      <w:pPr>
        <w:pStyle w:val="Funote"/>
        <w:rPr/>
      </w:pPr>
      <w:r>
        <w:rPr/>
        <w:footnoteRef/>
        <w:tab/>
        <w:t>Fut.1.Sg.Akt.; wörtl.: zu erben</w:t>
      </w:r>
    </w:p>
  </w:footnote>
  <w:footnote w:id="4845">
    <w:p>
      <w:pPr>
        <w:pStyle w:val="Funote"/>
        <w:rPr/>
      </w:pPr>
      <w:r>
        <w:rPr/>
        <w:footnoteRef/>
        <w:tab/>
        <w:t>wörtlich: „wenn Gott einer ist“ ; vgl. Dtr 6,4</w:t>
      </w:r>
    </w:p>
  </w:footnote>
  <w:footnote w:id="4846">
    <w:p>
      <w:pPr>
        <w:pStyle w:val="Funote"/>
        <w:rPr/>
      </w:pPr>
      <w:r>
        <w:rPr/>
        <w:footnoteRef/>
        <w:tab/>
        <w:t>wörtl.:„[Von] den Geboten weißt du:“</w:t>
      </w:r>
    </w:p>
  </w:footnote>
  <w:footnote w:id="4847">
    <w:p>
      <w:pPr>
        <w:pStyle w:val="Funote"/>
        <w:rPr/>
      </w:pPr>
      <w:r>
        <w:rPr/>
        <w:footnoteRef/>
        <w:tab/>
        <w:t>wörtl.: „Wie schwer gehen (kommen) die Besitzhabenden in Königreich Gottes hinein!“</w:t>
      </w:r>
    </w:p>
  </w:footnote>
  <w:footnote w:id="4848">
    <w:p>
      <w:pPr>
        <w:pStyle w:val="Funote"/>
        <w:rPr/>
      </w:pPr>
      <w:r>
        <w:rPr/>
        <w:footnoteRef/>
        <w:tab/>
        <w:t>viele andere Übersetzungen: „ein Kamel durch ein Nadelöhr geht“; aber mir ist das Wort „Nadelöhr“ ein wenig zu fremd.</w:t>
      </w:r>
    </w:p>
  </w:footnote>
  <w:footnote w:id="4849">
    <w:p>
      <w:pPr>
        <w:pStyle w:val="Funote"/>
        <w:rPr/>
      </w:pPr>
      <w:r>
        <w:rPr/>
        <w:footnoteRef/>
        <w:tab/>
        <w:t>wörtl.: „verlassend die eigenen Dinge“</w:t>
      </w:r>
    </w:p>
  </w:footnote>
  <w:footnote w:id="4850">
    <w:p>
      <w:pPr>
        <w:pStyle w:val="Funote"/>
        <w:rPr/>
      </w:pPr>
      <w:r>
        <w:rPr/>
        <w:footnoteRef/>
        <w:tab/>
        <w:t>Wörtl.: „Bruder“; aber der Gendergerechtigkeit halber :)</w:t>
      </w:r>
    </w:p>
  </w:footnote>
  <w:footnote w:id="4851">
    <w:p>
      <w:pPr>
        <w:pStyle w:val="Funote"/>
        <w:rPr/>
      </w:pPr>
      <w:r>
        <w:rPr/>
        <w:footnoteRef/>
        <w:tab/>
        <w:t>Die doppelte Negation ist mir hier noch nicht ganz klar im Griechischen.</w:t>
      </w:r>
    </w:p>
  </w:footnote>
  <w:footnote w:id="4852">
    <w:p>
      <w:pPr>
        <w:pStyle w:val="Funote"/>
        <w:rPr/>
      </w:pPr>
      <w:r>
        <w:rPr/>
        <w:footnoteRef/>
        <w:tab/>
        <w:t>Aor.3.Sg.Akt.Kopnj.; die Aussage des Konj. ist mir noch unklar.</w:t>
      </w:r>
    </w:p>
  </w:footnote>
  <w:footnote w:id="4853">
    <w:p>
      <w:pPr>
        <w:pStyle w:val="Funote"/>
        <w:rPr/>
      </w:pPr>
      <w:hyperlink r:id="rId484">
        <w:r>
          <w:rPr>
            <w:rStyle w:val="Internetverknpfung"/>
          </w:rPr>
          <w:footnoteRef/>
          <w:tab/>
          <w:t>Ptz. coni.</w:t>
        </w:r>
      </w:hyperlink>
      <w:r>
        <w:rPr/>
        <w:t>, beiordnend aufgelöst</w:t>
      </w:r>
    </w:p>
  </w:footnote>
  <w:footnote w:id="4854">
    <w:p>
      <w:pPr>
        <w:pStyle w:val="Funote"/>
        <w:rPr/>
      </w:pPr>
      <w:hyperlink r:id="rId485">
        <w:r>
          <w:rPr>
            <w:rStyle w:val="Internetverknpfung"/>
          </w:rPr>
          <w:footnoteRef/>
          <w:tab/>
          <w:t>Ptz. coni.</w:t>
        </w:r>
      </w:hyperlink>
      <w:r>
        <w:rPr/>
        <w:t>, beiordnend aufgelöst</w:t>
      </w:r>
    </w:p>
  </w:footnote>
  <w:footnote w:id="4855">
    <w:p>
      <w:pPr>
        <w:pStyle w:val="Funote"/>
        <w:rPr/>
      </w:pPr>
      <w:hyperlink r:id="rId486">
        <w:r>
          <w:rPr>
            <w:rStyle w:val="Internetverknpfung"/>
          </w:rPr>
          <w:footnoteRef/>
          <w:tab/>
          <w:t>Ὁτι rezitativum (Seite nicht vorhanden)"&gt;</w:t>
        </w:r>
        <w:r>
          <w:rPr>
            <w:rStyle w:val="Internetverknpfung"/>
            <w:lang w:val="el-GR"/>
          </w:rPr>
          <w:t>ὁτι</w:t>
        </w:r>
        <w:r>
          <w:rPr>
            <w:rStyle w:val="Internetverknpfung"/>
          </w:rPr>
          <w:t xml:space="preserve"> rezitativum</w:t>
        </w:r>
      </w:hyperlink>
    </w:p>
  </w:footnote>
  <w:footnote w:id="4856">
    <w:p>
      <w:pPr>
        <w:pStyle w:val="Funote"/>
        <w:rPr/>
      </w:pPr>
      <w:r>
        <w:rPr/>
        <w:footnoteRef/>
        <w:tab/>
        <w:t>Aposiopese: Der Nachsatz ist ausgelassen. Der Vordersatz ist ein Irrealis der Vergangenheit</w:t>
      </w:r>
    </w:p>
  </w:footnote>
  <w:footnote w:id="4857">
    <w:p>
      <w:pPr>
        <w:pStyle w:val="Funote"/>
        <w:rPr/>
      </w:pPr>
      <w:r>
        <w:rPr/>
        <w:footnoteRef/>
        <w:tab/>
        <w:t>"vor deinen Augen" ist hebraisierende Umschreibung der Präposition "vor", vgl. BDR § 259, Anm. 6</w:t>
      </w:r>
    </w:p>
  </w:footnote>
  <w:footnote w:id="4858">
    <w:p>
      <w:pPr>
        <w:pStyle w:val="Funote"/>
        <w:rPr/>
      </w:pPr>
      <w:r>
        <w:rPr>
          <w:lang w:val="el-GR"/>
        </w:rPr>
        <w:footnoteRef/>
        <w:tab/>
        <w:t>καί</w:t>
      </w:r>
      <w:r>
        <w:rPr/>
        <w:t xml:space="preserve"> steht bei Zeitbestimmungen für dt. "als" oder "dass"; hier ist es unklassisch verwendet i.S. von "dann" oder "dass", BDR § 442, Anm. 10</w:t>
      </w:r>
    </w:p>
  </w:footnote>
  <w:footnote w:id="4859">
    <w:p>
      <w:pPr>
        <w:pStyle w:val="Funote"/>
        <w:rPr/>
      </w:pPr>
      <w:r>
        <w:rPr/>
        <w:footnoteRef/>
        <w:tab/>
        <w:t xml:space="preserve">Das Verb </w:t>
      </w:r>
      <w:r>
        <w:rPr>
          <w:lang w:val="el-GR"/>
        </w:rPr>
        <w:t>ἐδαφίζω</w:t>
      </w:r>
      <w:r>
        <w:rPr/>
        <w:t xml:space="preserve"> steht hier nur einmal, aber Kinder kann man nicht "dem Erdboden gleich machen"; deshalb muss es im Dt. wiederholt werden. Für "zu Boden strecken" vgl. Ps 136,9; Hos 10,14; 14,1 u.ö.</w:t>
      </w:r>
    </w:p>
  </w:footnote>
  <w:footnote w:id="4860">
    <w:p>
      <w:pPr>
        <w:pStyle w:val="Funote"/>
        <w:rPr/>
      </w:pPr>
      <w:r>
        <w:rPr/>
        <w:footnoteRef/>
        <w:tab/>
        <w:t xml:space="preserve">Bauer, WB übersetzt </w:t>
      </w:r>
      <w:r>
        <w:rPr>
          <w:lang w:val="el-GR"/>
        </w:rPr>
        <w:t>καιρός τῆς ἐ. σου</w:t>
      </w:r>
      <w:r>
        <w:rPr/>
        <w:t xml:space="preserve"> mit "die Zeit deiner Gnadenheimsuchung", vgl. Wsh 3,7. </w:t>
      </w:r>
      <w:r>
        <w:rPr>
          <w:lang w:val="el-GR"/>
        </w:rPr>
        <w:t>ἐπισκοπή</w:t>
      </w:r>
      <w:r>
        <w:rPr/>
        <w:t xml:space="preserve"> kann sowohl die Heimsuchung in guter wie in böser Weise meinen. Außerdem bezeichnet sie das Aufsichtsamt, besonders das Bischofsamt, daher: </w:t>
      </w:r>
      <w:r>
        <w:rPr>
          <w:lang w:val="el-GR"/>
        </w:rPr>
        <w:t>ἐπίσκοπος</w:t>
      </w:r>
      <w:r>
        <w:rPr/>
        <w:t xml:space="preserve"> = der Aufseher, später der Bischof.</w:t>
      </w:r>
    </w:p>
  </w:footnote>
  <w:footnote w:id="4861">
    <w:p>
      <w:pPr>
        <w:pStyle w:val="Funote"/>
        <w:rPr/>
      </w:pPr>
      <w:hyperlink r:id="rId487">
        <w:r>
          <w:rPr>
            <w:rStyle w:val="Internetverknpfung"/>
          </w:rPr>
          <w:footnoteRef/>
          <w:tab/>
          <w:t>Ptz. coni.</w:t>
        </w:r>
      </w:hyperlink>
      <w:r>
        <w:rPr/>
        <w:t>, temporal aufgelöst</w:t>
      </w:r>
    </w:p>
  </w:footnote>
  <w:footnote w:id="4862">
    <w:p>
      <w:pPr>
        <w:pStyle w:val="Funote"/>
        <w:rPr/>
      </w:pPr>
      <w:hyperlink r:id="rId488">
        <w:r>
          <w:rPr>
            <w:rStyle w:val="Internetverknpfung"/>
          </w:rPr>
          <w:footnoteRef/>
          <w:tab/>
          <w:t>Ptz. coni.</w:t>
        </w:r>
      </w:hyperlink>
      <w:r>
        <w:rPr/>
        <w:t>, beiordnend aufgelöst</w:t>
      </w:r>
    </w:p>
  </w:footnote>
  <w:footnote w:id="4863">
    <w:p>
      <w:pPr>
        <w:pStyle w:val="Funote"/>
        <w:rPr/>
      </w:pPr>
      <w:r>
        <w:rPr/>
        <w:footnoteRef/>
        <w:tab/>
        <w:t>Wörtl.: war lehrend, Partizip Präs. + Hilfsverb im Imperfekt</w:t>
      </w:r>
    </w:p>
  </w:footnote>
  <w:footnote w:id="4864">
    <w:p>
      <w:pPr>
        <w:pStyle w:val="Funote"/>
        <w:rPr/>
      </w:pPr>
      <w:r>
        <w:rPr/>
        <w:footnoteRef/>
        <w:tab/>
        <w:t xml:space="preserve">So BW Sp. 479; wörtl.: hing an ihm hörend </w:t>
      </w:r>
      <w:hyperlink r:id="rId489">
        <w:r>
          <w:rPr>
            <w:rStyle w:val="Internetverknpfung"/>
          </w:rPr>
          <w:t>Ptz. coni.</w:t>
        </w:r>
      </w:hyperlink>
    </w:p>
  </w:footnote>
  <w:footnote w:id="4865">
    <w:p>
      <w:pPr>
        <w:pStyle w:val="Funote"/>
        <w:rPr/>
      </w:pPr>
      <w:r>
        <w:rPr/>
        <w:footnoteRef/>
        <w:tab/>
        <w:t>2xGen.abs.</w:t>
      </w:r>
    </w:p>
  </w:footnote>
  <w:footnote w:id="4866">
    <w:p>
      <w:pPr>
        <w:pStyle w:val="Funote"/>
        <w:rPr/>
      </w:pPr>
      <w:r>
        <w:rPr/>
        <w:footnoteRef/>
        <w:tab/>
        <w:t>Part.; 2x sagen, drückt aus, dass der Sprechakt sofort losgeht.</w:t>
      </w:r>
    </w:p>
  </w:footnote>
  <w:footnote w:id="4867">
    <w:p>
      <w:pPr>
        <w:pStyle w:val="Funote"/>
        <w:rPr/>
      </w:pPr>
      <w:r>
        <w:rPr/>
        <w:footnoteRef/>
        <w:tab/>
        <w:t>eig. „Geber“: Subst. Part. Aor.</w:t>
      </w:r>
    </w:p>
  </w:footnote>
  <w:footnote w:id="4868">
    <w:p>
      <w:pPr>
        <w:pStyle w:val="Funote"/>
        <w:rPr/>
      </w:pPr>
      <w:r>
        <w:rPr/>
        <w:footnoteRef/>
        <w:tab/>
        <w:t>Fut. mit finalen Sinn.</w:t>
      </w:r>
    </w:p>
  </w:footnote>
  <w:footnote w:id="4869">
    <w:p>
      <w:pPr>
        <w:pStyle w:val="Funote"/>
        <w:rPr/>
      </w:pPr>
      <w:r>
        <w:rPr/>
        <w:footnoteRef/>
        <w:tab/>
        <w:t>Wörtlich: Wort</w:t>
      </w:r>
    </w:p>
  </w:footnote>
  <w:footnote w:id="4870">
    <w:p>
      <w:pPr>
        <w:pStyle w:val="Funote"/>
        <w:rPr/>
      </w:pPr>
      <w:r>
        <w:rPr/>
        <w:footnoteRef/>
        <w:tab/>
        <w:t>Dieses Wort kommt nur hier vor.</w:t>
      </w:r>
    </w:p>
  </w:footnote>
  <w:footnote w:id="4871">
    <w:p>
      <w:pPr>
        <w:pStyle w:val="Funote"/>
        <w:rPr/>
      </w:pPr>
      <w:r>
        <w:rPr/>
        <w:footnoteRef/>
        <w:tab/>
        <w:t>Modales Ptz.</w:t>
      </w:r>
    </w:p>
  </w:footnote>
  <w:footnote w:id="4872">
    <w:p>
      <w:pPr>
        <w:pStyle w:val="Funote"/>
        <w:rPr/>
      </w:pPr>
      <w:r>
        <w:rPr/>
        <w:footnoteRef/>
        <w:tab/>
        <w:t xml:space="preserve">Hier wurde ein </w:t>
      </w:r>
      <w:hyperlink r:id="rId490">
        <w:r>
          <w:rPr>
            <w:rStyle w:val="Internetverknpfung"/>
            <w:lang w:val="el-GR"/>
          </w:rPr>
          <w:t>ὁτι</w:t>
        </w:r>
        <w:r>
          <w:rPr>
            <w:rStyle w:val="Internetverknpfung"/>
          </w:rPr>
          <w:t xml:space="preserve"> recitativum</w:t>
        </w:r>
      </w:hyperlink>
      <w:r>
        <w:rPr/>
        <w:t xml:space="preserve"> unübersetzt gelassen.</w:t>
      </w:r>
    </w:p>
  </w:footnote>
  <w:footnote w:id="4873">
    <w:p>
      <w:pPr>
        <w:pStyle w:val="Funote"/>
        <w:rPr/>
      </w:pPr>
      <w:r>
        <w:rPr/>
        <w:footnoteRef/>
        <w:tab/>
        <w:t>Gewöhnlicher, prospektiver Konditionalsatz; entsprechend in V. 6.</w:t>
      </w:r>
    </w:p>
  </w:footnote>
  <w:footnote w:id="4874">
    <w:p>
      <w:pPr>
        <w:pStyle w:val="Funote"/>
        <w:rPr/>
      </w:pPr>
      <w:r>
        <w:rPr/>
        <w:footnoteRef/>
        <w:tab/>
        <w:t>Wörtlich: „es ist“</w:t>
      </w:r>
    </w:p>
  </w:footnote>
  <w:footnote w:id="4875">
    <w:p>
      <w:pPr>
        <w:pStyle w:val="Funote"/>
        <w:rPr/>
      </w:pPr>
      <w:r>
        <w:rPr>
          <w:i/>
        </w:rPr>
        <w:footnoteRef/>
        <w:tab/>
        <w:t>die in der Stadt [sind]</w:t>
      </w:r>
      <w:r>
        <w:rPr/>
        <w:t xml:space="preserve"> W. „die in ihrer Mitte“. </w:t>
      </w:r>
    </w:p>
  </w:footnote>
  <w:footnote w:id="4876">
    <w:p>
      <w:pPr>
        <w:pStyle w:val="Funote"/>
        <w:rPr/>
      </w:pPr>
      <w:r>
        <w:rPr/>
        <w:footnoteRef/>
        <w:tab/>
        <w:t>in die Stadt gehen W. „in sie hineingehen“.</w:t>
      </w:r>
    </w:p>
  </w:footnote>
  <w:footnote w:id="4877">
    <w:p>
      <w:pPr>
        <w:pStyle w:val="Funote"/>
        <w:rPr/>
      </w:pPr>
      <w:r>
        <w:rPr/>
        <w:footnoteRef/>
        <w:tab/>
        <w:t>Fehlt in wichtigen Handschriften</w:t>
      </w:r>
    </w:p>
  </w:footnote>
  <w:footnote w:id="4878">
    <w:p>
      <w:pPr>
        <w:pStyle w:val="Funote"/>
        <w:rPr/>
      </w:pPr>
      <w:r>
        <w:rPr/>
        <w:footnoteRef/>
        <w:tab/>
        <w:t>Part. präs.</w:t>
      </w:r>
    </w:p>
  </w:footnote>
  <w:footnote w:id="4879">
    <w:p>
      <w:pPr>
        <w:pStyle w:val="Funote"/>
        <w:rPr/>
      </w:pPr>
      <w:r>
        <w:rPr/>
        <w:footnoteRef/>
        <w:tab/>
        <w:t>wörtl. dieser</w:t>
      </w:r>
    </w:p>
  </w:footnote>
  <w:footnote w:id="4880">
    <w:p>
      <w:pPr>
        <w:pStyle w:val="Funote"/>
        <w:rPr/>
      </w:pPr>
      <w:r>
        <w:rPr/>
        <w:footnoteRef/>
        <w:tab/>
        <w:t>Part. präs.</w:t>
      </w:r>
    </w:p>
  </w:footnote>
  <w:footnote w:id="4881">
    <w:p>
      <w:pPr>
        <w:pStyle w:val="Funote"/>
        <w:rPr/>
      </w:pPr>
      <w:r>
        <w:rPr/>
        <w:footnoteRef/>
        <w:tab/>
        <w:t>Part. präs.</w:t>
      </w:r>
    </w:p>
  </w:footnote>
  <w:footnote w:id="4882">
    <w:p>
      <w:pPr>
        <w:pStyle w:val="Funote"/>
        <w:rPr/>
      </w:pPr>
      <w:r>
        <w:rPr/>
        <w:footnoteRef/>
        <w:tab/>
        <w:t>wörtl. Gerechtes</w:t>
      </w:r>
    </w:p>
  </w:footnote>
  <w:footnote w:id="4883">
    <w:p>
      <w:pPr>
        <w:pStyle w:val="Funote"/>
        <w:rPr/>
      </w:pPr>
      <w:r>
        <w:rPr/>
        <w:footnoteRef/>
        <w:tab/>
        <w:t>wörtl. „eine Finsternis“</w:t>
      </w:r>
    </w:p>
  </w:footnote>
  <w:footnote w:id="4884">
    <w:p>
      <w:pPr>
        <w:pStyle w:val="Funote"/>
        <w:rPr/>
      </w:pPr>
      <w:r>
        <w:rPr/>
        <w:footnoteRef/>
        <w:tab/>
        <w:t>wörtl. „Brüste“</w:t>
      </w:r>
    </w:p>
  </w:footnote>
  <w:footnote w:id="4885">
    <w:p>
      <w:pPr>
        <w:pStyle w:val="Funote"/>
        <w:rPr/>
      </w:pPr>
      <w:r>
        <w:rPr/>
        <w:footnoteRef/>
        <w:tab/>
        <w:t xml:space="preserve">Part. Perf. Plur. </w:t>
      </w:r>
    </w:p>
  </w:footnote>
  <w:footnote w:id="4886">
    <w:p>
      <w:pPr>
        <w:pStyle w:val="Funote"/>
        <w:rPr/>
      </w:pPr>
      <w:r>
        <w:rPr/>
        <w:footnoteRef/>
        <w:tab/>
        <w:t>andere Lesart: in euren Herzen</w:t>
      </w:r>
    </w:p>
  </w:footnote>
  <w:footnote w:id="4887">
    <w:p>
      <w:pPr>
        <w:pStyle w:val="Funote"/>
        <w:rPr/>
      </w:pPr>
      <w:r>
        <w:rPr/>
        <w:footnoteRef/>
        <w:tab/>
        <w:t xml:space="preserve">griech </w:t>
      </w:r>
      <w:r>
        <w:rPr>
          <w:lang w:val="el-GR"/>
        </w:rPr>
        <w:t>ὅτι</w:t>
      </w:r>
      <w:r>
        <w:rPr/>
        <w:t xml:space="preserve"> bleibt unübersetzt</w:t>
      </w:r>
    </w:p>
  </w:footnote>
  <w:footnote w:id="4888">
    <w:p>
      <w:pPr>
        <w:pStyle w:val="Funote"/>
        <w:rPr/>
      </w:pPr>
      <w:r>
        <w:rPr/>
        <w:footnoteRef/>
        <w:tab/>
        <w:t>[Status: Ungeprüft]</w:t>
      </w:r>
    </w:p>
  </w:footnote>
  <w:footnote w:id="4889">
    <w:p>
      <w:pPr>
        <w:pStyle w:val="Funote"/>
        <w:rPr/>
      </w:pPr>
      <w:r>
        <w:rPr/>
        <w:footnoteRef/>
        <w:tab/>
        <w:t xml:space="preserve">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w:t>
      </w:r>
      <w:r>
        <w:rPr>
          <w:position w:val="7"/>
          <w:sz w:val="16"/>
        </w:rPr>
        <w:t>²</w:t>
      </w:r>
      <w:r>
        <w:rPr/>
        <w:t xml:space="preserve">1987, 6f.). </w:t>
      </w:r>
    </w:p>
  </w:footnote>
  <w:footnote w:id="4890">
    <w:p>
      <w:pPr>
        <w:pStyle w:val="Funote"/>
        <w:rPr/>
      </w:pPr>
      <w:r>
        <w:rPr>
          <w:i/>
        </w:rPr>
        <w:footnoteRef/>
        <w:tab/>
        <w:t>kann es nicht überwinden</w:t>
      </w:r>
      <w:r>
        <w:rPr/>
        <w:t xml:space="preserve"> So bei Interpretation als gnomischer Aorist. </w:t>
      </w:r>
    </w:p>
  </w:footnote>
  <w:footnote w:id="4891">
    <w:p>
      <w:pPr>
        <w:pStyle w:val="Funote"/>
        <w:rPr/>
      </w:pPr>
      <w:r>
        <w:rPr>
          <w:i/>
        </w:rPr>
        <w:footnoteRef/>
        <w:tab/>
        <w:t>namens Johannes</w:t>
      </w:r>
      <w:r>
        <w:rPr/>
        <w:t xml:space="preserve"> W. „Ihm [war der] Name Johannes.“</w:t>
      </w:r>
    </w:p>
  </w:footnote>
  <w:footnote w:id="4892">
    <w:p>
      <w:pPr>
        <w:pStyle w:val="Funote"/>
        <w:rPr/>
      </w:pPr>
      <w:r>
        <w:rPr>
          <w:i/>
        </w:rPr>
        <w:footnoteRef/>
        <w:tab/>
        <w:t>Er</w:t>
      </w:r>
      <w:r>
        <w:rPr/>
        <w:t xml:space="preserve">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 </w:t>
      </w:r>
    </w:p>
  </w:footnote>
  <w:footnote w:id="4893">
    <w:p>
      <w:pPr>
        <w:pStyle w:val="Funote"/>
        <w:rPr/>
      </w:pPr>
      <w:r>
        <w:rPr>
          <w:i/>
        </w:rPr>
        <w:footnoteRef/>
        <w:tab/>
        <w:t>denen, die an seinen Namen glauben (glaubten)</w:t>
      </w:r>
      <w:r>
        <w:rPr/>
        <w:t xml:space="preserve"> Subst. Ptz., als Relativsatz aufgelöst. </w:t>
      </w:r>
    </w:p>
  </w:footnote>
  <w:footnote w:id="4894">
    <w:p>
      <w:pPr>
        <w:pStyle w:val="Funote"/>
        <w:rPr/>
      </w:pPr>
      <w:r>
        <w:rPr>
          <w:i/>
        </w:rPr>
        <w:footnoteRef/>
        <w:tab/>
        <w:t>fleischlichem Willen</w:t>
      </w:r>
      <w:r>
        <w:rPr/>
        <w:t xml:space="preserve"> (W. „Willen [des] Fleisches“) und </w:t>
      </w:r>
      <w:r>
        <w:rPr>
          <w:i/>
        </w:rPr>
        <w:t>menschlichem Willen</w:t>
      </w:r>
      <w:r>
        <w:rPr/>
        <w:t xml:space="preserve"> (W. „Willen eines Mannes/Menschen“): epexegetischer bzw. subjektiver Genitiv. </w:t>
      </w:r>
    </w:p>
  </w:footnote>
  <w:footnote w:id="4895">
    <w:p>
      <w:pPr>
        <w:pStyle w:val="Funote"/>
        <w:rPr/>
      </w:pPr>
      <w:r>
        <w:rPr>
          <w:i/>
        </w:rPr>
        <w:footnoteRef/>
        <w:tab/>
        <w:t>die Worte (sagend)</w:t>
      </w:r>
      <w:r>
        <w:rPr/>
        <w:t xml:space="preserve"> Sinngemäße Wiedergabe des modalen adv. Ptz. </w:t>
      </w:r>
      <w:r>
        <w:rPr>
          <w:lang w:val="el-GR"/>
        </w:rPr>
        <w:t>λέγων</w:t>
      </w:r>
      <w:r>
        <w:rPr/>
        <w:t xml:space="preserve">, dessen Zweck die Markierung des Inhalts wörtlicher Rede ist. Nach „rief“ ist im Deutschen kein zweites solches Wort nötig. </w:t>
      </w:r>
    </w:p>
  </w:footnote>
  <w:footnote w:id="4896">
    <w:p>
      <w:pPr>
        <w:pStyle w:val="Funote"/>
        <w:rPr/>
      </w:pPr>
      <w:r>
        <w:rPr/>
        <w:footnoteRef/>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4897">
    <w:p>
      <w:pPr>
        <w:pStyle w:val="Funote"/>
        <w:rPr/>
      </w:pPr>
      <w:r>
        <w:rPr>
          <w:i/>
        </w:rPr>
        <w:footnoteRef/>
        <w:tab/>
        <w:t>[Der] einzige (einzigartige) Gott (Sohn)</w:t>
      </w:r>
      <w:r>
        <w:rPr/>
        <w:t xml:space="preserve"> Die Syntax ist hier kompliziert. Zur textkritischen Entscheidung zwischen </w:t>
      </w:r>
      <w:r>
        <w:rPr>
          <w:i/>
        </w:rPr>
        <w:t>Gott</w:t>
      </w:r>
      <w:r>
        <w:rPr/>
        <w:t xml:space="preserve"> und </w:t>
      </w:r>
      <w:r>
        <w:rPr>
          <w:i/>
        </w:rPr>
        <w:t>Sohn</w:t>
      </w:r>
      <w:r>
        <w:rPr/>
        <w:t xml:space="preserve"> s. die vorherige Fußnote. Die gegenwärtige Übersetzung geht </w:t>
      </w:r>
    </w:p>
  </w:footnote>
  <w:footnote w:id="4898">
    <w:p>
      <w:pPr>
        <w:pStyle w:val="Funote"/>
        <w:rPr/>
      </w:pPr>
      <w:r>
        <w:rPr/>
        <w:footnoteRef/>
        <w:tab/>
        <w:t xml:space="preserve">NA27 klammert </w:t>
      </w:r>
      <w:r>
        <w:rPr>
          <w:lang w:val="el-GR"/>
        </w:rPr>
        <w:t>πρὸς αὐτὸν</w:t>
      </w:r>
      <w:r>
        <w:rPr/>
        <w:t xml:space="preserve"> (zu ihm) ein. Es gibt sowohl wichtige Textzeugen, in denen diese Worte fehlen (z.B. P66*, P75), wie auch solche, die sie enthalten (z.B. B).</w:t>
      </w:r>
    </w:p>
  </w:footnote>
  <w:footnote w:id="4899">
    <w:p>
      <w:pPr>
        <w:pStyle w:val="Funote"/>
        <w:rPr/>
      </w:pPr>
      <w:r>
        <w:rPr/>
        <w:footnoteRef/>
        <w:tab/>
        <w:t>Cf. Vers 15.</w:t>
      </w:r>
    </w:p>
  </w:footnote>
  <w:footnote w:id="4900">
    <w:p>
      <w:pPr>
        <w:pStyle w:val="Funote"/>
        <w:rPr/>
      </w:pPr>
      <w:r>
        <w:rPr/>
        <w:footnoteRef/>
        <w:tab/>
        <w:t xml:space="preserve">Die meisten Textzeugen haben </w:t>
      </w:r>
      <w:r>
        <w:rPr>
          <w:lang w:val="el-GR"/>
        </w:rPr>
        <w:t>υἱὸς</w:t>
      </w:r>
      <w:r>
        <w:rPr/>
        <w:t xml:space="preserve"> (Sohn), nur einige wenige haben </w:t>
      </w:r>
      <w:r>
        <w:rPr>
          <w:lang w:val="el-GR"/>
        </w:rPr>
        <w:t>ἐκλεκτός</w:t>
      </w:r>
      <w:r>
        <w:rPr/>
        <w:t xml:space="preserve"> (Erwählte). Für eine gute Zusammenfassung der Gründe, die trotzdem für die Lesart </w:t>
      </w:r>
      <w:r>
        <w:rPr>
          <w:lang w:val="el-GR"/>
        </w:rPr>
        <w:t>ἐκλεκτός</w:t>
      </w:r>
      <w:r>
        <w:rPr/>
        <w:t xml:space="preserve"> sprechen, cf. John F. McHugh, John 1-4: A Critical and Exegetical Commentary, S. 141-143.</w:t>
      </w:r>
    </w:p>
  </w:footnote>
  <w:footnote w:id="4901">
    <w:p>
      <w:pPr>
        <w:pStyle w:val="Funote"/>
        <w:rPr/>
      </w:pPr>
      <w:r>
        <w:rPr/>
        <w:footnoteRef/>
        <w:tab/>
        <w:t xml:space="preserve">Der griechische Text ist zweideutig, da </w:t>
      </w:r>
      <w:r>
        <w:rPr>
          <w:lang w:val="el-GR"/>
        </w:rPr>
        <w:t>αὐτοῦ</w:t>
      </w:r>
      <w:r>
        <w:rPr/>
        <w:t xml:space="preserve"> sich sowohl auf </w:t>
      </w:r>
      <w:r>
        <w:rPr>
          <w:lang w:val="el-GR"/>
        </w:rPr>
        <w:t>οἱ δύο μαθηταὶ</w:t>
      </w:r>
      <w:r>
        <w:rPr/>
        <w:t xml:space="preserve"> (dann „seine zwei Jünger“) als auch auf </w:t>
      </w:r>
      <w:r>
        <w:rPr>
          <w:lang w:val="el-GR"/>
        </w:rPr>
        <w:t>λαλοῦντος</w:t>
      </w:r>
      <w:r>
        <w:rPr/>
        <w:t xml:space="preserve"> (dann „die beiden Jünger“) beziehen kann.</w:t>
      </w:r>
    </w:p>
  </w:footnote>
  <w:footnote w:id="4902">
    <w:p>
      <w:pPr>
        <w:pStyle w:val="Funote"/>
        <w:rPr/>
      </w:pPr>
      <w:r>
        <w:rPr/>
        <w:footnoteRef/>
        <w:tab/>
        <w:t>Die Antwort Nathanaëls ist nicht notwendigerweise skeptisch zu verstehen. Cf. John F. McHugh, John 1-4: A Critical and Exegetical Commentary, S. 160 f.</w:t>
      </w:r>
    </w:p>
  </w:footnote>
  <w:footnote w:id="4903">
    <w:p>
      <w:pPr>
        <w:pStyle w:val="Funote"/>
        <w:rPr/>
      </w:pPr>
      <w:r>
        <w:rPr/>
        <w:footnoteRef/>
        <w:tab/>
        <w:t>Kann auch als Aussagesatz übersetzt werden. Cf. John F. McHugh, John 1-4: A Critical and Exegetical Commentary, S. 164.</w:t>
      </w:r>
    </w:p>
  </w:footnote>
  <w:footnote w:id="4904">
    <w:p>
      <w:pPr>
        <w:pStyle w:val="Funote"/>
        <w:rPr/>
      </w:pPr>
      <w:r>
        <w:rPr/>
        <w:footnoteRef/>
        <w:tab/>
        <w:t>[Status: Ungeprüft]</w:t>
      </w:r>
    </w:p>
  </w:footnote>
  <w:footnote w:id="4905">
    <w:p>
      <w:pPr>
        <w:pStyle w:val="Funote"/>
        <w:rPr/>
      </w:pPr>
      <w:r>
        <w:rPr/>
        <w:footnoteRef/>
        <w:tab/>
        <w:t xml:space="preserve">Bei dem Ausdruck </w:t>
      </w:r>
      <w:r>
        <w:rPr>
          <w:lang w:val="el-GR"/>
        </w:rPr>
        <w:t>Τί ἐμοὶ καὶ σοί</w:t>
      </w:r>
      <w:r>
        <w:rPr/>
        <w:t xml:space="preserve"> handelt es sich um einen semitisch-biblischen ideomatischen Ausdruck, der in der Regel eine (scharfe oder auch einfach sachliche) Zurückweisung eines Anspruchs oder einer einen selbst betreffenden Handlung eines anderen ausdrückt. Wörtlich wird in dieser Formulierung auf die Beziehung abgehoben, die einen entsprechenden Anspruch/ein entsprechendes Handeln/Verhalten nicht rechtfertigt. </w:t>
      </w:r>
      <w:r>
        <w:rPr>
          <w:lang w:val="el-GR"/>
        </w:rPr>
        <w:t>γύναι</w:t>
      </w:r>
      <w:r>
        <w:rPr/>
        <w:t xml:space="preserve"> (Frau) ist durchaus respektvoll, aber ungewöhnlich als Anrede eines Sohns gegenüber der Mutter. Cf. John F. McHugh, John 1-4: A Critical and Exegetical Commentary, S. 176, 180-182.</w:t>
      </w:r>
    </w:p>
  </w:footnote>
  <w:footnote w:id="4906">
    <w:p>
      <w:pPr>
        <w:pStyle w:val="Funote"/>
        <w:rPr/>
      </w:pPr>
      <w:r>
        <w:rPr/>
        <w:footnoteRef/>
        <w:tab/>
        <w:t>Da das attische Maß fast 40 Litern entspricht, fasste jeder der Krüge also zwischen (knapp) 80 und 120 Liter.</w:t>
      </w:r>
    </w:p>
  </w:footnote>
  <w:footnote w:id="4907">
    <w:p>
      <w:pPr>
        <w:pStyle w:val="Funote"/>
        <w:rPr/>
      </w:pPr>
      <w:r>
        <w:rPr/>
        <w:footnoteRef/>
        <w:tab/>
        <w:t>D.h. alle Händler.</w:t>
      </w:r>
    </w:p>
  </w:footnote>
  <w:footnote w:id="4908">
    <w:p>
      <w:pPr>
        <w:pStyle w:val="Funote"/>
        <w:rPr/>
      </w:pPr>
      <w:r>
        <w:rPr/>
        <w:footnoteRef/>
        <w:tab/>
        <w:t xml:space="preserve">Cf. Ps 69,10a. Das Zitat ist fast wörtlich aus der Septuaginta übernommen: Nur der Aorist </w:t>
      </w:r>
      <w:r>
        <w:rPr>
          <w:lang w:val="el-GR"/>
        </w:rPr>
        <w:t>κατέφαγέν</w:t>
      </w:r>
      <w:r>
        <w:rPr/>
        <w:t xml:space="preserve"> (eine Vergangheitsform) von „verzehren“ ist in das Futur </w:t>
      </w:r>
      <w:r>
        <w:rPr>
          <w:lang w:val="el-GR"/>
        </w:rPr>
        <w:t>καταφάγεταί</w:t>
      </w:r>
      <w:r>
        <w:rPr/>
        <w:t xml:space="preserve"> geändert.</w:t>
      </w:r>
    </w:p>
  </w:footnote>
  <w:footnote w:id="4909">
    <w:p>
      <w:pPr>
        <w:pStyle w:val="Funote"/>
        <w:rPr/>
      </w:pPr>
      <w:r>
        <w:rPr/>
        <w:footnoteRef/>
        <w:tab/>
        <w:t>[Status: Ungeprüft]</w:t>
      </w:r>
    </w:p>
  </w:footnote>
  <w:footnote w:id="4910">
    <w:p>
      <w:pPr>
        <w:pStyle w:val="Funote"/>
        <w:rPr/>
      </w:pPr>
      <w:r>
        <w:rPr/>
        <w:footnoteRef/>
        <w:tab/>
        <w:t>Die meisten modernen Exegeten und Bibelübersetzungen lassen die Rede des Johannes hier enden. Was folgt ist dann ein Kommentar des Evangelisten, möglicherweise im Namen Jesu. Einige Exegeten, darunter u.a. Bultmann und Schnackenburg, gehen darüberhinaus davon aus, daß auch die jetzige Position im Text nicht die ursprüngliche ist. Cf. John F. McHugh, John 1-4: A Critical and Exegetical Commentary, S. 252 f.</w:t>
      </w:r>
    </w:p>
  </w:footnote>
  <w:footnote w:id="4911">
    <w:p>
      <w:pPr>
        <w:pStyle w:val="Funote"/>
        <w:rPr/>
      </w:pPr>
      <w:r>
        <w:rPr/>
        <w:footnoteRef/>
        <w:tab/>
        <w:t>D.h. Gott.</w:t>
      </w:r>
    </w:p>
  </w:footnote>
  <w:footnote w:id="4912">
    <w:p>
      <w:pPr>
        <w:pStyle w:val="Funote"/>
        <w:rPr/>
      </w:pPr>
      <w:r>
        <w:rPr/>
        <w:footnoteRef/>
        <w:tab/>
        <w:t>[Status: Ungeprüft]</w:t>
      </w:r>
    </w:p>
  </w:footnote>
  <w:footnote w:id="4913">
    <w:p>
      <w:pPr>
        <w:pStyle w:val="Funote"/>
        <w:rPr/>
      </w:pPr>
      <w:r>
        <w:rPr/>
        <w:footnoteRef/>
        <w:tab/>
        <w:t>Partizip zu Nebensatz aufgelöst</w:t>
      </w:r>
    </w:p>
  </w:footnote>
  <w:footnote w:id="4914">
    <w:p>
      <w:pPr>
        <w:pStyle w:val="Funote"/>
        <w:rPr/>
      </w:pPr>
      <w:r>
        <w:rPr/>
        <w:footnoteRef/>
        <w:tab/>
        <w:t>[Status: Ungeprüft]</w:t>
      </w:r>
    </w:p>
  </w:footnote>
  <w:footnote w:id="4915">
    <w:p>
      <w:pPr>
        <w:pStyle w:val="Funote"/>
        <w:rPr/>
      </w:pPr>
      <w:r>
        <w:rPr/>
        <w:footnoteRef/>
        <w:tab/>
        <w:t>Wörtlich (in nicht existierendem Deutsch): „beim Schafigen“ (bzw. genauer „bei der Schafigen“). Es wird also irgend etwas erwähnt, was in in besonderer Weise mit Schafen zu tun hat. Da es in Jerusalem ein Schafstor gab (cf. Neh 3,1. 32; 12,39), ist es naheliegend, daß hier von diesem Tor die Rede ist.</w:t>
      </w:r>
    </w:p>
  </w:footnote>
  <w:footnote w:id="4916">
    <w:p>
      <w:pPr>
        <w:pStyle w:val="Funote"/>
        <w:rPr/>
      </w:pPr>
      <w:r>
        <w:rPr/>
        <w:footnoteRef/>
        <w:tab/>
        <w:t xml:space="preserve">Die Übersetzung folgt dem Text von NA28, wo </w:t>
      </w:r>
      <w:r>
        <w:rPr>
          <w:lang w:val="el-GR"/>
        </w:rPr>
        <w:t>Βηθζαθά</w:t>
      </w:r>
      <w:r>
        <w:rPr/>
        <w:t xml:space="preserve"> als die wahrscheinlichste, wenn auch unsichere Lesart gewählt wurde. Für die Lesart </w:t>
      </w:r>
      <w:r>
        <w:rPr>
          <w:lang w:val="el-GR"/>
        </w:rPr>
        <w:t>Βηθεσδά</w:t>
      </w:r>
      <w:r>
        <w:rPr/>
        <w:t xml:space="preserve"> (Betesda) wurde in den letzten Jahren oft die externe Evidenz der Kupferrolle angeführt. In der neuesten wissenschaftlichen Edition der Kupferrolle hat diese Lesart aber keinen Rückhalt mehr. Cf. Reinhart Ceulemans, "The Name of the Pool in Joh 5,2. A Text-Critical Note Concerning 3Q15" ZNW 99 (2008) 112-15</w:t>
      </w:r>
    </w:p>
  </w:footnote>
  <w:footnote w:id="4917">
    <w:p>
      <w:pPr>
        <w:pStyle w:val="Funote"/>
        <w:rPr/>
      </w:pPr>
      <w:r>
        <w:rPr/>
        <w:footnoteRef/>
        <w:tab/>
        <w:t>Bei diesem Vers, wie bei einem hier ebenfalls nicht übersetzten zweiten Teil von Vers 3, handelt es sich wohl um spätere erläuternde Zusätze zum ursprünglichen Text.</w:t>
      </w:r>
    </w:p>
  </w:footnote>
  <w:footnote w:id="4918">
    <w:p>
      <w:pPr>
        <w:pStyle w:val="Funote"/>
        <w:rPr/>
      </w:pPr>
      <w:r>
        <w:rPr/>
        <w:footnoteRef/>
        <w:tab/>
        <w:t xml:space="preserve">NA28 hat </w:t>
      </w:r>
      <w:r>
        <w:rPr>
          <w:lang w:val="el-GR"/>
        </w:rPr>
        <w:t>ὁ δὲ Ἰησοῦς</w:t>
      </w:r>
      <w:r>
        <w:rPr/>
        <w:t xml:space="preserve">, d.h. "Jesus aber antwortete ...", wobei als Anzeige der Unsicherheit der Lesart </w:t>
      </w:r>
      <w:r>
        <w:rPr>
          <w:lang w:val="el-GR"/>
        </w:rPr>
        <w:t>Ἰησοῦς</w:t>
      </w:r>
      <w:r>
        <w:rPr/>
        <w:t xml:space="preserve"> in eckige Klammern gesetzt wurde. </w:t>
      </w:r>
      <w:r>
        <w:rPr>
          <w:lang w:val="el-GR"/>
        </w:rPr>
        <w:t>Ἰησοῦς</w:t>
      </w:r>
      <w:r>
        <w:rPr/>
        <w:t xml:space="preserve"> fehlt aber u.a. in p75 ‭</w:t>
      </w:r>
      <w:r>
        <w:rPr>
          <w:lang w:bidi="he-IL"/>
        </w:rPr>
        <w:t>א</w:t>
      </w:r>
      <w:r>
        <w:rPr/>
        <w:t xml:space="preserve"> </w:t>
      </w:r>
      <w:r>
        <w:rPr/>
        <w:t xml:space="preserve">B W. Beide Varianten sind vertretbar, bei der Aufnahme von </w:t>
      </w:r>
      <w:r>
        <w:rPr>
          <w:lang w:val="el-GR"/>
        </w:rPr>
        <w:t>Ἰησοῦς</w:t>
      </w:r>
      <w:r>
        <w:rPr/>
        <w:t xml:space="preserve"> in eckigen Klammern handelte es sich um einen Kompromiss unter den Mitgliedern des Komitees, cf. Metzger, Bruce M., United Bible Societies (1994). A Textual Commentary on the Greek New Testament. Sachlich machen die beiden Lesarten keinen Unterschied.</w:t>
      </w:r>
    </w:p>
  </w:footnote>
  <w:footnote w:id="4919">
    <w:p>
      <w:pPr>
        <w:pStyle w:val="Funote"/>
        <w:rPr/>
      </w:pPr>
      <w:r>
        <w:rPr/>
        <w:footnoteRef/>
        <w:tab/>
        <w:t>[Status: Ungeprüft]</w:t>
      </w:r>
    </w:p>
  </w:footnote>
  <w:footnote w:id="4920">
    <w:p>
      <w:pPr>
        <w:pStyle w:val="Funote"/>
        <w:rPr/>
      </w:pPr>
      <w:r>
        <w:rPr/>
        <w:footnoteRef/>
        <w:tab/>
        <w:t>Partizip</w:t>
      </w:r>
    </w:p>
  </w:footnote>
  <w:footnote w:id="4921">
    <w:p>
      <w:pPr>
        <w:pStyle w:val="Funote"/>
        <w:rPr/>
      </w:pPr>
      <w:r>
        <w:rPr/>
        <w:footnoteRef/>
        <w:tab/>
        <w:t>Partizip Aorist</w:t>
      </w:r>
    </w:p>
  </w:footnote>
  <w:footnote w:id="4922">
    <w:p>
      <w:pPr>
        <w:pStyle w:val="Funote"/>
        <w:rPr/>
      </w:pPr>
      <w:r>
        <w:rPr/>
        <w:footnoteRef/>
        <w:tab/>
        <w:t>Partizip Aorist</w:t>
      </w:r>
    </w:p>
  </w:footnote>
  <w:footnote w:id="4923">
    <w:p>
      <w:pPr>
        <w:pStyle w:val="Funote"/>
        <w:rPr/>
      </w:pPr>
      <w:r>
        <w:rPr/>
        <w:footnoteRef/>
        <w:tab/>
        <w:t>Partizip Präs.</w:t>
      </w:r>
    </w:p>
  </w:footnote>
  <w:footnote w:id="4924">
    <w:p>
      <w:pPr>
        <w:pStyle w:val="Funote"/>
        <w:rPr/>
      </w:pPr>
      <w:r>
        <w:rPr/>
        <w:footnoteRef/>
        <w:tab/>
        <w:t>Genitivus pretii</w:t>
      </w:r>
    </w:p>
  </w:footnote>
  <w:footnote w:id="4925">
    <w:p>
      <w:pPr>
        <w:pStyle w:val="Funote"/>
        <w:rPr/>
      </w:pPr>
      <w:r>
        <w:rPr/>
        <w:footnoteRef/>
        <w:tab/>
        <w:t>Neutr. Pl.</w:t>
      </w:r>
    </w:p>
  </w:footnote>
  <w:footnote w:id="4926">
    <w:p>
      <w:pPr>
        <w:pStyle w:val="Funote"/>
        <w:rPr/>
      </w:pPr>
      <w:r>
        <w:rPr/>
        <w:footnoteRef/>
        <w:tab/>
        <w:t>Partizip Aor., temporal aufgelöst</w:t>
      </w:r>
    </w:p>
  </w:footnote>
  <w:footnote w:id="4927">
    <w:p>
      <w:pPr>
        <w:pStyle w:val="Funote"/>
        <w:rPr/>
      </w:pPr>
      <w:r>
        <w:rPr/>
        <w:footnoteRef/>
        <w:tab/>
        <w:t>wörtl.: übrig seiend, Partizip Aorist</w:t>
      </w:r>
    </w:p>
  </w:footnote>
  <w:footnote w:id="4928">
    <w:p>
      <w:pPr>
        <w:pStyle w:val="Funote"/>
        <w:rPr/>
      </w:pPr>
      <w:r>
        <w:rPr/>
        <w:footnoteRef/>
        <w:tab/>
        <w:t>wörtl.: nicht etwas</w:t>
      </w:r>
    </w:p>
  </w:footnote>
  <w:footnote w:id="4929">
    <w:p>
      <w:pPr>
        <w:pStyle w:val="Funote"/>
        <w:rPr/>
      </w:pPr>
      <w:r>
        <w:rPr/>
        <w:footnoteRef/>
        <w:tab/>
        <w:t>Partizip Perf.</w:t>
      </w:r>
    </w:p>
  </w:footnote>
  <w:footnote w:id="4930">
    <w:p>
      <w:pPr>
        <w:pStyle w:val="Funote"/>
        <w:rPr/>
      </w:pPr>
      <w:r>
        <w:rPr/>
        <w:footnoteRef/>
        <w:tab/>
        <w:t>Partizip Aor.</w:t>
      </w:r>
    </w:p>
  </w:footnote>
  <w:footnote w:id="4931">
    <w:p>
      <w:pPr>
        <w:pStyle w:val="Funote"/>
        <w:rPr/>
      </w:pPr>
      <w:r>
        <w:rPr/>
        <w:footnoteRef/>
        <w:tab/>
        <w:t>oti zitativum</w:t>
      </w:r>
    </w:p>
  </w:footnote>
  <w:footnote w:id="4932">
    <w:p>
      <w:pPr>
        <w:pStyle w:val="Funote"/>
        <w:rPr/>
      </w:pPr>
      <w:r>
        <w:rPr/>
        <w:footnoteRef/>
        <w:tab/>
        <w:t>Partizip Aor.</w:t>
      </w:r>
    </w:p>
  </w:footnote>
  <w:footnote w:id="4933">
    <w:p>
      <w:pPr>
        <w:pStyle w:val="Funote"/>
        <w:rPr/>
      </w:pPr>
      <w:r>
        <w:rPr/>
        <w:footnoteRef/>
        <w:tab/>
        <w:t>Partizip Aor.</w:t>
      </w:r>
    </w:p>
  </w:footnote>
  <w:footnote w:id="4934">
    <w:p>
      <w:pPr>
        <w:pStyle w:val="Funote"/>
        <w:rPr/>
      </w:pPr>
      <w:r>
        <w:rPr/>
        <w:footnoteRef/>
        <w:tab/>
        <w:t>ein kleineres Fahrzeug, im klass. Griechentum mit Segel, hier offenbar ein Ruderboot, vgl. V. 19</w:t>
      </w:r>
    </w:p>
  </w:footnote>
  <w:footnote w:id="4935">
    <w:p>
      <w:pPr>
        <w:pStyle w:val="Funote"/>
        <w:rPr/>
      </w:pPr>
      <w:r>
        <w:rPr/>
        <w:footnoteRef/>
        <w:tab/>
        <w:t>wörtl.: geworden</w:t>
      </w:r>
    </w:p>
  </w:footnote>
  <w:footnote w:id="4936">
    <w:p>
      <w:pPr>
        <w:pStyle w:val="Funote"/>
        <w:rPr/>
      </w:pPr>
      <w:r>
        <w:rPr/>
        <w:footnoteRef/>
        <w:tab/>
        <w:t>Partizip Präs.</w:t>
      </w:r>
    </w:p>
  </w:footnote>
  <w:footnote w:id="4937">
    <w:p>
      <w:pPr>
        <w:pStyle w:val="Funote"/>
        <w:rPr/>
      </w:pPr>
      <w:r>
        <w:rPr/>
        <w:footnoteRef/>
        <w:tab/>
        <w:t>Partizip Perf., temporal aufgel.</w:t>
      </w:r>
    </w:p>
  </w:footnote>
  <w:footnote w:id="4938">
    <w:p>
      <w:pPr>
        <w:pStyle w:val="Funote"/>
        <w:rPr/>
      </w:pPr>
      <w:r>
        <w:rPr/>
        <w:footnoteRef/>
        <w:tab/>
        <w:t>Längenmaß = 192m, also 4,8 - 5,8 km</w:t>
      </w:r>
    </w:p>
  </w:footnote>
  <w:footnote w:id="4939">
    <w:p>
      <w:pPr>
        <w:pStyle w:val="Funote"/>
        <w:rPr/>
      </w:pPr>
      <w:r>
        <w:rPr/>
        <w:footnoteRef/>
        <w:tab/>
        <w:t>Partizip</w:t>
      </w:r>
    </w:p>
  </w:footnote>
  <w:footnote w:id="4940">
    <w:p>
      <w:pPr>
        <w:pStyle w:val="Funote"/>
        <w:rPr/>
      </w:pPr>
      <w:r>
        <w:rPr/>
        <w:footnoteRef/>
        <w:tab/>
        <w:t>Partizip</w:t>
      </w:r>
    </w:p>
  </w:footnote>
  <w:footnote w:id="4941">
    <w:p>
      <w:pPr>
        <w:pStyle w:val="Funote"/>
        <w:rPr/>
      </w:pPr>
      <w:r>
        <w:rPr/>
        <w:footnoteRef/>
        <w:tab/>
        <w:t>Im Griechischen Plural.</w:t>
      </w:r>
    </w:p>
  </w:footnote>
  <w:footnote w:id="4942">
    <w:p>
      <w:pPr>
        <w:pStyle w:val="Funote"/>
        <w:rPr/>
      </w:pPr>
      <w:r>
        <w:rPr/>
        <w:footnoteRef/>
        <w:tab/>
        <w:t>Wie Vers 17 spricht Vers 22 von der anderen Seite des Sees (</w:t>
      </w:r>
      <w:r>
        <w:rPr>
          <w:lang w:val="el-GR"/>
        </w:rPr>
        <w:t>πέραν τῆς θαλάσσης</w:t>
      </w:r>
      <w:r>
        <w:rPr/>
        <w:t xml:space="preserve">). Die folgenden Verse verdeutlichen, daß zwischen den Versen der Bezugspunkt gewechselt wurde und in Vers 22 von der Stelle die Rede ist, wo das Brotwunder stattfand. </w:t>
      </w:r>
    </w:p>
  </w:footnote>
  <w:footnote w:id="4943">
    <w:p>
      <w:pPr>
        <w:pStyle w:val="Funote"/>
        <w:rPr/>
      </w:pPr>
      <w:r>
        <w:rPr/>
        <w:footnoteRef/>
        <w:tab/>
        <w:t xml:space="preserve">Im griechischen Text steht das Imperfekt </w:t>
      </w:r>
      <w:r>
        <w:rPr>
          <w:lang w:val="el-GR"/>
        </w:rPr>
        <w:t>ἦν</w:t>
      </w:r>
      <w:r>
        <w:rPr/>
        <w:t>, das nach Verben der Wahrnehmung und Glaubens auch für ein Plusquamperfekt stehen kann. Cf. James Hope Moulton, Wilbert Francis Howard, Nigel Turner, A Grammar of New Testament Greek: Volume 3: Syntax, S. 67.</w:t>
      </w:r>
    </w:p>
  </w:footnote>
  <w:footnote w:id="4944">
    <w:p>
      <w:pPr>
        <w:pStyle w:val="Funote"/>
        <w:rPr/>
      </w:pPr>
      <w:r>
        <w:rPr/>
        <w:footnoteRef/>
        <w:tab/>
        <w:t>Werk Gottes: Es fällt auf, dass hier die "Werke Gottes" (V. 27) im Singular aufgegriffen werden: das ist die eine Sache, die ihr tun sollt.</w:t>
      </w:r>
    </w:p>
  </w:footnote>
  <w:footnote w:id="4945">
    <w:p>
      <w:pPr>
        <w:pStyle w:val="Funote"/>
        <w:rPr/>
      </w:pPr>
      <w:r>
        <w:rPr/>
        <w:footnoteRef/>
        <w:tab/>
        <w:t>Partizip, relativisch aufgelöst</w:t>
      </w:r>
    </w:p>
  </w:footnote>
  <w:footnote w:id="4946">
    <w:p>
      <w:pPr>
        <w:pStyle w:val="Funote"/>
        <w:rPr/>
      </w:pPr>
      <w:r>
        <w:rPr/>
        <w:footnoteRef/>
        <w:tab/>
        <w:t>Partizip, relativisch aufgelöst</w:t>
      </w:r>
    </w:p>
  </w:footnote>
  <w:footnote w:id="4947">
    <w:p>
      <w:pPr>
        <w:pStyle w:val="Funote"/>
        <w:rPr/>
      </w:pPr>
      <w:r>
        <w:rPr/>
        <w:footnoteRef/>
        <w:tab/>
        <w:t>Partizip</w:t>
      </w:r>
    </w:p>
  </w:footnote>
  <w:footnote w:id="4948">
    <w:p>
      <w:pPr>
        <w:pStyle w:val="Funote"/>
        <w:rPr/>
      </w:pPr>
      <w:r>
        <w:rPr/>
        <w:footnoteRef/>
        <w:tab/>
        <w:t>Part. präs.</w:t>
      </w:r>
    </w:p>
  </w:footnote>
  <w:footnote w:id="4949">
    <w:p>
      <w:pPr>
        <w:pStyle w:val="Funote"/>
        <w:rPr/>
      </w:pPr>
      <w:r>
        <w:rPr/>
        <w:footnoteRef/>
        <w:tab/>
        <w:t>Part. präs.</w:t>
      </w:r>
    </w:p>
  </w:footnote>
  <w:footnote w:id="4950">
    <w:p>
      <w:pPr>
        <w:pStyle w:val="Funote"/>
        <w:rPr/>
      </w:pPr>
      <w:r>
        <w:rPr/>
        <w:footnoteRef/>
        <w:tab/>
        <w:t>Part. präs.</w:t>
      </w:r>
    </w:p>
  </w:footnote>
  <w:footnote w:id="4951">
    <w:p>
      <w:pPr>
        <w:pStyle w:val="Funote"/>
        <w:rPr/>
      </w:pPr>
      <w:r>
        <w:rPr/>
        <w:footnoteRef/>
        <w:tab/>
        <w:t>Griech. Singular mit Rückbezug auf „Worte“ neutr. plur.</w:t>
      </w:r>
    </w:p>
  </w:footnote>
  <w:footnote w:id="4952">
    <w:p>
      <w:pPr>
        <w:pStyle w:val="Funote"/>
        <w:rPr/>
      </w:pPr>
      <w:r>
        <w:rPr/>
        <w:footnoteRef/>
        <w:tab/>
        <w:t>Part. präs.</w:t>
      </w:r>
    </w:p>
  </w:footnote>
  <w:footnote w:id="4953">
    <w:p>
      <w:pPr>
        <w:pStyle w:val="Funote"/>
        <w:rPr/>
      </w:pPr>
      <w:r>
        <w:rPr/>
        <w:footnoteRef/>
        <w:tab/>
        <w:t>Part. präs.</w:t>
      </w:r>
    </w:p>
  </w:footnote>
  <w:footnote w:id="4954">
    <w:p>
      <w:pPr>
        <w:pStyle w:val="Funote"/>
        <w:rPr/>
      </w:pPr>
      <w:r>
        <w:rPr/>
        <w:footnoteRef/>
        <w:tab/>
        <w:t>[Status: Ungeprüft]</w:t>
      </w:r>
    </w:p>
  </w:footnote>
  <w:footnote w:id="4955">
    <w:p>
      <w:pPr>
        <w:pStyle w:val="Funote"/>
        <w:rPr/>
      </w:pPr>
      <w:r>
        <w:rPr>
          <w:lang w:val="el-GR"/>
        </w:rPr>
        <w:footnoteRef/>
        <w:tab/>
        <w:t>οὐκ</w:t>
      </w:r>
      <w:r>
        <w:rPr/>
        <w:t xml:space="preserve"> (nicht; wie in der Übersetzung und NA27) findet sich u.a. in </w:t>
      </w:r>
      <w:r>
        <w:rPr>
          <w:rtl w:val="true"/>
          <w:lang w:bidi="he-IL"/>
        </w:rPr>
        <w:t>א</w:t>
      </w:r>
      <w:r>
        <w:rPr/>
        <w:t xml:space="preserve"> </w:t>
      </w:r>
      <w:r>
        <w:rPr/>
        <w:t xml:space="preserve">D ita. Die alternative Lesart </w:t>
      </w:r>
      <w:r>
        <w:rPr>
          <w:lang w:val="el-GR"/>
        </w:rPr>
        <w:t>οὔπω</w:t>
      </w:r>
      <w:r>
        <w:rPr/>
        <w:t xml:space="preserve"> (noch nicht) findet sich u.a. in p66 p75 B und damit schon relativ früh. Da aber die „Korrektur“ von </w:t>
      </w:r>
      <w:r>
        <w:rPr>
          <w:lang w:val="el-GR"/>
        </w:rPr>
        <w:t>οὐκ</w:t>
      </w:r>
      <w:r>
        <w:rPr/>
        <w:t xml:space="preserve"> zu </w:t>
      </w:r>
      <w:r>
        <w:rPr>
          <w:lang w:val="el-GR"/>
        </w:rPr>
        <w:t>οὔπω</w:t>
      </w:r>
      <w:r>
        <w:rPr/>
        <w:t xml:space="preserve"> leicht zu erklären ist (Angleichung an V. 10, Vermeidung des Eindrucks, daß Jesus lügt), wäre die umgekehrte Veränderung kaum zu erklären.</w:t>
      </w:r>
    </w:p>
  </w:footnote>
  <w:footnote w:id="4956">
    <w:p>
      <w:pPr>
        <w:pStyle w:val="Funote"/>
        <w:rPr/>
      </w:pPr>
      <w:r>
        <w:rPr/>
        <w:footnoteRef/>
        <w:tab/>
        <w:t>D.h. den Willen dessen, der Jesus gesandt hat.</w:t>
      </w:r>
    </w:p>
  </w:footnote>
  <w:footnote w:id="4957">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36.</w:t>
      </w:r>
    </w:p>
  </w:footnote>
  <w:footnote w:id="4958">
    <w:p>
      <w:pPr>
        <w:pStyle w:val="Funote"/>
        <w:rPr/>
      </w:pPr>
      <w:r>
        <w:rPr/>
        <w:footnoteRef/>
        <w:tab/>
        <w:t xml:space="preserve">Wie das deutsche „Diaspora“ sowohl das Gebiet meinen kann, in dem eine religiöse Gruppe in der Minderheit lebt, wie diese Gruppe selbst, kann </w:t>
      </w:r>
      <w:r>
        <w:rPr>
          <w:lang w:val="el-GR"/>
        </w:rPr>
        <w:t>διασπορά</w:t>
      </w:r>
      <w:r>
        <w:rPr/>
        <w:t xml:space="preserve"> (wörtlich Zerstreung) hier sowohl das Gebiet meinen, in dem eine jüdische Minderheit lebt, wie die (in der Zerstreung lebende) jüdische Minderheit selbst. Zu dieser und den folgenden zwei Anmerkungen cf. C.K. Barrett, Das Evangelium des Johannes (KEK), 1990, S. 332.</w:t>
      </w:r>
    </w:p>
  </w:footnote>
  <w:footnote w:id="4959">
    <w:p>
      <w:pPr>
        <w:pStyle w:val="Funote"/>
        <w:rPr/>
      </w:pPr>
      <w:r>
        <w:rPr/>
        <w:footnoteRef/>
        <w:tab/>
        <w:t>Der Genitiv könnte die Gruppe der Zerstreuten meinen, in diesem Fall die Griechen. Dann wäre zu klären, was hier mit „Griechen“ gemeint ist, vgl. dazu die folgende Anmerkung. Alternativ könnte es sich um den Genitiv der Richtung handeln, der angeben würde, wo die jüdische Minderheit zerstreut lebt, hier dann unter „Griechen“, d.h. griechisch sprechenden Heiden.</w:t>
      </w:r>
    </w:p>
  </w:footnote>
  <w:footnote w:id="4960">
    <w:p>
      <w:pPr>
        <w:pStyle w:val="Funote"/>
        <w:rPr/>
      </w:pPr>
      <w:r>
        <w:rPr/>
        <w:footnoteRef/>
        <w:tab/>
        <w:t>Damit könnten (griechisch sprechende) Heiden (Nicht-Juden evtl. sogar Nicht-Christen) gemeint sein, oder (griechisch sprechende) Proselyten, d.h. (griechisch sprechende) ehemalige Heiden, die sich dem Judentum angeschlossen haben, oder zuletzt jüdische Minderheiten, die unter griechisch-sprechenden Heiden leben und selbst griechisch sprechen. Zu beachten ist in allen Fällen, daß Griechisch in der neutestamentlichen Zeit lingua franca war.</w:t>
      </w:r>
    </w:p>
  </w:footnote>
  <w:footnote w:id="4961">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34.</w:t>
      </w:r>
    </w:p>
  </w:footnote>
  <w:footnote w:id="4962">
    <w:p>
      <w:pPr>
        <w:pStyle w:val="Funote"/>
        <w:rPr/>
      </w:pPr>
      <w:r>
        <w:rPr/>
        <w:footnoteRef/>
        <w:tab/>
        <w:t xml:space="preserve">Die Übersetzung setzt mit SBL voraus, daß nach </w:t>
      </w:r>
      <w:r>
        <w:rPr>
          <w:lang w:val="el-GR"/>
        </w:rPr>
        <w:t>πρός με</w:t>
      </w:r>
      <w:r>
        <w:rPr/>
        <w:t xml:space="preserve"> (zu mir, V. 37) kein Satzzeichen steht, nach </w:t>
      </w:r>
      <w:r>
        <w:rPr>
          <w:lang w:val="el-GR"/>
        </w:rPr>
        <w:t>πινέτω</w:t>
      </w:r>
      <w:r>
        <w:rPr/>
        <w:t xml:space="preserve"> (er, sie, es trinke, V. 37) ein Punkt und nach </w:t>
      </w:r>
      <w:r>
        <w:rPr>
          <w:lang w:val="el-GR"/>
        </w:rPr>
        <w:t>εἰς ἐμέ</w:t>
      </w:r>
      <w:r>
        <w:rPr/>
        <w:t xml:space="preserve"> (an mich, V. 38) ein Komma. Dementsprechend würde man nach einem Schriftzitat suchen, das die Aussage „Flüsse lebendigen Wassers werden aus seinem Innersten fließen“ belegen könnte. Weder in der Septuaginta noch im hebräischen Text des Alten Testaments gibt es eindeutige und direkte Parallelen. Alternativ könnte man nach </w:t>
      </w:r>
      <w:r>
        <w:rPr>
          <w:lang w:val="el-GR"/>
        </w:rPr>
        <w:t>πρός με</w:t>
      </w:r>
      <w:r>
        <w:rPr/>
        <w:t xml:space="preserve"> ein Komma setzen, nach </w:t>
      </w:r>
      <w:r>
        <w:rPr>
          <w:lang w:val="el-GR"/>
        </w:rPr>
        <w:t>πινέτω</w:t>
      </w:r>
      <w:r>
        <w:rPr/>
        <w:t xml:space="preserve"> kein Satzzeichen und nach </w:t>
      </w:r>
      <w:r>
        <w:rPr>
          <w:lang w:val="el-GR"/>
        </w:rPr>
        <w:t>εἰς ἐμέ</w:t>
      </w:r>
      <w:r>
        <w:rPr/>
        <w:t xml:space="preserve"> ein Komma: Wenn einer Durst hat, komme er zu mir. Und es trinke, wer an mich glaubt. Der Verweis auf die Schrift könnte sich dann auch auf einen dieser beiden Sätze (oder beide) beziehen. Auch hier gibt es keine direkten Parallelen. Cf. C.K. Barrett, Das Evangelium des Johannes (KEK), 1990, S. 333 f.</w:t>
      </w:r>
    </w:p>
  </w:footnote>
  <w:footnote w:id="4963">
    <w:p>
      <w:pPr>
        <w:pStyle w:val="Funote"/>
        <w:rPr/>
      </w:pPr>
      <w:r>
        <w:rPr/>
        <w:footnoteRef/>
        <w:tab/>
        <w:t>Andere Übersetzungsmöglichkeit: „Er (d.h. Jesus) war noch nicht Geist“.</w:t>
      </w:r>
    </w:p>
  </w:footnote>
  <w:footnote w:id="4964">
    <w:p>
      <w:pPr>
        <w:pStyle w:val="Funote"/>
        <w:rPr/>
      </w:pPr>
      <w:r>
        <w:rPr/>
        <w:footnoteRef/>
        <w:tab/>
        <w:t xml:space="preserve">Der Vers Joh 7,53 ist auf der Seite </w:t>
      </w:r>
      <w:hyperlink r:id="rId491">
        <w:r>
          <w:rPr>
            <w:rStyle w:val="Internetverknpfung"/>
          </w:rPr>
          <w:t>Johannes 7,53-8,11</w:t>
        </w:r>
      </w:hyperlink>
      <w:r>
        <w:rPr/>
        <w:t xml:space="preserve"> zu finden. Zu Details siehe die Einleitung dort. </w:t>
      </w:r>
    </w:p>
  </w:footnote>
  <w:footnote w:id="4965">
    <w:p>
      <w:pPr>
        <w:pStyle w:val="Funote"/>
        <w:rPr/>
      </w:pPr>
      <w:r>
        <w:rPr/>
        <w:footnoteRef/>
        <w:tab/>
        <w:t>[Status: Ungeprüft]</w:t>
      </w:r>
    </w:p>
  </w:footnote>
  <w:footnote w:id="4966">
    <w:p>
      <w:pPr>
        <w:pStyle w:val="Funote"/>
        <w:rPr/>
      </w:pPr>
      <w:r>
        <w:rPr/>
        <w:footnoteRef/>
        <w:tab/>
        <w:t xml:space="preserve">Die Verse Joh 8,1-11 sind auf der Seite </w:t>
      </w:r>
      <w:hyperlink r:id="rId492">
        <w:r>
          <w:rPr>
            <w:rStyle w:val="Internetverknpfung"/>
          </w:rPr>
          <w:t>Johannes 7,53-8,11</w:t>
        </w:r>
      </w:hyperlink>
      <w:r>
        <w:rPr/>
        <w:t xml:space="preserve"> zu finden. Zu Details siehe die Einleitung dort. </w:t>
      </w:r>
    </w:p>
  </w:footnote>
  <w:footnote w:id="4967">
    <w:p>
      <w:pPr>
        <w:pStyle w:val="Funote"/>
        <w:rPr/>
      </w:pPr>
      <w:r>
        <w:rPr/>
        <w:footnoteRef/>
        <w:tab/>
        <w:t>Gemeint ist wohl „die Halle im Frauenhof, in der dreizehn Geldbehälter waren“ und die für Frauen und Männer zugänglich war. Cf. Benedikt Schwank, Evangelium nach Johannes, St. Ottilien 1998, S. 254.</w:t>
      </w:r>
    </w:p>
  </w:footnote>
  <w:footnote w:id="4968">
    <w:p>
      <w:pPr>
        <w:pStyle w:val="Funote"/>
        <w:rPr/>
      </w:pPr>
      <w:r>
        <w:rPr/>
        <w:footnoteRef/>
        <w:tab/>
        <w:t>Eine große Zahl von Handschriften ergänzt hier „Jesus“; die ältesten haben den Namen nicht, er wurde also später zugefügt</w:t>
      </w:r>
    </w:p>
  </w:footnote>
  <w:footnote w:id="4969">
    <w:p>
      <w:pPr>
        <w:pStyle w:val="Funote"/>
        <w:rPr/>
      </w:pPr>
      <w:r>
        <w:rPr/>
        <w:footnoteRef/>
        <w:tab/>
        <w:t xml:space="preserve">Die Präposition </w:t>
      </w:r>
      <w:r>
        <w:rPr>
          <w:lang w:val="el-GR"/>
        </w:rPr>
        <w:t>εν</w:t>
      </w:r>
      <w:r>
        <w:rPr/>
        <w:t xml:space="preserve"> kann hier sowohl mit „in“ übersetzt werden als auch instrumental (wodurch) „an“, Blass-Debrunner-Rehkopf § 219.2</w:t>
      </w:r>
    </w:p>
  </w:footnote>
  <w:footnote w:id="4970">
    <w:p>
      <w:pPr>
        <w:pStyle w:val="Funote"/>
        <w:rPr/>
      </w:pPr>
      <w:r>
        <w:rPr/>
        <w:footnoteRef/>
        <w:tab/>
        <w:t>Hier steht sog. „</w:t>
      </w:r>
      <w:r>
        <w:rPr>
          <w:lang w:val="el-GR"/>
        </w:rPr>
        <w:t>ὅτι</w:t>
      </w:r>
      <w:r>
        <w:rPr/>
        <w:t xml:space="preserve"> zitativum“, das eine wörtliche Rede einführt; dafür steht in der Übersetzung der Doppelpunkt</w:t>
      </w:r>
    </w:p>
  </w:footnote>
  <w:footnote w:id="4971">
    <w:p>
      <w:pPr>
        <w:pStyle w:val="Funote"/>
        <w:rPr/>
      </w:pPr>
      <w:r>
        <w:rPr/>
        <w:footnoteRef/>
        <w:tab/>
        <w:t xml:space="preserve">Einige alte Handschriften ergänzen </w:t>
      </w:r>
      <w:r>
        <w:rPr>
          <w:lang w:val="el-GR"/>
        </w:rPr>
        <w:t>μοι</w:t>
      </w:r>
      <w:r>
        <w:rPr/>
        <w:t>, mir</w:t>
      </w:r>
    </w:p>
  </w:footnote>
  <w:footnote w:id="4972">
    <w:p>
      <w:pPr>
        <w:pStyle w:val="Funote"/>
        <w:spacing w:before="0" w:after="283"/>
        <w:rPr/>
      </w:pPr>
      <w:r>
        <w:rPr/>
        <w:footnoteRef/>
        <w:tab/>
        <w:t>Die folgenden Verse sind ein „Trümmerfeld“ (Rudolf Bultmann, KEK, S. 266); die Verse 26 und 27 scheinen nicht hierher zu passen. Besondere Schwierigkeit bereitet Vers 25b: „(</w:t>
      </w:r>
      <w:r>
        <w:rPr>
          <w:lang w:val="el-GR"/>
        </w:rPr>
        <w:t>Τὴν</w:t>
      </w:r>
      <w:r>
        <w:rPr/>
        <w:t xml:space="preserve">) </w:t>
      </w:r>
      <w:r>
        <w:rPr>
          <w:lang w:val="el-GR"/>
        </w:rPr>
        <w:t>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w:t>
      </w:r>
      <w:r>
        <w:rPr/>
        <w:t xml:space="preserve">.) </w:t>
      </w:r>
      <w:r>
        <w:rPr>
          <w:lang w:val="el-GR"/>
        </w:rPr>
        <w:t>άρχήν</w:t>
      </w:r>
      <w:r>
        <w:rPr/>
        <w:t xml:space="preserve"> nicht im zeitlichen, sondern im logischen Sinne: »zuerst« = »erstlich«, »von vornherein«, und zwar ist das besonders in negierten Sätzen bzw. in Sätzen mit negativem Sinn der Fall. </w:t>
      </w:r>
    </w:p>
    <w:p>
      <w:pPr>
        <w:pStyle w:val="Textkrper"/>
        <w:rPr/>
      </w:pPr>
      <w:r>
        <w:rPr/>
        <w:tab/>
        <w:t xml:space="preserve">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w:t>
      </w:r>
      <w:r>
        <w:rPr/>
        <w:t xml:space="preserve">) </w:t>
      </w:r>
      <w:r>
        <w:rPr>
          <w:lang w:val="el-GR"/>
        </w:rPr>
        <w:t>νῦν</w:t>
      </w:r>
      <w:r>
        <w:rPr/>
        <w:t xml:space="preserve"> bestimmt sein. (...) </w:t>
      </w:r>
    </w:p>
    <w:p>
      <w:pPr>
        <w:pStyle w:val="Textkrper"/>
        <w:spacing w:before="0" w:after="283"/>
        <w:rPr/>
      </w:pPr>
      <w:r>
        <w:rPr/>
        <w:tab/>
        <w:t xml:space="preserve">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4973">
    <w:p>
      <w:pPr>
        <w:pStyle w:val="Funote"/>
        <w:rPr/>
      </w:pPr>
      <w:r>
        <w:rPr/>
        <w:footnoteRef/>
        <w:tab/>
        <w:t xml:space="preserve">man könnte </w:t>
      </w:r>
      <w:r>
        <w:rPr>
          <w:lang w:val="el-GR"/>
        </w:rPr>
        <w:t>ὅ τι</w:t>
      </w:r>
      <w:r>
        <w:rPr/>
        <w:t xml:space="preserve"> auch zusammenziehen zu </w:t>
      </w:r>
      <w:r>
        <w:rPr>
          <w:lang w:val="el-GR"/>
        </w:rPr>
        <w:t>ὅτι</w:t>
      </w:r>
      <w:r>
        <w:rPr/>
        <w:t>, weil, wie es einige wenige Handschriften tun.</w:t>
      </w:r>
    </w:p>
  </w:footnote>
  <w:footnote w:id="4974">
    <w:p>
      <w:pPr>
        <w:pStyle w:val="Funote"/>
        <w:rPr/>
      </w:pPr>
      <w:r>
        <w:rPr/>
        <w:footnoteRef/>
        <w:tab/>
        <w:t>Nestle-Aland hat im Text ein Fragezeichen; es könnte aber auch ein Kolon stehen</w:t>
      </w:r>
    </w:p>
  </w:footnote>
  <w:footnote w:id="4975">
    <w:p>
      <w:pPr>
        <w:pStyle w:val="Funote"/>
        <w:rPr/>
      </w:pPr>
      <w:r>
        <w:rPr/>
        <w:footnoteRef/>
        <w:tab/>
        <w:t>Partizip Aorist</w:t>
      </w:r>
    </w:p>
  </w:footnote>
  <w:footnote w:id="4976">
    <w:p>
      <w:pPr>
        <w:pStyle w:val="Funote"/>
        <w:rPr/>
      </w:pPr>
      <w:r>
        <w:rPr/>
        <w:footnoteRef/>
        <w:tab/>
        <w:t>einige Handschriften ergänzen „Gott“</w:t>
      </w:r>
    </w:p>
  </w:footnote>
  <w:footnote w:id="4977">
    <w:p>
      <w:pPr>
        <w:pStyle w:val="Funote"/>
        <w:rPr/>
      </w:pPr>
      <w:r>
        <w:rPr/>
        <w:footnoteRef/>
        <w:tab/>
        <w:t>einige Handschriften lassen „zu ihnen“ weg; einige Handschriften fügen ein „</w:t>
      </w:r>
      <w:r>
        <w:rPr>
          <w:lang w:val="el-GR"/>
        </w:rPr>
        <w:t>ὅτι</w:t>
      </w:r>
      <w:r>
        <w:rPr/>
        <w:t xml:space="preserve"> zitativum“ ein</w:t>
      </w:r>
    </w:p>
  </w:footnote>
  <w:footnote w:id="4978">
    <w:p>
      <w:pPr>
        <w:pStyle w:val="Funote"/>
        <w:rPr/>
      </w:pPr>
      <w:r>
        <w:rPr/>
        <w:footnoteRef/>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4979">
    <w:p>
      <w:pPr>
        <w:pStyle w:val="Funote"/>
        <w:rPr/>
      </w:pPr>
      <w:r>
        <w:rPr/>
        <w:footnoteRef/>
        <w:tab/>
        <w:t>Partizip Aorist</w:t>
      </w:r>
    </w:p>
  </w:footnote>
  <w:footnote w:id="4980">
    <w:p>
      <w:pPr>
        <w:pStyle w:val="Funote"/>
        <w:rPr/>
      </w:pPr>
      <w:r>
        <w:rPr/>
        <w:footnoteRef/>
        <w:tab/>
        <w:t>Partizip Präs.</w:t>
      </w:r>
    </w:p>
  </w:footnote>
  <w:footnote w:id="4981">
    <w:p>
      <w:pPr>
        <w:pStyle w:val="Funote"/>
        <w:rPr/>
      </w:pPr>
      <w:r>
        <w:rPr/>
        <w:footnoteRef/>
        <w:tab/>
        <w:t xml:space="preserve">NA28 und SBL gehen davon aus, dass die Lesart </w:t>
      </w:r>
      <w:r>
        <w:rPr>
          <w:lang w:val="el-GR"/>
        </w:rPr>
        <w:t>τοῦ πατρὸς ὑμῶν</w:t>
      </w:r>
      <w:r>
        <w:rPr/>
        <w:t xml:space="preserve"> im zweiten Teil des Verses sekundär ist. Der erste und zweite Versteil sprechen dann wohl vom selben Vater (Gott) und </w:t>
      </w:r>
      <w:r>
        <w:rPr>
          <w:lang w:val="el-GR"/>
        </w:rPr>
        <w:t>ποιεῖτε</w:t>
      </w:r>
      <w:r>
        <w:rPr/>
        <w:t xml:space="preserve"> ist dann wohl als Imperativ zu verstehen, vgl. Metzger, Bruce M., United Bible Societies (1994). A Textual Commentary on the Greek New Testament. Wenn man </w:t>
      </w:r>
      <w:r>
        <w:rPr>
          <w:lang w:val="el-GR"/>
        </w:rPr>
        <w:t>ποιεῖτε</w:t>
      </w:r>
      <w:r>
        <w:rPr/>
        <w:t xml:space="preserve"> als Indikativ versteht, legt sich die Interpretation nahe, dass in den beiden Versteilen von unterschiedlichen Vätern die Rede ist (Gott und Teufel, cf. V. 41, 44).</w:t>
      </w:r>
    </w:p>
  </w:footnote>
  <w:footnote w:id="4982">
    <w:p>
      <w:pPr>
        <w:pStyle w:val="Funote"/>
        <w:rPr/>
      </w:pPr>
      <w:r>
        <w:rPr/>
        <w:footnoteRef/>
        <w:tab/>
        <w:t xml:space="preserve">Die wahrscheinlichste Lesart ist </w:t>
      </w:r>
      <w:r>
        <w:rPr>
          <w:lang w:val="el-GR"/>
        </w:rPr>
        <w:t>ἐστε</w:t>
      </w:r>
      <w:r>
        <w:rPr/>
        <w:t xml:space="preserve"> (ihr seid) im Nebensatz und </w:t>
      </w:r>
      <w:r>
        <w:rPr>
          <w:lang w:val="el-GR"/>
        </w:rPr>
        <w:t>ἐποιεῖτε</w:t>
      </w:r>
      <w:r>
        <w:rPr/>
        <w:t xml:space="preserve"> (ihr würdet tun) im Hauptsatz. Grammatikalisch korrekt wäre entweder </w:t>
      </w:r>
      <w:r>
        <w:rPr>
          <w:lang w:val="el-GR"/>
        </w:rPr>
        <w:t>ἐστε – ποιεῖτε</w:t>
      </w:r>
      <w:r>
        <w:rPr/>
        <w:t xml:space="preserve"> (ihr tut) oder </w:t>
      </w:r>
      <w:r>
        <w:rPr>
          <w:lang w:val="el-GR"/>
        </w:rPr>
        <w:t>ἦτε</w:t>
      </w:r>
      <w:r>
        <w:rPr/>
        <w:t xml:space="preserve"> (ihr wäret) – </w:t>
      </w:r>
      <w:r>
        <w:rPr>
          <w:lang w:val="el-GR"/>
        </w:rPr>
        <w:t>ἐποιεῖτε</w:t>
      </w:r>
      <w:r>
        <w:rPr/>
        <w:t>, d.h. entweder ein Realis oder ein Irrealis der Gegenwart. Geht man von einem grammatikalischen Fehler aus, legt sich im Kontext eine Übersetzung als Irrealis der Gegenwart nahe (wäret – würdet). Geht man davon aus, daß der Autor die ungewöhnliche Konstruktion bewußt verwendet, sollte eine Studienübersetzung die ungewöhnliche Mischung von Realis und Irrealis der Gegenwart nachvollziehen (seid – würdet). Vgl. C.K. Barrett, Das Evangelium des Johannes (KEK), 1990, S. 351; Thomas L. Brodie, The Gospel According to John: A Literary and Theological Commentary, Oxford University Press, 1997, S. 330.</w:t>
      </w:r>
    </w:p>
  </w:footnote>
  <w:footnote w:id="4983">
    <w:p>
      <w:pPr>
        <w:pStyle w:val="Funote"/>
        <w:rPr/>
      </w:pPr>
      <w:r>
        <w:rPr/>
        <w:footnoteRef/>
        <w:tab/>
        <w:t xml:space="preserve">SBL streicht </w:t>
      </w:r>
      <w:r>
        <w:rPr>
          <w:lang w:val="el-GR"/>
        </w:rPr>
        <w:t>οὖν</w:t>
      </w:r>
      <w:r>
        <w:rPr/>
        <w:t xml:space="preserve"> (also).</w:t>
      </w:r>
    </w:p>
  </w:footnote>
  <w:footnote w:id="4984">
    <w:p>
      <w:pPr>
        <w:pStyle w:val="Funote"/>
        <w:rPr/>
      </w:pPr>
      <w:r>
        <w:rPr>
          <w:lang w:val="el-GR"/>
        </w:rPr>
        <w:footnoteRef/>
        <w:tab/>
        <w:t>αὐτοῦ</w:t>
      </w:r>
      <w:r>
        <w:rPr/>
        <w:t xml:space="preserve"> im griechischen Text kann sowohl Neutrum sein (dann bezieht es sich auf die Lüge) oder Maskulinum (dann müßte es sich auf den Sohn des Teufels beziehen und eine entsprechenden Übersetzung am Anfang des Verses verlangen: „aus dem Vater des Teufels“ statt „aus dem Vater, dem Teufel“.</w:t>
      </w:r>
    </w:p>
  </w:footnote>
  <w:footnote w:id="4985">
    <w:p>
      <w:pPr>
        <w:pStyle w:val="Funote"/>
        <w:rPr/>
      </w:pPr>
      <w:r>
        <w:rPr/>
        <w:footnoteRef/>
        <w:tab/>
        <w:t xml:space="preserve">SBL streicht </w:t>
      </w:r>
      <w:r>
        <w:rPr>
          <w:lang w:val="el-GR"/>
        </w:rPr>
        <w:t>οὖν</w:t>
      </w:r>
      <w:r>
        <w:rPr/>
        <w:t xml:space="preserve"> (also).</w:t>
      </w:r>
    </w:p>
  </w:footnote>
  <w:footnote w:id="4986">
    <w:p>
      <w:pPr>
        <w:pStyle w:val="Funote"/>
        <w:rPr/>
      </w:pPr>
      <w:r>
        <w:rPr/>
        <w:footnoteRef/>
        <w:tab/>
        <w:t>[Status: Ungeprüft]</w:t>
      </w:r>
    </w:p>
  </w:footnote>
  <w:footnote w:id="4987">
    <w:p>
      <w:pPr>
        <w:pStyle w:val="Funote"/>
        <w:rPr/>
      </w:pPr>
      <w:r>
        <w:rPr>
          <w:i/>
        </w:rPr>
        <w:footnoteRef/>
        <w:tab/>
        <w:t>im Vorbeigehen</w:t>
      </w:r>
      <w:r>
        <w:rPr/>
        <w:t xml:space="preserve"> Als modale Präpositionalangabe aufgelöstes adv. Ptz. </w:t>
      </w:r>
    </w:p>
  </w:footnote>
  <w:footnote w:id="4988">
    <w:p>
      <w:pPr>
        <w:pStyle w:val="Funote"/>
        <w:rPr/>
      </w:pPr>
      <w:r>
        <w:rPr>
          <w:i/>
        </w:rPr>
        <w:footnoteRef/>
        <w:tab/>
        <w:t>{sagend}</w:t>
      </w:r>
      <w:r>
        <w:rPr/>
        <w:t xml:space="preserve"> Das zusätzliche adverbiale Partizip dient im Griechischen dazu, den Beginn wörtlicher Rede zu markieren. Im Deutschen tun das Doppelpunkt und Anführungszeichen. </w:t>
      </w:r>
    </w:p>
  </w:footnote>
  <w:footnote w:id="4989">
    <w:p>
      <w:pPr>
        <w:pStyle w:val="Funote"/>
        <w:rPr/>
      </w:pPr>
      <w:r>
        <w:rPr>
          <w:i/>
        </w:rPr>
        <w:footnoteRef/>
        <w:tab/>
        <w:t>Handeln</w:t>
      </w:r>
      <w:r>
        <w:rPr/>
        <w:t xml:space="preserve"> Das gr. Wort steht im Pl. wie „Taten“. </w:t>
      </w:r>
    </w:p>
  </w:footnote>
  <w:footnote w:id="4990">
    <w:p>
      <w:pPr>
        <w:pStyle w:val="Funote"/>
        <w:rPr/>
      </w:pPr>
      <w:r>
        <w:rPr>
          <w:i/>
        </w:rPr>
        <w:footnoteRef/>
        <w:tab/>
        <w:t>Sobald er das gesagt hatte</w:t>
      </w:r>
      <w:r>
        <w:rPr/>
        <w:t xml:space="preserve"> Temporales Ptc. coni. (Ptz. Aor.), als Nebensatz aufgelöst. </w:t>
      </w:r>
    </w:p>
  </w:footnote>
  <w:footnote w:id="4991">
    <w:p>
      <w:pPr>
        <w:pStyle w:val="Funote"/>
        <w:rPr/>
      </w:pPr>
      <w:r>
        <w:rPr>
          <w:i/>
        </w:rPr>
        <w:footnoteRef/>
        <w:tab/>
        <w:t>Gesandter</w:t>
      </w:r>
      <w:r>
        <w:rPr/>
        <w:t xml:space="preserve"> Hier als Übersetzung des Ptz. Pf. Pass. </w:t>
      </w:r>
      <w:r>
        <w:rPr>
          <w:lang w:val="el-GR"/>
        </w:rPr>
        <w:t>ἀπεσταλμένος</w:t>
      </w:r>
      <w:r>
        <w:rPr/>
        <w:t xml:space="preserve">. </w:t>
      </w:r>
    </w:p>
  </w:footnote>
  <w:footnote w:id="4992">
    <w:p>
      <w:pPr>
        <w:pStyle w:val="Funote"/>
        <w:rPr/>
      </w:pPr>
      <w:r>
        <w:rPr/>
        <w:footnoteRef/>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4993">
    <w:p>
      <w:pPr>
        <w:pStyle w:val="Funote"/>
        <w:rPr/>
      </w:pPr>
      <w:r>
        <w:rPr>
          <w:i/>
        </w:rPr>
        <w:footnoteRef/>
        <w:tab/>
        <w:t>die ihn vorher als Bettler gesehen hatten</w:t>
      </w:r>
      <w:r>
        <w:rPr/>
        <w:t xml:space="preserve"> W. „ die ihn vorher gesehen hatten, dass er ein Bettler war“, dabei wurde das Ptz. Präs. </w:t>
      </w:r>
      <w:r>
        <w:rPr>
          <w:lang w:val="el-GR"/>
        </w:rPr>
        <w:t>θεωροῦντες</w:t>
      </w:r>
      <w:r>
        <w:rPr/>
        <w:t xml:space="preserve"> als Relativsatz aufgelöst. </w:t>
      </w:r>
    </w:p>
  </w:footnote>
  <w:footnote w:id="4994">
    <w:p>
      <w:pPr>
        <w:pStyle w:val="Funote"/>
        <w:rPr/>
      </w:pPr>
      <w:r>
        <w:rPr>
          <w:i/>
        </w:rPr>
        <w:footnoteRef/>
        <w:tab/>
        <w:t>derjenige, der [hier] saß und bettelte</w:t>
      </w:r>
      <w:r>
        <w:rPr/>
        <w:t xml:space="preserve"> Zwei subst. Ptz., als Relativsatz aufgelöst. </w:t>
      </w:r>
    </w:p>
  </w:footnote>
  <w:footnote w:id="4995">
    <w:p>
      <w:pPr>
        <w:pStyle w:val="Funote"/>
        <w:rPr/>
      </w:pPr>
      <w:hyperlink r:id="rId493">
        <w:r>
          <w:rPr>
            <w:rStyle w:val="Internetverknpfung"/>
          </w:rPr>
          <w:footnoteRef/>
          <w:tab/>
          <w:t>Ὅτι recitativum"&gt;</w:t>
        </w:r>
        <w:r>
          <w:rPr>
            <w:rStyle w:val="Internetverknpfung"/>
            <w:lang w:val="el-GR"/>
          </w:rPr>
          <w:t>ὅτι</w:t>
        </w:r>
        <w:r>
          <w:rPr>
            <w:rStyle w:val="Internetverknpfung"/>
          </w:rPr>
          <w:t xml:space="preserve"> recitativum</w:t>
        </w:r>
      </w:hyperlink>
      <w:r>
        <w:rPr/>
        <w:t xml:space="preserve">. </w:t>
      </w:r>
    </w:p>
  </w:footnote>
  <w:footnote w:id="4996">
    <w:p>
      <w:pPr>
        <w:pStyle w:val="Funote"/>
        <w:rPr/>
      </w:pPr>
      <w:r>
        <w:rPr>
          <w:i/>
        </w:rPr>
        <w:footnoteRef/>
        <w:tab/>
        <w:t>Er selbst</w:t>
      </w:r>
      <w:r>
        <w:rPr/>
        <w:t xml:space="preserve"> W. „jener“ (vgl. </w:t>
      </w:r>
      <w:r>
        <w:fldChar w:fldCharType="begin"/>
      </w:r>
      <w:r>
        <w:instrText> HYPERLINK "file:///wiki/Johannes_9" \l "note_l"</w:instrText>
      </w:r>
      <w:r>
        <w:fldChar w:fldCharType="separate"/>
      </w:r>
      <w:r>
        <w:rPr>
          <w:rStyle w:val="Internetverknpfung"/>
        </w:rPr>
        <w:t>Fn in V. 12</w:t>
      </w:r>
      <w:r>
        <w:fldChar w:fldCharType="end"/>
      </w:r>
      <w:r>
        <w:rPr/>
        <w:t>)</w:t>
      </w:r>
    </w:p>
  </w:footnote>
  <w:footnote w:id="4997">
    <w:p>
      <w:pPr>
        <w:pStyle w:val="Funote"/>
        <w:rPr/>
      </w:pPr>
      <w:r>
        <w:rPr/>
        <w:footnoteRef/>
        <w:tab/>
        <w:t>D.h. „Wie kommt es denn, dass du wieder sehen kannst?“ (vgl. NGÜ)</w:t>
      </w:r>
    </w:p>
  </w:footnote>
  <w:footnote w:id="4998">
    <w:p>
      <w:pPr>
        <w:pStyle w:val="Funote"/>
        <w:rPr/>
      </w:pPr>
      <w:r>
        <w:rPr>
          <w:i/>
        </w:rPr>
        <w:footnoteRef/>
        <w:tab/>
        <w:t>Nachdem ich hingegangen war und mich abgewaschen hatte</w:t>
      </w:r>
      <w:r>
        <w:rPr/>
        <w:t xml:space="preserve"> Zwei adverbiale Ptz. Aor., die temporal als Nebensatz mit „nachdem“ aufgelöst wurden. </w:t>
      </w:r>
    </w:p>
  </w:footnote>
  <w:footnote w:id="4999">
    <w:p>
      <w:pPr>
        <w:pStyle w:val="Funote"/>
        <w:rPr/>
      </w:pPr>
      <w:r>
        <w:rPr>
          <w:i/>
        </w:rPr>
        <w:footnoteRef/>
        <w:tab/>
        <w:t>der Mann, [von dem du sprichst]</w:t>
      </w:r>
      <w:r>
        <w:rPr/>
        <w:t xml:space="preserve"> Deutsche Wiedergabe des Adjektivs </w:t>
      </w:r>
      <w:r>
        <w:rPr>
          <w:lang w:val="el-GR"/>
        </w:rPr>
        <w:t>ἐκεῖνος</w:t>
      </w:r>
      <w:r>
        <w:rPr/>
        <w:t xml:space="preserve">, das häufig veraltet mit „jener“ übersetzt wird. Hier steht es als Bezeichnung desjenigen, von dem der Mann gesprochen hatte. Mit demselben Wort bezieht sich Johannes schon in V. 9 auf „den Genannten“, dort den Blinden selbst (dabei übersetzt als „Er selbst“). </w:t>
      </w:r>
    </w:p>
  </w:footnote>
  <w:footnote w:id="5000">
    <w:p>
      <w:pPr>
        <w:pStyle w:val="Funote"/>
        <w:rPr/>
      </w:pPr>
      <w:hyperlink r:id="rId494">
        <w:r>
          <w:rPr>
            <w:rStyle w:val="Internetverknpfung"/>
          </w:rPr>
          <w:footnoteRef/>
          <w:tab/>
          <w:t>Historisches Präsens</w:t>
        </w:r>
      </w:hyperlink>
      <w:r>
        <w:rPr/>
        <w:t>.</w:t>
      </w:r>
    </w:p>
  </w:footnote>
  <w:footnote w:id="5001">
    <w:p>
      <w:pPr>
        <w:pStyle w:val="Funote"/>
        <w:rPr/>
      </w:pPr>
      <w:r>
        <w:rPr/>
        <w:footnoteRef/>
        <w:tab/>
        <w:t xml:space="preserve">Die Konjunktion </w:t>
      </w:r>
      <w:r>
        <w:rPr>
          <w:lang w:val="el-GR"/>
        </w:rPr>
        <w:t>δὲ</w:t>
      </w:r>
      <w:r>
        <w:rPr/>
        <w:t xml:space="preserve"> leitet hier eine Umstandsangabe ein und ist nicht direkt übersetzbar. </w:t>
      </w:r>
    </w:p>
  </w:footnote>
  <w:footnote w:id="5002">
    <w:p>
      <w:pPr>
        <w:pStyle w:val="Funote"/>
        <w:rPr/>
      </w:pPr>
      <w:r>
        <w:rPr>
          <w:i/>
        </w:rPr>
        <w:footnoteRef/>
        <w:tab/>
        <w:t>befragten ihn weiter</w:t>
      </w:r>
      <w:r>
        <w:rPr/>
        <w:t xml:space="preserve"> Das Verb steht im Imperfekt und drückt einen anhaltenden Vorgang aus. </w:t>
      </w:r>
    </w:p>
  </w:footnote>
  <w:footnote w:id="5003">
    <w:p>
      <w:pPr>
        <w:pStyle w:val="Funote"/>
        <w:rPr/>
      </w:pPr>
      <w:r>
        <w:rPr/>
        <w:footnoteRef/>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5004">
    <w:p>
      <w:pPr>
        <w:pStyle w:val="Funote"/>
        <w:rPr/>
      </w:pPr>
      <w:r>
        <w:rPr>
          <w:i/>
        </w:rPr>
        <w:footnoteRef/>
        <w:tab/>
        <w:t>[nun] sehen konnte</w:t>
      </w:r>
      <w:r>
        <w:rPr/>
        <w:t xml:space="preserve"> Zur Übersetzung vgl. die </w:t>
      </w:r>
      <w:r>
        <w:fldChar w:fldCharType="begin"/>
      </w:r>
      <w:r>
        <w:instrText> HYPERLINK "file:///wiki/Johannes_9" \l "note_p"</w:instrText>
      </w:r>
      <w:r>
        <w:fldChar w:fldCharType="separate"/>
      </w:r>
      <w:r>
        <w:rPr>
          <w:rStyle w:val="Internetverknpfung"/>
        </w:rPr>
        <w:t>Fn in V. 15</w:t>
      </w:r>
      <w:r>
        <w:fldChar w:fldCharType="end"/>
      </w:r>
      <w:r>
        <w:rPr/>
        <w:t xml:space="preserve">. </w:t>
      </w:r>
    </w:p>
  </w:footnote>
  <w:footnote w:id="5005">
    <w:p>
      <w:pPr>
        <w:pStyle w:val="Funote"/>
        <w:rPr/>
      </w:pPr>
      <w:r>
        <w:rPr>
          <w:i/>
        </w:rPr>
        <w:footnoteRef/>
        <w:tab/>
        <w:t>des Geheilten</w:t>
      </w:r>
      <w:r>
        <w:rPr/>
        <w:t xml:space="preserve"> Aus praktischen Gründen sinngemäß übersetzt. Löst man das so wiedergegebene substantivierte Partizip stattdessen als Relativsatz auf, wäre die wörtliche Übersetzung: „dessen, der [nun] Sehen konnte“. </w:t>
      </w:r>
    </w:p>
  </w:footnote>
  <w:footnote w:id="5006">
    <w:p>
      <w:pPr>
        <w:pStyle w:val="Funote"/>
        <w:rPr/>
      </w:pPr>
      <w:r>
        <w:rPr>
          <w:i/>
        </w:rPr>
        <w:footnoteRef/>
        <w:tab/>
        <w:t>{wobei sie sagten}</w:t>
      </w:r>
      <w:r>
        <w:rPr/>
        <w:t xml:space="preserve"> Modal aufgelöstes Ptc. coni. Zur Auslassung s. die </w:t>
      </w:r>
      <w:r>
        <w:fldChar w:fldCharType="begin"/>
      </w:r>
      <w:r>
        <w:instrText> HYPERLINK "file:///wiki/Johannes_9" \l "note_b"</w:instrText>
      </w:r>
      <w:r>
        <w:fldChar w:fldCharType="separate"/>
      </w:r>
      <w:r>
        <w:rPr>
          <w:rStyle w:val="Internetverknpfung"/>
        </w:rPr>
        <w:t>Fußnote in V. 2</w:t>
      </w:r>
      <w:r>
        <w:fldChar w:fldCharType="end"/>
      </w:r>
      <w:r>
        <w:rPr/>
        <w:t xml:space="preserve">. </w:t>
      </w:r>
    </w:p>
  </w:footnote>
  <w:footnote w:id="5007">
    <w:p>
      <w:pPr>
        <w:pStyle w:val="Funote"/>
        <w:rPr/>
      </w:pPr>
      <w:r>
        <w:rPr>
          <w:i/>
        </w:rPr>
        <w:footnoteRef/>
        <w:tab/>
        <w:t>{und sagten}</w:t>
      </w:r>
      <w:r>
        <w:rPr/>
        <w:t xml:space="preserve"> Zur Auslassung s. die </w:t>
      </w:r>
      <w:r>
        <w:fldChar w:fldCharType="begin"/>
      </w:r>
      <w:r>
        <w:instrText> HYPERLINK "file:///wiki/Johannes_9" \l "note_b"</w:instrText>
      </w:r>
      <w:r>
        <w:fldChar w:fldCharType="separate"/>
      </w:r>
      <w:r>
        <w:rPr>
          <w:rStyle w:val="Internetverknpfung"/>
        </w:rPr>
        <w:t>Fußnote in V. 2</w:t>
      </w:r>
      <w:r>
        <w:fldChar w:fldCharType="end"/>
      </w:r>
      <w:r>
        <w:rPr/>
        <w:t xml:space="preserve">. </w:t>
      </w:r>
    </w:p>
  </w:footnote>
  <w:footnote w:id="5008">
    <w:p>
      <w:pPr>
        <w:pStyle w:val="Funote"/>
        <w:rPr/>
      </w:pPr>
      <w:r>
        <w:rPr/>
        <w:footnoteRef/>
        <w:tab/>
        <w:t>er ist erwachsen (V. 21 und 23) Sinngemäße Übersetzung eines Idioms, w. etwa »er hat Reife«, d.h. »er ist volljährig« (vgl. LN 67.156).</w:t>
      </w:r>
    </w:p>
  </w:footnote>
  <w:footnote w:id="5009">
    <w:p>
      <w:pPr>
        <w:pStyle w:val="Funote"/>
        <w:rPr/>
      </w:pPr>
      <w:r>
        <w:rPr>
          <w:i/>
        </w:rPr>
        <w:footnoteRef/>
        <w:tab/>
        <w:t>aus der Synagoge ausgeschlossen</w:t>
      </w:r>
      <w:r>
        <w:rPr/>
        <w:t xml:space="preserve"> übersetzt das Prädikatsadjektiv </w:t>
      </w:r>
      <w:r>
        <w:rPr>
          <w:lang w:val="el-GR"/>
        </w:rPr>
        <w:t>ἀποσυνάγωγος</w:t>
      </w:r>
      <w:r>
        <w:rPr/>
        <w:t xml:space="preserve">, das eine solche Exkommunikation beschreibt. </w:t>
      </w:r>
    </w:p>
  </w:footnote>
  <w:footnote w:id="5010">
    <w:p>
      <w:pPr>
        <w:pStyle w:val="Funote"/>
        <w:rPr/>
      </w:pPr>
      <w:r>
        <w:rPr>
          <w:i/>
        </w:rPr>
        <w:footnoteRef/>
        <w:tab/>
        <w:t>der Mann (jener)</w:t>
      </w:r>
      <w:r>
        <w:rPr/>
        <w:t xml:space="preserve"> Zur Übersetzung von </w:t>
      </w:r>
      <w:r>
        <w:rPr>
          <w:lang w:val="el-GR"/>
        </w:rPr>
        <w:t>ἐκεῖνος</w:t>
      </w:r>
      <w:r>
        <w:rPr/>
        <w:t xml:space="preserve"> vgl. die </w:t>
      </w:r>
      <w:r>
        <w:fldChar w:fldCharType="begin"/>
      </w:r>
      <w:r>
        <w:instrText> HYPERLINK "file:///wiki/Johannes_9" \l "note_l"</w:instrText>
      </w:r>
      <w:r>
        <w:fldChar w:fldCharType="separate"/>
      </w:r>
      <w:r>
        <w:rPr>
          <w:rStyle w:val="Internetverknpfung"/>
        </w:rPr>
        <w:t>Fn in V. 12</w:t>
      </w:r>
      <w:r>
        <w:fldChar w:fldCharType="end"/>
      </w:r>
      <w:r>
        <w:rPr/>
        <w:t xml:space="preserve">. </w:t>
      </w:r>
    </w:p>
  </w:footnote>
  <w:footnote w:id="5011">
    <w:p>
      <w:pPr>
        <w:pStyle w:val="Funote"/>
        <w:rPr/>
      </w:pPr>
      <w:r>
        <w:rPr>
          <w:i/>
        </w:rPr>
        <w:footnoteRef/>
        <w:tab/>
        <w:t>der blind war (als Blinder)</w:t>
      </w:r>
      <w:r>
        <w:rPr/>
        <w:t xml:space="preserve"> Übertragung der temporalen/modalen Angabe (Ptc. coni.) </w:t>
      </w:r>
      <w:r>
        <w:rPr>
          <w:lang w:val="el-GR"/>
        </w:rPr>
        <w:t>τυφλὸς ὢν</w:t>
      </w:r>
      <w:r>
        <w:rPr/>
        <w:t xml:space="preserve"> „blind seiend“. </w:t>
      </w:r>
    </w:p>
  </w:footnote>
  <w:footnote w:id="5012">
    <w:p>
      <w:pPr>
        <w:pStyle w:val="Funote"/>
        <w:rPr/>
      </w:pPr>
      <w:r>
        <w:rPr>
          <w:i/>
        </w:rPr>
        <w:footnoteRef/>
        <w:tab/>
        <w:t>{und sagten}</w:t>
      </w:r>
      <w:r>
        <w:rPr/>
        <w:t xml:space="preserve"> Zur Auslassung s. die </w:t>
      </w:r>
      <w:r>
        <w:fldChar w:fldCharType="begin"/>
      </w:r>
      <w:r>
        <w:instrText> HYPERLINK "file:///wiki/Johannes_9" \l "note_b"</w:instrText>
      </w:r>
      <w:r>
        <w:fldChar w:fldCharType="separate"/>
      </w:r>
      <w:r>
        <w:rPr>
          <w:rStyle w:val="Internetverknpfung"/>
        </w:rPr>
        <w:t>Fußnote in V. 2</w:t>
      </w:r>
      <w:r>
        <w:fldChar w:fldCharType="end"/>
      </w:r>
      <w:r>
        <w:rPr/>
        <w:t xml:space="preserve">. </w:t>
      </w:r>
    </w:p>
  </w:footnote>
  <w:footnote w:id="5013">
    <w:p>
      <w:pPr>
        <w:pStyle w:val="Funote"/>
        <w:rPr/>
      </w:pPr>
      <w:r>
        <w:rPr>
          <w:i/>
        </w:rPr>
        <w:footnoteRef/>
        <w:tab/>
        <w:t>{und sagte zu ihnen}</w:t>
      </w:r>
      <w:r>
        <w:rPr/>
        <w:t xml:space="preserve"> Zur Auslassung s. die </w:t>
      </w:r>
      <w:r>
        <w:fldChar w:fldCharType="begin"/>
      </w:r>
      <w:r>
        <w:instrText> HYPERLINK "file:///wiki/Johannes_9" \l "note_b"</w:instrText>
      </w:r>
      <w:r>
        <w:fldChar w:fldCharType="separate"/>
      </w:r>
      <w:r>
        <w:rPr>
          <w:rStyle w:val="Internetverknpfung"/>
        </w:rPr>
        <w:t>Fußnote in V. 2</w:t>
      </w:r>
      <w:r>
        <w:fldChar w:fldCharType="end"/>
      </w:r>
      <w:r>
        <w:rPr/>
        <w:t xml:space="preserve">. </w:t>
      </w:r>
    </w:p>
  </w:footnote>
  <w:footnote w:id="5014">
    <w:p>
      <w:pPr>
        <w:pStyle w:val="Funote"/>
        <w:rPr/>
      </w:pPr>
      <w:r>
        <w:rPr/>
        <w:footnoteRef/>
        <w:tab/>
        <w:t>Das ist ja merkwürdig W. »Darin ist ja das Merkwürdige/Erstaunliche« EÜ, Zür: »Darin liegt ja das Erstaunliche«, NGÜ: »Das ist doch wirklich sonderbar!«, Lut: »Das ist verwunderlich«, GNB: »Das ist wirklich seltsam!«</w:t>
      </w:r>
    </w:p>
  </w:footnote>
  <w:footnote w:id="5015">
    <w:p>
      <w:pPr>
        <w:pStyle w:val="Funote"/>
        <w:rPr/>
      </w:pPr>
      <w:r>
        <w:rPr>
          <w:i/>
        </w:rPr>
        <w:footnoteRef/>
        <w:tab/>
        <w:t>obwohl</w:t>
      </w:r>
      <w:r>
        <w:rPr/>
        <w:t xml:space="preserve"> </w:t>
      </w:r>
      <w:r>
        <w:rPr>
          <w:lang w:val="el-GR"/>
        </w:rPr>
        <w:t>καὶ</w:t>
      </w:r>
      <w:r>
        <w:rPr/>
        <w:t xml:space="preserve"> „und“ hat ihr eine sehr konzessive Konnotation. </w:t>
      </w:r>
    </w:p>
  </w:footnote>
  <w:footnote w:id="5016">
    <w:p>
      <w:pPr>
        <w:pStyle w:val="Funote"/>
        <w:rPr/>
      </w:pPr>
      <w:r>
        <w:rPr>
          <w:i/>
        </w:rPr>
        <w:footnoteRef/>
        <w:tab/>
        <w:t>hört er gerade demjenigen zu</w:t>
      </w:r>
      <w:r>
        <w:rPr/>
        <w:t xml:space="preserve"> Diese Phrase steht im Urtext besonders hervorgehoben am Satzende. Die Umstellung erfolgt, weil im Deutschen eine solche Betonung anders ausgedrückt werden muss, und der Satz wäre unter Beibehaltung der griechischen Satzstellung kaum übersetzbar. </w:t>
      </w:r>
    </w:p>
  </w:footnote>
  <w:footnote w:id="5017">
    <w:p>
      <w:pPr>
        <w:pStyle w:val="Funote"/>
        <w:rPr/>
      </w:pPr>
      <w:r>
        <w:rPr>
          <w:i/>
        </w:rPr>
        <w:footnoteRef/>
        <w:tab/>
        <w:t>Von jeher</w:t>
      </w:r>
      <w:r>
        <w:rPr/>
        <w:t xml:space="preserve"> Gr. </w:t>
      </w:r>
      <w:r>
        <w:rPr>
          <w:lang w:val="el-GR"/>
        </w:rPr>
        <w:t>ἐκ τοῦ αἰῶνος</w:t>
      </w:r>
      <w:r>
        <w:rPr/>
        <w:t xml:space="preserve">, W. etwa „seit Ewigkeit“. </w:t>
      </w:r>
    </w:p>
  </w:footnote>
  <w:footnote w:id="5018">
    <w:p>
      <w:pPr>
        <w:pStyle w:val="Funote"/>
        <w:rPr/>
      </w:pPr>
      <w:r>
        <w:rPr>
          <w:i/>
        </w:rPr>
        <w:footnoteRef/>
        <w:tab/>
        <w:t>nachdem er ihn gefunden hatte</w:t>
      </w:r>
      <w:r>
        <w:rPr/>
        <w:t xml:space="preserve"> Adverbiales Ptz. Aor., temporal-vorzeitig als Nebensatz aufgelöst. </w:t>
      </w:r>
    </w:p>
  </w:footnote>
  <w:footnote w:id="5019">
    <w:p>
      <w:pPr>
        <w:pStyle w:val="Funote"/>
        <w:rPr/>
      </w:pPr>
      <w:r>
        <w:rPr>
          <w:i/>
        </w:rPr>
        <w:footnoteRef/>
        <w:tab/>
        <w:t>{und sagte}</w:t>
      </w:r>
      <w:r>
        <w:rPr/>
        <w:t xml:space="preserve"> Zur Auslassung s. die </w:t>
      </w:r>
      <w:r>
        <w:fldChar w:fldCharType="begin"/>
      </w:r>
      <w:r>
        <w:instrText> HYPERLINK "file:///wiki/Johannes_9" \l "note_b"</w:instrText>
      </w:r>
      <w:r>
        <w:fldChar w:fldCharType="separate"/>
      </w:r>
      <w:r>
        <w:rPr>
          <w:rStyle w:val="Internetverknpfung"/>
        </w:rPr>
        <w:t>Fußnote in V. 2</w:t>
      </w:r>
      <w:r>
        <w:fldChar w:fldCharType="end"/>
      </w:r>
      <w:r>
        <w:rPr/>
        <w:t xml:space="preserve">. </w:t>
      </w:r>
    </w:p>
  </w:footnote>
  <w:footnote w:id="5020">
    <w:p>
      <w:pPr>
        <w:pStyle w:val="Funote"/>
        <w:rPr/>
      </w:pPr>
      <w:r>
        <w:rPr>
          <w:i/>
        </w:rPr>
        <w:footnoteRef/>
        <w:tab/>
        <w:t>glauben kann</w:t>
      </w:r>
      <w:r>
        <w:rPr/>
        <w:t xml:space="preserve"> W. „glauben werde“</w:t>
      </w:r>
    </w:p>
  </w:footnote>
  <w:footnote w:id="5021">
    <w:p>
      <w:pPr>
        <w:pStyle w:val="Funote"/>
        <w:rPr/>
      </w:pPr>
      <w:r>
        <w:rPr>
          <w:i/>
        </w:rPr>
        <w:footnoteRef/>
        <w:tab/>
        <w:t>Der mit dir spricht</w:t>
      </w:r>
      <w:r>
        <w:rPr/>
        <w:t xml:space="preserve"> Subst. Ptz., als Relativsatz aufgelöst. </w:t>
      </w:r>
    </w:p>
  </w:footnote>
  <w:footnote w:id="5022">
    <w:p>
      <w:pPr>
        <w:pStyle w:val="Funote"/>
        <w:rPr/>
      </w:pPr>
      <w:r>
        <w:rPr/>
        <w:footnoteRef/>
        <w:tab/>
        <w:t>„</w:t>
      </w:r>
      <w:r>
        <w:rPr>
          <w:i/>
        </w:rPr>
        <w:t>Aber wir gehören nicht zu den Blinden, oder?“</w:t>
      </w:r>
      <w:r>
        <w:rPr/>
        <w:t xml:space="preserve"> W. „Es sind doch nicht etwa auch wir blind?“</w:t>
      </w:r>
    </w:p>
  </w:footnote>
  <w:footnote w:id="5023">
    <w:p>
      <w:pPr>
        <w:pStyle w:val="Funote"/>
        <w:rPr/>
      </w:pPr>
      <w:r>
        <w:rPr/>
        <w:footnoteRef/>
        <w:tab/>
        <w:t>[Status: Ungeprüft]</w:t>
      </w:r>
    </w:p>
  </w:footnote>
  <w:footnote w:id="5024">
    <w:p>
      <w:pPr>
        <w:pStyle w:val="Funote"/>
        <w:rPr/>
      </w:pPr>
      <w:r>
        <w:rPr>
          <w:i/>
        </w:rPr>
        <w:footnoteRef/>
        <w:tab/>
        <w:t>Wer nicht gelangt … hineinsteigt</w:t>
      </w:r>
      <w:r>
        <w:rPr/>
        <w:t xml:space="preserve"> Substantiviertes Ptz., als Relativsatz mit „wer“ aufgelöst. </w:t>
      </w:r>
    </w:p>
  </w:footnote>
  <w:footnote w:id="5025">
    <w:p>
      <w:pPr>
        <w:pStyle w:val="Funote"/>
        <w:rPr/>
      </w:pPr>
      <w:r>
        <w:rPr>
          <w:i/>
        </w:rPr>
        <w:footnoteRef/>
        <w:tab/>
        <w:t>derjenige, der … eintritt</w:t>
      </w:r>
      <w:r>
        <w:rPr/>
        <w:t xml:space="preserve"> Substantiviertes Ptz., als Relativsatz mit „derjenige, der“ aufgelöst. </w:t>
      </w:r>
    </w:p>
  </w:footnote>
  <w:footnote w:id="5026">
    <w:p>
      <w:pPr>
        <w:pStyle w:val="Funote"/>
        <w:rPr/>
      </w:pPr>
      <w:r>
        <w:rPr/>
        <w:footnoteRef/>
        <w:tab/>
        <w:t>W. „Stimme“ (Sg.)</w:t>
      </w:r>
    </w:p>
  </w:footnote>
  <w:footnote w:id="5027">
    <w:p>
      <w:pPr>
        <w:pStyle w:val="Funote"/>
        <w:rPr/>
      </w:pPr>
      <w:r>
        <w:rPr>
          <w:i/>
        </w:rPr>
        <w:footnoteRef/>
        <w:tab/>
        <w:t>Gatter [für] die Schafe</w:t>
      </w:r>
      <w:r>
        <w:rPr/>
        <w:t xml:space="preserve"> W. „Gatter der Schafe“ (Appositiver Genitiv). </w:t>
      </w:r>
    </w:p>
  </w:footnote>
  <w:footnote w:id="5028">
    <w:p>
      <w:pPr>
        <w:pStyle w:val="Funote"/>
        <w:rPr/>
      </w:pPr>
      <w:r>
        <w:rPr/>
        <w:footnoteRef/>
        <w:tab/>
        <w:t>D.h. es war regnerisch und es wehte ein kalter Wind, was sachlich den Aufenthalt in der Säulenhalle Salomos (s. folgender Vers) motivieren könnte. Cf. Benedikt Schwank, Evangelium nach Johannes, St. Ottilien 1998, S. 292.</w:t>
      </w:r>
    </w:p>
  </w:footnote>
  <w:footnote w:id="5029">
    <w:p>
      <w:pPr>
        <w:pStyle w:val="Funote"/>
        <w:rPr/>
      </w:pPr>
      <w:r>
        <w:rPr/>
        <w:footnoteRef/>
        <w:tab/>
        <w:t xml:space="preserve">Die Übersetzung folgt NA28 und liest (1) </w:t>
      </w:r>
      <w:r>
        <w:rPr>
          <w:lang w:val="el-GR"/>
        </w:rPr>
        <w:t>ὃ δέδωκέν μοι πάντων μεῖζόν ἐστιν</w:t>
      </w:r>
      <w:r>
        <w:rPr/>
        <w:t xml:space="preserve"> (was er mir gegeben hat, ist größer als alles/alle). Daneben werden vor allem drei weitere Varianten in der Literatur und in gängingen Übersetzungen in Betracht gezogen: (2) </w:t>
      </w:r>
      <w:r>
        <w:rPr>
          <w:lang w:val="el-GR"/>
        </w:rPr>
        <w:t>ὃς δέδωκέν μοι πάντων μεῖζων ἐστιν</w:t>
      </w:r>
      <w:r>
        <w:rPr/>
        <w:t xml:space="preserve"> (der mir [sie] gegeben hat, ist größer als alle/alles), (3) </w:t>
      </w:r>
      <w:r>
        <w:rPr>
          <w:lang w:val="el-GR"/>
        </w:rPr>
        <w:t>ὃς δέδωκέν μοι πάντων μεῖζόν ἐστιν</w:t>
      </w:r>
      <w:r>
        <w:rPr/>
        <w:t xml:space="preserve"> (der mir [sie] gegeben hat, ist etwas Größeres als alle/alles) und (4) </w:t>
      </w:r>
      <w:r>
        <w:rPr>
          <w:lang w:val="el-GR"/>
        </w:rPr>
        <w:t>ὃ δέδωκέν μοι πάντων μεῖζων ἐστιν</w:t>
      </w:r>
      <w:r>
        <w:rPr/>
        <w:t xml:space="preserve"> ([in Hinsicht auf] was er mir gegeben hat, ist größer als alle/alles). Die leichteste Lesart ist (2): Die Aussage ist theologisch unproblematisch, paßt gut in den Kontext (dass der Vater größer als alles ist, erklärt gut, weshalb niemand etwas seiner Hand entreißen kann) und das Griechisch ist (trotz des fehlenden Objekts) gut möglich. Gerade deshalb kann sie als ursprünglich ausgeschlossen werden: Es wäre unerklärlich, wie es zu den vielen und theologisch oder grammatikalisch schwierigen Varianten hätte kommen sollen, wenn dies der Urtext gewesen wäre. Allgemeiner ist es überhaupt unwahrscheinlich, daß es zu einem relativ weitverbreiteten Übergang von einem ursprünglichen Text, der </w:t>
      </w:r>
      <w:r>
        <w:rPr>
          <w:lang w:val="el-GR"/>
        </w:rPr>
        <w:t>ὃς δέδωκέν μοι</w:t>
      </w:r>
      <w:r>
        <w:rPr/>
        <w:t xml:space="preserve"> hat, zu Lesarten, die </w:t>
      </w:r>
      <w:r>
        <w:rPr>
          <w:lang w:val="el-GR"/>
        </w:rPr>
        <w:t>ὃς</w:t>
      </w:r>
      <w:r>
        <w:rPr/>
        <w:t xml:space="preserve"> mit </w:t>
      </w:r>
      <w:r>
        <w:rPr>
          <w:lang w:val="el-GR"/>
        </w:rPr>
        <w:t>ὃ</w:t>
      </w:r>
      <w:r>
        <w:rPr/>
        <w:t xml:space="preserve"> ersetzen, gekommen wäre. Das schließt neben (2) auch (3) als ursprünglichen Text aus. (Cf. Metzger, Bruce M., United Bible Societies (1994). A Textual Commentary on the Greek New Testament.) (4) ist grammatikalisch schwierig, nach Metzger (op.cit) handelt es sich um »unmögliches Griechisch«, das nicht konstruiert werden kann (und deswegen als Urtext auszuschließen ist). (1) entspricht mit dem dem Relativsatz vorausgestelltem Subjekt johanneischem Stil (cf. z.B. Hartwig Thyen, Das Johannesevangelium, Tübingen 2015), ist aber theologisch auf den ersten Blick schwierig: Das kann zum einen erklären, weshalb es zu alternativen Lesarten kam, und zum anderen, warum viele Übersetzungen und Exegeten auch heute diese Lesart zurückweisen.</w:t>
      </w:r>
    </w:p>
  </w:footnote>
  <w:footnote w:id="5030">
    <w:p>
      <w:pPr>
        <w:pStyle w:val="Funote"/>
        <w:rPr/>
      </w:pPr>
      <w:r>
        <w:rPr/>
        <w:footnoteRef/>
        <w:tab/>
        <w:t>[Status: Ungeprüft]</w:t>
      </w:r>
    </w:p>
  </w:footnote>
  <w:footnote w:id="5031">
    <w:p>
      <w:pPr>
        <w:pStyle w:val="Funote"/>
        <w:rPr/>
      </w:pPr>
      <w:r>
        <w:rPr>
          <w:i/>
        </w:rPr>
        <w:footnoteRef/>
        <w:tab/>
        <w:t>Lazarus</w:t>
      </w:r>
      <w:r>
        <w:rPr/>
        <w:t xml:space="preserve"> ist eine gekürzte, gräcisierte Form des hebräischen Namens Eleazar, der zur Zeit Jesu verbreitet war. Er bedeutet „Gott hilft“ (Brown ²1987, 422). </w:t>
      </w:r>
    </w:p>
  </w:footnote>
  <w:footnote w:id="5032">
    <w:p>
      <w:pPr>
        <w:pStyle w:val="Funote"/>
        <w:rPr/>
      </w:pPr>
      <w:r>
        <w:rPr>
          <w:i/>
        </w:rPr>
        <w:footnoteRef/>
        <w:tab/>
        <w:t>[mit] Salböl</w:t>
      </w:r>
      <w:r>
        <w:rPr/>
        <w:t xml:space="preserve"> und </w:t>
      </w:r>
      <w:r>
        <w:rPr>
          <w:i/>
        </w:rPr>
        <w:t>[mit] ihren Haaren</w:t>
      </w:r>
      <w:r>
        <w:rPr/>
        <w:t xml:space="preserve"> Instrumentaler Dativ. </w:t>
      </w:r>
    </w:p>
  </w:footnote>
  <w:footnote w:id="5033">
    <w:p>
      <w:pPr>
        <w:pStyle w:val="Funote"/>
        <w:rPr/>
      </w:pPr>
      <w:r>
        <w:rPr>
          <w:i/>
        </w:rPr>
        <w:footnoteRef/>
        <w:tab/>
        <w:t>die gesalbt und abgetrocknet hatte</w:t>
      </w:r>
      <w:r>
        <w:rPr/>
        <w:t xml:space="preserve"> Attributives Ptz., als Relativsatz wiedergegeben. </w:t>
      </w:r>
    </w:p>
  </w:footnote>
  <w:footnote w:id="5034">
    <w:p>
      <w:pPr>
        <w:pStyle w:val="Funote"/>
        <w:rPr/>
      </w:pPr>
      <w:r>
        <w:rPr>
          <w:i/>
        </w:rPr>
        <w:footnoteRef/>
        <w:tab/>
        <w:t>und ließen ihm ausrichten</w:t>
      </w:r>
      <w:r>
        <w:rPr/>
        <w:t xml:space="preserve"> Sinngemäße Übersetzung, w. etwa „und sagten“ (nämlich die Schwestern). Etwas freier könnte man den Satz folgendermaßen übersetzen: „Die Schwestern ließen ihm folgende Nachricht übermitteln:“</w:t>
      </w:r>
    </w:p>
  </w:footnote>
  <w:footnote w:id="5035">
    <w:p>
      <w:pPr>
        <w:pStyle w:val="Funote"/>
        <w:rPr/>
      </w:pPr>
      <w:r>
        <w:rPr>
          <w:i/>
        </w:rPr>
        <w:footnoteRef/>
        <w:tab/>
        <w:t>Als Jesus das hörte</w:t>
      </w:r>
      <w:r>
        <w:rPr/>
        <w:t xml:space="preserve"> Temporal aufgelöstes adv. Ptz. Aor. </w:t>
      </w:r>
    </w:p>
  </w:footnote>
  <w:footnote w:id="5036">
    <w:p>
      <w:pPr>
        <w:pStyle w:val="Funote"/>
        <w:rPr/>
      </w:pPr>
      <w:r>
        <w:rPr>
          <w:i/>
        </w:rPr>
        <w:footnoteRef/>
        <w:tab/>
        <w:t>führt nicht zum Tod</w:t>
      </w:r>
      <w:r>
        <w:rPr/>
        <w:t xml:space="preserve"> W. „ist nicht zum Tod“</w:t>
      </w:r>
    </w:p>
  </w:footnote>
  <w:footnote w:id="5037">
    <w:p>
      <w:pPr>
        <w:pStyle w:val="Funote"/>
        <w:rPr/>
      </w:pPr>
      <w:r>
        <w:rPr>
          <w:i/>
        </w:rPr>
        <w:footnoteRef/>
        <w:tab/>
        <w:t>jedoch</w:t>
      </w:r>
      <w:r>
        <w:rPr/>
        <w:t xml:space="preserve">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w:t>
      </w:r>
      <w:r>
        <w:rPr>
          <w:i/>
        </w:rPr>
        <w:t>dennoch</w:t>
      </w:r>
      <w:r>
        <w:rPr/>
        <w:t xml:space="preserve">) hervorgehoben werden. Die Erzählung nimmt er dann gewöhnlich – wie gleich in V. 6 – mit der Konjunktion </w:t>
      </w:r>
      <w:hyperlink r:id="rId495">
        <w:r>
          <w:rPr>
            <w:rStyle w:val="Internetverknpfung"/>
          </w:rPr>
          <w:t>Οὖν"&gt;οὖν</w:t>
        </w:r>
      </w:hyperlink>
      <w:r>
        <w:rPr/>
        <w:t xml:space="preserve"> „nun, also, daher“, bei Joh auch „da, dann, daraufhin“ (hier </w:t>
      </w:r>
      <w:r>
        <w:rPr>
          <w:i/>
        </w:rPr>
        <w:t>dann</w:t>
      </w:r>
      <w:r>
        <w:rPr/>
        <w:t xml:space="preserve">) wieder auf. </w:t>
      </w:r>
    </w:p>
  </w:footnote>
  <w:footnote w:id="5038">
    <w:p>
      <w:pPr>
        <w:pStyle w:val="Funote"/>
        <w:rPr/>
      </w:pPr>
      <w:hyperlink r:id="rId496">
        <w:r>
          <w:rPr>
            <w:rStyle w:val="Internetverknpfung"/>
          </w:rPr>
          <w:footnoteRef/>
          <w:tab/>
          <w:t>Historisches Präsens</w:t>
        </w:r>
      </w:hyperlink>
      <w:r>
        <w:rPr/>
        <w:t xml:space="preserve">. </w:t>
      </w:r>
    </w:p>
  </w:footnote>
  <w:footnote w:id="5039">
    <w:p>
      <w:pPr>
        <w:pStyle w:val="Funote"/>
        <w:rPr/>
      </w:pPr>
      <w:r>
        <w:rPr>
          <w:i/>
        </w:rPr>
        <w:footnoteRef/>
        <w:tab/>
        <w:t>[in] einem Tag</w:t>
      </w:r>
      <w:r>
        <w:rPr/>
        <w:t xml:space="preserve"> Gen. partitivus. </w:t>
      </w:r>
    </w:p>
  </w:footnote>
  <w:footnote w:id="5040">
    <w:p>
      <w:pPr>
        <w:pStyle w:val="Funote"/>
        <w:rPr/>
      </w:pPr>
      <w:r>
        <w:rPr>
          <w:i/>
        </w:rPr>
        <w:footnoteRef/>
        <w:tab/>
        <w:t>das Licht dieser Welt</w:t>
      </w:r>
      <w:r>
        <w:rPr/>
        <w:t xml:space="preserve"> D.h. die Sonne, bei Johannes im theologischen Kontext jedoch doppeldeutig auch auf Jesus bezogen (vgl. Joh 9,5; Brown ²1987, 423). </w:t>
      </w:r>
    </w:p>
  </w:footnote>
  <w:footnote w:id="5041">
    <w:p>
      <w:pPr>
        <w:pStyle w:val="Funote"/>
        <w:rPr/>
      </w:pPr>
      <w:r>
        <w:rPr/>
        <w:footnoteRef/>
        <w:tab/>
        <w:t>weil das Licht nicht in einem ist Das meint offenbar die Sehfähigkeit, die bei Nacht fehlt. Die Juden dachten offenbar, dass das Licht in den Augen ist ({{par|Matthäus_6#s22|Mt 6,22-23}}; Brown ²1987, 423)</w:t>
      </w:r>
    </w:p>
  </w:footnote>
  <w:footnote w:id="5042">
    <w:p>
      <w:pPr>
        <w:pStyle w:val="Funote"/>
        <w:rPr/>
      </w:pPr>
      <w:r>
        <w:rPr/>
        <w:footnoteRef/>
        <w:tab/>
        <w:t xml:space="preserve">Wird </w:t>
      </w:r>
      <w:r>
        <w:rPr>
          <w:lang w:val="el-GR"/>
        </w:rPr>
        <w:t>κεκοίμηται</w:t>
      </w:r>
      <w:r>
        <w:rPr/>
        <w:t xml:space="preserve"> mit „er schläft“ übersetzt, wird das Mißverständnis der Jünger unverständlich, und das Wortspiel, </w:t>
      </w:r>
      <w:r>
        <w:rPr>
          <w:lang w:val="el-GR"/>
        </w:rPr>
        <w:t>κεκοίμηται</w:t>
      </w:r>
      <w:r>
        <w:rPr/>
        <w:t xml:space="preserve"> (er ruht, V. 11 u. 12) – </w:t>
      </w:r>
      <w:r>
        <w:rPr>
          <w:lang w:val="el-GR"/>
        </w:rPr>
        <w:t>κοιμήσεως τοῦ ὕπνου</w:t>
      </w:r>
      <w:r>
        <w:rPr/>
        <w:t xml:space="preserve"> (Ruhen des Schlafes, V. 13), geht verloren.</w:t>
      </w:r>
    </w:p>
  </w:footnote>
  <w:footnote w:id="5043">
    <w:p>
      <w:pPr>
        <w:pStyle w:val="Funote"/>
        <w:rPr/>
      </w:pPr>
      <w:r>
        <w:rPr/>
        <w:footnoteRef/>
        <w:tab/>
        <w:t xml:space="preserve">Irrealer Konditionalsatz (KG §479). </w:t>
      </w:r>
    </w:p>
  </w:footnote>
  <w:footnote w:id="5044">
    <w:p>
      <w:pPr>
        <w:pStyle w:val="Funote"/>
        <w:rPr/>
      </w:pPr>
      <w:r>
        <w:rPr/>
        <w:footnoteRef/>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5045">
    <w:p>
      <w:pPr>
        <w:pStyle w:val="Funote"/>
        <w:rPr/>
      </w:pPr>
      <w:r>
        <w:rPr>
          <w:i/>
        </w:rPr>
        <w:footnoteRef/>
        <w:tab/>
        <w:t>ihn</w:t>
      </w:r>
      <w:r>
        <w:rPr/>
        <w:t xml:space="preserve"> W. „Gott“, das in der Übersetzung aber als Subjekt vorgezogen werden musste. </w:t>
      </w:r>
    </w:p>
  </w:footnote>
  <w:footnote w:id="5046">
    <w:p>
      <w:pPr>
        <w:pStyle w:val="Funote"/>
        <w:rPr/>
      </w:pPr>
      <w:r>
        <w:rPr/>
        <w:footnoteRef/>
        <w:tab/>
        <w:t xml:space="preserve">Oder: „Auch jetzt weiß ich: {dass} Alles, worum du Gott bittest, wird er dir geben.“ </w:t>
      </w:r>
    </w:p>
  </w:footnote>
  <w:footnote w:id="5047">
    <w:p>
      <w:pPr>
        <w:pStyle w:val="Funote"/>
        <w:rPr/>
      </w:pPr>
      <w:hyperlink r:id="rId497">
        <w:r>
          <w:rPr>
            <w:rStyle w:val="Internetverknpfung"/>
          </w:rPr>
          <w:footnoteRef/>
          <w:tab/>
          <w:t>Historisches Präsens</w:t>
        </w:r>
      </w:hyperlink>
      <w:r>
        <w:rPr/>
        <w:t xml:space="preserve">. </w:t>
      </w:r>
    </w:p>
  </w:footnote>
  <w:footnote w:id="5048">
    <w:p>
      <w:pPr>
        <w:pStyle w:val="Funote"/>
        <w:rPr/>
      </w:pPr>
      <w:hyperlink r:id="rId498">
        <w:r>
          <w:rPr>
            <w:rStyle w:val="Internetverknpfung"/>
          </w:rPr>
          <w:footnoteRef/>
          <w:tab/>
          <w:t>Historisches Präsens</w:t>
        </w:r>
      </w:hyperlink>
      <w:r>
        <w:rPr/>
        <w:t xml:space="preserve">. </w:t>
      </w:r>
    </w:p>
  </w:footnote>
  <w:footnote w:id="5049">
    <w:p>
      <w:pPr>
        <w:pStyle w:val="Funote"/>
        <w:rPr/>
      </w:pPr>
      <w:r>
        <w:rPr>
          <w:i/>
        </w:rPr>
        <w:footnoteRef/>
        <w:tab/>
        <w:t>Wer an mich glaubt</w:t>
      </w:r>
      <w:r>
        <w:rPr/>
        <w:t xml:space="preserve"> Substantiviertes Ptz., als Relativsatz aufgelöst. </w:t>
      </w:r>
    </w:p>
  </w:footnote>
  <w:footnote w:id="5050">
    <w:p>
      <w:pPr>
        <w:pStyle w:val="Funote"/>
        <w:rPr/>
      </w:pPr>
      <w:r>
        <w:rPr>
          <w:i/>
        </w:rPr>
        <w:footnoteRef/>
        <w:tab/>
        <w:t>der lebt und glaubt</w:t>
      </w:r>
      <w:r>
        <w:rPr/>
        <w:t xml:space="preserve"> Zwei substantivierte Ptz., als Relativsatz aufgelöst. </w:t>
      </w:r>
    </w:p>
  </w:footnote>
  <w:footnote w:id="5051">
    <w:p>
      <w:pPr>
        <w:pStyle w:val="Funote"/>
        <w:rPr/>
      </w:pPr>
      <w:r>
        <w:rPr>
          <w:i/>
        </w:rPr>
        <w:footnoteRef/>
        <w:tab/>
        <w:t>der kommt</w:t>
      </w:r>
      <w:r>
        <w:rPr/>
        <w:t xml:space="preserve"> Substantiviertes Ptz. Präs. (mit Futur-Aspektbedeutung, GGNT §228), als Relativsatz aufgelöst. </w:t>
      </w:r>
    </w:p>
  </w:footnote>
  <w:footnote w:id="5052">
    <w:p>
      <w:pPr>
        <w:pStyle w:val="Funote"/>
        <w:rPr/>
      </w:pPr>
      <w:r>
        <w:rPr>
          <w:i/>
        </w:rPr>
        <w:footnoteRef/>
        <w:tab/>
        <w:t>und ihn sah</w:t>
      </w:r>
      <w:r>
        <w:rPr/>
        <w:t xml:space="preserve"> Ptc. coni., temporal aufgelöst. Da hier schon ein parenthetischer Nebensatz mit „als“ vorhanden war, wurde das aufgelöste Ptz. mit „und“ an diesen geknüpft. </w:t>
      </w:r>
    </w:p>
  </w:footnote>
  <w:footnote w:id="5053">
    <w:p>
      <w:pPr>
        <w:pStyle w:val="Funote"/>
        <w:rPr/>
      </w:pPr>
      <w:r>
        <w:rPr>
          <w:i/>
        </w:rPr>
        <w:footnoteRef/>
        <w:tab/>
        <w:t>und sagte</w:t>
      </w:r>
      <w:r>
        <w:rPr/>
        <w:t xml:space="preserve"> Modal-temporales Ptc. coni., hier als „und“-Kombination wiedergegeben. </w:t>
      </w:r>
    </w:p>
  </w:footnote>
  <w:footnote w:id="5054">
    <w:p>
      <w:pPr>
        <w:pStyle w:val="Funote"/>
        <w:rPr/>
      </w:pPr>
      <w:r>
        <w:rPr/>
        <w:footnoteRef/>
        <w:tab/>
        <w:t>Die Aussage enthält einen irrealen Konditionalsatz (KG §479) und gleicht Martas Ausruf aus V. 21 bis auf einige Abweichungen.</w:t>
      </w:r>
    </w:p>
  </w:footnote>
  <w:footnote w:id="5055">
    <w:p>
      <w:pPr>
        <w:pStyle w:val="Funote"/>
        <w:rPr/>
      </w:pPr>
      <w:r>
        <w:rPr/>
        <w:footnoteRef/>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5056">
    <w:p>
      <w:pPr>
        <w:pStyle w:val="Funote"/>
        <w:rPr/>
      </w:pPr>
      <w:r>
        <w:rPr>
          <w:i/>
        </w:rPr>
        <w:footnoteRef/>
        <w:tab/>
        <w:t>[im] Geist</w:t>
      </w:r>
      <w:r>
        <w:rPr/>
        <w:t xml:space="preserve"> Zwar könnte der hier lokativ interpretierte Dativ auch instrumental verstanden werden – dann wäre Jesus „[vom Heiligen] Geist“ so aufgewühlt –, aber das verwendete, Selbstbezug herstellende Medium und der Kontext zeigen an, dass es wie innerlich zu verstehen ist (vgl. Carson 1991, 415). </w:t>
      </w:r>
    </w:p>
  </w:footnote>
  <w:footnote w:id="5057">
    <w:p>
      <w:pPr>
        <w:pStyle w:val="Funote"/>
        <w:rPr/>
      </w:pPr>
      <w:r>
        <w:rPr>
          <w:i/>
        </w:rPr>
        <w:footnoteRef/>
        <w:tab/>
        <w:t>war er sehr aufgebracht (wütend, erregt) und erschüttert (aufgewühlt, tief bewegt)</w:t>
      </w:r>
      <w:r>
        <w:rPr/>
        <w:t xml:space="preserve">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w:t>
      </w:r>
      <w:r>
        <w:rPr>
          <w:i/>
        </w:rPr>
        <w:t>sehr aufgebracht/wütend sein</w:t>
      </w:r>
      <w:r>
        <w:rPr/>
        <w:t xml:space="preserve">)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 </w:t>
      </w:r>
    </w:p>
  </w:footnote>
  <w:footnote w:id="5058">
    <w:p>
      <w:pPr>
        <w:pStyle w:val="Funote"/>
        <w:rPr/>
      </w:pPr>
      <w:hyperlink r:id="rId499">
        <w:r>
          <w:rPr>
            <w:rStyle w:val="Internetverknpfung"/>
          </w:rPr>
          <w:footnoteRef/>
          <w:tab/>
          <w:t>Historisches Präsens</w:t>
        </w:r>
      </w:hyperlink>
      <w:r>
        <w:rPr/>
        <w:t xml:space="preserve">. </w:t>
      </w:r>
    </w:p>
  </w:footnote>
  <w:footnote w:id="5059">
    <w:p>
      <w:pPr>
        <w:pStyle w:val="Funote"/>
        <w:rPr/>
      </w:pPr>
      <w:r>
        <w:rPr/>
        <w:footnoteRef/>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5060">
    <w:p>
      <w:pPr>
        <w:pStyle w:val="Funote"/>
        <w:rPr/>
      </w:pPr>
      <w:r>
        <w:rPr>
          <w:i/>
        </w:rPr>
        <w:footnoteRef/>
        <w:tab/>
        <w:t>[Lazarus]</w:t>
      </w:r>
      <w:r>
        <w:rPr/>
        <w:t xml:space="preserve"> W. „dieser, er“. Der Eigenname wurde eingefügt, um ihn von Jesus zu unterscheiden. </w:t>
      </w:r>
    </w:p>
  </w:footnote>
  <w:footnote w:id="5061">
    <w:p>
      <w:pPr>
        <w:pStyle w:val="Funote"/>
        <w:rPr/>
      </w:pPr>
      <w:r>
        <w:rPr>
          <w:i/>
        </w:rPr>
        <w:footnoteRef/>
        <w:tab/>
        <w:t>sage es (habe gesagt)</w:t>
      </w:r>
      <w:r>
        <w:rPr/>
        <w:t xml:space="preserve"> Gr. ein Aorist (Vergangenheit), aber das ist wohl eine zu wörtliche Wiedergabe des hebräischen Vollzugsperfekts (Brown ²1987, 427). </w:t>
      </w:r>
    </w:p>
  </w:footnote>
  <w:footnote w:id="5062">
    <w:p>
      <w:pPr>
        <w:pStyle w:val="Funote"/>
        <w:rPr/>
      </w:pPr>
      <w:r>
        <w:rPr>
          <w:i/>
        </w:rPr>
        <w:footnoteRef/>
        <w:tab/>
        <w:t>nachdem er das gesagt hatte</w:t>
      </w:r>
      <w:r>
        <w:rPr/>
        <w:t xml:space="preserve"> Als temporaler Nebensatz aufgelöstes adv. Ptz. Aor. </w:t>
      </w:r>
    </w:p>
  </w:footnote>
  <w:footnote w:id="5063">
    <w:p>
      <w:pPr>
        <w:pStyle w:val="Funote"/>
        <w:rPr/>
      </w:pPr>
      <w:r>
        <w:rPr>
          <w:i/>
        </w:rPr>
        <w:footnoteRef/>
        <w:tab/>
        <w:t>[mit] lauter Stimme</w:t>
      </w:r>
      <w:r>
        <w:rPr/>
        <w:t xml:space="preserve"> Instrumentaler Dativ. </w:t>
      </w:r>
    </w:p>
  </w:footnote>
  <w:footnote w:id="5064">
    <w:p>
      <w:pPr>
        <w:pStyle w:val="Funote"/>
        <w:rPr/>
      </w:pPr>
      <w:r>
        <w:rPr>
          <w:i/>
        </w:rPr>
        <w:footnoteRef/>
        <w:tab/>
        <w:t>an Füßen und Händen mit Binden gebunden</w:t>
      </w:r>
      <w:r>
        <w:rPr/>
        <w:t xml:space="preserve">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 </w:t>
      </w:r>
    </w:p>
  </w:footnote>
  <w:footnote w:id="5065">
    <w:p>
      <w:pPr>
        <w:pStyle w:val="Funote"/>
        <w:rPr/>
      </w:pPr>
      <w:r>
        <w:rPr>
          <w:i/>
        </w:rPr>
        <w:footnoteRef/>
        <w:tab/>
        <w:t>der war</w:t>
      </w:r>
      <w:r>
        <w:rPr/>
        <w:t xml:space="preserve"> Ptc. coni., als Relativsatz aufgelöst. </w:t>
      </w:r>
    </w:p>
  </w:footnote>
  <w:footnote w:id="5066">
    <w:p>
      <w:pPr>
        <w:pStyle w:val="Funote"/>
        <w:rPr/>
      </w:pPr>
      <w:r>
        <w:rPr/>
        <w:footnoteRef/>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5067">
    <w:p>
      <w:pPr>
        <w:pStyle w:val="Funote"/>
        <w:rPr/>
      </w:pPr>
      <w:r>
        <w:rPr>
          <w:i/>
        </w:rPr>
        <w:footnoteRef/>
        <w:tab/>
        <w:t>weil er war</w:t>
      </w:r>
      <w:r>
        <w:rPr/>
        <w:t xml:space="preserve"> Ptc. coni., als kausaler Nebensatz aufgelöst. </w:t>
      </w:r>
    </w:p>
  </w:footnote>
  <w:footnote w:id="5068">
    <w:p>
      <w:pPr>
        <w:pStyle w:val="Funote"/>
        <w:rPr/>
      </w:pPr>
      <w:r>
        <w:rPr/>
        <w:footnoteRef/>
        <w:tab/>
        <w:t>[Status: Ungeprüft]</w:t>
      </w:r>
    </w:p>
  </w:footnote>
  <w:footnote w:id="5069">
    <w:p>
      <w:pPr>
        <w:pStyle w:val="Funote"/>
        <w:rPr/>
      </w:pPr>
      <w:r>
        <w:rPr/>
        <w:footnoteRef/>
        <w:tab/>
        <w:t xml:space="preserve">Die Bedeutung von </w:t>
      </w:r>
      <w:r>
        <w:rPr>
          <w:lang w:val="el-GR"/>
        </w:rPr>
        <w:t>πιστικῆς</w:t>
      </w:r>
      <w:r>
        <w:rPr/>
        <w:t xml:space="preserve"> – hier übersetzt mit „echt“ – ist unsicher, da es im NT nur hier und Mk 14,3 vorkommt, und ansonsten in Texten, die von diesen beiden Stellen abhängen. Cf. C.K. Barrett, Das Evangelium des Johannes (KEK), 1990, S. 407 f. und die entsprechende Fußnote zu </w:t>
      </w:r>
      <w:r>
        <w:fldChar w:fldCharType="begin"/>
      </w:r>
      <w:r>
        <w:instrText> HYPERLINK "file:///wiki/Markus_14" \l "s3"</w:instrText>
      </w:r>
      <w:r>
        <w:fldChar w:fldCharType="separate"/>
      </w:r>
      <w:r>
        <w:rPr>
          <w:rStyle w:val="Internetverknpfung"/>
        </w:rPr>
        <w:t>Mk 14,3</w:t>
      </w:r>
      <w:r>
        <w:fldChar w:fldCharType="end"/>
      </w:r>
    </w:p>
  </w:footnote>
  <w:footnote w:id="5070">
    <w:p>
      <w:pPr>
        <w:pStyle w:val="Funote"/>
        <w:rPr/>
      </w:pPr>
      <w:r>
        <w:rPr/>
        <w:footnoteRef/>
        <w:tab/>
        <w:t xml:space="preserve">Ein Teil der Manuskripte läßt den bestimmten Artikel </w:t>
      </w:r>
      <w:r>
        <w:rPr>
          <w:lang w:val="el-GR"/>
        </w:rPr>
        <w:t>ὁ</w:t>
      </w:r>
      <w:r>
        <w:rPr/>
        <w:t xml:space="preserve"> aus. Obwohl die Auslassung leicht als eine Angleichung an den üblichen Sprachgebrauch erklärt werden kann, setzt NA27 den Artikel als unsicher in eckige Klammern, da die Formulierung doch sehr ungewöhnlich ist. Sie kommt auch in V. 12 vor.</w:t>
      </w:r>
    </w:p>
  </w:footnote>
  <w:footnote w:id="5071">
    <w:p>
      <w:pPr>
        <w:pStyle w:val="Funote"/>
        <w:rPr/>
      </w:pPr>
      <w:hyperlink r:id="rId500">
        <w:r>
          <w:rPr>
            <w:rStyle w:val="Internetverknpfung"/>
          </w:rPr>
          <w:footnoteRef/>
          <w:tab/>
          <w:t>Sach 9,9</w:t>
        </w:r>
      </w:hyperlink>
      <w:r>
        <w:rPr/>
        <w:t xml:space="preserve">. Das Zitat enspricht weder dem bekannten hebräischen noch dem bekannten griechischen Text genau, teilweise vielleicht erklärbar durch den Einfluß von </w:t>
      </w:r>
      <w:r>
        <w:fldChar w:fldCharType="begin"/>
      </w:r>
      <w:r>
        <w:instrText> HYPERLINK "file:///wiki/Jesaja_40" \l "s9"</w:instrText>
      </w:r>
      <w:r>
        <w:fldChar w:fldCharType="separate"/>
      </w:r>
      <w:r>
        <w:rPr>
          <w:rStyle w:val="Internetverknpfung"/>
        </w:rPr>
        <w:t>Jes 40,9</w:t>
      </w:r>
      <w:r>
        <w:fldChar w:fldCharType="end"/>
      </w:r>
      <w:r>
        <w:rPr/>
        <w:t>. Cf. C.K. Barrett, Das Evangelium des Johannes (KEK), 1990, S. 413 f.</w:t>
      </w:r>
    </w:p>
  </w:footnote>
  <w:footnote w:id="5072">
    <w:p>
      <w:pPr>
        <w:pStyle w:val="Funote"/>
        <w:rPr/>
      </w:pPr>
      <w:r>
        <w:rPr/>
        <w:footnoteRef/>
        <w:tab/>
        <w:t xml:space="preserve">Der griechische Text in der von NA27 favorisierten und besser bezeugten Lesart läßt offen, </w:t>
      </w:r>
      <w:r>
        <w:rPr>
          <w:i/>
        </w:rPr>
        <w:t>was</w:t>
      </w:r>
      <w:r>
        <w:rPr/>
        <w:t xml:space="preserve"> die Menge bezeugte. Die Angabe im Vers selbst darüber, welcher Handlung Jesu die Menge beigewohnt hatte, und der folgende Vers legen nahe, daß die Menge eben die Totenerweckung bezeugte. Die alternative Lesart (</w:t>
      </w:r>
      <w:r>
        <w:rPr>
          <w:lang w:val="el-GR"/>
        </w:rPr>
        <w:t>ὅτι</w:t>
      </w:r>
      <w:r>
        <w:rPr/>
        <w:t xml:space="preserve">, „daß“ statt </w:t>
      </w:r>
      <w:r>
        <w:rPr>
          <w:lang w:val="el-GR"/>
        </w:rPr>
        <w:t>ὅτε</w:t>
      </w:r>
      <w:r>
        <w:rPr/>
        <w:t>, „als“), vermeidet die Schwierigkeit, entspricht sachlich der hier vorgeschlagenen Ergänzung, läßt sich aber aus eben dem Bedürfnis erklären, den Inhalt des Zeugnissen anzugeben, das viele Übersetzer dazu führt, den Text zu ergänzen.</w:t>
      </w:r>
    </w:p>
  </w:footnote>
  <w:footnote w:id="5073">
    <w:p>
      <w:pPr>
        <w:pStyle w:val="Funote"/>
        <w:rPr/>
      </w:pPr>
      <w:r>
        <w:rPr/>
        <w:footnoteRef/>
        <w:tab/>
        <w:t xml:space="preserve">Wörtlich aus der Septuagintafassung von </w:t>
      </w:r>
      <w:r>
        <w:fldChar w:fldCharType="begin"/>
      </w:r>
      <w:r>
        <w:instrText> HYPERLINK "file:///wiki/Jesaja_53" \l "s1"</w:instrText>
      </w:r>
      <w:r>
        <w:fldChar w:fldCharType="separate"/>
      </w:r>
      <w:r>
        <w:rPr>
          <w:rStyle w:val="Internetverknpfung"/>
        </w:rPr>
        <w:t>Jes 53,1</w:t>
      </w:r>
      <w:r>
        <w:fldChar w:fldCharType="end"/>
      </w:r>
      <w:r>
        <w:rPr/>
        <w:t>.</w:t>
      </w:r>
    </w:p>
  </w:footnote>
  <w:footnote w:id="5074">
    <w:p>
      <w:pPr>
        <w:pStyle w:val="Funote"/>
        <w:rPr/>
      </w:pPr>
      <w:r>
        <w:rPr/>
        <w:footnoteRef/>
        <w:tab/>
        <w:t xml:space="preserve">Das Zitat stimmt weder mit der hebräischen noch der griechischen Fassung (Septuaginta) genau überein, ist aber näher am hebräischen Text von Jes 6,10 (cf. C.K. Barrett, Das Evangelium des Johannes (KEK), 1990, S. 424 f.). Der bemerkenswerte Wechsel von von </w:t>
      </w:r>
      <w:r>
        <w:rPr>
          <w:lang w:val="el-GR"/>
        </w:rPr>
        <w:t>ἵνα μὴ</w:t>
      </w:r>
      <w:r>
        <w:rPr/>
        <w:t xml:space="preserve"> (damit nicht, Johannes) bzw. </w:t>
      </w:r>
      <w:r>
        <w:rPr>
          <w:lang w:val="el-GR"/>
        </w:rPr>
        <w:t>μήποτε</w:t>
      </w:r>
      <w:r>
        <w:rPr/>
        <w:t xml:space="preserve"> (Septuaginta) regierten Konjunktiven zu einem Futur findet sich aber genau schon im Septuagintatext. Das Zitat spielt auch bei den Synoptikern und in der Apostelgeschichte eine wichtige Rolle, cf. Mk 4,12; 8,17f; Mt 13,13f; Lk 8,10; Apg 28,26f.</w:t>
      </w:r>
    </w:p>
  </w:footnote>
  <w:footnote w:id="5075">
    <w:p>
      <w:pPr>
        <w:pStyle w:val="Funote"/>
        <w:rPr/>
      </w:pPr>
      <w:r>
        <w:rPr/>
        <w:footnoteRef/>
        <w:tab/>
        <w:t>[Status: Ungeprüft]</w:t>
      </w:r>
    </w:p>
  </w:footnote>
  <w:footnote w:id="5076">
    <w:p>
      <w:pPr>
        <w:pStyle w:val="Funote"/>
        <w:rPr/>
      </w:pPr>
      <w:r>
        <w:rPr>
          <w:i/>
        </w:rPr>
        <w:footnoteRef/>
        <w:tab/>
        <w:t>weil Jesus wusste</w:t>
      </w:r>
      <w:r>
        <w:rPr/>
        <w:t xml:space="preserve"> Ptc. coni., hier kausal interpretiert und als Nebensatz mit „weil“ übersetzt. Ebenfalls möglich wäre ein temporaler Nebensatz mit „als“ (und dann evtl. der Übersetzung „erkannte“ statt „wusste“, vgl. Luther). </w:t>
      </w:r>
    </w:p>
  </w:footnote>
  <w:footnote w:id="5077">
    <w:p>
      <w:pPr>
        <w:pStyle w:val="Funote"/>
        <w:rPr/>
      </w:pPr>
      <w:r>
        <w:rPr>
          <w:i/>
        </w:rPr>
        <w:footnoteRef/>
        <w:tab/>
        <w:t>weil er die liebte</w:t>
      </w:r>
      <w:r>
        <w:rPr/>
        <w:t xml:space="preserve"> Ptc. coni. mit kausalem Sinn, daher als kausaler Nebensatz aufgelöst (und als zweite Umstandsangabe an die vorige Konstruktion gehängt). Unter Umständen könnte man das Ptz. auch final („um zu lieben“ verstehen. </w:t>
      </w:r>
    </w:p>
  </w:footnote>
  <w:footnote w:id="5078">
    <w:p>
      <w:pPr>
        <w:pStyle w:val="Funote"/>
        <w:rPr/>
      </w:pPr>
      <w:r>
        <w:rPr>
          <w:i/>
        </w:rPr>
        <w:footnoteRef/>
        <w:tab/>
        <w:t>zu ihm gehören</w:t>
      </w:r>
      <w:r>
        <w:rPr/>
        <w:t xml:space="preserve"> W. „sein eigen [sind]“.</w:t>
      </w:r>
    </w:p>
  </w:footnote>
  <w:footnote w:id="5079">
    <w:p>
      <w:pPr>
        <w:pStyle w:val="Funote"/>
        <w:rPr/>
      </w:pPr>
      <w:r>
        <w:rPr>
          <w:i/>
        </w:rPr>
        <w:footnoteRef/>
        <w:tab/>
        <w:t>während ... stattfand</w:t>
      </w:r>
      <w:r>
        <w:rPr/>
        <w:t xml:space="preserve"> Gen. abs. (Ptz. Präs.), als temporaler Nebensatz aufgelöst. </w:t>
      </w:r>
    </w:p>
  </w:footnote>
  <w:footnote w:id="5080">
    <w:p>
      <w:pPr>
        <w:pStyle w:val="Funote"/>
        <w:rPr/>
      </w:pPr>
      <w:r>
        <w:rPr>
          <w:i/>
        </w:rPr>
        <w:footnoteRef/>
        <w:tab/>
        <w:t>gelegt hatte</w:t>
      </w:r>
      <w:r>
        <w:rPr/>
        <w:t xml:space="preserve"> Gen. abs. (Ptz. Pf.), als temporaler Nebensatz aufgelöst (hier mit „und“ an den vorangehenden gehängt). </w:t>
      </w:r>
    </w:p>
  </w:footnote>
  <w:footnote w:id="5081">
    <w:p>
      <w:pPr>
        <w:pStyle w:val="Funote"/>
        <w:rPr/>
      </w:pPr>
      <w:r>
        <w:rPr>
          <w:i/>
        </w:rPr>
        <w:footnoteRef/>
        <w:tab/>
        <w:t>[Jesus]</w:t>
      </w:r>
      <w:r>
        <w:rPr/>
        <w:t xml:space="preserve"> W. „ihn“</w:t>
      </w:r>
    </w:p>
  </w:footnote>
  <w:footnote w:id="5082">
    <w:p>
      <w:pPr>
        <w:pStyle w:val="Funote"/>
        <w:rPr/>
      </w:pPr>
      <w:r>
        <w:rPr>
          <w:i/>
        </w:rPr>
        <w:footnoteRef/>
        <w:tab/>
        <w:t>und da er wusste</w:t>
      </w:r>
      <w:r>
        <w:rPr/>
        <w:t xml:space="preserve"> Ptc. coni., als kausaler Nebensatz übersetzt und mit „und“ mit dem vorherigen verbunden. </w:t>
      </w:r>
    </w:p>
  </w:footnote>
  <w:footnote w:id="5083">
    <w:p>
      <w:pPr>
        <w:pStyle w:val="Funote"/>
        <w:rPr/>
      </w:pPr>
      <w:r>
        <w:rPr>
          <w:i/>
        </w:rPr>
        <w:footnoteRef/>
        <w:tab/>
        <w:t>nahm ein Handtuch, das</w:t>
      </w:r>
      <w:r>
        <w:rPr/>
        <w:t xml:space="preserve"> Modal-temporales Ptc. coni., das hier nur aufgrund der stilistischen Variation erscheint. Es wurde aus stilistischen Gründen als Indikativ wiedergegeben, der einen Relativsatz einleitet. W. „und, ein Handtuch nehmend, band er [es] sich um die Hüften“</w:t>
      </w:r>
    </w:p>
  </w:footnote>
  <w:footnote w:id="5084">
    <w:p>
      <w:pPr>
        <w:pStyle w:val="Funote"/>
        <w:rPr/>
      </w:pPr>
      <w:hyperlink r:id="rId501">
        <w:r>
          <w:rPr>
            <w:rStyle w:val="Internetverknpfung"/>
          </w:rPr>
          <w:footnoteRef/>
          <w:tab/>
          <w:t>Historisches Präsens</w:t>
        </w:r>
      </w:hyperlink>
      <w:r>
        <w:rPr/>
        <w:t xml:space="preserve">. </w:t>
      </w:r>
    </w:p>
  </w:footnote>
  <w:footnote w:id="5085">
    <w:p>
      <w:pPr>
        <w:pStyle w:val="Funote"/>
        <w:rPr/>
      </w:pPr>
      <w:r>
        <w:rPr/>
        <w:footnoteRef/>
        <w:tab/>
        <w:t>W. etwa „Du wirst/sollst mir in Ewigkeit nicht...“ Auch: „Nie und nimmer sollst du…“</w:t>
      </w:r>
    </w:p>
  </w:footnote>
  <w:footnote w:id="5086">
    <w:p>
      <w:pPr>
        <w:pStyle w:val="Funote"/>
        <w:rPr/>
      </w:pPr>
      <w:r>
        <w:rPr/>
        <w:footnoteRef/>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5087">
    <w:p>
      <w:pPr>
        <w:pStyle w:val="Funote"/>
        <w:rPr/>
      </w:pPr>
      <w:r>
        <w:rPr>
          <w:i/>
        </w:rPr>
        <w:footnoteRef/>
        <w:tab/>
        <w:t>Wer gebadet hat</w:t>
      </w:r>
      <w:r>
        <w:rPr/>
        <w:t xml:space="preserve"> Subst. Ptz. </w:t>
      </w:r>
    </w:p>
  </w:footnote>
  <w:footnote w:id="5088">
    <w:p>
      <w:pPr>
        <w:pStyle w:val="Funote"/>
        <w:rPr/>
      </w:pPr>
      <w:r>
        <w:rPr>
          <w:i/>
        </w:rPr>
        <w:footnoteRef/>
        <w:tab/>
        <w:t>denjenigen, der ihn verraten (ausliefern) würde</w:t>
      </w:r>
      <w:r>
        <w:rPr/>
        <w:t xml:space="preserve"> Subst. Ptz. Präs. mit futurischem Sinn. </w:t>
      </w:r>
    </w:p>
  </w:footnote>
  <w:footnote w:id="5089">
    <w:p>
      <w:pPr>
        <w:pStyle w:val="Funote"/>
        <w:rPr/>
      </w:pPr>
      <w:hyperlink r:id="rId502">
        <w:r>
          <w:rPr>
            <w:rStyle w:val="Internetverknpfung"/>
          </w:rPr>
          <w:footnoteRef/>
          <w:tab/>
          <w:t>Ὅτι recitativum"&gt;</w:t>
        </w:r>
        <w:r>
          <w:rPr>
            <w:rStyle w:val="Internetverknpfung"/>
            <w:lang w:val="el-GR"/>
          </w:rPr>
          <w:t>ὅτι</w:t>
        </w:r>
        <w:r>
          <w:rPr>
            <w:rStyle w:val="Internetverknpfung"/>
          </w:rPr>
          <w:t xml:space="preserve"> recitativum</w:t>
        </w:r>
      </w:hyperlink>
      <w:r>
        <w:rPr/>
        <w:t xml:space="preserve">. </w:t>
      </w:r>
    </w:p>
  </w:footnote>
  <w:footnote w:id="5090">
    <w:p>
      <w:pPr>
        <w:pStyle w:val="Funote"/>
        <w:rPr/>
      </w:pPr>
      <w:r>
        <w:rPr>
          <w:i/>
        </w:rPr>
        <w:footnoteRef/>
        <w:tab/>
        <w:t>sein Auftraggeber</w:t>
      </w:r>
      <w:r>
        <w:rPr/>
        <w:t xml:space="preserve"> W. (unter Auflösung des substantivierten Ptz.): „derjenige, der ihn gesandt hat“ (vgl. V. 20). </w:t>
      </w:r>
    </w:p>
  </w:footnote>
  <w:footnote w:id="5091">
    <w:p>
      <w:pPr>
        <w:pStyle w:val="Funote"/>
        <w:rPr/>
      </w:pPr>
      <w:r>
        <w:rPr/>
        <w:footnoteRef/>
        <w:tab/>
        <w:t>seine Ferse gegen mich erhoben Ein Idiom, das für »hat sich gegen mich gewandt« steht (LN 39.3). Jemandem die Fußsohle zu zeigen, galt damals als Zeichen der Verachtung (Brown ²1987, 554).</w:t>
      </w:r>
    </w:p>
  </w:footnote>
  <w:footnote w:id="5092">
    <w:p>
      <w:pPr>
        <w:pStyle w:val="Funote"/>
        <w:rPr/>
      </w:pPr>
      <w:r>
        <w:rPr>
          <w:i/>
        </w:rPr>
        <w:footnoteRef/>
        <w:tab/>
        <w:t>glaubt (vertraut)</w:t>
      </w:r>
      <w:r>
        <w:rPr/>
        <w:t xml:space="preserve"> W. „glauben werdet“ (Fut.). </w:t>
      </w:r>
    </w:p>
  </w:footnote>
  <w:footnote w:id="5093">
    <w:p>
      <w:pPr>
        <w:pStyle w:val="Funote"/>
        <w:rPr/>
      </w:pPr>
      <w:r>
        <w:rPr>
          <w:i/>
        </w:rPr>
        <w:footnoteRef/>
        <w:tab/>
        <w:t>meinen Auftraggeber</w:t>
      </w:r>
      <w:r>
        <w:rPr/>
        <w:t xml:space="preserve"> W. (unter Auflösung des substantivierten Ptz.): „denjenigen, der mich gesandt hat“. Es wurde jedoch aus Gründen des Stils und Zusammenhangs so übersetzt wie in V. 16. </w:t>
      </w:r>
    </w:p>
  </w:footnote>
  <w:footnote w:id="5094">
    <w:p>
      <w:pPr>
        <w:pStyle w:val="Funote"/>
        <w:rPr/>
      </w:pPr>
      <w:r>
        <w:rPr/>
        <w:footnoteRef/>
        <w:tab/>
        <w:t xml:space="preserve">Ptz. Aor. akt., temporal/modal aufgelöst. </w:t>
      </w:r>
    </w:p>
  </w:footnote>
  <w:footnote w:id="5095">
    <w:p>
      <w:pPr>
        <w:pStyle w:val="Funote"/>
        <w:rPr/>
      </w:pPr>
      <w:r>
        <w:rPr/>
        <w:footnoteRef/>
        <w:tab/>
        <w:t xml:space="preserve">Ptz. Präs. med., temporal als „und“-Konstruktion aufgelöst. </w:t>
      </w:r>
    </w:p>
  </w:footnote>
  <w:footnote w:id="5096">
    <w:p>
      <w:pPr>
        <w:pStyle w:val="Funote"/>
        <w:rPr/>
      </w:pPr>
      <w:r>
        <w:rPr/>
        <w:footnoteRef/>
        <w:tab/>
        <w:t xml:space="preserve">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 </w:t>
      </w:r>
    </w:p>
  </w:footnote>
  <w:footnote w:id="5097">
    <w:p>
      <w:pPr>
        <w:pStyle w:val="Funote"/>
        <w:rPr/>
      </w:pPr>
      <w:r>
        <w:rPr/>
        <w:footnoteRef/>
        <w:tab/>
        <w:t xml:space="preserve">Ptz. Aor. akt., temporal aufgelöst. </w:t>
      </w:r>
    </w:p>
  </w:footnote>
  <w:footnote w:id="5098">
    <w:p>
      <w:pPr>
        <w:pStyle w:val="Funote"/>
        <w:rPr/>
      </w:pPr>
      <w:r>
        <w:rPr/>
        <w:footnoteRef/>
        <w:tab/>
        <w:t>Wörtlich: „lehnte sich so … [und] fragte (sagte)“; dabei steht „so“ aber ohne Bezug (vgl. deshalb NGÜ).</w:t>
      </w:r>
    </w:p>
  </w:footnote>
  <w:footnote w:id="5099">
    <w:p>
      <w:pPr>
        <w:pStyle w:val="Funote"/>
        <w:rPr/>
      </w:pPr>
      <w:r>
        <w:rPr/>
        <w:footnoteRef/>
        <w:tab/>
        <w:t>Ptz. Aor. akt., temporal-gleichzeitig aufgelöst. Oder vorzeitig: „Als er dann … eingetunkt hatte“</w:t>
      </w:r>
    </w:p>
  </w:footnote>
  <w:footnote w:id="5100">
    <w:p>
      <w:pPr>
        <w:pStyle w:val="Funote"/>
        <w:rPr/>
      </w:pPr>
      <w:r>
        <w:rPr/>
        <w:footnoteRef/>
        <w:tab/>
        <w:t>„</w:t>
      </w:r>
      <w:r>
        <w:rPr/>
        <w:t>nahm es und“ steht im GNT in Eckigen klammern, d.h. seine Echtheit ist unsicher.</w:t>
      </w:r>
    </w:p>
  </w:footnote>
  <w:footnote w:id="5101">
    <w:p>
      <w:pPr>
        <w:pStyle w:val="Funote"/>
        <w:rPr/>
      </w:pPr>
      <w:r>
        <w:rPr/>
        <w:footnoteRef/>
        <w:tab/>
        <w:t>Es muss sich um den Augenblick handeln, in dem Judas das Stück Brot berührte (vgl. V. 30).</w:t>
      </w:r>
    </w:p>
  </w:footnote>
  <w:footnote w:id="5102">
    <w:p>
      <w:pPr>
        <w:pStyle w:val="Funote"/>
        <w:rPr/>
      </w:pPr>
      <w:r>
        <w:rPr/>
        <w:footnoteRef/>
        <w:tab/>
        <w:t xml:space="preserve">Also die gemeinsame Kasse der Gruppe. </w:t>
      </w:r>
    </w:p>
  </w:footnote>
  <w:footnote w:id="5103">
    <w:p>
      <w:pPr>
        <w:pStyle w:val="Funote"/>
        <w:rPr/>
      </w:pPr>
      <w:r>
        <w:rPr/>
        <w:footnoteRef/>
        <w:tab/>
        <w:t xml:space="preserve">Ptz. Präs. med., temporal aufgelöst. </w:t>
      </w:r>
    </w:p>
  </w:footnote>
  <w:footnote w:id="5104">
    <w:p>
      <w:pPr>
        <w:pStyle w:val="Funote"/>
        <w:rPr/>
      </w:pPr>
      <w:r>
        <w:rPr/>
        <w:footnoteRef/>
        <w:tab/>
        <w:t>[Status: Ungeprüft]</w:t>
      </w:r>
    </w:p>
  </w:footnote>
  <w:footnote w:id="5105">
    <w:p>
      <w:pPr>
        <w:pStyle w:val="Funote"/>
        <w:rPr/>
      </w:pPr>
      <w:r>
        <w:rPr/>
        <w:footnoteRef/>
        <w:tab/>
        <w:t>Im Griechischen steht bei der Aufzählung vor jedem Glied ein „und“.</w:t>
      </w:r>
    </w:p>
  </w:footnote>
  <w:footnote w:id="5106">
    <w:p>
      <w:pPr>
        <w:pStyle w:val="Funote"/>
        <w:rPr/>
      </w:pPr>
      <w:r>
        <w:rPr/>
        <w:footnoteRef/>
        <w:tab/>
        <w:t>Wörtlich: „wenn nicht“</w:t>
      </w:r>
    </w:p>
  </w:footnote>
  <w:footnote w:id="5107">
    <w:p>
      <w:pPr>
        <w:pStyle w:val="Funote"/>
        <w:rPr/>
      </w:pPr>
      <w:r>
        <w:rPr/>
        <w:footnoteRef/>
        <w:tab/>
        <w:t xml:space="preserve">Der Satz ist in vielen unterschiedlichen Varianten überliefert. Die Übersetzung folgt NA28 und damit der Lesart von u.a. p66 (‭und mit kleineren Abweichungen </w:t>
      </w:r>
      <w:r>
        <w:rPr>
          <w:lang w:bidi="he-IL"/>
        </w:rPr>
        <w:t>א</w:t>
      </w:r>
      <w:r>
        <w:rPr/>
        <w:t xml:space="preserve"> </w:t>
      </w:r>
      <w:r>
        <w:rPr/>
        <w:t>D*). Die Lesart von B würde lauten: „Wenn Ihr mich erkannt hättet, würdet (hättet) Ihr auch meinen Vater kennen (gekannt).“ Cf. Barrett, Charles K., Das Evangelium nach Johannes, Göttingen 1990.</w:t>
      </w:r>
    </w:p>
  </w:footnote>
  <w:footnote w:id="5108">
    <w:p>
      <w:pPr>
        <w:pStyle w:val="Funote"/>
        <w:rPr/>
      </w:pPr>
      <w:r>
        <w:rPr/>
        <w:footnoteRef/>
        <w:tab/>
        <w:t>[Status: Ungeprüft]</w:t>
      </w:r>
    </w:p>
  </w:footnote>
  <w:footnote w:id="5109">
    <w:p>
      <w:pPr>
        <w:pStyle w:val="Funote"/>
        <w:rPr/>
      </w:pPr>
      <w:r>
        <w:fldChar w:fldCharType="begin"/>
      </w:r>
      <w:r>
        <w:instrText> HYPERLINK "file:///wiki/Johannes_13" \l "s16"</w:instrText>
      </w:r>
      <w:r>
        <w:fldChar w:fldCharType="separate"/>
      </w:r>
      <w:r>
        <w:rPr>
          <w:rStyle w:val="Internetverknpfung"/>
        </w:rPr>
        <w:footnoteRef/>
        <w:tab/>
        <w:t>13,16</w:t>
      </w:r>
      <w:r>
        <w:fldChar w:fldCharType="end"/>
      </w:r>
      <w:r>
        <w:rPr/>
        <w:t>.</w:t>
      </w:r>
    </w:p>
  </w:footnote>
  <w:footnote w:id="5110">
    <w:p>
      <w:pPr>
        <w:pStyle w:val="Funote"/>
        <w:rPr/>
      </w:pPr>
      <w:r>
        <w:rPr/>
        <w:footnoteRef/>
        <w:tab/>
        <w:t xml:space="preserve">Cf. </w:t>
      </w:r>
      <w:hyperlink r:id="rId503">
        <w:r>
          <w:rPr>
            <w:rStyle w:val="Internetverknpfung"/>
          </w:rPr>
          <w:t>Ps 35,19</w:t>
        </w:r>
      </w:hyperlink>
      <w:r>
        <w:rPr/>
        <w:t xml:space="preserve">, </w:t>
      </w:r>
      <w:hyperlink r:id="rId504">
        <w:r>
          <w:rPr>
            <w:rStyle w:val="Internetverknpfung"/>
          </w:rPr>
          <w:t>Ps 69,5</w:t>
        </w:r>
      </w:hyperlink>
      <w:r>
        <w:rPr/>
        <w:t>. Das Zitat ist nicht wörtlich.</w:t>
      </w:r>
    </w:p>
  </w:footnote>
  <w:footnote w:id="5111">
    <w:p>
      <w:pPr>
        <w:pStyle w:val="Funote"/>
        <w:rPr/>
      </w:pPr>
      <w:r>
        <w:rPr/>
        <w:footnoteRef/>
        <w:tab/>
        <w:t>Im klass. Griech. ursprünglich passive Bedeutung: "Der zur Unterstützung Herbeigerufene", lat. als "advocatus" übersetzt; gemeint ist aber nicht der Anwalt, sondern allgemein der Mittler, Fürsprecher, Helfer, BW Sp. 1226.</w:t>
      </w:r>
    </w:p>
  </w:footnote>
  <w:footnote w:id="5112">
    <w:p>
      <w:pPr>
        <w:pStyle w:val="Funote"/>
        <w:rPr/>
      </w:pPr>
      <w:r>
        <w:rPr/>
        <w:footnoteRef/>
        <w:tab/>
        <w:t>gemeint ist die sich offenbarende göttliche Wirklichkeit, Bultmann, KEK, S. 426</w:t>
      </w:r>
    </w:p>
  </w:footnote>
  <w:footnote w:id="5113">
    <w:p>
      <w:pPr>
        <w:pStyle w:val="Funote"/>
        <w:rPr/>
      </w:pPr>
      <w:r>
        <w:rPr>
          <w:lang w:val="el-GR"/>
        </w:rPr>
        <w:footnoteRef/>
        <w:tab/>
        <w:t>καί … δέ</w:t>
      </w:r>
      <w:r>
        <w:rPr/>
        <w:t xml:space="preserve"> "und auch", BDR § 447d.</w:t>
      </w:r>
    </w:p>
  </w:footnote>
  <w:footnote w:id="5114">
    <w:p>
      <w:pPr>
        <w:pStyle w:val="Funote"/>
        <w:rPr/>
      </w:pPr>
      <w:r>
        <w:rPr/>
        <w:footnoteRef/>
        <w:tab/>
        <w:t>[Status: Ungeprüft]</w:t>
      </w:r>
    </w:p>
  </w:footnote>
  <w:footnote w:id="5115">
    <w:p>
      <w:pPr>
        <w:pStyle w:val="Funote"/>
        <w:rPr/>
      </w:pPr>
      <w:r>
        <w:rPr/>
        <w:footnoteRef/>
        <w:tab/>
        <w:t xml:space="preserve">Hinzukommendes wird stark eingeführt durch </w:t>
      </w:r>
      <w:r>
        <w:rPr>
          <w:lang w:val="el-GR"/>
        </w:rPr>
        <w:t>ἀλλά</w:t>
      </w:r>
      <w:r>
        <w:rPr/>
        <w:t>: BDR § 448</w:t>
      </w:r>
    </w:p>
  </w:footnote>
  <w:footnote w:id="5116">
    <w:p>
      <w:pPr>
        <w:pStyle w:val="Funote"/>
        <w:rPr/>
      </w:pPr>
      <w:r>
        <w:rPr/>
        <w:footnoteRef/>
        <w:tab/>
        <w:t>eigentlich: Gottesdienst, Gottesverehrung</w:t>
      </w:r>
    </w:p>
  </w:footnote>
  <w:footnote w:id="5117">
    <w:p>
      <w:pPr>
        <w:pStyle w:val="Funote"/>
        <w:rPr/>
      </w:pPr>
      <w:r>
        <w:rPr>
          <w:lang w:val="el-GR"/>
        </w:rPr>
        <w:footnoteRef/>
        <w:tab/>
        <w:t>ἀλλά</w:t>
      </w:r>
      <w:r>
        <w:rPr/>
        <w:t xml:space="preserve"> am Satzanfang: BDR § 448,3</w:t>
      </w:r>
    </w:p>
  </w:footnote>
  <w:footnote w:id="5118">
    <w:p>
      <w:pPr>
        <w:pStyle w:val="Funote"/>
        <w:rPr/>
      </w:pPr>
      <w:r>
        <w:rPr/>
        <w:footnoteRef/>
        <w:tab/>
        <w:t>Die Übersetzung folgt SBL. Die von NA28 favorisierte Version wäre zu übersetzen: »Was bedeutet das, was er sagt, diese (die) ‚kleine Weile?‘«</w:t>
      </w:r>
    </w:p>
  </w:footnote>
  <w:footnote w:id="5119">
    <w:p>
      <w:pPr>
        <w:pStyle w:val="Funote"/>
        <w:rPr/>
      </w:pPr>
      <w:r>
        <w:rPr/>
        <w:footnoteRef/>
        <w:tab/>
        <w:t>Die Übersetzung folgt NA28. Für die Lesart spricht ihre größere regionale Verbreitung und die Tatsache, daß sich die Idee von Gebet in Namen Jesu auch sonst bei Johannes findet, wie z.B. gleich im folgenden Vers. Cf. Metzger, Bruce M., United Bible Societies (1994). A Textual Commentary on the Greek New Testament. Eine alternative Lesart könnte übersetzt werden: „... wenn Ihr etwas den Vater bittet, wird er [es] Euch in meinem Namen geben.“</w:t>
      </w:r>
    </w:p>
  </w:footnote>
  <w:footnote w:id="5120">
    <w:p>
      <w:pPr>
        <w:pStyle w:val="Funote"/>
        <w:rPr/>
      </w:pPr>
      <w:r>
        <w:rPr/>
        <w:footnoteRef/>
        <w:tab/>
        <w:t>[Status: Ungeprüft]</w:t>
      </w:r>
    </w:p>
  </w:footnote>
  <w:footnote w:id="5121">
    <w:p>
      <w:pPr>
        <w:pStyle w:val="Funote"/>
        <w:rPr/>
      </w:pPr>
      <w:r>
        <w:rPr/>
        <w:footnoteRef/>
        <w:tab/>
        <w:t>Im Blick auf den isolierten Satz wäre auch möglich: „die ich hatte, bevor die Welt bei Dir war.“</w:t>
      </w:r>
    </w:p>
  </w:footnote>
  <w:footnote w:id="5122">
    <w:p>
      <w:pPr>
        <w:pStyle w:val="Funote"/>
        <w:rPr/>
      </w:pPr>
      <w:r>
        <w:rPr/>
        <w:footnoteRef/>
        <w:tab/>
        <w:t>Attributives Ptz., aufgelöst als Relativsatz.</w:t>
      </w:r>
    </w:p>
  </w:footnote>
  <w:footnote w:id="5123">
    <w:p>
      <w:pPr>
        <w:pStyle w:val="Funote"/>
        <w:rPr/>
      </w:pPr>
      <w:r>
        <w:rPr/>
        <w:footnoteRef/>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w:t>
      </w:r>
      <w:r>
        <w:fldChar w:fldCharType="begin"/>
      </w:r>
      <w:r>
        <w:instrText> HYPERLINK "file:///wiki/Johannes_17" \l "s24"</w:instrText>
      </w:r>
      <w:r>
        <w:fldChar w:fldCharType="separate"/>
      </w:r>
      <w:r>
        <w:rPr>
          <w:rStyle w:val="Internetverknpfung"/>
        </w:rPr>
        <w:t>24</w:t>
      </w:r>
      <w:r>
        <w:fldChar w:fldCharType="end"/>
      </w:r>
      <w:r>
        <w:rPr/>
        <w:t xml:space="preserve"> wird </w:t>
      </w:r>
      <w:r>
        <w:rPr>
          <w:lang w:val="el-GR"/>
        </w:rPr>
        <w:t>ἵνα</w:t>
      </w:r>
      <w:r>
        <w:rPr/>
        <w:t xml:space="preserve"> jedes Mal durch einen Hauptsatz eingeleitet. </w:t>
      </w:r>
    </w:p>
  </w:footnote>
  <w:footnote w:id="5124">
    <w:p>
      <w:pPr>
        <w:pStyle w:val="Funote"/>
        <w:rPr/>
      </w:pPr>
      <w:r>
        <w:rPr/>
        <w:footnoteRef/>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5125">
    <w:p>
      <w:pPr>
        <w:pStyle w:val="Funote"/>
        <w:rPr/>
      </w:pPr>
      <w:r>
        <w:rPr/>
        <w:footnoteRef/>
        <w:tab/>
        <w:t>Ptz. präs. pass.</w:t>
      </w:r>
    </w:p>
  </w:footnote>
  <w:footnote w:id="5126">
    <w:p>
      <w:pPr>
        <w:pStyle w:val="Funote"/>
        <w:rPr/>
      </w:pPr>
      <w:r>
        <w:rPr/>
        <w:footnoteRef/>
        <w:tab/>
        <w:t xml:space="preserve">Vgl. die </w:t>
      </w:r>
      <w:r>
        <w:fldChar w:fldCharType="begin"/>
      </w:r>
      <w:r>
        <w:instrText> HYPERLINK "file:///wiki/Epheser_1" \l "note_ac"</w:instrText>
      </w:r>
      <w:r>
        <w:fldChar w:fldCharType="separate"/>
      </w:r>
      <w:r>
        <w:rPr>
          <w:rStyle w:val="Internetverknpfung"/>
        </w:rPr>
        <w:t>Fußnote zu Eph 1,4</w:t>
      </w:r>
      <w:r>
        <w:fldChar w:fldCharType="end"/>
      </w:r>
      <w:r>
        <w:rPr/>
        <w:t>.</w:t>
      </w:r>
    </w:p>
  </w:footnote>
  <w:footnote w:id="5127">
    <w:p>
      <w:pPr>
        <w:pStyle w:val="Funote"/>
        <w:rPr/>
      </w:pPr>
      <w:r>
        <w:rPr/>
        <w:footnoteRef/>
        <w:tab/>
        <w:t xml:space="preserve">Das Fehlen der Artikel zeigt hier vielleicht die Nachahmung einer Constructus-Verbindung an, die im Hebräischen die Funktion des Genitivs übernimmt. Möglich, dass der Verfasser dabei eine bestimmte fixe Wendung im Kopf hatte. </w:t>
      </w:r>
    </w:p>
  </w:footnote>
  <w:footnote w:id="5128">
    <w:p>
      <w:pPr>
        <w:pStyle w:val="Funote"/>
        <w:rPr/>
      </w:pPr>
      <w:r>
        <w:rPr/>
        <w:footnoteRef/>
        <w:tab/>
        <w:t>Auf Griechisch jeweils dasselbe Wort.</w:t>
      </w:r>
    </w:p>
  </w:footnote>
  <w:footnote w:id="5129">
    <w:p>
      <w:pPr>
        <w:pStyle w:val="Funote"/>
        <w:rPr/>
      </w:pPr>
      <w:r>
        <w:rPr/>
        <w:footnoteRef/>
        <w:tab/>
        <w:t>[Status: Ungeprüft]</w:t>
      </w:r>
    </w:p>
  </w:footnote>
  <w:footnote w:id="5130">
    <w:p>
      <w:pPr>
        <w:pStyle w:val="Funote"/>
        <w:rPr/>
      </w:pPr>
      <w:r>
        <w:rPr/>
        <w:footnoteRef/>
        <w:tab/>
        <w:t>Auflösung eines temporalen Ptz. EÜ: „nach diesen Worten“</w:t>
      </w:r>
    </w:p>
  </w:footnote>
  <w:footnote w:id="5131">
    <w:p>
      <w:pPr>
        <w:pStyle w:val="Funote"/>
        <w:rPr/>
      </w:pPr>
      <w:r>
        <w:rPr/>
        <w:footnoteRef/>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5132">
    <w:p>
      <w:pPr>
        <w:pStyle w:val="Funote"/>
        <w:rPr/>
      </w:pPr>
      <w:r>
        <w:rPr/>
        <w:footnoteRef/>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5133">
    <w:p>
      <w:pPr>
        <w:pStyle w:val="Funote"/>
        <w:rPr/>
      </w:pPr>
      <w:r>
        <w:rPr/>
        <w:footnoteRef/>
        <w:tab/>
        <w:t xml:space="preserve">Gr.: Singular. Im Deutschen ist der Plural oder „mit“ statt „und“ erforderlich. </w:t>
      </w:r>
    </w:p>
  </w:footnote>
  <w:footnote w:id="5134">
    <w:p>
      <w:pPr>
        <w:pStyle w:val="Funote"/>
        <w:rPr/>
      </w:pPr>
      <w:r>
        <w:rPr/>
        <w:footnoteRef/>
        <w:tab/>
        <w:t xml:space="preserve">Auflösung eines attributiven Ptz. als Relativsatz. </w:t>
      </w:r>
    </w:p>
  </w:footnote>
  <w:footnote w:id="5135">
    <w:p>
      <w:pPr>
        <w:pStyle w:val="Funote"/>
        <w:rPr/>
      </w:pPr>
      <w:r>
        <w:rPr/>
        <w:footnoteRef/>
        <w:tab/>
        <w:t xml:space="preserve">Die Konjunktion </w:t>
      </w:r>
      <w:hyperlink r:id="rId505">
        <w:r>
          <w:rPr>
            <w:rStyle w:val="Internetverknpfung"/>
          </w:rPr>
          <w:t>Οὖν"&gt;οὖν</w:t>
        </w:r>
      </w:hyperlink>
      <w:r>
        <w:rPr/>
        <w:t xml:space="preserve"> wird hier benutzt, um die Erzählung nach einer Unterbrechung erneut aufzugreifen und ist schlecht übersetzbar. </w:t>
      </w:r>
    </w:p>
  </w:footnote>
  <w:footnote w:id="5136">
    <w:p>
      <w:pPr>
        <w:pStyle w:val="Funote"/>
        <w:rPr/>
      </w:pPr>
      <w:r>
        <w:rPr/>
        <w:footnoteRef/>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5137">
    <w:p>
      <w:pPr>
        <w:pStyle w:val="Funote"/>
        <w:rPr/>
      </w:pPr>
      <w:r>
        <w:rPr/>
        <w:footnoteRef/>
        <w:tab/>
        <w:t>V.a. im Johannesevangelium sind mit diesem Wort für „Diener“ i.d.R. Tempelwachen gemeint (LN 35.20).</w:t>
      </w:r>
    </w:p>
  </w:footnote>
  <w:footnote w:id="5138">
    <w:p>
      <w:pPr>
        <w:pStyle w:val="Funote"/>
        <w:rPr/>
      </w:pPr>
      <w:r>
        <w:rPr/>
        <w:footnoteRef/>
        <w:tab/>
        <w:t xml:space="preserve">Auflösung eines temporalen Ptz. Aor. als mit „und“ verknüpfter, separater Hauptsatz. </w:t>
      </w:r>
    </w:p>
  </w:footnote>
  <w:footnote w:id="5139">
    <w:p>
      <w:pPr>
        <w:pStyle w:val="Funote"/>
        <w:rPr/>
      </w:pPr>
      <w:hyperlink r:id="rId506">
        <w:r>
          <w:rPr>
            <w:rStyle w:val="Internetverknpfung"/>
          </w:rPr>
          <w:footnoteRef/>
          <w:tab/>
          <w:t>Historisches Präsens</w:t>
        </w:r>
      </w:hyperlink>
      <w:r>
        <w:rPr/>
        <w:t>.</w:t>
      </w:r>
    </w:p>
  </w:footnote>
  <w:footnote w:id="5140">
    <w:p>
      <w:pPr>
        <w:pStyle w:val="Funote"/>
        <w:rPr/>
      </w:pPr>
      <w:r>
        <w:rPr/>
        <w:footnoteRef/>
        <w:tab/>
        <w:t xml:space="preserve">Kausales adverbiales Partizip, aufgelöst als separater Hauptsatz mit „deshalb“ als Einleitung des nächsten. </w:t>
      </w:r>
    </w:p>
  </w:footnote>
  <w:footnote w:id="5141">
    <w:p>
      <w:pPr>
        <w:pStyle w:val="Funote"/>
        <w:rPr/>
      </w:pPr>
      <w:r>
        <w:rPr/>
        <w:footnoteRef/>
        <w:tab/>
        <w:t xml:space="preserve">Wörtlich: „Ich bin“ Im Griechischen ist hier keine Subjektsidentifikationsergänzung („er“, „es“ oder wie hier „[Der]“) nötig. Auf diese Weise identifiziert sich Jesus hier als Gott, indem er auf den Gottesnamen </w:t>
      </w:r>
      <w:hyperlink r:id="rId507">
        <w:r>
          <w:rPr>
            <w:rStyle w:val="Internetverknpfung"/>
          </w:rPr>
          <w:t>JHWH</w:t>
        </w:r>
      </w:hyperlink>
      <w:r>
        <w:rPr/>
        <w:t xml:space="preserve"> anspielt, mit dem er sich Mose in </w:t>
      </w:r>
      <w:r>
        <w:fldChar w:fldCharType="begin"/>
      </w:r>
      <w:r>
        <w:instrText> HYPERLINK "file:///wiki/Exodus_3" \l "s14"</w:instrText>
      </w:r>
      <w:r>
        <w:fldChar w:fldCharType="separate"/>
      </w:r>
      <w:r>
        <w:rPr>
          <w:rStyle w:val="Internetverknpfung"/>
        </w:rPr>
        <w:t>Ex 3,14</w:t>
      </w:r>
      <w:r>
        <w:fldChar w:fldCharType="end"/>
      </w:r>
      <w:r>
        <w:rPr/>
        <w:t xml:space="preserve"> vorstellt. </w:t>
      </w:r>
    </w:p>
  </w:footnote>
  <w:footnote w:id="5142">
    <w:p>
      <w:pPr>
        <w:pStyle w:val="Funote"/>
        <w:rPr/>
      </w:pPr>
      <w:r>
        <w:rPr/>
        <w:footnoteRef/>
        <w:tab/>
        <w:t xml:space="preserve">Auflösung eines attributiven Ptz. als Relativsatz. </w:t>
      </w:r>
    </w:p>
  </w:footnote>
  <w:footnote w:id="5143">
    <w:p>
      <w:pPr>
        <w:pStyle w:val="Funote"/>
        <w:rPr/>
      </w:pPr>
      <w:r>
        <w:rPr/>
        <w:footnoteRef/>
        <w:tab/>
        <w:t xml:space="preserve">Idiom, wörtlich: „gingen weg zu dem [Objekt] dahinter“ </w:t>
      </w:r>
    </w:p>
  </w:footnote>
  <w:footnote w:id="5144">
    <w:p>
      <w:pPr>
        <w:pStyle w:val="Funote"/>
        <w:rPr/>
      </w:pPr>
      <w:hyperlink r:id="rId508">
        <w:r>
          <w:rPr>
            <w:rStyle w:val="Internetverknpfung"/>
          </w:rPr>
          <w:footnoteRef/>
          <w:tab/>
          <w:t>Οὖν"&gt;οὖν</w:t>
        </w:r>
      </w:hyperlink>
      <w:r>
        <w:rPr/>
        <w:t xml:space="preserve"> zeigt einen Zusammenhang an, nämlich dass Jesu Forderung logisch unmittelbar auf dem vorher Gesagten beruht; ist aber so schwach, dass es kaum angemessen zu übersetzen ist. </w:t>
      </w:r>
    </w:p>
  </w:footnote>
  <w:footnote w:id="5145">
    <w:p>
      <w:pPr>
        <w:pStyle w:val="Funote"/>
        <w:rPr/>
      </w:pPr>
      <w:hyperlink r:id="rId509">
        <w:r>
          <w:rPr>
            <w:rStyle w:val="Internetverknpfung"/>
          </w:rPr>
          <w:footnoteRef/>
          <w:tab/>
          <w:t>Ὅτι recitativum"&gt;</w:t>
        </w:r>
        <w:r>
          <w:rPr>
            <w:rStyle w:val="Internetverknpfung"/>
            <w:lang w:val="el-GR"/>
          </w:rPr>
          <w:t>Ὅτι</w:t>
        </w:r>
        <w:r>
          <w:rPr>
            <w:rStyle w:val="Internetverknpfung"/>
          </w:rPr>
          <w:t xml:space="preserve"> recitativum</w:t>
        </w:r>
      </w:hyperlink>
      <w:r>
        <w:rPr/>
        <w:t>.</w:t>
      </w:r>
    </w:p>
  </w:footnote>
  <w:footnote w:id="5146">
    <w:p>
      <w:pPr>
        <w:pStyle w:val="Funote"/>
        <w:rPr/>
      </w:pPr>
      <w:r>
        <w:rPr/>
        <w:footnoteRef/>
        <w:tab/>
        <w:t xml:space="preserve">Auflösung eines temporalen Ptz. als Relativsatz. Auch möglich als gleichwertiger Hauptsatz mit "und" ("hatte ... dabei und") oder kausale Deutung (dann z.B. als Nebensatz: "da ... dabei hatte"). </w:t>
      </w:r>
    </w:p>
  </w:footnote>
  <w:footnote w:id="5147">
    <w:p>
      <w:pPr>
        <w:pStyle w:val="Funote"/>
        <w:rPr/>
      </w:pPr>
      <w:r>
        <w:rPr/>
        <w:footnoteRef/>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5148">
    <w:p>
      <w:pPr>
        <w:pStyle w:val="Funote"/>
        <w:rPr/>
      </w:pPr>
      <w:r>
        <w:rPr/>
        <w:footnoteRef/>
        <w:tab/>
        <w:t xml:space="preserve">Auflösung eines attributiven Ptz. als Relativsatz. </w:t>
      </w:r>
    </w:p>
  </w:footnote>
  <w:footnote w:id="5149">
    <w:p>
      <w:pPr>
        <w:pStyle w:val="Funote"/>
        <w:rPr/>
      </w:pPr>
      <w:r>
        <w:rPr/>
        <w:footnoteRef/>
        <w:tab/>
        <w:t xml:space="preserve">AcI aufgelöst. </w:t>
      </w:r>
    </w:p>
  </w:footnote>
  <w:footnote w:id="5150">
    <w:p>
      <w:pPr>
        <w:pStyle w:val="Funote"/>
        <w:rPr/>
      </w:pPr>
      <w:r>
        <w:rPr/>
        <w:footnoteRef/>
        <w:tab/>
        <w:t>[Status: Ungeprüft]</w:t>
      </w:r>
    </w:p>
  </w:footnote>
  <w:footnote w:id="5151">
    <w:p>
      <w:pPr>
        <w:pStyle w:val="Funote"/>
        <w:rPr/>
      </w:pPr>
      <w:r>
        <w:rPr/>
        <w:footnoteRef/>
        <w:tab/>
        <w:t>D.h. Pilatus.</w:t>
      </w:r>
    </w:p>
  </w:footnote>
  <w:footnote w:id="5152">
    <w:p>
      <w:pPr>
        <w:pStyle w:val="Funote"/>
        <w:rPr/>
      </w:pPr>
      <w:r>
        <w:rPr/>
        <w:footnoteRef/>
        <w:tab/>
        <w:t xml:space="preserve">Man würde erwarten </w:t>
      </w:r>
      <w:r>
        <w:rPr>
          <w:lang w:val="el-GR"/>
        </w:rPr>
        <w:t>δεδομένα</w:t>
      </w:r>
      <w:r>
        <w:rPr/>
        <w:t xml:space="preserve">, womit ein klarer Bezug auf die Macht/Vollmacht (Femininum) gegeben wäre. Zu übersetzen wäre dann „sie“. Statt dessen hat der Text </w:t>
      </w:r>
      <w:r>
        <w:rPr>
          <w:lang w:val="el-GR"/>
        </w:rPr>
        <w:t>δεδομένον</w:t>
      </w:r>
      <w:r>
        <w:rPr/>
        <w:t>. Damit ist der Bezug weniger klar: Es könnte gemeint sein: Wenn Dir nicht gegeben worden wäre, Vollmacht/Macht über mich zu haben. (So C.K. Barrett, Das Evangelium des Johannes (KEK), 1990, S. 522.) Aber auch: Wenn Dir nicht gegeben worden wäre, jetzt in einer Situation zu sein, in der Du mich in Deiner Gewalt/Macht hast. (So ähnlich, allerdings mit dem zusätzlichen Hinweis auf die heilsgeschichtliche Bedeutung der Situation, Benedikt Schwank, Evangelium nach Johannes, St. Ottilien 1998, S. 446.)</w:t>
      </w:r>
    </w:p>
  </w:footnote>
  <w:footnote w:id="5153">
    <w:p>
      <w:pPr>
        <w:pStyle w:val="Funote"/>
        <w:rPr/>
      </w:pPr>
      <w:r>
        <w:rPr>
          <w:lang w:val="el-GR"/>
        </w:rPr>
        <w:footnoteRef/>
        <w:tab/>
        <w:t>ἐκάθισεν</w:t>
      </w:r>
      <w:r>
        <w:rPr/>
        <w:t xml:space="preserve"> kann intransitiv (Pilatus setzte sich) oder transitiv (Pilatus setzte jemanden – hier also Jesus) gemeint sein. C.K. Barrett, Das Evangelium des Johannes (KEK), 1990, S. 523.</w:t>
      </w:r>
    </w:p>
  </w:footnote>
  <w:footnote w:id="5154">
    <w:p>
      <w:pPr>
        <w:pStyle w:val="Funote"/>
        <w:rPr/>
      </w:pPr>
      <w:r>
        <w:rPr/>
        <w:footnoteRef/>
        <w:tab/>
        <w:t>Der Tag vor dem Sabbat, d.h. Freitag.</w:t>
      </w:r>
    </w:p>
  </w:footnote>
  <w:footnote w:id="5155">
    <w:p>
      <w:pPr>
        <w:pStyle w:val="Funote"/>
        <w:rPr/>
      </w:pPr>
      <w:r>
        <w:rPr>
          <w:lang w:val="el-GR"/>
        </w:rPr>
        <w:footnoteRef/>
        <w:tab/>
        <w:t>αιρω</w:t>
      </w:r>
      <w:r>
        <w:rPr/>
        <w:t xml:space="preserve"> kann verschieden übersetzt werden: hochheben, wegnehmen, auch umbringen (im Sinne von „beseitigen“).</w:t>
      </w:r>
    </w:p>
  </w:footnote>
  <w:footnote w:id="5156">
    <w:p>
      <w:pPr>
        <w:pStyle w:val="Funote"/>
        <w:rPr/>
      </w:pPr>
      <w:r>
        <w:rPr/>
        <w:footnoteRef/>
        <w:tab/>
        <w:t>Wörtlich: „Nicht haben wir einen König wenn nicht einen Kaiser.“</w:t>
      </w:r>
    </w:p>
  </w:footnote>
  <w:footnote w:id="5157">
    <w:p>
      <w:pPr>
        <w:pStyle w:val="Funote"/>
        <w:rPr/>
      </w:pPr>
      <w:r>
        <w:rPr/>
        <w:footnoteRef/>
        <w:tab/>
        <w:t>Im griechischen Text Plural.</w:t>
      </w:r>
    </w:p>
  </w:footnote>
  <w:footnote w:id="5158">
    <w:p>
      <w:pPr>
        <w:pStyle w:val="Funote"/>
        <w:rPr/>
      </w:pPr>
      <w:r>
        <w:rPr/>
        <w:footnoteRef/>
        <w:tab/>
        <w:t>Im griechischen Text Plural.</w:t>
      </w:r>
    </w:p>
  </w:footnote>
  <w:footnote w:id="5159">
    <w:p>
      <w:pPr>
        <w:pStyle w:val="Funote"/>
        <w:rPr/>
      </w:pPr>
      <w:r>
        <w:rPr/>
        <w:footnoteRef/>
        <w:tab/>
        <w:t>D.h. die Beine derjenigen, die am Kreuz hingen.</w:t>
      </w:r>
    </w:p>
  </w:footnote>
  <w:footnote w:id="5160">
    <w:p>
      <w:pPr>
        <w:pStyle w:val="Funote"/>
        <w:rPr/>
      </w:pPr>
      <w:r>
        <w:rPr/>
        <w:footnoteRef/>
        <w:tab/>
        <w:t>D.h. diejenigen, die am Kreuz hingen.</w:t>
      </w:r>
    </w:p>
  </w:footnote>
  <w:footnote w:id="5161">
    <w:p>
      <w:pPr>
        <w:pStyle w:val="Funote"/>
        <w:rPr/>
      </w:pPr>
      <w:r>
        <w:rPr/>
        <w:footnoteRef/>
        <w:tab/>
        <w:t>Einige wichtige Handschriften lesen „der von Arimatäa“</w:t>
      </w:r>
    </w:p>
  </w:footnote>
  <w:footnote w:id="5162">
    <w:p>
      <w:pPr>
        <w:pStyle w:val="Funote"/>
        <w:rPr/>
      </w:pPr>
      <w:r>
        <w:rPr/>
        <w:footnoteRef/>
        <w:tab/>
        <w:t>[Status: Ungeprüft]</w:t>
      </w:r>
    </w:p>
  </w:footnote>
  <w:footnote w:id="5163">
    <w:p>
      <w:pPr>
        <w:pStyle w:val="Funote"/>
        <w:rPr/>
      </w:pPr>
      <w:hyperlink r:id="rId510">
        <w:r>
          <w:rPr>
            <w:rStyle w:val="Internetverknpfung"/>
          </w:rPr>
          <w:footnoteRef/>
          <w:tab/>
          <w:t>Gen. abs.</w:t>
        </w:r>
      </w:hyperlink>
      <w:r>
        <w:rPr/>
        <w:t xml:space="preserve"> mit temporaler Bedeutung, als Nebensatz aufgelöst. </w:t>
      </w:r>
    </w:p>
  </w:footnote>
  <w:footnote w:id="5164">
    <w:p>
      <w:pPr>
        <w:pStyle w:val="Funote"/>
        <w:rPr/>
      </w:pPr>
      <w:r>
        <w:rPr>
          <w:i/>
        </w:rPr>
        <w:footnoteRef/>
        <w:tab/>
        <w:t>sah, dass … entfernt worden war</w:t>
      </w:r>
      <w:r>
        <w:rPr/>
        <w:t xml:space="preserve"> </w:t>
      </w:r>
      <w:hyperlink r:id="rId511">
        <w:r>
          <w:rPr>
            <w:rStyle w:val="Internetverknpfung"/>
          </w:rPr>
          <w:t>AcP</w:t>
        </w:r>
      </w:hyperlink>
      <w:r>
        <w:rPr/>
        <w:t xml:space="preserve"> (Ptz. Pf. Pass.)</w:t>
      </w:r>
    </w:p>
  </w:footnote>
  <w:footnote w:id="5165">
    <w:p>
      <w:pPr>
        <w:pStyle w:val="Funote"/>
        <w:rPr/>
      </w:pPr>
      <w:r>
        <w:rPr>
          <w:i/>
        </w:rPr>
        <w:footnoteRef/>
        <w:tab/>
        <w:t>machten sich auf</w:t>
      </w:r>
      <w:r>
        <w:rPr/>
        <w:t xml:space="preserve"> Gr. im Sg., im Deutschen ist der Plural nötig. </w:t>
      </w:r>
    </w:p>
  </w:footnote>
  <w:footnote w:id="5166">
    <w:p>
      <w:pPr>
        <w:pStyle w:val="Funote"/>
        <w:rPr/>
      </w:pPr>
      <w:r>
        <w:rPr>
          <w:i/>
        </w:rPr>
        <w:footnoteRef/>
        <w:tab/>
        <w:t>indem (als) er sich vorbeugte</w:t>
      </w:r>
      <w:r>
        <w:rPr/>
        <w:t xml:space="preserve"> Modal (Klammer: temporal) aufgelöstes </w:t>
      </w:r>
      <w:hyperlink r:id="rId512">
        <w:r>
          <w:rPr>
            <w:rStyle w:val="Internetverknpfung"/>
          </w:rPr>
          <w:t>Ptc. coni.</w:t>
        </w:r>
      </w:hyperlink>
      <w:r>
        <w:rPr/>
        <w:t xml:space="preserve">. </w:t>
      </w:r>
    </w:p>
  </w:footnote>
  <w:footnote w:id="5167">
    <w:p>
      <w:pPr>
        <w:pStyle w:val="Funote"/>
        <w:rPr/>
      </w:pPr>
      <w:r>
        <w:rPr>
          <w:i/>
        </w:rPr>
        <w:footnoteRef/>
        <w:tab/>
        <w:t>der ihm gefolgt war</w:t>
      </w:r>
      <w:r>
        <w:rPr/>
        <w:t xml:space="preserve"> </w:t>
      </w:r>
      <w:hyperlink r:id="rId513">
        <w:r>
          <w:rPr>
            <w:rStyle w:val="Internetverknpfung"/>
          </w:rPr>
          <w:t>Ptc. coni.</w:t>
        </w:r>
      </w:hyperlink>
      <w:r>
        <w:rPr/>
        <w:t xml:space="preserve">, als Relativsatz aufgelöst. </w:t>
      </w:r>
    </w:p>
  </w:footnote>
  <w:footnote w:id="5168">
    <w:p>
      <w:pPr>
        <w:pStyle w:val="Funote"/>
        <w:rPr/>
      </w:pPr>
      <w:r>
        <w:rPr>
          <w:i/>
        </w:rPr>
        <w:footnoteRef/>
        <w:tab/>
        <w:t>sah sich die daliegenden Leinentücher an</w:t>
      </w:r>
      <w:r>
        <w:rPr/>
        <w:t xml:space="preserve"> </w:t>
      </w:r>
      <w:hyperlink r:id="rId514">
        <w:r>
          <w:rPr>
            <w:rStyle w:val="Internetverknpfung"/>
          </w:rPr>
          <w:t>AcP</w:t>
        </w:r>
      </w:hyperlink>
      <w:r>
        <w:rPr/>
        <w:t xml:space="preserve"> wie in V. 5, aber wegen des anderen Wahrnehmungsverbs, das eine Auflösung mit Nebensatz nicht zulässt, wurde er etwas anders aufgelöst. </w:t>
      </w:r>
    </w:p>
  </w:footnote>
  <w:footnote w:id="5169">
    <w:p>
      <w:pPr>
        <w:pStyle w:val="Funote"/>
        <w:rPr/>
      </w:pPr>
      <w:r>
        <w:rPr>
          <w:i/>
        </w:rPr>
        <w:footnoteRef/>
        <w:tab/>
        <w:t>[gelegen hatte]</w:t>
      </w:r>
      <w:r>
        <w:rPr/>
        <w:t xml:space="preserve"> W. „war“</w:t>
      </w:r>
    </w:p>
  </w:footnote>
  <w:footnote w:id="5170">
    <w:p>
      <w:pPr>
        <w:pStyle w:val="Funote"/>
        <w:rPr/>
      </w:pPr>
      <w:r>
        <w:rPr>
          <w:i/>
        </w:rPr>
        <w:footnoteRef/>
        <w:tab/>
        <w:t>der ... gekommen war</w:t>
      </w:r>
      <w:r>
        <w:rPr/>
        <w:t xml:space="preserve"> </w:t>
      </w:r>
      <w:hyperlink r:id="rId515">
        <w:r>
          <w:rPr>
            <w:rStyle w:val="Internetverknpfung"/>
          </w:rPr>
          <w:t>Attr. Ptz.</w:t>
        </w:r>
      </w:hyperlink>
      <w:r>
        <w:rPr/>
        <w:t xml:space="preserve">, als Relativsatz aufgelöst. </w:t>
      </w:r>
    </w:p>
  </w:footnote>
  <w:footnote w:id="5171">
    <w:p>
      <w:pPr>
        <w:pStyle w:val="Funote"/>
        <w:rPr/>
      </w:pPr>
      <w:r>
        <w:rPr>
          <w:i/>
        </w:rPr>
        <w:footnoteRef/>
        <w:tab/>
        <w:t>die saßen</w:t>
      </w:r>
      <w:r>
        <w:rPr/>
        <w:t xml:space="preserve"> </w:t>
      </w:r>
      <w:hyperlink r:id="rId516">
        <w:r>
          <w:rPr>
            <w:rStyle w:val="Internetverknpfung"/>
          </w:rPr>
          <w:t>Ptc. coni.</w:t>
        </w:r>
      </w:hyperlink>
      <w:r>
        <w:rPr/>
        <w:t xml:space="preserve">, als Relativsatz aufgelöst. </w:t>
      </w:r>
    </w:p>
  </w:footnote>
  <w:footnote w:id="5172">
    <w:p>
      <w:pPr>
        <w:pStyle w:val="Funote"/>
        <w:rPr/>
      </w:pPr>
      <w:r>
        <w:rPr>
          <w:i/>
        </w:rPr>
        <w:footnoteRef/>
        <w:tab/>
        <w:t>sah (erblickte) [dort] Jesus stehen</w:t>
      </w:r>
      <w:r>
        <w:rPr/>
        <w:t xml:space="preserve"> </w:t>
      </w:r>
      <w:hyperlink r:id="rId517">
        <w:r>
          <w:rPr>
            <w:rStyle w:val="Internetverknpfung"/>
          </w:rPr>
          <w:t>AcP</w:t>
        </w:r>
      </w:hyperlink>
      <w:r>
        <w:rPr/>
        <w:t xml:space="preserve">. </w:t>
      </w:r>
    </w:p>
  </w:footnote>
  <w:footnote w:id="5173">
    <w:p>
      <w:pPr>
        <w:pStyle w:val="Funote"/>
        <w:rPr/>
      </w:pPr>
      <w:r>
        <w:rPr>
          <w:i/>
        </w:rPr>
        <w:footnoteRef/>
        <w:tab/>
        <w:t>war</w:t>
      </w:r>
      <w:r>
        <w:rPr/>
        <w:t xml:space="preserve"> W. „ist“. </w:t>
      </w:r>
    </w:p>
  </w:footnote>
  <w:footnote w:id="5174">
    <w:p>
      <w:pPr>
        <w:pStyle w:val="Funote"/>
        <w:rPr/>
      </w:pPr>
      <w:r>
        <w:rPr>
          <w:i/>
        </w:rPr>
        <w:footnoteRef/>
        <w:tab/>
        <w:t>Sie</w:t>
      </w:r>
      <w:r>
        <w:rPr/>
        <w:t xml:space="preserve"> W. „jene“, sinngemäß etwa „die Angesprochene“. </w:t>
      </w:r>
    </w:p>
  </w:footnote>
  <w:footnote w:id="5175">
    <w:p>
      <w:pPr>
        <w:pStyle w:val="Funote"/>
        <w:rPr/>
      </w:pPr>
      <w:r>
        <w:rPr>
          <w:i/>
        </w:rPr>
        <w:footnoteRef/>
        <w:tab/>
        <w:t>war</w:t>
      </w:r>
      <w:r>
        <w:rPr/>
        <w:t xml:space="preserve"> W. „ist“. </w:t>
      </w:r>
    </w:p>
  </w:footnote>
  <w:footnote w:id="5176">
    <w:p>
      <w:pPr>
        <w:pStyle w:val="Funote"/>
        <w:rPr/>
      </w:pPr>
      <w:r>
        <w:rPr>
          <w:i/>
        </w:rPr>
        <w:footnoteRef/>
        <w:tab/>
        <w:t>wandte sich um und</w:t>
      </w:r>
      <w:r>
        <w:rPr/>
        <w:t xml:space="preserve"> </w:t>
      </w:r>
      <w:hyperlink r:id="rId518">
        <w:r>
          <w:rPr>
            <w:rStyle w:val="Internetverknpfung"/>
          </w:rPr>
          <w:t>Ptc. coni.</w:t>
        </w:r>
      </w:hyperlink>
      <w:r>
        <w:rPr/>
        <w:t xml:space="preserve">, modal/temporal als Nebensatz mit „und“-Kombination aufgelöst. </w:t>
      </w:r>
    </w:p>
  </w:footnote>
  <w:footnote w:id="5177">
    <w:p>
      <w:pPr>
        <w:pStyle w:val="Funote"/>
        <w:rPr/>
      </w:pPr>
      <w:r>
        <w:rPr>
          <w:i/>
        </w:rPr>
        <w:footnoteRef/>
        <w:tab/>
        <w:t>und erzählte</w:t>
      </w:r>
      <w:r>
        <w:rPr/>
        <w:t xml:space="preserve"> </w:t>
      </w:r>
      <w:hyperlink r:id="rId519">
        <w:r>
          <w:rPr>
            <w:rStyle w:val="Internetverknpfung"/>
          </w:rPr>
          <w:t>Ptc. coni.</w:t>
        </w:r>
      </w:hyperlink>
      <w:r>
        <w:rPr/>
        <w:t xml:space="preserve">, modal/temporal als Nebensatz mit „und“-Kombination aufgelöst. </w:t>
      </w:r>
    </w:p>
  </w:footnote>
  <w:footnote w:id="5178">
    <w:p>
      <w:pPr>
        <w:pStyle w:val="Funote"/>
        <w:rPr/>
      </w:pPr>
      <w:r>
        <w:rPr>
          <w:i/>
        </w:rPr>
        <w:footnoteRef/>
        <w:tab/>
        <w:t>es war Abend</w:t>
      </w:r>
      <w:r>
        <w:rPr/>
        <w:t xml:space="preserve"> (Partizip Präsens) und </w:t>
      </w:r>
      <w:r>
        <w:rPr>
          <w:i/>
        </w:rPr>
        <w:t>waren abgeschlossen</w:t>
      </w:r>
      <w:r>
        <w:rPr/>
        <w:t xml:space="preserve"> (Partizip Perfekt). Der gesamte erste Versteil besteht aus zwei </w:t>
      </w:r>
      <w:hyperlink r:id="rId520">
        <w:r>
          <w:rPr>
            <w:rStyle w:val="Internetverknpfung"/>
          </w:rPr>
          <w:t>Gen. abs.</w:t>
        </w:r>
      </w:hyperlink>
      <w:r>
        <w:rPr/>
        <w:t xml:space="preserve"> und ist so als einleitende (temporale beziehungsweise modale) Umstandsangabe markiert. Die beiden Partizipien wurden (den deutschen Sprachkonventionen entsprechend) als separater HS übersetzt. Das kehrt ihre Funktion im Deutschen am ehesten heraus. </w:t>
      </w:r>
    </w:p>
  </w:footnote>
  <w:footnote w:id="5179">
    <w:p>
      <w:pPr>
        <w:pStyle w:val="Funote"/>
        <w:rPr/>
      </w:pPr>
      <w:r>
        <w:rPr/>
        <w:footnoteRef/>
        <w:tab/>
        <w:t>dem ersten [Tag] Der Gebrauch einer Kardinal- statt Ordinalzahl ist ein Semitismus (vgl. BDR § 247,1).</w:t>
      </w:r>
    </w:p>
  </w:footnote>
  <w:footnote w:id="5180">
    <w:p>
      <w:pPr>
        <w:pStyle w:val="Funote"/>
        <w:rPr/>
      </w:pPr>
      <w:r>
        <w:rPr/>
        <w:footnoteRef/>
        <w:tab/>
        <w:t>Wörtl.: „waren“</w:t>
      </w:r>
    </w:p>
  </w:footnote>
  <w:footnote w:id="5181">
    <w:p>
      <w:pPr>
        <w:pStyle w:val="Funote"/>
        <w:rPr/>
      </w:pPr>
      <w:r>
        <w:rPr/>
        <w:footnoteRef/>
        <w:tab/>
        <w:t xml:space="preserve">Der Aor. II von </w:t>
      </w:r>
      <w:r>
        <w:rPr>
          <w:lang w:val="el-GR"/>
        </w:rPr>
        <w:t>ἳστημι, ἒστην</w:t>
      </w:r>
      <w:r>
        <w:rPr/>
        <w:t>, bedeutet "trete hin, trete herzu, trete auf"</w:t>
      </w:r>
    </w:p>
  </w:footnote>
  <w:footnote w:id="5182">
    <w:p>
      <w:pPr>
        <w:pStyle w:val="Funote"/>
        <w:rPr/>
      </w:pPr>
      <w:r>
        <w:rPr/>
        <w:footnoteRef/>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5183">
    <w:p>
      <w:pPr>
        <w:pStyle w:val="Funote"/>
        <w:rPr/>
      </w:pPr>
      <w:r>
        <w:rPr>
          <w:i/>
        </w:rPr>
        <w:footnoteRef/>
        <w:tab/>
        <w:t>Als er das gesagt hatte (während er das sagte)</w:t>
      </w:r>
      <w:r>
        <w:rPr/>
        <w:t xml:space="preserve"> </w:t>
      </w:r>
      <w:hyperlink r:id="rId521">
        <w:r>
          <w:rPr>
            <w:rStyle w:val="Internetverknpfung"/>
          </w:rPr>
          <w:t>Ptz. conj.</w:t>
        </w:r>
      </w:hyperlink>
      <w:r>
        <w:rPr/>
        <w:t xml:space="preserve"> Aorist, als temporaler Nebensatz aufgelöst.</w:t>
      </w:r>
    </w:p>
  </w:footnote>
  <w:footnote w:id="5184">
    <w:p>
      <w:pPr>
        <w:pStyle w:val="Funote"/>
        <w:rPr/>
      </w:pPr>
      <w:r>
        <w:rPr>
          <w:i/>
        </w:rPr>
        <w:footnoteRef/>
        <w:tab/>
        <w:t>weil (als) sie den Herrn sahen</w:t>
      </w:r>
      <w:r>
        <w:rPr/>
        <w:t xml:space="preserve"> Kausal oder modal zu verstehendes </w:t>
      </w:r>
      <w:hyperlink r:id="rId522">
        <w:r>
          <w:rPr>
            <w:rStyle w:val="Internetverknpfung"/>
          </w:rPr>
          <w:t>Ptz. conj.</w:t>
        </w:r>
      </w:hyperlink>
      <w:r>
        <w:rPr/>
        <w:t xml:space="preserve"> Aorist.</w:t>
      </w:r>
    </w:p>
  </w:footnote>
  <w:footnote w:id="5185">
    <w:p>
      <w:pPr>
        <w:pStyle w:val="Funote"/>
        <w:rPr/>
      </w:pPr>
      <w:r>
        <w:rPr>
          <w:i/>
        </w:rPr>
        <w:footnoteRef/>
        <w:tab/>
        <w:t>nachdem er das gesagt hatte</w:t>
      </w:r>
      <w:r>
        <w:rPr/>
        <w:t xml:space="preserve"> Temporal als NS aufgelöstes </w:t>
      </w:r>
      <w:hyperlink r:id="rId523">
        <w:r>
          <w:rPr>
            <w:rStyle w:val="Internetverknpfung"/>
          </w:rPr>
          <w:t>Ptz. conj.</w:t>
        </w:r>
      </w:hyperlink>
      <w:r>
        <w:rPr/>
        <w:t xml:space="preserve">. </w:t>
      </w:r>
    </w:p>
  </w:footnote>
  <w:footnote w:id="5186">
    <w:p>
      <w:pPr>
        <w:pStyle w:val="Funote"/>
        <w:rPr/>
      </w:pPr>
      <w:r>
        <w:rPr>
          <w:i/>
        </w:rPr>
        <w:footnoteRef/>
        <w:tab/>
        <w:t>welchen ihr [sie] behaltet</w:t>
      </w:r>
      <w:r>
        <w:rPr/>
        <w:t xml:space="preserve"> oder: „zurückhalten, festhalten“ – gemeint ist: nicht vergeben. </w:t>
      </w:r>
      <w:r>
        <w:rPr>
          <w:i/>
        </w:rPr>
        <w:t>[sie]</w:t>
      </w:r>
      <w:r>
        <w:rPr/>
        <w:t xml:space="preserve"> bezieht sich auf die Sünden. </w:t>
      </w:r>
    </w:p>
  </w:footnote>
  <w:footnote w:id="5187">
    <w:p>
      <w:pPr>
        <w:pStyle w:val="Funote"/>
        <w:rPr/>
      </w:pPr>
      <w:r>
        <w:rPr/>
        <w:footnoteRef/>
        <w:tab/>
        <w:t xml:space="preserve">Konditionalsatz (Futuralis): das Satzgefüge liegt in der Zukunft. </w:t>
      </w:r>
    </w:p>
  </w:footnote>
  <w:footnote w:id="5188">
    <w:p>
      <w:pPr>
        <w:pStyle w:val="Funote"/>
        <w:rPr/>
      </w:pPr>
      <w:r>
        <w:rPr>
          <w:i/>
        </w:rPr>
        <w:footnoteRef/>
        <w:tab/>
        <w:t>obwohl die Türen verschlossen waren</w:t>
      </w:r>
      <w:r>
        <w:rPr/>
        <w:t xml:space="preserve"> </w:t>
      </w:r>
      <w:hyperlink r:id="rId524">
        <w:r>
          <w:rPr>
            <w:rStyle w:val="Internetverknpfung"/>
          </w:rPr>
          <w:t>Gen. abs.</w:t>
        </w:r>
      </w:hyperlink>
      <w:r>
        <w:rPr/>
        <w:t xml:space="preserve">, konzessiv aufgelöst, möglich wäre auch temporal: nachdem </w:t>
      </w:r>
    </w:p>
  </w:footnote>
  <w:footnote w:id="5189">
    <w:p>
      <w:pPr>
        <w:pStyle w:val="Funote"/>
        <w:rPr/>
      </w:pPr>
      <w:r>
        <w:rPr>
          <w:i/>
        </w:rPr>
        <w:footnoteRef/>
        <w:tab/>
        <w:t>glaubst du jetzt (hast du geglaubt)</w:t>
      </w:r>
      <w:r>
        <w:rPr/>
        <w:t xml:space="preserve"> Beide Verben sind Perfekte. Da das gr. Perfekt das Ergebnis der vergangenen Handlung betont, wurde das zweite sinngemäß als Präsens mit „jetzt“ wiedergegeben.</w:t>
      </w:r>
    </w:p>
  </w:footnote>
  <w:footnote w:id="5190">
    <w:p>
      <w:pPr>
        <w:pStyle w:val="Funote"/>
        <w:rPr/>
      </w:pPr>
      <w:r>
        <w:rPr/>
        <w:footnoteRef/>
        <w:tab/>
        <w:t xml:space="preserve">In Nestle-Aland 28 ist der Satz als Frage punktiert: „Weil du mich gesehen hast, glaubst du jetzt?“ Das ist ebenso gut denkbar. </w:t>
      </w:r>
    </w:p>
  </w:footnote>
  <w:footnote w:id="5191">
    <w:p>
      <w:pPr>
        <w:pStyle w:val="Funote"/>
        <w:rPr/>
      </w:pPr>
      <w:r>
        <w:rPr>
          <w:i/>
        </w:rPr>
        <w:footnoteRef/>
        <w:tab/>
        <w:t>die nicht sehen und [doch] glauben</w:t>
      </w:r>
      <w:r>
        <w:rPr/>
        <w:t xml:space="preserve"> Zwei als Relativsatz aufgelöste </w:t>
      </w:r>
      <w:hyperlink r:id="rId525">
        <w:r>
          <w:rPr>
            <w:rStyle w:val="Internetverknpfung"/>
          </w:rPr>
          <w:t>subst. Ptz.</w:t>
        </w:r>
      </w:hyperlink>
      <w:r>
        <w:rPr/>
        <w:t xml:space="preserve">. </w:t>
      </w:r>
    </w:p>
  </w:footnote>
  <w:footnote w:id="5192">
    <w:p>
      <w:pPr>
        <w:pStyle w:val="Funote"/>
        <w:rPr/>
      </w:pPr>
      <w:r>
        <w:rPr/>
        <w:footnoteRef/>
        <w:tab/>
        <w:t>[Status: Zuverlässig]</w:t>
      </w:r>
    </w:p>
  </w:footnote>
  <w:footnote w:id="5193">
    <w:p>
      <w:pPr>
        <w:pStyle w:val="Funote"/>
        <w:rPr/>
      </w:pPr>
      <w:r>
        <w:rPr/>
        <w:footnoteRef/>
        <w:tab/>
        <w:t>Lokativer Genitiv.</w:t>
      </w:r>
    </w:p>
  </w:footnote>
  <w:footnote w:id="5194">
    <w:p>
      <w:pPr>
        <w:pStyle w:val="Funote"/>
        <w:rPr/>
      </w:pPr>
      <w:r>
        <w:rPr/>
        <w:footnoteRef/>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5195">
    <w:p>
      <w:pPr>
        <w:pStyle w:val="Funote"/>
        <w:rPr/>
      </w:pPr>
      <w:r>
        <w:rPr/>
        <w:footnoteRef/>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5196">
    <w:p>
      <w:pPr>
        <w:pStyle w:val="Funote"/>
        <w:rPr/>
      </w:pPr>
      <w:r>
        <w:rPr>
          <w:i/>
        </w:rPr>
        <w:footnoteRef/>
        <w:tab/>
        <w:t>war</w:t>
      </w:r>
      <w:r>
        <w:rPr/>
        <w:t xml:space="preserve"> Gr. „ist“</w:t>
      </w:r>
    </w:p>
  </w:footnote>
  <w:footnote w:id="5197">
    <w:p>
      <w:pPr>
        <w:pStyle w:val="Funote"/>
        <w:rPr/>
      </w:pPr>
      <w:hyperlink r:id="rId526">
        <w:r>
          <w:rPr>
            <w:rStyle w:val="Internetverknpfung"/>
          </w:rPr>
          <w:footnoteRef/>
          <w:tab/>
          <w:t>Historisches Präsens</w:t>
        </w:r>
      </w:hyperlink>
      <w:r>
        <w:rPr/>
        <w:t>.</w:t>
      </w:r>
    </w:p>
  </w:footnote>
  <w:footnote w:id="5198">
    <w:p>
      <w:pPr>
        <w:pStyle w:val="Funote"/>
        <w:rPr/>
      </w:pPr>
      <w:r>
        <w:rPr>
          <w:i/>
        </w:rPr>
        <w:footnoteRef/>
        <w:tab/>
        <w:t>Männer (Kinder)</w:t>
      </w:r>
      <w:r>
        <w:rPr/>
        <w:t xml:space="preserve">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 </w:t>
      </w:r>
    </w:p>
  </w:footnote>
  <w:footnote w:id="5199">
    <w:p>
      <w:pPr>
        <w:pStyle w:val="Funote"/>
        <w:rPr/>
      </w:pPr>
      <w:r>
        <w:rPr/>
        <w:footnoteRef/>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übrig haben.</w:t>
      </w:r>
    </w:p>
  </w:footnote>
  <w:footnote w:id="5200">
    <w:p>
      <w:pPr>
        <w:pStyle w:val="Funote"/>
        <w:rPr/>
      </w:pPr>
      <w:r>
        <w:rPr>
          <w:i/>
        </w:rPr>
        <w:footnoteRef/>
        <w:tab/>
        <w:t>[doch einmal] auf der rechten Seite des Bootes</w:t>
      </w:r>
      <w:r>
        <w:rPr/>
        <w:t xml:space="preserve"> Die Einfügung </w:t>
      </w:r>
      <w:r>
        <w:rPr>
          <w:i/>
        </w:rPr>
        <w:t>[doch einmal]</w:t>
      </w:r>
      <w:r>
        <w:rPr/>
        <w:t xml:space="preserve"> soll wie die griechische Wortstellung die von Jesus vorgeschlagene Alternative hervorheben. </w:t>
      </w:r>
    </w:p>
  </w:footnote>
  <w:footnote w:id="5201">
    <w:p>
      <w:pPr>
        <w:pStyle w:val="Funote"/>
        <w:rPr/>
      </w:pPr>
      <w:r>
        <w:rPr>
          <w:i/>
        </w:rPr>
        <w:footnoteRef/>
        <w:tab/>
        <w:t>Als Simon Petrus hörte</w:t>
      </w:r>
      <w:r>
        <w:rPr/>
        <w:t xml:space="preserve"> Temporales, als Nebensatz aufgelöstes Ptc. coni. </w:t>
      </w:r>
    </w:p>
  </w:footnote>
  <w:footnote w:id="5202">
    <w:p>
      <w:pPr>
        <w:pStyle w:val="Funote"/>
        <w:rPr/>
      </w:pPr>
      <w:r>
        <w:rPr/>
        <w:footnoteRef/>
        <w:tab/>
        <w:t>er war nämlich (denn) nackt Das griechische Wort lässt offen, ob Petrus ganz nackt oder nur teilweise entkleidet war. Daher wäre auch die etwas freiere Alternativübersetzung denkbar: „er hatte es nämlich abgelegt“ o.ä. (vgl. NGÜ).</w:t>
      </w:r>
    </w:p>
  </w:footnote>
  <w:footnote w:id="5203">
    <w:p>
      <w:pPr>
        <w:pStyle w:val="Funote"/>
        <w:rPr/>
      </w:pPr>
      <w:r>
        <w:rPr/>
        <w:footnoteRef/>
        <w:tab/>
        <w:t>Die Juden nannten den See Tiberias das „Meer von Galiläa“.</w:t>
      </w:r>
    </w:p>
  </w:footnote>
  <w:footnote w:id="5204">
    <w:p>
      <w:pPr>
        <w:pStyle w:val="Funote"/>
        <w:rPr/>
      </w:pPr>
      <w:r>
        <w:rPr>
          <w:i/>
        </w:rPr>
        <w:footnoteRef/>
        <w:tab/>
        <w:t>[mit] dem Boot</w:t>
      </w:r>
      <w:r>
        <w:rPr/>
        <w:t xml:space="preserve"> Instrumentaler Dativ. </w:t>
      </w:r>
    </w:p>
  </w:footnote>
  <w:footnote w:id="5205">
    <w:p>
      <w:pPr>
        <w:pStyle w:val="Funote"/>
        <w:rPr/>
      </w:pPr>
      <w:r>
        <w:rPr>
          <w:i/>
        </w:rPr>
        <w:footnoteRef/>
        <w:tab/>
        <w:t>Dabei zogen sie das Netz [mit] den Fischen [hinter sich] her</w:t>
      </w:r>
      <w:r>
        <w:rPr/>
        <w:t xml:space="preserve"> Als modaler HS aufgelöstes Ptc. coni. </w:t>
      </w:r>
      <w:r>
        <w:rPr>
          <w:i/>
        </w:rPr>
        <w:t>Netz [mit] den Fischen</w:t>
      </w:r>
      <w:r>
        <w:rPr/>
        <w:t xml:space="preserve"> W. „Netz der Fische“, wohl appositiver Genitiv. </w:t>
      </w:r>
    </w:p>
  </w:footnote>
  <w:footnote w:id="5206">
    <w:p>
      <w:pPr>
        <w:pStyle w:val="Funote"/>
        <w:rPr/>
      </w:pPr>
      <w:r>
        <w:rPr>
          <w:i/>
        </w:rPr>
        <w:footnoteRef/>
        <w:tab/>
        <w:t>vorbereitetes</w:t>
      </w:r>
      <w:r>
        <w:rPr/>
        <w:t xml:space="preserve"> und </w:t>
      </w:r>
      <w:r>
        <w:rPr>
          <w:i/>
        </w:rPr>
        <w:t>daraufgelegt</w:t>
      </w:r>
      <w:r>
        <w:rPr/>
        <w:t xml:space="preserve"> AcP mit zwei Partizipien, im ersten Fall adjektivisch, im zweiten Fall als eigenständig angehängter NS übersetzt. Auch möglich wäre eine Konstruktion mit einem doppelten Infinitiv-NS. </w:t>
      </w:r>
    </w:p>
  </w:footnote>
  <w:footnote w:id="5207">
    <w:p>
      <w:pPr>
        <w:pStyle w:val="Funote"/>
        <w:rPr/>
      </w:pPr>
      <w:hyperlink r:id="rId527">
        <w:r>
          <w:rPr>
            <w:rStyle w:val="Internetverknpfung"/>
          </w:rPr>
          <w:footnoteRef/>
          <w:tab/>
          <w:t>Genitivus partitivus</w:t>
        </w:r>
      </w:hyperlink>
      <w:r>
        <w:rPr/>
        <w:t>.</w:t>
      </w:r>
    </w:p>
  </w:footnote>
  <w:footnote w:id="5208">
    <w:p>
      <w:pPr>
        <w:pStyle w:val="Funote"/>
        <w:rPr/>
      </w:pPr>
      <w:r>
        <w:rPr>
          <w:i/>
        </w:rPr>
        <w:footnoteRef/>
        <w:tab/>
        <w:t>obwohl es so viele waren</w:t>
      </w:r>
      <w:r>
        <w:rPr/>
        <w:t xml:space="preserve"> Als konzessiver NS aufgelöster Gen. abs. </w:t>
      </w:r>
    </w:p>
  </w:footnote>
  <w:footnote w:id="5209">
    <w:p>
      <w:pPr>
        <w:pStyle w:val="Funote"/>
        <w:rPr/>
      </w:pPr>
      <w:r>
        <w:rPr>
          <w:i/>
        </w:rPr>
        <w:footnoteRef/>
        <w:tab/>
        <w:t>[von] den Jüngern</w:t>
      </w:r>
      <w:r>
        <w:rPr/>
        <w:t xml:space="preserve"> Genitivus partitivus. </w:t>
      </w:r>
    </w:p>
  </w:footnote>
  <w:footnote w:id="5210">
    <w:p>
      <w:pPr>
        <w:pStyle w:val="Funote"/>
        <w:rPr/>
      </w:pPr>
      <w:r>
        <w:rPr>
          <w:i/>
        </w:rPr>
        <w:footnoteRef/>
        <w:tab/>
        <w:t>kam und nahm</w:t>
      </w:r>
      <w:r>
        <w:rPr/>
        <w:t xml:space="preserve"> Jew. </w:t>
      </w:r>
      <w:hyperlink r:id="rId528">
        <w:r>
          <w:rPr>
            <w:rStyle w:val="Internetverknpfung"/>
          </w:rPr>
          <w:t>Historisches Präsens</w:t>
        </w:r>
      </w:hyperlink>
      <w:r>
        <w:rPr/>
        <w:t>.</w:t>
      </w:r>
    </w:p>
  </w:footnote>
  <w:footnote w:id="5211">
    <w:p>
      <w:pPr>
        <w:pStyle w:val="Funote"/>
        <w:rPr/>
      </w:pPr>
      <w:r>
        <w:rPr/>
        <w:footnoteRef/>
        <w:tab/>
        <w:t>Part. Aor. pass.</w:t>
      </w:r>
    </w:p>
  </w:footnote>
  <w:footnote w:id="5212">
    <w:p>
      <w:pPr>
        <w:pStyle w:val="Funote"/>
        <w:rPr/>
      </w:pPr>
      <w:r>
        <w:rPr/>
        <w:footnoteRef/>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5213">
    <w:p>
      <w:pPr>
        <w:pStyle w:val="Funote"/>
        <w:rPr/>
      </w:pPr>
      <w:r>
        <w:rPr/>
        <w:footnoteRef/>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5214">
    <w:p>
      <w:pPr>
        <w:pStyle w:val="Funote"/>
        <w:rPr/>
      </w:pPr>
      <w:r>
        <w:rPr>
          <w:i/>
        </w:rPr>
        <w:footnoteRef/>
        <w:tab/>
        <w:t>nachdem er das gesagt hatte</w:t>
      </w:r>
      <w:r>
        <w:rPr/>
        <w:t xml:space="preserve"> Als temporaler Nebensatz aufgelöstes Ptc. coni.</w:t>
      </w:r>
    </w:p>
  </w:footnote>
  <w:footnote w:id="5215">
    <w:p>
      <w:pPr>
        <w:pStyle w:val="Funote"/>
        <w:rPr/>
      </w:pPr>
      <w:r>
        <w:rPr>
          <w:i/>
        </w:rPr>
        <w:footnoteRef/>
        <w:tab/>
        <w:t>Als er sich umwandte</w:t>
      </w:r>
      <w:r>
        <w:rPr/>
        <w:t xml:space="preserve"> Als temporaler Nebensatz aufgelöstes Ptc. coni.</w:t>
      </w:r>
    </w:p>
  </w:footnote>
  <w:footnote w:id="5216">
    <w:p>
      <w:pPr>
        <w:pStyle w:val="Funote"/>
        <w:rPr/>
      </w:pPr>
      <w:r>
        <w:rPr>
          <w:i/>
        </w:rPr>
        <w:footnoteRef/>
        <w:tab/>
        <w:t>sah, dass … folgte</w:t>
      </w:r>
      <w:r>
        <w:rPr/>
        <w:t xml:space="preserve"> AcP. </w:t>
      </w:r>
    </w:p>
  </w:footnote>
  <w:footnote w:id="5217">
    <w:p>
      <w:pPr>
        <w:pStyle w:val="Funote"/>
        <w:rPr/>
      </w:pPr>
      <w:r>
        <w:rPr/>
        <w:footnoteRef/>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5218">
    <w:p>
      <w:pPr>
        <w:pStyle w:val="Funote"/>
        <w:rPr/>
      </w:pPr>
      <w:r>
        <w:rPr>
          <w:i/>
        </w:rPr>
        <w:footnoteRef/>
        <w:tab/>
        <w:t>will, dass er bleibt</w:t>
      </w:r>
      <w:r>
        <w:rPr/>
        <w:t xml:space="preserve"> AcI. </w:t>
      </w:r>
    </w:p>
  </w:footnote>
  <w:footnote w:id="5219">
    <w:p>
      <w:pPr>
        <w:pStyle w:val="Funote"/>
        <w:rPr/>
      </w:pPr>
      <w:r>
        <w:rPr/>
        <w:footnoteRef/>
        <w:tab/>
        <w:t>[Status: Ungeprüft]</w:t>
      </w:r>
    </w:p>
  </w:footnote>
  <w:footnote w:id="5220">
    <w:p>
      <w:pPr>
        <w:pStyle w:val="Funote"/>
        <w:rPr/>
      </w:pPr>
      <w:r>
        <w:rPr>
          <w:i/>
        </w:rPr>
        <w:footnoteRef/>
        <w:tab/>
        <w:t>der bezeugt und der aufgeschrieben hat</w:t>
      </w:r>
      <w:r>
        <w:rPr/>
        <w:t xml:space="preserve"> Substantivierte Ptz., als Relativsatz aufgelöst. </w:t>
      </w:r>
    </w:p>
  </w:footnote>
  <w:footnote w:id="5221">
    <w:p>
      <w:pPr>
        <w:pStyle w:val="Funote"/>
        <w:rPr/>
      </w:pPr>
      <w:r>
        <w:rPr>
          <w:i/>
        </w:rPr>
        <w:footnoteRef/>
        <w:tab/>
        <w:t>mehr</w:t>
      </w:r>
      <w:r>
        <w:rPr/>
        <w:t xml:space="preserve"> W. „anderes/andere [Dinge]“</w:t>
      </w:r>
    </w:p>
  </w:footnote>
  <w:footnote w:id="5222">
    <w:p>
      <w:pPr>
        <w:pStyle w:val="Funote"/>
        <w:rPr/>
      </w:pPr>
      <w:r>
        <w:rPr>
          <w:lang w:val="el-GR"/>
        </w:rPr>
        <w:footnoteRef/>
        <w:tab/>
        <w:t>λόγος</w:t>
      </w:r>
      <w:r>
        <w:rPr/>
        <w:t xml:space="preserve"> heißt hier „Buch“; Lukas bezieht sich auf das Evangelium. </w:t>
      </w:r>
      <w:r>
        <w:rPr>
          <w:lang w:val="el-GR"/>
        </w:rPr>
        <w:t>πρῶτος λόγος</w:t>
      </w:r>
      <w:r>
        <w:rPr/>
        <w:t xml:space="preserve"> ist der erste Teil eines mehrbändigen Werkes.</w:t>
      </w:r>
    </w:p>
  </w:footnote>
  <w:footnote w:id="5223">
    <w:p>
      <w:pPr>
        <w:pStyle w:val="Funote"/>
        <w:rPr/>
      </w:pPr>
      <w:r>
        <w:rPr/>
        <w:footnoteRef/>
        <w:tab/>
        <w:t>Ein „</w:t>
      </w:r>
      <w:r>
        <w:rPr>
          <w:lang w:val="el-GR"/>
        </w:rPr>
        <w:t>μέν</w:t>
      </w:r>
      <w:r>
        <w:rPr/>
        <w:t xml:space="preserve"> solitarium“ ohne entsprechendes </w:t>
      </w:r>
      <w:r>
        <w:rPr>
          <w:lang w:val="el-GR"/>
        </w:rPr>
        <w:t>δέ</w:t>
      </w:r>
      <w:r>
        <w:rPr/>
        <w:t xml:space="preserve"> (Haenchen S. 107), wird hier nicht übersetzt.</w:t>
      </w:r>
    </w:p>
  </w:footnote>
  <w:footnote w:id="5224">
    <w:p>
      <w:pPr>
        <w:pStyle w:val="Funote"/>
        <w:rPr/>
      </w:pPr>
      <w:r>
        <w:rPr/>
        <w:footnoteRef/>
        <w:tab/>
        <w:t xml:space="preserve">Pleonasie: </w:t>
      </w:r>
      <w:r>
        <w:rPr>
          <w:lang w:val="el-GR"/>
        </w:rPr>
        <w:t>ἄρχω</w:t>
      </w:r>
      <w:r>
        <w:rPr/>
        <w:t xml:space="preserve"> „umschreibt das Verbum Finitum im Stil der LXX. Sie gibt damit das hebr. </w:t>
      </w:r>
      <w:r>
        <w:rPr>
          <w:rtl w:val="true"/>
          <w:lang w:bidi="he-IL"/>
        </w:rPr>
        <w:t>ענה</w:t>
      </w:r>
      <w:r>
        <w:rPr/>
        <w:t xml:space="preserve"> </w:t>
      </w:r>
      <w:r>
        <w:rPr/>
        <w:t>wieder“ und wird nicht übersetzt, Haenchen S. 108, Anm. 4, vgl. BW Sp. 225.</w:t>
      </w:r>
    </w:p>
  </w:footnote>
  <w:footnote w:id="5225">
    <w:p>
      <w:pPr>
        <w:pStyle w:val="Funote"/>
        <w:rPr/>
      </w:pPr>
      <w:hyperlink r:id="rId529">
        <w:r>
          <w:rPr>
            <w:rStyle w:val="Internetverknpfung"/>
          </w:rPr>
          <w:footnoteRef/>
          <w:tab/>
          <w:t>Ptz. coni.</w:t>
        </w:r>
      </w:hyperlink>
      <w:r>
        <w:rPr/>
        <w:t>, temporal aufgelöst.</w:t>
      </w:r>
    </w:p>
  </w:footnote>
  <w:footnote w:id="5226">
    <w:p>
      <w:pPr>
        <w:pStyle w:val="Funote"/>
        <w:rPr/>
      </w:pPr>
      <w:hyperlink r:id="rId530">
        <w:r>
          <w:rPr>
            <w:rStyle w:val="Internetverknpfung"/>
          </w:rPr>
          <w:footnoteRef/>
          <w:tab/>
          <w:t>Ptz. coni.</w:t>
        </w:r>
      </w:hyperlink>
      <w:r>
        <w:rPr/>
        <w:t>, temporal aufgelöst.</w:t>
      </w:r>
    </w:p>
  </w:footnote>
  <w:footnote w:id="5227">
    <w:p>
      <w:pPr>
        <w:pStyle w:val="Funote"/>
        <w:rPr/>
      </w:pPr>
      <w:r>
        <w:rPr/>
        <w:footnoteRef/>
        <w:tab/>
        <w:t>Partizip</w:t>
      </w:r>
    </w:p>
  </w:footnote>
  <w:footnote w:id="5228">
    <w:p>
      <w:pPr>
        <w:pStyle w:val="Funote"/>
        <w:rPr/>
      </w:pPr>
      <w:r>
        <w:rPr>
          <w:lang w:val="el-GR"/>
        </w:rPr>
        <w:footnoteRef/>
        <w:tab/>
        <w:t>παθεῖν</w:t>
      </w:r>
      <w:r>
        <w:rPr/>
        <w:t xml:space="preserve"> hier nicht leiden, sondern sterben, vgl. die griech. Redensart „</w:t>
      </w:r>
      <w:r>
        <w:rPr>
          <w:lang w:val="el-GR"/>
        </w:rPr>
        <w:t>παθεῖν ἤ ἀποθῖσαι</w:t>
      </w:r>
      <w:r>
        <w:rPr/>
        <w:t>“, „sterben oder zahlen“ (Geld oder Leben), Haenchen S. 110, Anm. 4.</w:t>
      </w:r>
    </w:p>
  </w:footnote>
  <w:footnote w:id="5229">
    <w:p>
      <w:pPr>
        <w:pStyle w:val="Funote"/>
        <w:rPr/>
      </w:pPr>
      <w:r>
        <w:rPr/>
        <w:footnoteRef/>
        <w:tab/>
        <w:t>Möglich wäre auch: Nach vierzig Tagen; hier sind aber die wiederholten Erscheinungen des Auferstandenen gemeint.</w:t>
      </w:r>
    </w:p>
  </w:footnote>
  <w:footnote w:id="5230">
    <w:p>
      <w:pPr>
        <w:pStyle w:val="Funote"/>
        <w:rPr/>
      </w:pPr>
      <w:hyperlink r:id="rId531">
        <w:r>
          <w:rPr>
            <w:rStyle w:val="Internetverknpfung"/>
          </w:rPr>
          <w:footnoteRef/>
          <w:tab/>
          <w:t>Ptz. coni.</w:t>
        </w:r>
      </w:hyperlink>
      <w:r>
        <w:rPr/>
        <w:t xml:space="preserve">, temporal aufgelöst. Grundbedeutung ist "zusammenkommen mit"; Haenchen leitet </w:t>
      </w:r>
      <w:r>
        <w:rPr>
          <w:lang w:val="el-GR"/>
        </w:rPr>
        <w:t>σθναλίζομαι</w:t>
      </w:r>
      <w:r>
        <w:rPr/>
        <w:t xml:space="preserve"> von </w:t>
      </w:r>
      <w:r>
        <w:rPr>
          <w:lang w:val="el-GR"/>
        </w:rPr>
        <w:t>ἅλς</w:t>
      </w:r>
      <w:r>
        <w:rPr/>
        <w:t>, Salz, ab: zusammen mit jem. Salz essen = gemeinsames Essen.</w:t>
      </w:r>
    </w:p>
  </w:footnote>
  <w:footnote w:id="5231">
    <w:p>
      <w:pPr>
        <w:pStyle w:val="Funote"/>
        <w:rPr/>
      </w:pPr>
      <w:r>
        <w:rPr/>
        <w:footnoteRef/>
        <w:tab/>
        <w:t xml:space="preserve">a) Das vom Vater Verheißene = der hl. Geist, b) die Verheißung als ein Wort, daher: </w:t>
      </w:r>
      <w:r>
        <w:rPr>
          <w:lang w:val="el-GR"/>
        </w:rPr>
        <w:t>ἀκούετε</w:t>
      </w:r>
      <w:r>
        <w:rPr/>
        <w:t>.</w:t>
      </w:r>
    </w:p>
  </w:footnote>
  <w:footnote w:id="5232">
    <w:p>
      <w:pPr>
        <w:pStyle w:val="Funote"/>
        <w:rPr/>
      </w:pPr>
      <w:r>
        <w:rPr>
          <w:lang w:val="el-GR"/>
        </w:rPr>
        <w:footnoteRef/>
        <w:tab/>
        <w:t>μὲν οὖν</w:t>
      </w:r>
      <w:r>
        <w:rPr/>
        <w:t xml:space="preserve"> hebt das Folgende vom Vorangehenden ab, Haenchen S. 114; dort auch die übrigen Stellen in der Apostelgeschichte.</w:t>
      </w:r>
    </w:p>
  </w:footnote>
  <w:footnote w:id="5233">
    <w:p>
      <w:pPr>
        <w:pStyle w:val="Funote"/>
        <w:rPr/>
      </w:pPr>
      <w:r>
        <w:rPr/>
        <w:footnoteRef/>
        <w:tab/>
        <w:t>Dativ</w:t>
      </w:r>
    </w:p>
  </w:footnote>
  <w:footnote w:id="5234">
    <w:p>
      <w:pPr>
        <w:pStyle w:val="Funote"/>
        <w:rPr/>
      </w:pPr>
      <w:r>
        <w:rPr/>
        <w:footnoteRef/>
        <w:tab/>
        <w:t>Terminus Technicus der eschatologischen Sprache: Die Herstellung der rechten Ordnung durch Gott/ Jesus in der Endzeit, Haenchen S. 114, Anm. 4.</w:t>
      </w:r>
    </w:p>
  </w:footnote>
  <w:footnote w:id="5235">
    <w:p>
      <w:pPr>
        <w:pStyle w:val="Funote"/>
        <w:rPr/>
      </w:pPr>
      <w:hyperlink r:id="rId532">
        <w:r>
          <w:rPr>
            <w:rStyle w:val="Internetverknpfung"/>
          </w:rPr>
          <w:footnoteRef/>
          <w:tab/>
          <w:t>Ptz. coni.</w:t>
        </w:r>
      </w:hyperlink>
      <w:r>
        <w:rPr/>
        <w:t>, relativisch aufgefasst</w:t>
      </w:r>
    </w:p>
  </w:footnote>
  <w:footnote w:id="5236">
    <w:p>
      <w:pPr>
        <w:pStyle w:val="Funote"/>
        <w:rPr/>
      </w:pPr>
      <w:hyperlink r:id="rId533">
        <w:r>
          <w:rPr>
            <w:rStyle w:val="Internetverknpfung"/>
          </w:rPr>
          <w:footnoteRef/>
          <w:tab/>
          <w:t>Ptz. coni.</w:t>
        </w:r>
      </w:hyperlink>
      <w:r>
        <w:rPr/>
        <w:t>, temporal aufgefasst.</w:t>
      </w:r>
    </w:p>
  </w:footnote>
  <w:footnote w:id="5237">
    <w:p>
      <w:pPr>
        <w:pStyle w:val="Funote"/>
        <w:rPr/>
      </w:pPr>
      <w:r>
        <w:rPr>
          <w:lang w:val="el-GR"/>
        </w:rPr>
        <w:footnoteRef/>
        <w:tab/>
        <w:t>ἀτενῖζοντες ἦσαν</w:t>
      </w:r>
      <w:r>
        <w:rPr/>
        <w:t xml:space="preserve"> ist eine Periphrase (Umschreibung), die den zeitlichen Rahmen angibt, in dem sich etwas ereignet, Haenchen S. 119, Anm. 7.</w:t>
      </w:r>
    </w:p>
  </w:footnote>
  <w:footnote w:id="5238">
    <w:p>
      <w:pPr>
        <w:pStyle w:val="Funote"/>
        <w:rPr/>
      </w:pPr>
      <w:hyperlink r:id="rId534">
        <w:r>
          <w:rPr>
            <w:rStyle w:val="Internetverknpfung"/>
          </w:rPr>
          <w:footnoteRef/>
          <w:tab/>
          <w:t>Ptz. coni.</w:t>
        </w:r>
      </w:hyperlink>
    </w:p>
  </w:footnote>
  <w:footnote w:id="5239">
    <w:p>
      <w:pPr>
        <w:pStyle w:val="Funote"/>
        <w:rPr/>
      </w:pPr>
      <w:r>
        <w:rPr/>
        <w:footnoteRef/>
        <w:tab/>
        <w:t>angeli interpretes, Deuteengel. „Sie haben hier keine andere Aufgabe, als den Menschen zum rechten Verständnis der Situation zu verhelfen“. Haenchen, S. 120, Anm. 2.</w:t>
      </w:r>
    </w:p>
  </w:footnote>
  <w:footnote w:id="5240">
    <w:p>
      <w:pPr>
        <w:pStyle w:val="Funote"/>
        <w:rPr/>
      </w:pPr>
      <w:r>
        <w:rPr/>
        <w:footnoteRef/>
        <w:tab/>
        <w:t xml:space="preserve">Das </w:t>
      </w:r>
      <w:r>
        <w:rPr>
          <w:lang w:val="el-GR"/>
        </w:rPr>
        <w:t>καί</w:t>
      </w:r>
      <w:r>
        <w:rPr/>
        <w:t xml:space="preserve"> darf hier nicht übersetzt werden, Haenchen a.a.O., Anm. 3.</w:t>
      </w:r>
    </w:p>
  </w:footnote>
  <w:footnote w:id="5241">
    <w:p>
      <w:pPr>
        <w:pStyle w:val="Funote"/>
        <w:rPr/>
      </w:pPr>
      <w:hyperlink r:id="rId535">
        <w:r>
          <w:rPr>
            <w:rStyle w:val="Internetverknpfung"/>
          </w:rPr>
          <w:footnoteRef/>
          <w:tab/>
          <w:t>Ptz. coni.</w:t>
        </w:r>
      </w:hyperlink>
      <w:r>
        <w:rPr/>
        <w:t>, beigeordnet</w:t>
      </w:r>
    </w:p>
  </w:footnote>
  <w:footnote w:id="5242">
    <w:p>
      <w:pPr>
        <w:pStyle w:val="Funote"/>
        <w:rPr/>
      </w:pPr>
      <w:r>
        <w:rPr/>
        <w:footnoteRef/>
        <w:tab/>
        <w:t>Die am Sabbat zu gehen erlaubte Wegstrecke betrug 2000 Ellen = 880 m. In Lukas 24,50 fährt Jesus von Bethanien aus in den Himmel auf. „Es sieht so aus, als ob er [Lukas] von der Topographie Jerusalems keine genaue Vorstellung besessen hat“, Haenchen, S. 121, Anm. 2.</w:t>
      </w:r>
    </w:p>
  </w:footnote>
  <w:footnote w:id="5243">
    <w:p>
      <w:pPr>
        <w:pStyle w:val="Funote"/>
        <w:rPr/>
      </w:pPr>
      <w:r>
        <w:rPr/>
        <w:footnoteRef/>
        <w:tab/>
        <w:t>Zu ergänzen ist: in die Stadt.</w:t>
      </w:r>
    </w:p>
  </w:footnote>
  <w:footnote w:id="5244">
    <w:p>
      <w:pPr>
        <w:pStyle w:val="Funote"/>
        <w:rPr/>
      </w:pPr>
      <w:r>
        <w:rPr/>
        <w:footnoteRef/>
        <w:tab/>
        <w:t>Periphrase, vgl. Anm. zu Vers 10.</w:t>
      </w:r>
    </w:p>
  </w:footnote>
  <w:footnote w:id="5245">
    <w:p>
      <w:pPr>
        <w:pStyle w:val="Funote"/>
        <w:rPr/>
      </w:pPr>
      <w:r>
        <w:rPr>
          <w:i/>
        </w:rPr>
        <w:footnoteRef/>
        <w:tab/>
        <w:t>[in der] Gemeinschaft (?, beisammen)</w:t>
      </w:r>
      <w:r>
        <w:rPr/>
        <w:t xml:space="preserve"> - </w:t>
      </w:r>
      <w:r>
        <w:rPr>
          <w:i/>
        </w:rPr>
        <w:t>epi to auto</w:t>
      </w:r>
      <w:r>
        <w:rPr/>
        <w:t xml:space="preserve"> („beisammen“, ein aus mehreren Worten bestehendes Adverb) wäre hier unproblematisch. Wegen der Verwendung der selben Wortgruppe v.a. in </w:t>
      </w:r>
      <w:r>
        <w:fldChar w:fldCharType="begin"/>
      </w:r>
      <w:r>
        <w:instrText> HYPERLINK "file:///wiki/Apostelgeschichte_2" \l "s44"</w:instrText>
      </w:r>
      <w:r>
        <w:fldChar w:fldCharType="separate"/>
      </w:r>
      <w:r>
        <w:rPr>
          <w:rStyle w:val="Internetverknpfung"/>
        </w:rPr>
        <w:t>Apg 2,44.47</w:t>
      </w:r>
      <w:r>
        <w:fldChar w:fldCharType="end"/>
      </w:r>
      <w:r>
        <w:rPr/>
        <w:t xml:space="preserve">, aber auch in </w:t>
      </w:r>
      <w:r>
        <w:fldChar w:fldCharType="begin"/>
      </w:r>
      <w:r>
        <w:instrText> HYPERLINK "file:///wiki/Apostelgeschichte_2" \l "s1"</w:instrText>
      </w:r>
      <w:r>
        <w:fldChar w:fldCharType="separate"/>
      </w:r>
      <w:r>
        <w:rPr>
          <w:rStyle w:val="Internetverknpfung"/>
        </w:rPr>
        <w:t>Apg 2,1</w:t>
      </w:r>
      <w:r>
        <w:fldChar w:fldCharType="end"/>
      </w:r>
      <w:r>
        <w:rPr/>
        <w:t xml:space="preserve">, sollte man aber besser hier wie dort die Wortgruppe als Hebraismus mit der Bedeutung „als/in der Gemeinschaft“ deuten (s. </w:t>
      </w:r>
      <w:r>
        <w:fldChar w:fldCharType="begin"/>
      </w:r>
      <w:r>
        <w:instrText> HYPERLINK "http://offene-bibel.de/wiki/Apostelgeschichte_2" \l "note_bm"</w:instrText>
      </w:r>
      <w:r>
        <w:fldChar w:fldCharType="separate"/>
      </w:r>
      <w:r>
        <w:rPr>
          <w:rStyle w:val="Internetverknpfung"/>
        </w:rPr>
        <w:t>FN bm</w:t>
      </w:r>
      <w:r>
        <w:fldChar w:fldCharType="end"/>
      </w:r>
      <w:r>
        <w:rPr/>
        <w:t>): „Zur Gemeinschaft gehörten damals ungefähr 120 Personen“.</w:t>
      </w:r>
    </w:p>
  </w:footnote>
  <w:footnote w:id="5246">
    <w:p>
      <w:pPr>
        <w:pStyle w:val="Funote"/>
        <w:rPr/>
      </w:pPr>
      <w:r>
        <w:rPr/>
        <w:footnoteRef/>
        <w:tab/>
        <w:t xml:space="preserve">Anrede, vgl. </w:t>
      </w:r>
      <w:r>
        <w:rPr>
          <w:lang w:val="el-GR"/>
        </w:rPr>
        <w:t>ἄνδρες Ἀθηναίοι</w:t>
      </w:r>
      <w:r>
        <w:rPr/>
        <w:t xml:space="preserve"> in der Apologie des Sokrates.</w:t>
      </w:r>
    </w:p>
  </w:footnote>
  <w:footnote w:id="5247">
    <w:p>
      <w:pPr>
        <w:pStyle w:val="Funote"/>
        <w:rPr/>
      </w:pPr>
      <w:r>
        <w:rPr>
          <w:lang w:val="el-GR"/>
        </w:rPr>
        <w:footnoteRef/>
        <w:tab/>
        <w:t>μὲν οὖν</w:t>
      </w:r>
      <w:r>
        <w:rPr/>
        <w:t>, vgl. Anm. zu Vers 6.</w:t>
      </w:r>
    </w:p>
  </w:footnote>
  <w:footnote w:id="5248">
    <w:p>
      <w:pPr>
        <w:pStyle w:val="Funote"/>
        <w:rPr/>
      </w:pPr>
      <w:hyperlink r:id="rId536">
        <w:r>
          <w:rPr>
            <w:rStyle w:val="Internetverknpfung"/>
          </w:rPr>
          <w:footnoteRef/>
          <w:tab/>
          <w:t>Ptz. coni.</w:t>
        </w:r>
      </w:hyperlink>
      <w:r>
        <w:rPr/>
        <w:t>, gleichzeitig aufgefasst.</w:t>
      </w:r>
    </w:p>
  </w:footnote>
  <w:footnote w:id="5249">
    <w:p>
      <w:pPr>
        <w:pStyle w:val="Funote"/>
        <w:rPr/>
      </w:pPr>
      <w:r>
        <w:rPr/>
        <w:footnoteRef/>
        <w:tab/>
        <w:t>JHWH</w:t>
      </w:r>
    </w:p>
  </w:footnote>
  <w:footnote w:id="5250">
    <w:p>
      <w:pPr>
        <w:pStyle w:val="Funote"/>
        <w:rPr/>
      </w:pPr>
      <w:r>
        <w:rPr/>
        <w:footnoteRef/>
        <w:tab/>
        <w:t>[Für Belegstellen s. Capper 1995, S. 3 FN 6]</w:t>
      </w:r>
    </w:p>
  </w:footnote>
  <w:footnote w:id="5251">
    <w:p>
      <w:pPr>
        <w:pStyle w:val="Funote"/>
        <w:rPr/>
      </w:pPr>
      <w:r>
        <w:rPr/>
        <w:footnoteRef/>
        <w:tab/>
        <w:t>[So richtig z.B. Capper 1995, S. 5.]</w:t>
      </w:r>
    </w:p>
  </w:footnote>
  <w:footnote w:id="5252">
    <w:p>
      <w:pPr>
        <w:pStyle w:val="Funote"/>
        <w:rPr/>
      </w:pPr>
      <w:r>
        <w:rPr/>
        <w:footnoteRef/>
        <w:tab/>
        <w:t>[Üss. nach Maier 1995.]</w:t>
      </w:r>
    </w:p>
  </w:footnote>
  <w:footnote w:id="5253">
    <w:p>
      <w:pPr>
        <w:pStyle w:val="Funote"/>
        <w:rPr/>
      </w:pPr>
      <w:r>
        <w:rPr/>
        <w:footnoteRef/>
        <w:tab/>
        <w:t>[Zu diesem Abschnitt vgl. übrigens 1QS VI 24f.]</w:t>
      </w:r>
    </w:p>
  </w:footnote>
  <w:footnote w:id="5254">
    <w:p>
      <w:pPr>
        <w:pStyle w:val="Funote"/>
        <w:rPr/>
      </w:pPr>
      <w:r>
        <w:rPr/>
        <w:footnoteRef/>
        <w:tab/>
        <w:t>[Status: Zuverlässig]</w:t>
      </w:r>
    </w:p>
  </w:footnote>
  <w:footnote w:id="5255">
    <w:p>
      <w:pPr>
        <w:pStyle w:val="Funote"/>
        <w:rPr/>
      </w:pPr>
      <w:r>
        <w:rPr/>
        <w:footnoteRef/>
        <w:tab/>
        <w:t>Tag des Wochenfests - Nicht: „Tag des Pfingstfests“ (so die meisten Üss.); das Gr. pentekoste ist der griechische Begriff für das jüdische „Wochenfest“ (s. z.B. Tob 2,1), einer Art Erntedank zum Abschluss der Weizenernte, das 50 Tage nach Pesach stattfand (s. z.B. Ex 34,22; Num 28,26). Richtig daher OEB: „the Festival at the close of the Harvest“.</w:t>
      </w:r>
    </w:p>
  </w:footnote>
  <w:footnote w:id="5256">
    <w:p>
      <w:pPr>
        <w:pStyle w:val="Funote"/>
        <w:rPr/>
      </w:pPr>
      <w:r>
        <w:rPr/>
        <w:footnoteRef/>
        <w:tab/>
        <w:t xml:space="preserve">sich erfüllte (zu Ende ging) - Wörtlich: „beim Erfüllt-Werden des Tags“. Das scheint zunächst zu meinen, dass der Tag bereits „zu Ende ging“; da es aber noch früh am Tage ist (s. V. 15), ist wahrscheinlich eher „erfüllen“ in dem Sinn gemeint, dass mit dem Beginn des besagten Tages ein weiterer Abschnitt aus Gottes Heilsplan vorsehungsgemäß anbricht: Mit besagten Tag „erfüllt“ sich auch Gottes Plan, der bereits in Joel 3,1-5 angedeutet und in Lk 3,16 und Apg 1,5.8 explizit angekündigt wurde (vgl. Fitzmyer 1998, S. 237; Schreiber 2002, S. 75f.; ThWNT, s.v. </w:t>
      </w:r>
      <w:r>
        <w:rPr>
          <w:lang w:val="el-GR"/>
        </w:rPr>
        <w:t>συμπληρόω</w:t>
      </w:r>
      <w:r>
        <w:rPr/>
        <w:t>).</w:t>
      </w:r>
    </w:p>
  </w:footnote>
  <w:footnote w:id="5257">
    <w:p>
      <w:pPr>
        <w:pStyle w:val="Funote"/>
        <w:rPr/>
      </w:pPr>
      <w:r>
        <w:rPr>
          <w:i/>
        </w:rPr>
        <w:footnoteRef/>
        <w:tab/>
        <w:t>alle zusammen [als] Gemeinschaft (?, beisammen)</w:t>
      </w:r>
      <w:r>
        <w:rPr/>
        <w:t xml:space="preserve"> - W. „waren sie alle zusammen beisammen“, ein offensichtlich redundanter Ausdruck. Daher und wegen der Verwendung der Wortgruppe </w:t>
      </w:r>
      <w:r>
        <w:rPr>
          <w:i/>
        </w:rPr>
        <w:t>epi to auto</w:t>
      </w:r>
      <w:r>
        <w:rPr/>
        <w:t xml:space="preserve"> („beisammen“, ein aus mehreren Worten bestehendes Adverb) in Vv. 44.47 (s. </w:t>
      </w:r>
      <w:r>
        <w:fldChar w:fldCharType="begin"/>
      </w:r>
      <w:r>
        <w:instrText> HYPERLINK "http://offene-bibel.de/wiki/Apostelgeschichte_2" \l "note_bm"</w:instrText>
      </w:r>
      <w:r>
        <w:fldChar w:fldCharType="separate"/>
      </w:r>
      <w:r>
        <w:rPr>
          <w:rStyle w:val="Internetverknpfung"/>
        </w:rPr>
        <w:t>FN bm</w:t>
      </w:r>
      <w:r>
        <w:fldChar w:fldCharType="end"/>
      </w:r>
      <w:r>
        <w:rPr/>
        <w:t>) besser wie dort zu deuten als Hebraismus mit der Bedeutung „als Gemeinschaft; gemeinschaftlich“ (s. dort).</w:t>
        <w:br/>
        <w:t xml:space="preserve">Zusammen mit dem „alle“, von dem auf den ersten Blick nicht klar ist, auf wen es zu beziehen ist, muss man daher am ehesten so auflösen: „Alle“ bezieht sich auf die 120 Jünger aus </w:t>
      </w:r>
      <w:r>
        <w:fldChar w:fldCharType="begin"/>
      </w:r>
      <w:r>
        <w:instrText> HYPERLINK "file:///wiki/Apostelgeschichte_1" \l "s15"</w:instrText>
      </w:r>
      <w:r>
        <w:fldChar w:fldCharType="separate"/>
      </w:r>
      <w:r>
        <w:rPr>
          <w:rStyle w:val="Internetverknpfung"/>
        </w:rPr>
        <w:t>Apg 1,15</w:t>
      </w:r>
      <w:r>
        <w:fldChar w:fldCharType="end"/>
      </w:r>
      <w:r>
        <w:rPr/>
        <w:t xml:space="preserve">, die sich in der Zwischenzeit getrennt hatten, nun aber </w:t>
      </w:r>
      <w:r>
        <w:rPr>
          <w:i/>
        </w:rPr>
        <w:t>alle</w:t>
      </w:r>
      <w:r>
        <w:rPr/>
        <w:t xml:space="preserve"> wieder „als Gemeinschaft“ </w:t>
      </w:r>
      <w:r>
        <w:rPr>
          <w:i/>
        </w:rPr>
        <w:t>zusammen</w:t>
      </w:r>
      <w:r>
        <w:rPr/>
        <w:t>gekommen sind.</w:t>
      </w:r>
    </w:p>
  </w:footnote>
  <w:footnote w:id="5258">
    <w:p>
      <w:pPr>
        <w:pStyle w:val="Funote"/>
        <w:rPr/>
      </w:pPr>
      <w:r>
        <w:rPr/>
        <w:footnoteRef/>
        <w:tab/>
        <w:t>tFN: in dem sie [gerade] saßen (V. 2) + Es hielten sich [gerade] auf (V. 5) - W. „wo sie sitzend waren“ bzw. „Es waren wohnend“; periphrastisches Imperfekt, das man besser mit „gerade“ wiedergeben sollte.</w:t>
      </w:r>
    </w:p>
  </w:footnote>
  <w:footnote w:id="5259">
    <w:p>
      <w:pPr>
        <w:pStyle w:val="Funote"/>
        <w:rPr/>
      </w:pPr>
      <w:r>
        <w:rPr/>
        <w:footnoteRef/>
        <w:tab/>
        <w:t>tFN: mit heiligem Geist - „heiliger Geist“ hier unerklärlicherweise ohne Artikel.</w:t>
      </w:r>
    </w:p>
  </w:footnote>
  <w:footnote w:id="5260">
    <w:p>
      <w:pPr>
        <w:pStyle w:val="Funote"/>
        <w:rPr/>
      </w:pPr>
      <w:r>
        <w:rPr/>
        <w:footnoteRef/>
        <w:tab/>
        <w:t>prophezeien (äußern) (V. 4) + prophezeite (äußerte) (V. 14) - apofthengomai kann zwar auch allgemein „äußern“ bedeuten, steht in der LXX aber meist speziell für das Weissagen (s. 1 Chr 25,1 LXX; Ez 13,9.19 LXX; Mi 5,11 LXX; Sach 10,2 LXX), wie das ja auch hier klar der Fall ist (da der Geist ihnen das Gesagte „eingibt“ und da „von Heiligem Geist erfüllt“ zu werden bei Lk (und noch häufiger; vgl Bruce 1988, S. 51f.) i.d.R. für die Befähigung zur Prophetie steht, s. Lk 1,41.67; Apg 4,8.31; 13,9f.).</w:t>
      </w:r>
    </w:p>
  </w:footnote>
  <w:footnote w:id="5261">
    <w:p>
      <w:pPr>
        <w:pStyle w:val="Funote"/>
        <w:rPr/>
      </w:pPr>
      <w:r>
        <w:rPr/>
        <w:footnoteRef/>
        <w:tab/>
        <w:t>hielten sich [gerade] auf (wohnten) - Das Wochenfest war eines der drei großen Wallfahrtsfeste im Jahr, zu dem Juden aus der ganzen Welt in Jerusalem erscheinen sollten (s. Ex 23,16f.). Entweder ist hier also die Rede von diesen ausländischen Juden, die anlässlich des Wallfahrtsfestes nach Jerusalem gereist waren (so z.B. Bruce 1988, S. 53f., z.B. auch HfA: „Zum Fest waren viele fromme Juden aus aller Welt nach Jerusalem gekommen“) oder von Diasporajuden, die schon früher wieder nach Jerusalem gezogen waren und nun dauerhaft dort lebten (so z.B. Witherington 1998, S. 135; z.B. auch GN: „Nun lebten in Jerusalem fromme Juden aus aller Welt, die sich hier niedergelassen hatten“). Die Tatsache, dass gerade am Wallfahrtsfest von diesen Multikulti-Verhältnissen in Jerusalem die Rede ist, legt eher ersteres nahe, obwohl das Verb (katoikeo, „wohnen“) für sich genommen eher letzteres anzudeuten scheint.</w:t>
      </w:r>
    </w:p>
  </w:footnote>
  <w:footnote w:id="5262">
    <w:p>
      <w:pPr>
        <w:pStyle w:val="Funote"/>
        <w:rPr/>
      </w:pPr>
      <w:r>
        <w:rPr>
          <w:i/>
        </w:rPr>
        <w:footnoteRef/>
        <w:tab/>
        <w:t>fromme</w:t>
      </w:r>
      <w:r>
        <w:rPr/>
        <w:t xml:space="preserve"> - W. „haltende“, nämlich „[Fasten] haltende“ Männer.</w:t>
      </w:r>
    </w:p>
  </w:footnote>
  <w:footnote w:id="5263">
    <w:p>
      <w:pPr>
        <w:pStyle w:val="Funote"/>
        <w:rPr/>
      </w:pPr>
      <w:r>
        <w:rPr>
          <w:i/>
        </w:rPr>
        <w:footnoteRef/>
        <w:tab/>
        <w:t>Getön</w:t>
      </w:r>
      <w:r>
        <w:rPr/>
        <w:t xml:space="preserve"> - Könnte sich sowohl auf das Geräusch des Geistes als auch auf den Lärm der durcheinanderprophezeienden Jünger beziehen.</w:t>
      </w:r>
    </w:p>
  </w:footnote>
  <w:footnote w:id="5264">
    <w:p>
      <w:pPr>
        <w:pStyle w:val="Funote"/>
        <w:rPr/>
      </w:pPr>
      <w:r>
        <w:rPr/>
        <w:footnoteRef/>
        <w:tab/>
        <w:t>Textkritik: Viele Handschriften haben zusätzlich ein pantes, „alle“ („Alle waren fassungslos“), einige aber nicht. TCGNT, S. 252 hält das für sekundär; genauer für eine durch V. 12 beeinflusste Steigerung der Intensität der Erzählung, die auch viele Schreiber unabhängig voneinander eingefügt hätten haben können (ähnlich schon Ropes 1926, S. 13). Wir folgen dem; theoretisch könnte man dies aber auch für eine Streichung aus stilistischen Gründen halten, um nicht in Vv. 5.7 dreimal „alle“ schreiben zu müssen.</w:t>
      </w:r>
    </w:p>
  </w:footnote>
  <w:footnote w:id="5265">
    <w:p>
      <w:pPr>
        <w:pStyle w:val="Funote"/>
        <w:rPr/>
      </w:pPr>
      <w:r>
        <w:rPr/>
        <w:footnoteRef/>
        <w:tab/>
        <w:t xml:space="preserve">Mit </w:t>
      </w:r>
      <w:r>
        <w:rPr>
          <w:i/>
        </w:rPr>
        <w:t>Parther</w:t>
      </w:r>
      <w:r>
        <w:rPr/>
        <w:t xml:space="preserve"> beginnt eine Auflistung einer Vielzahl von Regionen, die anfangs scheinbar ungefähr von Ost nach West sortiert sind, dann aber immer mehr zum Durcheinander zerfasert. Von fast allen Orten weiß man heute, dass dort in der Tat Juden lebten. Mehr soll diese Liste wahrscheinlich nicht betonen: Es sind viele Juden da, es sind diese Juden aus den unterschiedlichsten Ländern und auf diese Weise wird mit der Missionierung dieser Menschenmassen der Grundstock zur Ausbreitung des Christentums unter den Juden aller Welt gelegt.</w:t>
      </w:r>
    </w:p>
  </w:footnote>
  <w:footnote w:id="5266">
    <w:p>
      <w:pPr>
        <w:pStyle w:val="Funote"/>
        <w:rPr/>
      </w:pPr>
      <w:r>
        <w:rPr/>
        <w:footnoteRef/>
        <w:tab/>
        <w:t>vom Judäischen - d.h. »von Judäa«, das hier aber unerklärlicherweise keinen Artikel hat. Textkritik: Auch darüber hinaus ist das Wort schwierig, weil Judäer schwerlich ihre Anwesenheit in Jerusalem betonen müssten und auch nicht erstaunt sein sollten, Galiläer in ihrer Sprache reden zu hören. Außerdem ist die Platzierung von »Judäa« zwischen Mesopotamien und Kappadozien merkwürdig. All dies hat zu mehreren Vorschlägen zur Korrektur des Textes geführt, aber da sich das Wort in sämtlichen griechischen Handschriften findet, muss man es doch mit Ropes 1926, S. 14; TCGNT, S. 253f. u.a. für ursprünglich halten.</w:t>
      </w:r>
    </w:p>
  </w:footnote>
  <w:footnote w:id="5267">
    <w:p>
      <w:pPr>
        <w:pStyle w:val="Funote"/>
        <w:rPr/>
      </w:pPr>
      <w:r>
        <w:rPr/>
        <w:footnoteRef/>
        <w:tab/>
        <w:t>Juden und auch Proselyten - könnte sich sowohl nur auf »Römer« beziehen (also »die sich hier aufhaltenden Juden und Proselyten aus Rom«) oder auf die gesamte vorangehende Liste von Regionen (also »jüdische und proselytische Parther, Meder, ...«). Naheliegender wäre Letzteres (so z.B. auch Fitzmyer 1998, S. 243). »Proselyten« sind zur Zeit des Lk Konvertiten zum Judentum (vgl. z.B. Proselyten (AT) (Wibilex)), gemeint sind also »sowohl gebürtige als auch konvertierte Juden«, was im frühen Judentum noch eine wesentlich wichtigere und umstrittenere Unterscheidung war als z.B. für heutige Christen (selbst die Modalitäten der Konversion waren noch über Jahrhunderte nach der Abfassung des NT in der Diskussion).</w:t>
      </w:r>
    </w:p>
  </w:footnote>
  <w:footnote w:id="5268">
    <w:p>
      <w:pPr>
        <w:pStyle w:val="Funote"/>
        <w:rPr/>
      </w:pPr>
      <w:r>
        <w:rPr>
          <w:i/>
        </w:rPr>
        <w:footnoteRef/>
        <w:tab/>
        <w:t>rühmen</w:t>
      </w:r>
      <w:r>
        <w:rPr/>
        <w:t xml:space="preserve"> - W. „reden“.</w:t>
      </w:r>
    </w:p>
  </w:footnote>
  <w:footnote w:id="5269">
    <w:p>
      <w:pPr>
        <w:pStyle w:val="Funote"/>
        <w:rPr/>
      </w:pPr>
      <w:r>
        <w:rPr>
          <w:i/>
        </w:rPr>
        <w:footnoteRef/>
        <w:tab/>
        <w:t>Was mag dies sein?</w:t>
      </w:r>
      <w:r>
        <w:rPr/>
        <w:t xml:space="preserve"> - Häufigerer Ausdruck der Ratlosigkeit, s. z.B. </w:t>
      </w:r>
      <w:r>
        <w:fldChar w:fldCharType="begin"/>
      </w:r>
      <w:r>
        <w:instrText> HYPERLINK "file:///wiki/Apostelgeschichte_17" \l "s20"</w:instrText>
      </w:r>
      <w:r>
        <w:fldChar w:fldCharType="separate"/>
      </w:r>
      <w:r>
        <w:rPr>
          <w:rStyle w:val="Internetverknpfung"/>
        </w:rPr>
        <w:t>Apg 17,20</w:t>
      </w:r>
      <w:r>
        <w:fldChar w:fldCharType="end"/>
      </w:r>
      <w:r>
        <w:rPr/>
        <w:t xml:space="preserve">; ähnlich </w:t>
      </w:r>
      <w:r>
        <w:fldChar w:fldCharType="begin"/>
      </w:r>
      <w:r>
        <w:instrText> HYPERLINK "file:///wiki/Lukas_15" \l "s26"</w:instrText>
      </w:r>
      <w:r>
        <w:fldChar w:fldCharType="separate"/>
      </w:r>
      <w:r>
        <w:rPr>
          <w:rStyle w:val="Internetverknpfung"/>
        </w:rPr>
        <w:t>Lk 15,26</w:t>
      </w:r>
      <w:r>
        <w:fldChar w:fldCharType="end"/>
      </w:r>
      <w:r>
        <w:rPr/>
        <w:t xml:space="preserve">; </w:t>
      </w:r>
      <w:r>
        <w:fldChar w:fldCharType="begin"/>
      </w:r>
      <w:r>
        <w:instrText> HYPERLINK "file:///wiki/Lukas_18" \l "s36"</w:instrText>
      </w:r>
      <w:r>
        <w:fldChar w:fldCharType="separate"/>
      </w:r>
      <w:r>
        <w:rPr>
          <w:rStyle w:val="Internetverknpfung"/>
        </w:rPr>
        <w:t>18,36</w:t>
      </w:r>
      <w:r>
        <w:fldChar w:fldCharType="end"/>
      </w:r>
      <w:r>
        <w:rPr/>
        <w:t xml:space="preserve">; </w:t>
      </w:r>
      <w:hyperlink r:id="rId537">
        <w:r>
          <w:rPr>
            <w:rStyle w:val="Internetverknpfung"/>
          </w:rPr>
          <w:t>Apg 10,17</w:t>
        </w:r>
      </w:hyperlink>
      <w:r>
        <w:rPr/>
        <w:t>. Viele Üss. daher richtig: „Was soll das bedeuten!?“</w:t>
      </w:r>
    </w:p>
  </w:footnote>
  <w:footnote w:id="5270">
    <w:p>
      <w:pPr>
        <w:pStyle w:val="Funote"/>
        <w:rPr/>
      </w:pPr>
      <w:r>
        <w:rPr/>
        <w:footnoteRef/>
        <w:tab/>
        <w:t>Traubensaft (Wein?) - Das gr. Wort gleukos steht eigentlich nicht für Wein, sondern für ungegorenen Traubensaft (vgl. z.B. Bacchiocchi 2001, S. 153; Bumstead 1881, S. 81; Patton 1874, S. 93-95). In der Antike pflegte man, solchen Traubensaft des Morgens zu trinken (s. z.B. Horaz, Sat iv 2) und konnte ihn auch bereits so konservieren, dass er selbst am Wochenfest noch nicht fermentiert war (s. z.B. Cato, De Agricultura 120). An der einzigen anderen Stelle, an der sich das Wort in LXX+NT findet (Ijob 32,19) wird es allerdings erweitert durch zeon (»gärend«), steht also dort als »gärender Traubensaft« doch für »Wein«. Geleitet von dieser Stelle könnte man also auch hier von der unüblichen Bedeutung »Wein« ausgehen; da es hier aber gerade nicht durch zeon o.Ä. erweitert ist und man auch das »Traubensaft« sinnvoll verstehen kann (s. die Anmerkungen), übersetzen wir nach der üblichen Bed. des gr. Wortes.</w:t>
      </w:r>
    </w:p>
  </w:footnote>
  <w:footnote w:id="5271">
    <w:p>
      <w:pPr>
        <w:pStyle w:val="Funote"/>
        <w:rPr/>
      </w:pPr>
      <w:r>
        <w:rPr/>
        <w:footnoteRef/>
        <w:tab/>
        <w:t>stellte sich hin, erhob seine Stimme - d.h., bereitete sich darauf vor, eine Rede im Stil und in der Pose eines klassischen Redners zu halten. Auch für andere Reden in Apg stellt man sich derart öffentlich „hin“ (s. Apg 5,20; 17,22; 21,40; 27,21); auch das „Erheben der Stimme“ soll das Folgende als deutlich und laut geäußerte Rede kennzeichnen (s. ähnlich Lk 11,27; Apg 14,11; 22,22), ebenso die Einleitung der Rede mit direkter Ansprache der Hörer und dem förmlichen „Es sei bekannt“ (s. ähnlich Apg 4,10; 13,38; 28,28). Sinnvoll daher: „[Da] trat Petrus zusammen mit den elf anderen Aposteln vor die Menge (NGÜ) und redete laut und feierlich (Zink): Juden! Bürger von Jerusalem! (Zink) Hört mich an! (GN)“</w:t>
      </w:r>
    </w:p>
  </w:footnote>
  <w:footnote w:id="5272">
    <w:p>
      <w:pPr>
        <w:pStyle w:val="Funote"/>
        <w:rPr/>
      </w:pPr>
      <w:r>
        <w:rPr/>
        <w:footnoteRef/>
        <w:tab/>
        <w:t>tFN: W. »[liebe] judäische/jüdische Männer« (V. 14) bzw. »[liebe] israelitische Männer« (V. 22); bzw. »[liebe] brüderliche Männer« (V. 29.37); »Männer« wird hier wie im klass. Gr. nur als Einleitung eines Vokativs verwendet und ist im Dt. auszusparen (vgl. BDR §242).</w:t>
      </w:r>
    </w:p>
  </w:footnote>
  <w:footnote w:id="5273">
    <w:p>
      <w:pPr>
        <w:pStyle w:val="Funote"/>
        <w:rPr/>
      </w:pPr>
      <w:r>
        <w:rPr>
          <w:i/>
        </w:rPr>
        <w:footnoteRef/>
        <w:tab/>
        <w:t>ihr euch Aufhaltenden (all ihr Wohenden)</w:t>
      </w:r>
      <w:r>
        <w:rPr/>
        <w:t xml:space="preserve"> - Gemeint sind wahrscheinlich wieder wie in V. 5 die ausländischen Juden, die zum Wochenfest nach Jerusalem gekommen waren; s. </w:t>
      </w:r>
      <w:r>
        <w:fldChar w:fldCharType="begin"/>
      </w:r>
      <w:r>
        <w:instrText> HYPERLINK "http://offene-bibel.de/mediawiki/index.php?title=Apostelgeschichte_2" \l "note_g"</w:instrText>
      </w:r>
      <w:r>
        <w:fldChar w:fldCharType="separate"/>
      </w:r>
      <w:r>
        <w:rPr>
          <w:rStyle w:val="Internetverknpfung"/>
        </w:rPr>
        <w:t>FN g</w:t>
      </w:r>
      <w:r>
        <w:fldChar w:fldCharType="end"/>
      </w:r>
      <w:r>
        <w:rPr/>
        <w:t>.</w:t>
      </w:r>
    </w:p>
  </w:footnote>
  <w:footnote w:id="5274">
    <w:p>
      <w:pPr>
        <w:pStyle w:val="Funote"/>
        <w:rPr/>
      </w:pPr>
      <w:r>
        <w:rPr/>
        <w:footnoteRef/>
        <w:tab/>
        <w:t>die dritte Stunde des Tages, also 9:00 Uhr. Gelegentlich wurde vorgeschlagen, dass diese Verteidigung Petri scherzhaft gemeint sei (z.B. von Bruce 1988, S. 60; Dormeyer/Galindo 2003, S. 50). In diesem Fall müsste man stilistisch treffender paraphrasieren à la »Leider hatten wir noch gar keine Gelegenheit, uns zu betrinken; es ist ja erst früher Morgen!« Und in der Tat: Ist die »Verteidigung« ernst gemeint, ist sie nicht sehr schlagkräftig; denn davon, dass Trunkenbolde selbstverständlich auch um 9:00 Uhr betrunken sein können, spricht z.B. schon Cicero (s. Phil. 2,41,104). Gegen die Deutung als Scherz spricht auch nicht, dass Petri Ansprache im Stil einer antiken Rede dargeboten wird; selbst in antiken Gerichtssäälen war Humor in öffentlichen Reden ein beliebtes Stilmittel. Wenn das richtig ist, ist das durchaus etwas, worüber es sich zu meditieren lohnt: Dann ist die erste Äußerung, die vom »Apostelfürsten« Petrus unter dem Einfluss des Heiligen Geistes getan und sogar als Prophetie ausgezeichnet wird – ein Scherz.</w:t>
      </w:r>
    </w:p>
  </w:footnote>
  <w:footnote w:id="5275">
    <w:p>
      <w:pPr>
        <w:pStyle w:val="Funote"/>
        <w:rPr/>
      </w:pPr>
      <w:r>
        <w:rPr/>
        <w:footnoteRef/>
        <w:tab/>
        <w:t>Dies ist - es folgt eine sog. »Pesher-Auslegung«: Eine alte Prophezeiung wird ausgelegt, indem sie auf aktuelle Geschehnisse bezogen wird. »Dies«, also das, was die Menge in V. 12 aus der Fassung gebracht hatte und über dessen Bedeutung sie nachdenken, ist »jenes, was vom Propheten Joel vorhergesagt wurde«: »Was hier geschieht, ist nichts anderes als die Erfüllung dessen, was Gott durch den Propheten Joel angekündigt hat« (NGÜ).</w:t>
      </w:r>
    </w:p>
  </w:footnote>
  <w:footnote w:id="5276">
    <w:p>
      <w:pPr>
        <w:pStyle w:val="Funote"/>
        <w:rPr/>
      </w:pPr>
      <w:r>
        <w:rPr/>
        <w:footnoteRef/>
        <w:tab/>
        <w:t>durch den Propheten Joel Vorhergesagtes - nämlich von Gott, ein sog. »Passivum divinum«. Gut daher NGÜ: »was Gott durch den Propheten Joel angekündigt hat«.</w:t>
      </w:r>
    </w:p>
  </w:footnote>
  <w:footnote w:id="5277">
    <w:p>
      <w:pPr>
        <w:pStyle w:val="Funote"/>
        <w:rPr/>
      </w:pPr>
      <w:r>
        <w:rPr/>
        <w:footnoteRef/>
        <w:tab/>
        <w:t>und es wird sein in den Letzten Tagen: Ich werde... - Übersetze: »In den letzten Tagen werde ich...«. tFN: Denn: Semitismus: »Und es wird sein« entspricht dem Heb. wehajah (»Und es wird sein«), mit dem häufig Prophezeiungen u.Ä. eingeleitet werden, das nur das Folgende als Aussage über Zukünftiges markieren soll und das daher im Dt. fast immer besser auszusparen ist.</w:t>
      </w:r>
    </w:p>
  </w:footnote>
  <w:footnote w:id="5278">
    <w:p>
      <w:pPr>
        <w:pStyle w:val="Funote"/>
        <w:rPr/>
      </w:pPr>
      <w:r>
        <w:rPr>
          <w:i/>
        </w:rPr>
        <w:footnoteRef/>
        <w:tab/>
        <w:t>in den Letzten Tagen</w:t>
      </w:r>
      <w:r>
        <w:rPr/>
        <w:t xml:space="preserve"> (V. 17) + </w:t>
      </w:r>
      <w:r>
        <w:rPr>
          <w:i/>
        </w:rPr>
        <w:t>Tag des Herrn</w:t>
      </w:r>
      <w:r>
        <w:rPr/>
        <w:t xml:space="preserve"> (V. 20) - Zwei häufige Motive aus den Prophetenbüchern. Hinter ihnen steht die Erwartung, dass Gott dereinst am sog. „Tag JHWHs“ Gericht über die Menschheit halten und die Herrschaft auf Erden völlig an sich reißen wird (vgl. z.B. </w:t>
      </w:r>
      <w:r>
        <w:fldChar w:fldCharType="begin"/>
      </w:r>
      <w:r>
        <w:instrText> HYPERLINK "https://www.bibelwissenschaft.de/de/stichwort/32258/" \l "h8"</w:instrText>
      </w:r>
      <w:r>
        <w:fldChar w:fldCharType="separate"/>
      </w:r>
      <w:r>
        <w:rPr>
          <w:rStyle w:val="Internetverknpfung"/>
        </w:rPr>
        <w:t>Tag Jahwes (AT) (WibiLex)</w:t>
      </w:r>
      <w:r>
        <w:fldChar w:fldCharType="end"/>
      </w:r>
      <w:r>
        <w:rPr/>
        <w:t xml:space="preserve">). Diesem besagten Tag gehen die „Letzten Tage“ voraus: eine Zeit des Leids, in der sich u.a. auch kosmische Katastrophen abspielen werden (s. z.B. </w:t>
      </w:r>
      <w:r>
        <w:fldChar w:fldCharType="begin"/>
      </w:r>
      <w:r>
        <w:instrText> HYPERLINK "file:///wiki/Markus_13" \l "s24"</w:instrText>
      </w:r>
      <w:r>
        <w:fldChar w:fldCharType="separate"/>
      </w:r>
      <w:r>
        <w:rPr>
          <w:rStyle w:val="Internetverknpfung"/>
        </w:rPr>
        <w:t>Mk 13,24f.</w:t>
      </w:r>
      <w:r>
        <w:fldChar w:fldCharType="end"/>
      </w:r>
      <w:r>
        <w:rPr/>
        <w:t>: Sonne und Mond werden sich verfinstern, die Sterne werden vom Himmel fallen und die Kräfte im Himmel erschüttert werden).</w:t>
      </w:r>
    </w:p>
  </w:footnote>
  <w:footnote w:id="5279">
    <w:p>
      <w:pPr>
        <w:pStyle w:val="Funote"/>
        <w:rPr/>
      </w:pPr>
      <w:r>
        <w:rPr/>
        <w:footnoteRef/>
        <w:tab/>
        <w:t>sagt Gott - Ins Dt. besser zu übersetzen, indem man es an den Anfang des Zitats verschiebt; gut z.B. BB: »Gott spricht: Das wird in den letzten Tagen geschehen:...« Denn: Semitismus: Ein solches eingeschobenes »sagt Gott« (aus dem Heb. wörtlicher: »Spruch JHWHs«) findet sich oft in den Prophetenbüchern und soll einer Prophezeiung zusätzliche Autorität verleihen, indem es sie noch einmal zurückbindet an Gott, ihren Auftraggeber (vgl. FN am zu Ob 8).</w:t>
      </w:r>
    </w:p>
  </w:footnote>
  <w:footnote w:id="5280">
    <w:p>
      <w:pPr>
        <w:pStyle w:val="Funote"/>
        <w:rPr/>
      </w:pPr>
      <w:r>
        <w:rPr>
          <w:i/>
        </w:rPr>
        <w:footnoteRef/>
        <w:tab/>
        <w:t>alles Fleisch</w:t>
      </w:r>
      <w:r>
        <w:rPr/>
        <w:t xml:space="preserve"> - d.h. „auf jedermann“.</w:t>
      </w:r>
    </w:p>
  </w:footnote>
  <w:footnote w:id="5281">
    <w:p>
      <w:pPr>
        <w:pStyle w:val="Funote"/>
        <w:rPr/>
      </w:pPr>
      <w:r>
        <w:rPr/>
        <w:footnoteRef/>
        <w:tab/>
        <w:t>meine Sklaven und Sklavinnen - Etwas merkwürdige Stelle. Das gr. kai ge (»und auch/sogar«) zeigt deutlich an, dass diese Zeile als Steigerung der vorigen Zeilen zu verstehen ist und also offenbar von einer anderen Personengruppe als »euren Söhnen, Töchtern, Jungen und Alten« die Rede ist (so richtig NSS). Im ursprünglichen Joeltext ist nicht von »meinen Sklaven und Sklavinnen« die Rede, sondern nur von »Sklaven und Sklavinnen«, hier wird also nur der Merismus weitergeführt: ([{Söhne und Töchter} + {Junge und Alte} = Freie Menschen] + [Versklavte Menschen] = Alle Menschen). Warum der Autor der Apg dagegen von »Gottes Sklaven und Sklavinnen« spricht und wer diese sein sollen, ist ganz unsicher.</w:t>
      </w:r>
    </w:p>
  </w:footnote>
  <w:footnote w:id="5282">
    <w:p>
      <w:pPr>
        <w:pStyle w:val="Funote"/>
        <w:rPr/>
      </w:pPr>
      <w:r>
        <w:rPr>
          <w:i/>
        </w:rPr>
        <w:footnoteRef/>
        <w:tab/>
        <w:t>darbieten</w:t>
      </w:r>
      <w:r>
        <w:rPr/>
        <w:t xml:space="preserve"> - W. „geben“; Semitismus: Soll betont werden, dass Wunder </w:t>
      </w:r>
      <w:r>
        <w:rPr>
          <w:i/>
        </w:rPr>
        <w:t>als Zeichen</w:t>
      </w:r>
      <w:r>
        <w:rPr/>
        <w:t xml:space="preserve"> und dass Zeichen „dargeboten“ werden sollen, spricht man im Heb. davon, dass sie „gegeben“ werden (s. z.B. </w:t>
      </w:r>
      <w:r>
        <w:fldChar w:fldCharType="begin"/>
      </w:r>
      <w:r>
        <w:instrText> HYPERLINK "file:///wiki/Exodus_7" \l "s9"</w:instrText>
      </w:r>
      <w:r>
        <w:fldChar w:fldCharType="separate"/>
      </w:r>
      <w:r>
        <w:rPr>
          <w:rStyle w:val="Internetverknpfung"/>
        </w:rPr>
        <w:t>Ex 7,9</w:t>
      </w:r>
      <w:r>
        <w:fldChar w:fldCharType="end"/>
      </w:r>
      <w:r>
        <w:rPr/>
        <w:t xml:space="preserve">; </w:t>
      </w:r>
      <w:r>
        <w:fldChar w:fldCharType="begin"/>
      </w:r>
      <w:r>
        <w:instrText> HYPERLINK "file:///wiki/Deuteronomium_6" \l "s22"</w:instrText>
      </w:r>
      <w:r>
        <w:fldChar w:fldCharType="separate"/>
      </w:r>
      <w:r>
        <w:rPr>
          <w:rStyle w:val="Internetverknpfung"/>
        </w:rPr>
        <w:t>Dtn 6,22</w:t>
      </w:r>
      <w:r>
        <w:fldChar w:fldCharType="end"/>
      </w:r>
      <w:r>
        <w:rPr/>
        <w:t xml:space="preserve">; </w:t>
      </w:r>
      <w:r>
        <w:fldChar w:fldCharType="begin"/>
      </w:r>
      <w:r>
        <w:instrText> HYPERLINK "file:///wiki/Deuteronomium_13" \l "s1"</w:instrText>
      </w:r>
      <w:r>
        <w:fldChar w:fldCharType="separate"/>
      </w:r>
      <w:r>
        <w:rPr>
          <w:rStyle w:val="Internetverknpfung"/>
        </w:rPr>
        <w:t>13,1</w:t>
      </w:r>
      <w:r>
        <w:fldChar w:fldCharType="end"/>
      </w:r>
      <w:r>
        <w:rPr/>
        <w:t xml:space="preserve">; </w:t>
      </w:r>
      <w:hyperlink r:id="rId538">
        <w:r>
          <w:rPr>
            <w:rStyle w:val="Internetverknpfung"/>
          </w:rPr>
          <w:t>1 Kön 13,3</w:t>
        </w:r>
      </w:hyperlink>
      <w:r>
        <w:rPr/>
        <w:t xml:space="preserve">; </w:t>
      </w:r>
      <w:hyperlink r:id="rId539">
        <w:r>
          <w:rPr>
            <w:rStyle w:val="Internetverknpfung"/>
          </w:rPr>
          <w:t>Ez 12,6</w:t>
        </w:r>
      </w:hyperlink>
      <w:r>
        <w:rPr/>
        <w:t xml:space="preserve">; </w:t>
      </w:r>
      <w:hyperlink r:id="rId540">
        <w:r>
          <w:rPr>
            <w:rStyle w:val="Internetverknpfung"/>
          </w:rPr>
          <w:t>Joel 2,30</w:t>
        </w:r>
      </w:hyperlink>
      <w:r>
        <w:rPr/>
        <w:t xml:space="preserve">; auch </w:t>
      </w:r>
      <w:r>
        <w:fldChar w:fldCharType="begin"/>
      </w:r>
      <w:r>
        <w:instrText> HYPERLINK "file:///wiki/Matthäus_24" \l "s24"</w:instrText>
      </w:r>
      <w:r>
        <w:fldChar w:fldCharType="separate"/>
      </w:r>
      <w:r>
        <w:rPr>
          <w:rStyle w:val="Internetverknpfung"/>
        </w:rPr>
        <w:t>Mt 24,24</w:t>
      </w:r>
      <w:r>
        <w:fldChar w:fldCharType="end"/>
      </w:r>
      <w:r>
        <w:rPr/>
        <w:t xml:space="preserve"> = </w:t>
      </w:r>
      <w:r>
        <w:fldChar w:fldCharType="begin"/>
      </w:r>
      <w:r>
        <w:instrText> HYPERLINK "file:///wiki/Markus_13" \l "s22"</w:instrText>
      </w:r>
      <w:r>
        <w:fldChar w:fldCharType="separate"/>
      </w:r>
      <w:r>
        <w:rPr>
          <w:rStyle w:val="Internetverknpfung"/>
        </w:rPr>
        <w:t>Mk 13,22</w:t>
      </w:r>
      <w:r>
        <w:fldChar w:fldCharType="end"/>
      </w:r>
      <w:r>
        <w:rPr/>
        <w:t xml:space="preserve">; </w:t>
      </w:r>
      <w:hyperlink r:id="rId541">
        <w:r>
          <w:rPr>
            <w:rStyle w:val="Internetverknpfung"/>
          </w:rPr>
          <w:t>Apg 14,3</w:t>
        </w:r>
      </w:hyperlink>
      <w:r>
        <w:rPr/>
        <w:t>.</w:t>
      </w:r>
    </w:p>
  </w:footnote>
  <w:footnote w:id="5283">
    <w:p>
      <w:pPr>
        <w:pStyle w:val="Funote"/>
        <w:rPr/>
      </w:pPr>
      <w:r>
        <w:rPr>
          <w:i/>
        </w:rPr>
        <w:footnoteRef/>
        <w:tab/>
        <w:t>Die Sonne wird verwandelt werden zu Finsternis und der Mond zu Blut</w:t>
      </w:r>
      <w:r>
        <w:rPr/>
        <w:t xml:space="preserve"> - d.h. „die Sonne wird sich verfinstern und der Mond wird blutrot werden.“</w:t>
      </w:r>
    </w:p>
  </w:footnote>
  <w:footnote w:id="5284">
    <w:p>
      <w:pPr>
        <w:pStyle w:val="Funote"/>
        <w:rPr/>
      </w:pPr>
      <w:r>
        <w:rPr/>
        <w:footnoteRef/>
        <w:tab/>
        <w:t>sichtbaren (prachtvollen) - Schwierige Übersetzungsfrage: Aus LXX übernommene Fehlübersetzung des heb. Textes; dort steht nora´ (»furchtbar«), LXX las offenbar nir´eh (»sichtbar«) und Lukas widerum übernimmt dies aus LXX (vgl. Fitzmyer 1998, S. 253). OEB orientiert sich am MT (»that great and awful day«); wörtlich JJ (»der große und offenbar werdende Tag«) und KAR (»der große, der Erscheinung Tag«); die meisten anderen Üss. orientieren sich an der zweiten Bed. des gr. Wortes, »prächtig, glanzvoll«, und übersetzen daher mit »leuchtender/prachtvoller Tag« o.Ä. Auf den ersten Blick macht diese dritte Alternative Sinn, ist aber klar nicht gemeint - vgl. z.B. Am 5,18-20: Der Tag JHWHs ist gerade »Finsternis und nicht Licht« und der Verweis auf den Tag JHWHs an unserer Stelle eine Drohung, keine Heilsankündigung.</w:t>
      </w:r>
    </w:p>
  </w:footnote>
  <w:footnote w:id="5285">
    <w:p>
      <w:pPr>
        <w:pStyle w:val="Funote"/>
        <w:rPr/>
      </w:pPr>
      <w:r>
        <w:rPr>
          <w:i/>
        </w:rPr>
        <w:footnoteRef/>
        <w:tab/>
        <w:t>{</w:t>
      </w:r>
      <w:r>
        <w:rPr>
          <w:i/>
          <w:strike/>
        </w:rPr>
        <w:t>Und es wird sein:</w:t>
      </w:r>
      <w:r>
        <w:rPr>
          <w:i/>
        </w:rPr>
        <w:t>}</w:t>
      </w:r>
      <w:r>
        <w:rPr/>
        <w:t xml:space="preserve"> - Im Dt. besser auszusparender Semitismus ähnlich dem in V. 17: „Und es wird sein“ soll im Heb. nur markieren, dass nun in einem anderen Modus gesprochen wird, nämlich im Kommissiv (d.h., es wird nicht mehr nur vorhergesagt, sd. </w:t>
      </w:r>
      <w:r>
        <w:rPr>
          <w:i/>
        </w:rPr>
        <w:t>versprochen</w:t>
      </w:r>
      <w:r>
        <w:rPr/>
        <w:t>).</w:t>
      </w:r>
    </w:p>
  </w:footnote>
  <w:footnote w:id="5286">
    <w:p>
      <w:pPr>
        <w:pStyle w:val="Funote"/>
        <w:rPr/>
      </w:pPr>
      <w:r>
        <w:rPr/>
        <w:footnoteRef/>
        <w:tab/>
        <w:t>den Namen des Herrn anrufen - Doppelte Antanaklasis: Im Kontext des Joelbuches ist klar, dass mit dem »Herrn« JHWH gemeint ist und »anrufen« soviel bedeutet wie »ihn verehren und ihn um Beistand anrufen«. In Apg 2 dagegen muss der Vers mit V. 38 zusammengelesen werden, und liest man ihn von diesem Vers aus, ist der »Herr« Jesus und »seinen Namen anrufen« meint »sich taufen lassen«.</w:t>
      </w:r>
    </w:p>
  </w:footnote>
  <w:footnote w:id="5287">
    <w:p>
      <w:pPr>
        <w:pStyle w:val="Funote"/>
        <w:rPr/>
      </w:pPr>
      <w:r>
        <w:rPr/>
        <w:footnoteRef/>
        <w:tab/>
        <w:t>Nazoräer - Unsicheres Wort, das häufig von Jesus und auch von seinen Jüngern gesagt wird. Die meisten Exegeten halten es für eine Nebenform von »Nazarener« (vgl. Fitzmyer 1998, S. 254), also: »Jesus aus Nazaret«. Einen alternativen Vorschlag haben z.B. Berger 1996; Black 1967, S. 197-200 und Wagner 2001 gemacht, sind damit aber offenbar nicht auf viel Zustimmung gestoßen: nazoraios (»Nazoräer«) sei entweder abzuleiten vom Heb. natsar (»bewahren, befolgen«) und Jesus sollte mit dieser Bezeichnung als besonders gesetzestreuer Mensch ausgezeichnet werden (»Jesus, der Befolger [der Gebote]«, so Wagner) oder es sei vom Heb. nazar (»aussondern«) abzuleiten und es sollte damit gesagt sein, dass Jesus wie z.B. auch Samson (s. Ri 13,3-5; 16,17) ein »Nasiräer« war (Berger, Black), also eine Art asketischen Lebensstand auf Zeit hatte, zu dem es gehörte, auf Fleisch, Alkohol und Geschlechtsverkehr zu verzichten und sich nicht die Haare zu schneiden (vgl. z.B. Nasiräer (AT) (WiBiLex)).</w:t>
      </w:r>
    </w:p>
  </w:footnote>
  <w:footnote w:id="5288">
    <w:p>
      <w:pPr>
        <w:pStyle w:val="Funote"/>
        <w:rPr/>
      </w:pPr>
      <w:r>
        <w:rPr>
          <w:i/>
        </w:rPr>
        <w:footnoteRef/>
        <w:tab/>
        <w:t>wegen dem beschlossenen (festgesetzten) Plan und dem Vorauswissen Gottes!</w:t>
      </w:r>
      <w:r>
        <w:rPr/>
        <w:t xml:space="preserve"> - Eine für den Autoren der Apg sehr wichtige Präzisierung: Dass der Sohn Gottes getötet worden war, war ein Skandal; und dies umso mehr, als er mit seiner Kreuzigung den Tod eines </w:t>
      </w:r>
      <w:r>
        <w:rPr>
          <w:i/>
        </w:rPr>
        <w:t>Verbrechers</w:t>
      </w:r>
      <w:r>
        <w:rPr/>
        <w:t xml:space="preserve"> starb. Aus diesem Grund betont Lukas noch häufiger, dass dieser Skandal eigentlich gerade kein Skandal ist – sondern dass all dies zurückzuführen ist auf Gottes verborgenen Heilsplan. S. ähnlich </w:t>
      </w:r>
      <w:r>
        <w:fldChar w:fldCharType="begin"/>
      </w:r>
      <w:r>
        <w:instrText> HYPERLINK "file:///wiki/Lukas_24" \l "s6"</w:instrText>
      </w:r>
      <w:r>
        <w:fldChar w:fldCharType="separate"/>
      </w:r>
      <w:r>
        <w:rPr>
          <w:rStyle w:val="Internetverknpfung"/>
        </w:rPr>
        <w:t>Lk 24,6f.</w:t>
      </w:r>
      <w:r>
        <w:fldChar w:fldCharType="end"/>
      </w:r>
      <w:r>
        <w:rPr/>
        <w:t>.</w:t>
      </w:r>
      <w:r>
        <w:fldChar w:fldCharType="begin"/>
      </w:r>
      <w:r>
        <w:instrText> HYPERLINK "file:///wiki/Lukas_24" \l "s25"</w:instrText>
      </w:r>
      <w:r>
        <w:fldChar w:fldCharType="separate"/>
      </w:r>
      <w:r>
        <w:rPr>
          <w:rStyle w:val="Internetverknpfung"/>
        </w:rPr>
        <w:t>25f.</w:t>
      </w:r>
      <w:r>
        <w:fldChar w:fldCharType="end"/>
      </w:r>
      <w:r>
        <w:rPr/>
        <w:t>.</w:t>
      </w:r>
      <w:r>
        <w:fldChar w:fldCharType="begin"/>
      </w:r>
      <w:r>
        <w:instrText> HYPERLINK "file:///wiki/Lukas_24" \l "s44"</w:instrText>
      </w:r>
      <w:r>
        <w:fldChar w:fldCharType="separate"/>
      </w:r>
      <w:r>
        <w:rPr>
          <w:rStyle w:val="Internetverknpfung"/>
        </w:rPr>
        <w:t>44-46</w:t>
      </w:r>
      <w:r>
        <w:fldChar w:fldCharType="end"/>
      </w:r>
      <w:r>
        <w:rPr/>
        <w:t xml:space="preserve">; </w:t>
      </w:r>
      <w:hyperlink r:id="rId542">
        <w:r>
          <w:rPr>
            <w:rStyle w:val="Internetverknpfung"/>
          </w:rPr>
          <w:t>Apg 3,18</w:t>
        </w:r>
      </w:hyperlink>
      <w:r>
        <w:rPr/>
        <w:t xml:space="preserve">; </w:t>
      </w:r>
      <w:r>
        <w:fldChar w:fldCharType="begin"/>
      </w:r>
      <w:r>
        <w:instrText> HYPERLINK "file:///wiki/Apostelgeschichte_4" \l "s28"</w:instrText>
      </w:r>
      <w:r>
        <w:fldChar w:fldCharType="separate"/>
      </w:r>
      <w:r>
        <w:rPr>
          <w:rStyle w:val="Internetverknpfung"/>
        </w:rPr>
        <w:t>4,28</w:t>
      </w:r>
      <w:r>
        <w:fldChar w:fldCharType="end"/>
      </w:r>
      <w:r>
        <w:rPr/>
        <w:t>.</w:t>
      </w:r>
    </w:p>
  </w:footnote>
  <w:footnote w:id="5289">
    <w:p>
      <w:pPr>
        <w:pStyle w:val="Funote"/>
        <w:rPr/>
      </w:pPr>
      <w:r>
        <w:rPr/>
        <w:footnoteRef/>
        <w:tab/>
        <w:t>Gesetzloser, nämlich die der Römer, die nicht unter dem Gesetz der Juden standen (vgl. z.B. Bruce 1988, S. 63f.; ähnlich wird das Wort z.B. verwendet in 1 Kor 9,21).</w:t>
      </w:r>
    </w:p>
  </w:footnote>
  <w:footnote w:id="5290">
    <w:p>
      <w:pPr>
        <w:pStyle w:val="Funote"/>
        <w:rPr/>
      </w:pPr>
      <w:r>
        <w:rPr/>
        <w:footnoteRef/>
        <w:tab/>
        <w:t>Geburtswehen (Fesseln?) - ein ganz ähnliches Übersetzungsproblem wie in V. 20; s. FN ad: Petrus zitiert hier Ps 18,4f. oder 116,3, wo im Heb. von den »Stricken des Todes« die Rede ist. Dahinter steht die Vorstellung, dass man nach dem Tod eingeht in das Reich des Todes, das man sich vorstellte wie eine Stadt mit verriegelbaren Toren, hinter denen man dann gefangen war. Für dieses gefangen-Sein steht die metaphorische Rede von den »Stricken des Todes«. Die LXX übersetzt an beiden Stellen aber nicht mit »Stricke«, sondern falsch mit »Geburtswehen des Todes« und von dort übernimmt das auch der Autor von Apg. Sprachlich unmöglich ist die Deutung, dass Jesus »fürchterlich litt, als er tot war« (T4T); der Sinn des Bildes kann dann nur sein, dass der Tod in Geburtswehen lag und Gott ihm diese nahm, indem er dem Tod half, Jesus wieder »auf die Welt« zu bringen – ein »bizarres Bild« (Bratcher 1959, S. 19), bei dem wir uns sicher sein können, dass es nicht das von Lukas intendierte war und nur darauf zurückzuführen ist, dass er LXX wörtlich zitiert.Viele kommunikative Üss. lösen das Problem, indem sie sich am hebräischen Text orientieren: wörtlich (!) B/N und Stier (»er hat die Fesseln des Todes durchschnitten«); freier HfA (»indem er die Macht/Gewalt des Todes brach«; ähnlich BB, GN, KAM, NGÜ, NeÜ).</w:t>
      </w:r>
    </w:p>
  </w:footnote>
  <w:footnote w:id="5291">
    <w:p>
      <w:pPr>
        <w:pStyle w:val="Funote"/>
        <w:rPr/>
      </w:pPr>
      <w:r>
        <w:rPr/>
        <w:footnoteRef/>
        <w:tab/>
        <w:t>dass er unter ihm gehalten wurde - sinngemäß gut EÜ: »denn es war unmöglich, daß er vom Tod festgehalten wurde«.</w:t>
      </w:r>
    </w:p>
  </w:footnote>
  <w:footnote w:id="5292">
    <w:p>
      <w:pPr>
        <w:pStyle w:val="Funote"/>
        <w:rPr/>
      </w:pPr>
      <w:r>
        <w:rPr/>
        <w:footnoteRef/>
        <w:tab/>
        <w:t>Denn - Auf den ersten Blick ist nicht gut zu erkennen, worauf das »denn« sich bezieht; viele Üss. lassen es daher aus und zerstören damit die Argumentationsstruktur der ganzen Rede. Zu Jesu Zeit sah man die Bibel nicht nur als Heilige Schrift an, sondern jeder Text war immer auch prophetischer Text; auch ein Psalm wie der, der gleich zitiert werden wird (vgl. gut z.B. Moffitt 2011, S. 82; in 11QPsa XXVII werden Davids Psalmen sogar explizit als »Prophetien« bezeichnet). Aus diesem Grund lässt sich auch aus solchen Texten der Heilsplan Gottes ablesen, und dies tut Petrus hier: »Es war nicht möglich, dass Jesus vom Tod festgehalten wurde, denn [Gottes Plan war ein anderer und lässt sich aus Ps 16 ablesen; dort nämlich] sagt David über Jesus:...«</w:t>
      </w:r>
    </w:p>
  </w:footnote>
  <w:footnote w:id="5293">
    <w:p>
      <w:pPr>
        <w:pStyle w:val="Funote"/>
        <w:rPr/>
      </w:pPr>
      <w:r>
        <w:rPr/>
        <w:footnoteRef/>
        <w:tab/>
        <w:t>Ich hatte den Herrn vor mir vor Augen - Das Gr. prosoromen heißt selbst schon »vor Augen haben«; die Doppelung mit »vor mir« wirkt im Gr. also redundant. »JHWH vor Augen haben« meint hier natürlich »sich JHWH vor Augen halten« (gut Herkenne 1936, S. 83), also »an JHWH ausgerichtet leben«, nämlich v.a. »by honouring Him and obeying His law« (Kissane 1953, S. 65). Diese JHWH-Treue soll durch die redundante Formulierung und durch das »durch alle [Zeit]« noch zusätzlich unterstrichen werden: »Weil JHWH mir beisteht, bin ich sehr fromm, und zwar immer«. Gut KAR: »Ich halte mir immer den Herrn vor Augen«.</w:t>
      </w:r>
    </w:p>
  </w:footnote>
  <w:footnote w:id="5294">
    <w:p>
      <w:pPr>
        <w:pStyle w:val="Funote"/>
        <w:rPr/>
      </w:pPr>
      <w:r>
        <w:rPr>
          <w:i/>
        </w:rPr>
        <w:footnoteRef/>
        <w:tab/>
        <w:t>wanken</w:t>
      </w:r>
      <w:r>
        <w:rPr/>
        <w:t xml:space="preserve"> - Häufige bibl. Metapher die Gefährdung, aus der direkt Vernichtung und Tod folgt (s. </w:t>
      </w:r>
      <w:r>
        <w:fldChar w:fldCharType="begin"/>
      </w:r>
      <w:r>
        <w:instrText> HYPERLINK "file:///wiki/Psalm_30" \l "note_r"</w:instrText>
      </w:r>
      <w:r>
        <w:fldChar w:fldCharType="separate"/>
      </w:r>
      <w:r>
        <w:rPr>
          <w:rStyle w:val="Internetverknpfung"/>
        </w:rPr>
        <w:t>FN r</w:t>
      </w:r>
      <w:r>
        <w:fldChar w:fldCharType="end"/>
      </w:r>
      <w:r>
        <w:rPr/>
        <w:t xml:space="preserve"> zu </w:t>
      </w:r>
      <w:r>
        <w:fldChar w:fldCharType="begin"/>
      </w:r>
      <w:r>
        <w:instrText> HYPERLINK "file:///wiki/Psalm_30" \l "s7"</w:instrText>
      </w:r>
      <w:r>
        <w:fldChar w:fldCharType="separate"/>
      </w:r>
      <w:r>
        <w:rPr>
          <w:rStyle w:val="Internetverknpfung"/>
        </w:rPr>
        <w:t>Ps 30,7</w:t>
      </w:r>
      <w:r>
        <w:fldChar w:fldCharType="end"/>
      </w:r>
      <w:r>
        <w:rPr/>
        <w:t>).</w:t>
      </w:r>
    </w:p>
  </w:footnote>
  <w:footnote w:id="5295">
    <w:p>
      <w:pPr>
        <w:pStyle w:val="Funote"/>
        <w:rPr/>
      </w:pPr>
      <w:r>
        <w:rPr>
          <w:i/>
        </w:rPr>
        <w:footnoteRef/>
        <w:tab/>
        <w:t>mein Herz</w:t>
      </w:r>
      <w:r>
        <w:rPr/>
        <w:t xml:space="preserve"> + </w:t>
      </w:r>
      <w:r>
        <w:rPr>
          <w:i/>
        </w:rPr>
        <w:t>meine Zunge</w:t>
      </w:r>
      <w:r>
        <w:rPr/>
        <w:t xml:space="preserve"> + </w:t>
      </w:r>
      <w:r>
        <w:rPr>
          <w:i/>
        </w:rPr>
        <w:t>mein Fleisch</w:t>
      </w:r>
      <w:r>
        <w:rPr/>
        <w:t xml:space="preserve"> (V. 26) + </w:t>
      </w:r>
      <w:r>
        <w:rPr>
          <w:i/>
        </w:rPr>
        <w:t>meine Seele</w:t>
      </w:r>
      <w:r>
        <w:rPr/>
        <w:t xml:space="preserve"> (V. 27) - d.h. jeweils: „Ich“. In der bibl. Poesie wird oft eine Handlung oder eine Empfindung eines Menschen nicht von ihm ausgesagt, sondern von dem Körperteil, der hauptsächlich an dieser Handlung/Empfindung beteiligt ist; im Dt. muss man das fast stets durch „ich“ o.Ä. übersetzen.</w:t>
      </w:r>
    </w:p>
  </w:footnote>
  <w:footnote w:id="5296">
    <w:p>
      <w:pPr>
        <w:pStyle w:val="Funote"/>
        <w:rPr/>
      </w:pPr>
      <w:r>
        <w:rPr/>
        <w:footnoteRef/>
        <w:tab/>
        <w:t>mein Fleisch wird sich niederlassen aufgrund [meiner] Zuversicht, d.h. sehr wahrscheinlich nicht »Ich kann mich sorglos Sterben legen« oder gar »auch im Tot verliere ich nicht die Zuversicht« (so z.B. BB, GN, HfA, KAM, NGÜ, NeÜ, NSS, Zink), denn der Beter wird ja gerade nicht »wanken« (V. 25) und darum gerade nicht sterben (V. 27). Zu vergleichen ist stattdessen z.B. Ps 4,9 und die Bed. ist dann: »Weil ich mir keine Sorgen zu machen brauche, kann ich mich ruhig niederlassen«. Auf Jesus passt dieser und der nächste Vers dennoch sehr genau: »Ein alter jüdischer Glaube war der, dass der Geist einer [verstorbenen] Person drei Tage lang im Körper [dieser Person] blieb und ihn erst am vierten Tag verließ, und dass erst zu diesem Zeitpunkt die Verwesung des Fleisches wirklich einsetzte (vgl. Joh 11,17.39).« (Witherington 1998, S. 145; vgl. z.B. auch Leuenberger 2012, S. 326f.). Nach alter jüdischer Vorstellung ist Jesus also nach den drei Tagen noch gar nicht »richtig« gestorben, sondern gerade noch rechtzeitig vor dem endgültigen Hinabstieg in das Reich des Todes und vor dem Einsetzen der Verwesung von Gott auferweckt worden: Gott hat ihn nicht dem Hades überlassen.</w:t>
      </w:r>
    </w:p>
  </w:footnote>
  <w:footnote w:id="5297">
    <w:p>
      <w:pPr>
        <w:pStyle w:val="Funote"/>
        <w:rPr/>
      </w:pPr>
      <w:r>
        <w:rPr>
          <w:i/>
        </w:rPr>
        <w:footnoteRef/>
        <w:tab/>
        <w:t>Hades</w:t>
      </w:r>
      <w:r>
        <w:rPr/>
        <w:t xml:space="preserve"> - gr. Begriff für das Reich des Todes.</w:t>
      </w:r>
    </w:p>
  </w:footnote>
  <w:footnote w:id="5298">
    <w:p>
      <w:pPr>
        <w:pStyle w:val="Funote"/>
        <w:rPr/>
      </w:pPr>
      <w:r>
        <w:rPr/>
        <w:footnoteRef/>
        <w:tab/>
        <w:t>die Wege des Lebens sind ein häufiges Konzept aus ägyptischen und israelitischen Weisheitsliteratur. Gemeint sind nicht die »Wege, die zurück ins Leben führen« (so viele Üss.), sondern ein gottgefälliger und weisheitsgemäßer Lebenswandel, der im Unterschied zu den »Wegen der Frevler« nicht zum Tod führt, sondern ein heilvolles Leben ermöglicht. Vgl. dazu ausführlich Liess 2004, S. 223-247 und s. noch Spr 2,19; 4,11-5,14 (s. bes. 5,6); 10,16f.; 15,24; sehr verwandt in der Vorstellung auch Ps 1.</w:t>
      </w:r>
    </w:p>
  </w:footnote>
  <w:footnote w:id="5299">
    <w:p>
      <w:pPr>
        <w:pStyle w:val="Funote"/>
        <w:rPr/>
      </w:pPr>
      <w:r>
        <w:rPr/>
        <w:footnoteRef/>
        <w:tab/>
        <w:t>Du wirst mich erfüllen mit Freude vor deinem Gesicht - Auch dies spricht sehr wahrscheinlich nicht von »Auferstehung«, sd. meint ungefähr »du wirst mich dadurch mit Freude erfüllen, dass ich bei deinem Gesicht sein kann«, und Letzteres ist wohl eine Abkürzung dafür, dass der Beter »Gottes Gesicht sehen« darf; eine häufigere Metapher für die prinzipielle Erfahrung von Heil, die besonders denen verheißen ist, die Gottes Willen tun. Vgl. ganz ähnlich Ps 17,15; auch Ps 11,7. Vgl. außerdem die häufige Rede davon, dass Gott »das Licht seines Gesichts über jmdn leuchten lässt«, eine weitere Metapher für Heilserweise vonseiten JHWHs. Vgl. zu beiden Metaphern auch Smith 1988b. V. 28 meint also in etwa: »Du hast mir gezeigt, wie man leben soll, [und weil so zu leben zu einem freudvollen Leben führt,] werde ich durch deine Gnade freudvoll leben.«</w:t>
      </w:r>
    </w:p>
  </w:footnote>
  <w:footnote w:id="5300">
    <w:p>
      <w:pPr>
        <w:pStyle w:val="Funote"/>
        <w:rPr/>
      </w:pPr>
      <w:r>
        <w:rPr/>
        <w:footnoteRef/>
        <w:tab/>
        <w:t xml:space="preserve">Zu </w:t>
      </w:r>
      <w:r>
        <w:rPr>
          <w:i/>
        </w:rPr>
        <w:t>Davids Grabstätte</w:t>
      </w:r>
      <w:r>
        <w:rPr/>
        <w:t xml:space="preserve"> s. </w:t>
      </w:r>
      <w:hyperlink r:id="rId543">
        <w:r>
          <w:rPr>
            <w:rStyle w:val="Internetverknpfung"/>
          </w:rPr>
          <w:t>1 Kön 2,10</w:t>
        </w:r>
      </w:hyperlink>
      <w:r>
        <w:rPr/>
        <w:t xml:space="preserve">; </w:t>
      </w:r>
      <w:hyperlink r:id="rId544">
        <w:r>
          <w:rPr>
            <w:rStyle w:val="Internetverknpfung"/>
          </w:rPr>
          <w:t>Neh 3,16</w:t>
        </w:r>
      </w:hyperlink>
      <w:r>
        <w:rPr/>
        <w:t xml:space="preserve">. Sie befand sich in Jerusalem und erst einige Jahre zuvor hatte Herodes der Große diese Grabstätte nach einem Plünderungsversuch zusätzlich ausgebaut (vgl. </w:t>
      </w:r>
      <w:hyperlink r:id="rId545">
        <w:r>
          <w:rPr>
            <w:rStyle w:val="Internetverknpfung"/>
          </w:rPr>
          <w:t>JosAnt XVI.7</w:t>
        </w:r>
      </w:hyperlink>
      <w:r>
        <w:rPr/>
        <w:t>). Heute ist ihr Ort vergessen; eine neuere und verbreitete Tradition verortet sie allerdings interessanterweise ins selbe Gebäude, in das traditionellerweise auch der Abendmahlssaal verortet wird.</w:t>
      </w:r>
    </w:p>
  </w:footnote>
  <w:footnote w:id="5301">
    <w:p>
      <w:pPr>
        <w:pStyle w:val="Funote"/>
        <w:rPr/>
      </w:pPr>
      <w:r>
        <w:rPr>
          <w:i/>
        </w:rPr>
        <w:footnoteRef/>
        <w:tab/>
        <w:t>Prophet</w:t>
      </w:r>
      <w:r>
        <w:rPr/>
        <w:t xml:space="preserve"> - Zur Bezeichnung Davids als „Prophet“ vgl. 11QPs</w:t>
      </w:r>
      <w:r>
        <w:rPr>
          <w:position w:val="7"/>
          <w:sz w:val="16"/>
        </w:rPr>
        <w:t>a</w:t>
      </w:r>
      <w:r>
        <w:rPr/>
        <w:t xml:space="preserve"> XXVII 11: „All diese [seine Psalmen und Lieder] sprach er durch Prophetie, die ihm gegeben worden war vom Höchsten.“</w:t>
      </w:r>
    </w:p>
  </w:footnote>
  <w:footnote w:id="5302">
    <w:p>
      <w:pPr>
        <w:pStyle w:val="Funote"/>
        <w:rPr/>
      </w:pPr>
      <w:r>
        <w:rPr/>
        <w:footnoteRef/>
        <w:tab/>
        <w:t>wurden sie im Herz durchbohrt - d.h., »traf es sie mitten ins Herz« (gut KAR; ähnlich BB, GN, NL); »ging ihnen ein Stich durchs Herz« (ZINK); »Als die Leute das hörten, waren sie von dieser Botschaft tief betroffen« (HfA; ähnlich NeÜ, NGÜ).</w:t>
      </w:r>
    </w:p>
  </w:footnote>
  <w:footnote w:id="5303">
    <w:p>
      <w:pPr>
        <w:pStyle w:val="Funote"/>
        <w:rPr/>
      </w:pPr>
      <w:r>
        <w:rPr/>
        <w:footnoteRef/>
        <w:tab/>
        <w:t>Denkt um - Gr. metanoeo, ein Leitwort in Lk und Apg, das wenn möglich stets gleich übersetzt werden sollte. S. Lk 10,13; 11,32; 13,3.5; 15,7.10; 16,30; 17,3f.; Apg 3,19; 8,22; 17,30; Apg 26,30: Das »Umdenken« ist der Sinneswandel eines Menschen, der zuvor falsch gehandelt hat und von seinem »Umdenken« an – oft: nach zwischengeschalteter »Buße« – anders, nämlich gut, handeln will. Stark ZINK: »Stellt euch um, stellt euch ganz und gar um!«; gut auch ALB, GREB, KNO (»ändert euren Sinn/eure Gesinnung!«), BB (»ändert euer Leben«). Zu kurz greifen die häufigen Üss. »bekehrt euch«, »bereut« oder »tut Buße«.</w:t>
      </w:r>
    </w:p>
  </w:footnote>
  <w:footnote w:id="5304">
    <w:p>
      <w:pPr>
        <w:pStyle w:val="Funote"/>
        <w:rPr/>
      </w:pPr>
      <w:r>
        <w:rPr/>
        <w:footnoteRef/>
        <w:tab/>
        <w:t>Textkritik: In sehr vielen Handschriften findet sich ein zusätzliches {sagt[e] er}, das aber sicher erst von späterer Hand eingefügt wurde (vgl. TCNT, S. 261).</w:t>
      </w:r>
    </w:p>
  </w:footnote>
  <w:footnote w:id="5305">
    <w:p>
      <w:pPr>
        <w:pStyle w:val="Funote"/>
        <w:rPr/>
      </w:pPr>
      <w:r>
        <w:rPr/>
        <w:footnoteRef/>
        <w:tab/>
        <w:t>Textkritik: auf - Gr. epi; untypische Präposition statt gewöhnlichem en. Einige Handschriften ändern daher nachträglich zu en, was aber wieder sicher sekundär ist. S. nächste FN.</w:t>
      </w:r>
    </w:p>
  </w:footnote>
  <w:footnote w:id="5306">
    <w:p>
      <w:pPr>
        <w:pStyle w:val="Funote"/>
        <w:rPr/>
      </w:pPr>
      <w:r>
        <w:rPr/>
        <w:footnoteRef/>
        <w:tab/>
        <w:t>auf den Namen Jesu Christi - Die untypische Präposition (s. vorige FN) ist wahrscheinlich darauf zurückzuführen, dass Lukas einen wörtl. Rückbezug zu V. 21 schaffen will, wo sich im Joel-Zitat in pas ho epikalesätai to onoma kuriou (»jeder, der den Namen des Herrn anruft«) ebenfalls ein epi findet (vgl. Hartman 2011, S. 406; Labahn 2011, S. 349 FN 51): Die Taufe, bei der sicher auch der Name dessen, »auf den« man getauft wurde, angerufen wurde (s. Apg 22,16: »Lass dich taufen und deine Sünden abwaschen, indem du den Namen des Herrn anrufst (epikalesamenos)!«; vgl. z.B. Avemarie 2002, 41f.), wird zur Erfüllung der Prophezeiung Joels. Dies ist es dann wahrscheinlich auch, was mit der umstrittenen Formel »sich taufen lassen auf den Namen Jesu Christi« gemeint ist: »sich taufen lassen unter Nennung des Namens Jesu Christi« (so z.St. z.B. Avemarie 2002, S. 32.41f.; Bruce 1988, S. 70; Heitmüller 1903, S. 88; NSS; Witherington 1998, S. 154).</w:t>
      </w:r>
    </w:p>
  </w:footnote>
  <w:footnote w:id="5307">
    <w:p>
      <w:pPr>
        <w:pStyle w:val="Funote"/>
        <w:rPr/>
      </w:pPr>
      <w:r>
        <w:rPr>
          <w:i/>
        </w:rPr>
        <w:footnoteRef/>
        <w:tab/>
        <w:t>Verheißung</w:t>
      </w:r>
      <w:r>
        <w:rPr/>
        <w:t xml:space="preserve"> - Gemeint ist sicher die Verheißung aus </w:t>
      </w:r>
      <w:r>
        <w:fldChar w:fldCharType="begin"/>
      </w:r>
      <w:r>
        <w:instrText> HYPERLINK "file:///wiki/Apostelgeschichte_2" \l "s21"</w:instrText>
      </w:r>
      <w:r>
        <w:fldChar w:fldCharType="separate"/>
      </w:r>
      <w:r>
        <w:rPr>
          <w:rStyle w:val="Internetverknpfung"/>
        </w:rPr>
        <w:t>V. 21</w:t>
      </w:r>
      <w:r>
        <w:fldChar w:fldCharType="end"/>
      </w:r>
      <w:r>
        <w:rPr/>
        <w:t>: „Jeder, der den Namen des Herrn anruft, wird gerettet werden.“ Das ist natürlich besonders relevant für die Angesprochenen: Auch und gerade ihnen gilt die Verheißung; ihnen, die doch den Messias getötet haben!</w:t>
      </w:r>
    </w:p>
  </w:footnote>
  <w:footnote w:id="5308">
    <w:p>
      <w:pPr>
        <w:pStyle w:val="Funote"/>
        <w:rPr/>
      </w:pPr>
      <w:r>
        <w:rPr/>
        <w:footnoteRef/>
        <w:tab/>
        <w:t>fern - mgl. Bedeutungen: (1) »geistliche« Entfernung, also Heiden (s. Eph 2,11.13.17f.); (2) räumliche Entfernung, also entweder Juden anderer Länder (kein guter Beleg im NT) oder Heiden anderer Länder (s. Apg 22,21); (3) zeitliche Entfernung, also künftige Geschlechter (vgl. LSJ s.v. makros II.1). Am wahrscheinlichsten sind an dieser Stelle die Juden anderer Länder gemeint, da Apg 2 noch ganz von der Missionierung der Juden handelt (so z.B. auch Witherington 1998, S. 155).</w:t>
      </w:r>
    </w:p>
  </w:footnote>
  <w:footnote w:id="5309">
    <w:p>
      <w:pPr>
        <w:pStyle w:val="Funote"/>
        <w:rPr/>
      </w:pPr>
      <w:r>
        <w:rPr>
          <w:i/>
        </w:rPr>
        <w:footnoteRef/>
        <w:tab/>
        <w:t>hinzurufen</w:t>
      </w:r>
      <w:r>
        <w:rPr/>
        <w:t xml:space="preserve"> + </w:t>
      </w:r>
      <w:r>
        <w:rPr>
          <w:i/>
        </w:rPr>
        <w:t>hinzufügen</w:t>
      </w:r>
      <w:r>
        <w:rPr/>
        <w:t xml:space="preserve"> - nämlich zur Gemeinschaft der Christen.</w:t>
        <w:br/>
      </w:r>
      <w:r>
        <w:rPr>
          <w:i/>
        </w:rPr>
        <w:t>hinzugefügt werden</w:t>
      </w:r>
      <w:r>
        <w:rPr/>
        <w:t xml:space="preserve"> ist recht sicher ein sog. „theologisches Passiv“, also eine Ausdrucksvariante zu „</w:t>
      </w:r>
      <w:r>
        <w:rPr>
          <w:i/>
        </w:rPr>
        <w:t>Gott</w:t>
      </w:r>
      <w:r>
        <w:rPr/>
        <w:t xml:space="preserve"> fügte hinzu“, s. </w:t>
      </w:r>
      <w:r>
        <w:fldChar w:fldCharType="begin"/>
      </w:r>
      <w:r>
        <w:instrText> HYPERLINK "file:///wiki/Apostelgeschichte_2" \l "s47"</w:instrText>
      </w:r>
      <w:r>
        <w:fldChar w:fldCharType="separate"/>
      </w:r>
      <w:r>
        <w:rPr>
          <w:rStyle w:val="Internetverknpfung"/>
        </w:rPr>
        <w:t>V 47</w:t>
      </w:r>
      <w:r>
        <w:fldChar w:fldCharType="end"/>
      </w:r>
      <w:r>
        <w:rPr/>
        <w:t>.</w:t>
      </w:r>
    </w:p>
  </w:footnote>
  <w:footnote w:id="5310">
    <w:p>
      <w:pPr>
        <w:pStyle w:val="Funote"/>
        <w:rPr/>
      </w:pPr>
      <w:r>
        <w:rPr/>
        <w:footnoteRef/>
        <w:tab/>
        <w:t>Auch + andere + weitere - etwas überflüssig wirkende Häufung von Worten ähnlicher Bedeutung: Petrus hat noch weiter und noch mehr und noch mit anderen Worten zu ihnen geredet. Dies wird noch durch das Hendyadoin »Zeugnis ablegen und sie ermahnen« verstärkt. Gut daher OEB: »Peter spoke to them for a long time using many other arguments and pleaded with them.«</w:t>
      </w:r>
    </w:p>
  </w:footnote>
  <w:footnote w:id="5311">
    <w:p>
      <w:pPr>
        <w:pStyle w:val="Funote"/>
        <w:rPr/>
      </w:pPr>
      <w:r>
        <w:rPr/>
        <w:footnoteRef/>
        <w:tab/>
        <w:t>Geschlecht meint w. eigentlich nur die »Generation«, wird im NT aber noch häufiger fast wie ein Schimpfwort verwendet; s. Mk 8,12 (dazu auch FN o; 8,38; 9,19; Lk 9,41; 11,29: Die ganze Generation ist verderbt und so verdammt, und aus dieser Masse der Verdammten sollen die Angesprochenen sich retten lassen, nämlich vor dem drohenden Endgericht. Sehr gut daher NGÜ: »Diese Generation ist auf dem Weg ins Verderben! Lasst euch retten vor dem Gericht, das über sie hereinbrechen wird!«; gut auch GN: »Lasst euch retten vor dem Strafgericht, das über diese verdorbene Generation hereinbrechen wird!«</w:t>
      </w:r>
    </w:p>
  </w:footnote>
  <w:footnote w:id="5312">
    <w:p>
      <w:pPr>
        <w:pStyle w:val="Funote"/>
        <w:rPr/>
      </w:pPr>
      <w:r>
        <w:rPr/>
        <w:footnoteRef/>
        <w:tab/>
        <w:t>Seelen meint im Gr. wie im veralteten Deutsch »Personen«; s. ebenso z.B. Apg 7,14; 27,37 und vgl. z.B. Fitzmyer 1998, S. 267.</w:t>
      </w:r>
    </w:p>
  </w:footnote>
  <w:footnote w:id="5313">
    <w:p>
      <w:pPr>
        <w:pStyle w:val="Funote"/>
        <w:rPr/>
      </w:pPr>
      <w:r>
        <w:rPr/>
        <w:footnoteRef/>
        <w:tab/>
        <w:t>Sie hielten [beständig sehr] fest - Gr. äsan proskarterountes, W. etwa »sie waren fest-festhaltend«. Das Gr. kartereo (»festhalten«) wird durch die Vorsilbe pros- (proskartereo) verstärkt zu »entschieden/unentwegt festhalten« (EWNT III, Sp. 416). Zusätzlich steht der Ausdruck im sog. »periphrastischen Imperfekt«, einer Wortform, die ebenfalls entweder noch zusätzlich Emphase auf den Ausdruck legt oder noch mehr als das bloße Imperfekt betont, dass die Handlung des Ausdrucks dauerhaft geschieht (s. Das periphrastische Partizip): Die Jünger sind fortwährend völlig unverrückbar im Festhalten an der Lehre.</w:t>
      </w:r>
    </w:p>
  </w:footnote>
  <w:footnote w:id="5314">
    <w:p>
      <w:pPr>
        <w:pStyle w:val="Funote"/>
        <w:rPr/>
      </w:pPr>
      <w:r>
        <w:rPr/>
        <w:footnoteRef/>
        <w:tab/>
        <w:t>Lehre - Gr. didachä, gemeint ist hier also nicht die frohe Botschaft von der Auferstehung Jesu, sondern dass auf Jesus zurückgehende »Lehrsystem«, in dem die Jünger von den Aposteln unterwiesen werden (vgl. Fitzmyer 1998, S. 270).</w:t>
      </w:r>
    </w:p>
  </w:footnote>
  <w:footnote w:id="5315">
    <w:p>
      <w:pPr>
        <w:pStyle w:val="Funote"/>
        <w:rPr/>
      </w:pPr>
      <w:r>
        <w:rPr/>
        <w:footnoteRef/>
        <w:tab/>
        <w:t>Gemeinschaft - Gr. koinonia, ein Schlüsselwort in den Briefen des Paulus, das sich in den Schriften des Lukas aber einzig hier findet. Entsprechend unsicher ist seine Bedeutung. Bei Paulus ist der Kern des Begriffs (1) die »Gemeinschaft« (z.B. 2 Kor 6,14; Gal 2,9; Phil 2,1), die die Christen untereinander haben. Entscheidend an dieser christlichen Gemeinschaft ist aber noch mehr, nämlich: (2) Sie ist Gemeinschaft aufgrund ihrer Teilhabe an etwas Gemeinsamen, nämlich z.B. am Evangelium (Phil 1,5), am Opfer Christi (1 Kor 10,16; Phil 3,10; Heb 2,14) oder letztlich Christus selbst (1 Kor 1,9). Und: (3) Als Gemeinschaft führt sie ineins damit zur Teilgabe an den eigenen Gütern bis dahin, dass das Wort koinonia selbst die Bedeutung »Spende, Kollekte« annehmen kann (vgl. 2 Kor 8,4; 9,13; Gal 6,6; Phil 4,14f.; Heb 13,16). Die Aspekte (2) und (3) sieht man sehr schön in Röm 15,26f.: Weil die Bürger von Makedonien und Achaja ekoinonäsan (»teilhaftig geworden sind«) an geistlichen Dingen, haben sie koinonia getan (»Teilgabe an eigenen Gütern gegeben«, also »Geld gespendet«). Da nach einer alten Tradition aber Lukas mit Paulus bekannt war (vgl. z.B. Strelan 2008, S. 161), kann man mit etwas Vorsicht das paulinische koinonia-Konzept auch hier am Werk sehen, was auch gut mit dem Text zusammenstimmt: Dank der Apostel haben die 3000 teil an Christi Lehre (V. 42a); diese gemeinsame Teilhabe äußert sich in Gemeinschaft v.a. in Kult und Gebet (V. 42b) und diese Gemeinschaft widerum äußert sich in der Anteilgabe der anderen an den eigenen Gütern (Vv. 44f.).</w:t>
      </w:r>
    </w:p>
  </w:footnote>
  <w:footnote w:id="5316">
    <w:p>
      <w:pPr>
        <w:pStyle w:val="Funote"/>
        <w:rPr/>
      </w:pPr>
      <w:r>
        <w:rPr/>
        <w:footnoteRef/>
        <w:tab/>
        <w:t>Textkritik: , (dem gemeinschaftlichen Brotbrechen) - Der ursprüngliche Text ließ beide Deutungen zu, da er noch keine Satzzeichen hatte: »Gemeinschaft« und »Brotbrechen« könnten entweder als zwei Glieder in der Reihung »Lehre der Apostel, Gemeinschaft, Brotbrechen und Gebete« gelesen werden oder als eines (»Lehre der Apostel, Gemeinschaft im Brotbrechen und Gebete«). Letzteres ist z.B. die Deutung von VUL (communicatione fractionis panis); ersteres die Deutung einiger Schreiber, die im Text ein zusätzliches »und« zwischen »Gemeinschaft« und »Brotbrechen« einfügten, um die zweite Deutung auszuschließen. Dieses »und« ist sicher erst von diesen späteren Schreibern eingefügt worden und gehört nicht zum ursprünglichen Text (so z.B. auch Fitzmyer 1998, S. 270).</w:t>
      </w:r>
    </w:p>
  </w:footnote>
  <w:footnote w:id="5317">
    <w:p>
      <w:pPr>
        <w:pStyle w:val="Funote"/>
        <w:rPr/>
      </w:pPr>
      <w:r>
        <w:rPr>
          <w:i/>
        </w:rPr>
        <w:footnoteRef/>
        <w:tab/>
        <w:t>Brotbrechen</w:t>
      </w:r>
      <w:r>
        <w:rPr/>
        <w:t xml:space="preserve"> (V. 42) + </w:t>
      </w:r>
      <w:r>
        <w:rPr>
          <w:i/>
        </w:rPr>
        <w:t>Brot brachen</w:t>
      </w:r>
      <w:r>
        <w:rPr/>
        <w:t xml:space="preserve"> (V. 46) - Gemeint ist sicher der Vorläufer der Eucharistiefeier, der zu Zeit von Lk und Apg noch die Form eines Sättigungsmahl hatte, bei dem in Erinnerung an die Handlung Jesu beim letzten Abendmahl auch Brot gebrochen wurde. S. ebenso </w:t>
      </w:r>
      <w:r>
        <w:fldChar w:fldCharType="begin"/>
      </w:r>
      <w:r>
        <w:instrText> HYPERLINK "file:///wiki/Lukas_24" \l "s30"</w:instrText>
      </w:r>
      <w:r>
        <w:fldChar w:fldCharType="separate"/>
      </w:r>
      <w:r>
        <w:rPr>
          <w:rStyle w:val="Internetverknpfung"/>
        </w:rPr>
        <w:t>Lk 24,30</w:t>
      </w:r>
      <w:r>
        <w:fldChar w:fldCharType="end"/>
      </w:r>
      <w:r>
        <w:rPr/>
        <w:t>.</w:t>
      </w:r>
      <w:r>
        <w:fldChar w:fldCharType="begin"/>
      </w:r>
      <w:r>
        <w:instrText> HYPERLINK "file:///wiki/Lukas_24" \l "s35"</w:instrText>
      </w:r>
      <w:r>
        <w:fldChar w:fldCharType="separate"/>
      </w:r>
      <w:r>
        <w:rPr>
          <w:rStyle w:val="Internetverknpfung"/>
        </w:rPr>
        <w:t>35</w:t>
      </w:r>
      <w:r>
        <w:fldChar w:fldCharType="end"/>
      </w:r>
      <w:r>
        <w:rPr/>
        <w:t xml:space="preserve">; </w:t>
      </w:r>
      <w:r>
        <w:fldChar w:fldCharType="begin"/>
      </w:r>
      <w:r>
        <w:instrText> HYPERLINK "file:///wiki/Apostelgeschichte_20" \l "s7"</w:instrText>
      </w:r>
      <w:r>
        <w:fldChar w:fldCharType="separate"/>
      </w:r>
      <w:r>
        <w:rPr>
          <w:rStyle w:val="Internetverknpfung"/>
        </w:rPr>
        <w:t>Apg 20,7</w:t>
      </w:r>
      <w:r>
        <w:fldChar w:fldCharType="end"/>
      </w:r>
      <w:r>
        <w:rPr/>
        <w:t>.</w:t>
      </w:r>
      <w:r>
        <w:fldChar w:fldCharType="begin"/>
      </w:r>
      <w:r>
        <w:instrText> HYPERLINK "file:///wiki/Apostelgeschichte_20" \l "s11"</w:instrText>
      </w:r>
      <w:r>
        <w:fldChar w:fldCharType="separate"/>
      </w:r>
      <w:r>
        <w:rPr>
          <w:rStyle w:val="Internetverknpfung"/>
        </w:rPr>
        <w:t>11</w:t>
      </w:r>
      <w:r>
        <w:fldChar w:fldCharType="end"/>
      </w:r>
      <w:r>
        <w:rPr/>
        <w:t xml:space="preserve">; </w:t>
      </w:r>
      <w:hyperlink r:id="rId546">
        <w:r>
          <w:rPr>
            <w:rStyle w:val="Internetverknpfung"/>
          </w:rPr>
          <w:t>27,35</w:t>
        </w:r>
      </w:hyperlink>
      <w:r>
        <w:rPr/>
        <w:t>.</w:t>
      </w:r>
    </w:p>
  </w:footnote>
  <w:footnote w:id="5318">
    <w:p>
      <w:pPr>
        <w:pStyle w:val="Funote"/>
        <w:rPr/>
      </w:pPr>
      <w:r>
        <w:rPr/>
        <w:footnoteRef/>
        <w:tab/>
        <w:t>Es war Ehrfurcht - ein sog. »Admirationsmotiv«: Besonders Wundertaten rufen in den Evangelien und in Apg immer wieder »Ehrfurcht« hervor, was die Wunderbarkeit der Wundertaten noch unterstreichen soll. Der nächstliegende Anlass für diese Ehrfurcht wären also die im Rest des Verses geschilderten »Wunder und Zeichen« der Apostel (so z.B. auch Lindemann 2009, S. 218f.; Witherington 1998, S. 161) und einige Schreiber haben daher den ersten Teil des Satzes auch an das Ende des Verses verschoben; ursprünglich ist aber klar die hierige Reihenfolge: Die Ehrfurcht ist offenbar die Reaktion auf die Vorbildlichkeit der Gemeinde der Urchristen – diese ist etwas geradezu »Wunderbares«. Auch möglich wäre, dass der Vers nicht von der Reaktion der Umwelt auf die urchristliche Gemeinde berichtet, sondern von der Geisteshaltung der Christen: Sie halten sich an die Lehren der Apostel, an den christlichen Kult, das christliche Gebet und sind insgesamt ganz von Ehrfurcht durchdrungen.</w:t>
      </w:r>
    </w:p>
  </w:footnote>
  <w:footnote w:id="5319">
    <w:p>
      <w:pPr>
        <w:pStyle w:val="Funote"/>
        <w:rPr/>
      </w:pPr>
      <w:r>
        <w:rPr/>
        <w:footnoteRef/>
        <w:tab/>
        <w:t>Gemeinschaft (?, zusammen) (Vv. 44.47) - schwierige Stellen. W. V. 44: »Sie waren zusammen (epi to auto, ein aus mehreren Worten bestehendes Adverb)«. Nach dem vorangehenden Vers (und auch so) bietet der Satz in seiner wörtl. Bedeutung sehr wenig informativen Mehrwert, wenn man ihn nicht so versteht, dass die 3000 Christen über die Mahl- und Gebetsgemeinschaft hinaus auch noch eine Wohngemeinschaft hatten (daher Fitzmyer 1998: »they lived together«). Noch merkwürdiger V. 47 »Der Herr fügte die Geretteten täglich hinzu zusammen«. In Ermangelung einer besseren Lösung folgen wir einem Vorschlag von Wilcox 1965, S. 93-100: epi to auto (»zusammen«) ist tatsächlich die wörtliche Übersetzung des qumranhebräischen Adverbs jachad, das wörtl. ebenfalls »zusammen« bedeutet, aber als stehender Begriff für die »Gemeinschaft« der Sekte der Essener verwendet wird: »gemeinschaftlich, als Gemeinschaft« (S. 96). Für V. 44 vgl. ebenso z.B. Capper 1995, S. 14f.; LaVerdiere 1998, S. 85; für V. 47 zusätzlich Black 1967, S. 10 FN 4; Dupont 1969, S. 907f.; Payne 1970, S. 143; auch B/N, EÜ, NeÜ, TEXT (»ihrer Gemeinschaft/Vereinigung«); FREE, JJ, SCHÄF, SLT, WIL: (»zur Gemeinde/Versammlung«); TAF (»in der Gemeinde«). Dagegen vgl. allerdings Bauckham 2003, S. 87f.</w:t>
      </w:r>
    </w:p>
  </w:footnote>
  <w:footnote w:id="5320">
    <w:p>
      <w:pPr>
        <w:pStyle w:val="Funote"/>
        <w:rPr/>
      </w:pPr>
      <w:r>
        <w:rPr/>
        <w:footnoteRef/>
        <w:tab/>
        <w:t>Textkritik: {waren} + {und} - Die beiden Worte fehlen in einigen Handschriften, was recht sicher die ursprüngliche Lesart ist (so richtig Barrett 2004, S. 167). Zurückzuführen sind die unterschiedlichen Lesarten wahrscheinlich auf die ungewöhnliche Verwendung von epi to auto (s. vorige FN und vgl. Ropes 1926, S. 24; Wilcox 1965, S. 97f.). Die Übersetzung »als Gemeinschaft« folgt LaVerdiere 1998, S. 85.</w:t>
      </w:r>
    </w:p>
  </w:footnote>
  <w:footnote w:id="5321">
    <w:p>
      <w:pPr>
        <w:pStyle w:val="Funote"/>
        <w:rPr/>
      </w:pPr>
      <w:r>
        <w:rPr>
          <w:i/>
        </w:rPr>
        <w:footnoteRef/>
        <w:tab/>
        <w:t>hatten alles gemeinsam</w:t>
      </w:r>
      <w:r>
        <w:rPr/>
        <w:t xml:space="preserve"> - hierzu s. die Anmerkungen.</w:t>
      </w:r>
    </w:p>
  </w:footnote>
  <w:footnote w:id="5322">
    <w:p>
      <w:pPr>
        <w:pStyle w:val="Funote"/>
        <w:rPr/>
      </w:pPr>
      <w:r>
        <w:rPr/>
        <w:footnoteRef/>
        <w:tab/>
        <w:t>[immer wieder] - »Das Verbtempus Imperfekt legt nahe, dass dies nicht ein einmaliges Geschehen war, sondern vielmehr eine wiederkerende Praxis, die vermutlich unternommen wurde, sobald Not auftrat« (Witherington 1998, S. 162; ebenso z.B. Lindemann 2009, S. 220).</w:t>
      </w:r>
    </w:p>
  </w:footnote>
  <w:footnote w:id="5323">
    <w:p>
      <w:pPr>
        <w:pStyle w:val="Funote"/>
        <w:rPr/>
      </w:pPr>
      <w:r>
        <w:rPr>
          <w:i/>
        </w:rPr>
        <w:footnoteRef/>
        <w:tab/>
        <w:t>im Haus</w:t>
      </w:r>
      <w:r>
        <w:rPr/>
        <w:t>, d.h. „in den Privathäusern“ im Unterschied zum Tempel.</w:t>
      </w:r>
    </w:p>
  </w:footnote>
  <w:footnote w:id="5324">
    <w:p>
      <w:pPr>
        <w:pStyle w:val="Funote"/>
        <w:rPr/>
      </w:pPr>
      <w:r>
        <w:rPr>
          <w:i/>
        </w:rPr>
        <w:footnoteRef/>
        <w:tab/>
        <w:t>Gerettete</w:t>
      </w:r>
      <w:r>
        <w:rPr/>
        <w:t xml:space="preserve"> - Sicher in Anspielung an V. 21 (=</w:t>
      </w:r>
      <w:hyperlink r:id="rId547">
        <w:r>
          <w:rPr>
            <w:rStyle w:val="Internetverknpfung"/>
          </w:rPr>
          <w:t>Joel 3,5</w:t>
        </w:r>
      </w:hyperlink>
      <w:r>
        <w:rPr/>
        <w:t xml:space="preserve">: „Gerettet“ ist der, der „den Namen des Herrn anruft“. Dies wurde von Petrus interpretiert als Ausdruck für die Taufe (s. </w:t>
      </w:r>
      <w:r>
        <w:fldChar w:fldCharType="begin"/>
      </w:r>
      <w:r>
        <w:instrText> HYPERLINK "http://offene-bibel.de/mediawiki/index.php?title=Apostelgeschichte_2" \l "note_az"</w:instrText>
      </w:r>
      <w:r>
        <w:fldChar w:fldCharType="separate"/>
      </w:r>
      <w:r>
        <w:rPr>
          <w:rStyle w:val="Internetverknpfung"/>
        </w:rPr>
        <w:t>FN az</w:t>
      </w:r>
      <w:r>
        <w:fldChar w:fldCharType="end"/>
      </w:r>
      <w:r>
        <w:rPr/>
        <w:t xml:space="preserve"> zu </w:t>
      </w:r>
      <w:r>
        <w:fldChar w:fldCharType="begin"/>
      </w:r>
      <w:r>
        <w:instrText> HYPERLINK "file:///wiki/Apostelgeschichte_2" \l "s38"</w:instrText>
      </w:r>
      <w:r>
        <w:fldChar w:fldCharType="separate"/>
      </w:r>
      <w:r>
        <w:rPr>
          <w:rStyle w:val="Internetverknpfung"/>
        </w:rPr>
        <w:t>V. 38</w:t>
      </w:r>
      <w:r>
        <w:fldChar w:fldCharType="end"/>
      </w:r>
      <w:r>
        <w:rPr/>
        <w:t>); also sind die, die sich der Gemeinde der Christen anschließen, die „Geretteten“ oder auch „die, die gerettet werden sollten“ (was sprachlich möglich und zumindest in der LF sinnvoller ist, da die Rettung vor der Zeit des Unheils ja noch aussteht).</w:t>
      </w:r>
    </w:p>
  </w:footnote>
  <w:footnote w:id="5325">
    <w:p>
      <w:pPr>
        <w:pStyle w:val="Funote"/>
        <w:rPr/>
      </w:pPr>
      <w:r>
        <w:rPr/>
        <w:footnoteRef/>
        <w:tab/>
        <w:t>w. legte ihn den Aposteln zu Füßen</w:t>
      </w:r>
    </w:p>
  </w:footnote>
  <w:footnote w:id="5326">
    <w:p>
      <w:pPr>
        <w:pStyle w:val="Funote"/>
        <w:rPr/>
      </w:pPr>
      <w:r>
        <w:rPr/>
        <w:footnoteRef/>
        <w:tab/>
        <w:t>Alternativ: „Es wurden immer (noch) mehr Gläubige dem Herrn hinzugefügt“. Cf. C. K. Barrett, Acts 1-14, 275.</w:t>
      </w:r>
    </w:p>
  </w:footnote>
  <w:footnote w:id="5327">
    <w:p>
      <w:pPr>
        <w:pStyle w:val="Funote"/>
        <w:rPr/>
      </w:pPr>
      <w:r>
        <w:rPr/>
        <w:footnoteRef/>
        <w:tab/>
        <w:t>Partizip Aorist</w:t>
      </w:r>
    </w:p>
  </w:footnote>
  <w:footnote w:id="5328">
    <w:p>
      <w:pPr>
        <w:pStyle w:val="Funote"/>
        <w:rPr/>
      </w:pPr>
      <w:r>
        <w:rPr/>
        <w:footnoteRef/>
        <w:tab/>
        <w:t>ihr „Finanzminister“</w:t>
      </w:r>
    </w:p>
  </w:footnote>
  <w:footnote w:id="5329">
    <w:p>
      <w:pPr>
        <w:pStyle w:val="Funote"/>
        <w:rPr/>
      </w:pPr>
      <w:r>
        <w:rPr/>
        <w:footnoteRef/>
        <w:tab/>
        <w:t>Partizip Aorist</w:t>
      </w:r>
    </w:p>
  </w:footnote>
  <w:footnote w:id="5330">
    <w:p>
      <w:pPr>
        <w:pStyle w:val="Funote"/>
        <w:rPr/>
      </w:pPr>
      <w:r>
        <w:rPr/>
        <w:footnoteRef/>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5331">
    <w:p>
      <w:pPr>
        <w:pStyle w:val="Funote"/>
        <w:rPr/>
      </w:pPr>
      <w:r>
        <w:rPr/>
        <w:footnoteRef/>
        <w:tab/>
        <w:t>Partizip Präs. Vielleicht könnte man rheinländisch sagen: „War am Umkehren“</w:t>
      </w:r>
    </w:p>
  </w:footnote>
  <w:footnote w:id="5332">
    <w:p>
      <w:pPr>
        <w:pStyle w:val="Funote"/>
        <w:rPr/>
      </w:pPr>
      <w:r>
        <w:rPr/>
        <w:footnoteRef/>
        <w:tab/>
        <w:t>Partizip Aorist</w:t>
      </w:r>
    </w:p>
  </w:footnote>
  <w:footnote w:id="5333">
    <w:p>
      <w:pPr>
        <w:pStyle w:val="Funote"/>
        <w:rPr/>
      </w:pPr>
      <w:r>
        <w:rPr/>
        <w:footnoteRef/>
        <w:tab/>
        <w:t>Der Eunuch las nach jüdischem Brauch laut</w:t>
      </w:r>
    </w:p>
  </w:footnote>
  <w:footnote w:id="5334">
    <w:p>
      <w:pPr>
        <w:pStyle w:val="Funote"/>
        <w:rPr/>
      </w:pPr>
      <w:r>
        <w:rPr/>
        <w:footnoteRef/>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5335">
    <w:p>
      <w:pPr>
        <w:pStyle w:val="Funote"/>
        <w:rPr/>
      </w:pPr>
      <w:r>
        <w:rPr/>
        <w:footnoteRef/>
        <w:tab/>
        <w:t>Partizip Aorist</w:t>
      </w:r>
    </w:p>
  </w:footnote>
  <w:footnote w:id="5336">
    <w:p>
      <w:pPr>
        <w:pStyle w:val="Funote"/>
        <w:rPr/>
      </w:pPr>
      <w:r>
        <w:rPr/>
        <w:footnoteRef/>
        <w:tab/>
        <w:t>Partizip Aorist</w:t>
      </w:r>
    </w:p>
  </w:footnote>
  <w:footnote w:id="5337">
    <w:p>
      <w:pPr>
        <w:pStyle w:val="Funote"/>
        <w:rPr/>
      </w:pPr>
      <w:r>
        <w:rPr/>
        <w:footnoteRef/>
        <w:tab/>
        <w:t xml:space="preserve">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 </w:t>
      </w:r>
    </w:p>
  </w:footnote>
  <w:footnote w:id="5338">
    <w:p>
      <w:pPr>
        <w:pStyle w:val="Funote"/>
        <w:rPr/>
      </w:pPr>
      <w:r>
        <w:rPr/>
        <w:footnoteRef/>
        <w:tab/>
        <w:t>Getauft wurde, indem der Täufling ganz untergetaucht wurde. Man muss sich wahrscheinlich vorstellen, dass Philippus verschwand, als der Eunuch noch untergetaucht war</w:t>
      </w:r>
    </w:p>
  </w:footnote>
  <w:footnote w:id="5339">
    <w:p>
      <w:pPr>
        <w:pStyle w:val="Funote"/>
        <w:rPr/>
      </w:pPr>
      <w:r>
        <w:rPr/>
        <w:footnoteRef/>
        <w:tab/>
        <w:t>Partizip Präsens</w:t>
      </w:r>
    </w:p>
  </w:footnote>
  <w:footnote w:id="5340">
    <w:p>
      <w:pPr>
        <w:pStyle w:val="Funote"/>
        <w:rPr/>
      </w:pPr>
      <w:r>
        <w:rPr/>
        <w:footnoteRef/>
        <w:tab/>
        <w:t>Partizip Präsens</w:t>
      </w:r>
    </w:p>
  </w:footnote>
  <w:footnote w:id="5341">
    <w:p>
      <w:pPr>
        <w:pStyle w:val="Funote"/>
        <w:rPr/>
      </w:pPr>
      <w:r>
        <w:rPr/>
        <w:footnoteRef/>
        <w:tab/>
        <w:t>Bauer, Wörterbuch Sp. 1248 übersetzt: "sein Geist wurde in ihm in Erregung versetzt" und gibt als mögliche Gründe dafür Zorn, Betrübnis oder Bekehrungseifer an</w:t>
      </w:r>
    </w:p>
  </w:footnote>
  <w:footnote w:id="5342">
    <w:p>
      <w:pPr>
        <w:pStyle w:val="Funote"/>
        <w:rPr/>
      </w:pPr>
      <w:r>
        <w:rPr/>
        <w:footnoteRef/>
        <w:tab/>
        <w:t>Gottesfürchtige aus dem Umkreis der Synagoge</w:t>
      </w:r>
    </w:p>
  </w:footnote>
  <w:footnote w:id="5343">
    <w:p>
      <w:pPr>
        <w:pStyle w:val="Funote"/>
        <w:rPr/>
      </w:pPr>
      <w:r>
        <w:rPr/>
        <w:footnoteRef/>
        <w:tab/>
        <w:t>an vielen Tagen</w:t>
      </w:r>
    </w:p>
  </w:footnote>
  <w:footnote w:id="5344">
    <w:p>
      <w:pPr>
        <w:pStyle w:val="Funote"/>
        <w:rPr/>
      </w:pPr>
      <w:r>
        <w:rPr/>
        <w:footnoteRef/>
        <w:tab/>
        <w:t>Potentialis der Gegenwart</w:t>
      </w:r>
    </w:p>
  </w:footnote>
  <w:footnote w:id="5345">
    <w:p>
      <w:pPr>
        <w:pStyle w:val="Funote"/>
        <w:rPr/>
      </w:pPr>
      <w:r>
        <w:rPr/>
        <w:footnoteRef/>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5346">
    <w:p>
      <w:pPr>
        <w:pStyle w:val="Funote"/>
        <w:rPr/>
      </w:pPr>
      <w:r>
        <w:rPr/>
        <w:footnoteRef/>
        <w:tab/>
        <w:t>Das Verb kann ein freundliches Anfassen meinen, aber auch eine Festnahme bezeichnen</w:t>
      </w:r>
    </w:p>
  </w:footnote>
  <w:footnote w:id="5347">
    <w:p>
      <w:pPr>
        <w:pStyle w:val="Funote"/>
        <w:rPr/>
      </w:pPr>
      <w:r>
        <w:rPr/>
        <w:footnoteRef/>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5348">
    <w:p>
      <w:pPr>
        <w:pStyle w:val="Funote"/>
        <w:rPr/>
      </w:pPr>
      <w:r>
        <w:rPr/>
        <w:footnoteRef/>
        <w:tab/>
        <w:t>Man kann das Partizip auch gleichzeitig auflösen: Paulus stellte sich [als Redner in Positur]</w:t>
      </w:r>
    </w:p>
  </w:footnote>
  <w:footnote w:id="5349">
    <w:p>
      <w:pPr>
        <w:pStyle w:val="Funote"/>
        <w:rPr/>
      </w:pPr>
      <w:r>
        <w:rPr/>
        <w:footnoteRef/>
        <w:tab/>
        <w:t>oder: betrachte euch als durch und durch religiös</w:t>
      </w:r>
    </w:p>
  </w:footnote>
  <w:footnote w:id="5350">
    <w:p>
      <w:pPr>
        <w:pStyle w:val="Funote"/>
        <w:rPr/>
      </w:pPr>
      <w:r>
        <w:rPr/>
        <w:footnoteRef/>
        <w:tab/>
        <w:t>Relativpronomen neutrum Sg.</w:t>
      </w:r>
    </w:p>
  </w:footnote>
  <w:footnote w:id="5351">
    <w:p>
      <w:pPr>
        <w:pStyle w:val="Funote"/>
        <w:rPr/>
      </w:pPr>
      <w:r>
        <w:rPr/>
        <w:footnoteRef/>
        <w:tab/>
        <w:t>optativus obliqus</w:t>
      </w:r>
    </w:p>
  </w:footnote>
  <w:footnote w:id="5352">
    <w:p>
      <w:pPr>
        <w:pStyle w:val="Funote"/>
        <w:rPr/>
      </w:pPr>
      <w:r>
        <w:rPr>
          <w:lang w:val="el-GR"/>
        </w:rPr>
        <w:footnoteRef/>
        <w:tab/>
        <w:t>γένος</w:t>
      </w:r>
      <w:r>
        <w:rPr/>
        <w:t xml:space="preserve"> bezeichnet die Abstammung; der Begriff „Geschlecht“ ist mehrdeutig. Besser: Wir stammen auch von ihm ab</w:t>
      </w:r>
    </w:p>
  </w:footnote>
  <w:footnote w:id="5353">
    <w:p>
      <w:pPr>
        <w:pStyle w:val="Funote"/>
        <w:rPr/>
      </w:pPr>
      <w:r>
        <w:rPr/>
        <w:footnoteRef/>
        <w:tab/>
        <w:t>gemeint sind Götterfiguren</w:t>
      </w:r>
    </w:p>
  </w:footnote>
  <w:footnote w:id="5354">
    <w:p>
      <w:pPr>
        <w:pStyle w:val="Funote"/>
        <w:rPr/>
      </w:pPr>
      <w:r>
        <w:rPr>
          <w:lang w:val="el-GR"/>
        </w:rPr>
        <w:footnoteRef/>
        <w:tab/>
        <w:t>ὁμοίος</w:t>
      </w:r>
      <w:r>
        <w:rPr/>
        <w:t xml:space="preserve"> kann auch "ähnlich" bedeuten, aber Paulus geht es um die Verehrung der Figuren als Götter, deshalb geht es ihm hier um die (Un-)Gleichheit</w:t>
      </w:r>
    </w:p>
  </w:footnote>
  <w:footnote w:id="5355">
    <w:p>
      <w:pPr>
        <w:pStyle w:val="Funote"/>
        <w:rPr/>
      </w:pPr>
      <w:r>
        <w:rPr/>
        <w:footnoteRef/>
        <w:tab/>
        <w:t>eine höfliche Art, das Gespräch zu beenden, ohne dass eine Fortsetzung beabsichtigt wäre, Haenchen S. 466</w:t>
      </w:r>
    </w:p>
  </w:footnote>
  <w:footnote w:id="5356">
    <w:p>
      <w:pPr>
        <w:pStyle w:val="Funote"/>
        <w:rPr/>
      </w:pPr>
      <w:r>
        <w:rPr>
          <w:lang w:val="el-GR"/>
        </w:rPr>
        <w:footnoteRef/>
        <w:tab/>
        <w:t>εν τω τον απολλω ειναι εν κορινθω</w:t>
      </w:r>
      <w:r>
        <w:rPr/>
        <w:t>.</w:t>
      </w:r>
    </w:p>
  </w:footnote>
  <w:footnote w:id="5357">
    <w:p>
      <w:pPr>
        <w:pStyle w:val="Funote"/>
        <w:rPr/>
      </w:pPr>
      <w:hyperlink r:id="rId548">
        <w:r>
          <w:rPr>
            <w:rStyle w:val="Internetverknpfung"/>
          </w:rPr>
          <w:footnoteRef/>
          <w:tab/>
          <w:t>AcI</w:t>
        </w:r>
      </w:hyperlink>
      <w:r>
        <w:rPr/>
        <w:t>-Konstruktion: A=</w:t>
      </w:r>
      <w:r>
        <w:rPr>
          <w:lang w:val="el-GR"/>
        </w:rPr>
        <w:t>παυλον</w:t>
      </w:r>
      <w:r>
        <w:rPr/>
        <w:t>; I=</w:t>
      </w:r>
      <w:r>
        <w:rPr>
          <w:lang w:val="el-GR"/>
        </w:rPr>
        <w:t>ελθειν, ευρειν</w:t>
      </w:r>
      <w:r>
        <w:rPr/>
        <w:t>.</w:t>
      </w:r>
    </w:p>
  </w:footnote>
  <w:footnote w:id="5358">
    <w:p>
      <w:pPr>
        <w:pStyle w:val="Funote"/>
        <w:rPr/>
      </w:pPr>
      <w:r>
        <w:rPr/>
        <w:footnoteRef/>
        <w:tab/>
        <w:t>Genitivus absolutus.</w:t>
      </w:r>
    </w:p>
  </w:footnote>
  <w:footnote w:id="5359">
    <w:p>
      <w:pPr>
        <w:pStyle w:val="Funote"/>
        <w:rPr/>
      </w:pPr>
      <w:r>
        <w:rPr/>
        <w:footnoteRef/>
        <w:tab/>
        <w:t xml:space="preserve">Sowohl Ephesus als auch Milet sind Hafenstädte. Sie sind ca. 70 km voneinander entfernt, also etwa 2–3 Tagesreisen (Schnabel 2002, 1177). Milet wird als unbedeutende Stadt dargestellt: es scheint keine Gemeinde dort zu geben, und selbst die Wolle, für die diese Handelsstadt berühmt war, wird nicht erwähnt. </w:t>
      </w:r>
    </w:p>
  </w:footnote>
  <w:footnote w:id="5360">
    <w:p>
      <w:pPr>
        <w:pStyle w:val="Funote"/>
        <w:rPr/>
      </w:pPr>
      <w:r>
        <w:rPr/>
        <w:footnoteRef/>
        <w:tab/>
        <w:t>tFN: Zeitform hier Aor. Inhaltlich macht Vorvergangenheit mehr Sinn.</w:t>
      </w:r>
    </w:p>
  </w:footnote>
  <w:footnote w:id="5361">
    <w:p>
      <w:pPr>
        <w:pStyle w:val="Funote"/>
        <w:rPr/>
      </w:pPr>
      <w:r>
        <w:rPr/>
        <w:footnoteRef/>
        <w:tab/>
        <w:t>Paulus erinnert an seine Ankunft in Ephesus, die Hauptstadt der römischen Provinz Asia/Asien. Wir wissen von zwei Aufenthalten: sein erster Aufenthalt war am Ende der zweiten Missionsreise (Apg 18,19). Sein längerer Aufenthalt folgt erst in der dritten Missionsreise: in Apg 19,10 werden 2 Jahre erwähnt, nachdem er bereits 3 Monate in den Synagogen gepredigt hatte (Apg 19,8). Die Angabe drei Jahre (V. 31) könnte der inklusiven Zählung zugrunde liegen, bei der angebrochene Jahre mitgezählt werden.</w:t>
      </w:r>
    </w:p>
  </w:footnote>
  <w:footnote w:id="5362">
    <w:p>
      <w:pPr>
        <w:pStyle w:val="Funote"/>
        <w:rPr/>
      </w:pPr>
      <w:r>
        <w:rPr/>
        <w:footnoteRef/>
        <w:tab/>
        <w:t>Die deutsche Übersetzung kann nicht wiedergeben, dass die drei Verhaltensweisen (Demut, Tränen und Versuchungen) hier grammatikalisch gleichgeordnet sind, sie sind Charakteristika für den Dienst des Paulus.</w:t>
      </w:r>
    </w:p>
  </w:footnote>
  <w:footnote w:id="5363">
    <w:p>
      <w:pPr>
        <w:pStyle w:val="Funote"/>
        <w:rPr/>
      </w:pPr>
      <w:r>
        <w:rPr/>
        <w:footnoteRef/>
        <w:tab/>
        <w:t>Vgl. V. 27, der fast parallel aufgebaut ist.</w:t>
      </w:r>
    </w:p>
  </w:footnote>
  <w:footnote w:id="5364">
    <w:p>
      <w:pPr>
        <w:pStyle w:val="Funote"/>
        <w:rPr/>
      </w:pPr>
      <w:r>
        <w:rPr/>
        <w:footnoteRef/>
        <w:tab/>
        <w:t xml:space="preserve">Die doppelte Verneinung „[es gibt] nichts, was ich euch nicht verkündigt hätte“, betont die Vollständigkeit seiner Lehre: er hat nichts verschwiegen, den ganzen Willen Gottes gepredigt, und zwar sowohl den Juden als auch den Griechen; sowohl öffentlich als auch privat, also: mit vollem Einsatz. (Zmijewski 1994, 741) </w:t>
      </w:r>
    </w:p>
  </w:footnote>
  <w:footnote w:id="5365">
    <w:p>
      <w:pPr>
        <w:pStyle w:val="Funote"/>
        <w:rPr/>
      </w:pPr>
      <w:r>
        <w:rPr>
          <w:lang w:val="el-GR"/>
        </w:rPr>
        <w:footnoteRef/>
        <w:tab/>
        <w:t>διαμαρτυρόμαι</w:t>
      </w:r>
      <w:r>
        <w:rPr/>
        <w:t xml:space="preserve"> ist stärker als »bezeugen« (so ELB, LUT, SCHL): durch die Vorsilbe </w:t>
      </w:r>
      <w:r>
        <w:rPr>
          <w:lang w:val="el-GR"/>
        </w:rPr>
        <w:t>δια</w:t>
      </w:r>
      <w:r>
        <w:rPr/>
        <w:t>- hat es eine feierlichen, beschwörenden Klang (Haubeck &amp; Siebenthal 2007, 814)</w:t>
      </w:r>
    </w:p>
  </w:footnote>
  <w:footnote w:id="5366">
    <w:p>
      <w:pPr>
        <w:pStyle w:val="Funote"/>
        <w:rPr/>
      </w:pPr>
      <w:r>
        <w:rPr/>
        <w:footnoteRef/>
        <w:tab/>
        <w:t>tFN: Welcher Geist ist hier gemeint? Ist hier der Heilige Geist gemeint, also »gebunden durch den (Heiligen) Geist« (dat. instrumentalis, so LUT, NGÜ, NIV)? Dann ist seltsam, dass die Qualifizierung »heilig« hier fehlt, in V. 23 aber erwähnt wird. Allerdings wird »Geist« und »Heiliger Geist« in der Apostelgeschichte oft austauschbar verwendet (am deutlichsten Apg 2,4; 8,17–19). Oder handelt es sich um einen idiomatischen Superlativ der geistigen Tätigkeit des Paulus (»mit fester Entschlossenheit«, so Bullinger 1898, 832)? Dafür würde sprechen, dass bereits in Apg 19,21 von dieser Entscheidung mit dem Idiom »im Geist« gesprochen wird. In diesem Fall würde es sich hier um eine Wiederholung und Steigerung (»gebunden«) handeln. Wir schließen uns der Entscheidung von Bruce (1990, 413) an, der beide Alternativen nennt und sich für die erste Variante entscheidet für beide Stellen.</w:t>
      </w:r>
    </w:p>
  </w:footnote>
  <w:footnote w:id="5367">
    <w:p>
      <w:pPr>
        <w:pStyle w:val="Funote"/>
        <w:rPr/>
      </w:pPr>
      <w:r>
        <w:rPr/>
        <w:footnoteRef/>
        <w:tab/>
        <w:t>Erst in Apg 21,11 wird die Warnung konkreter: „fremde Nationen“ werden ihn fesseln (was in Apg 21,33 geschah)</w:t>
      </w:r>
    </w:p>
  </w:footnote>
  <w:footnote w:id="5368">
    <w:p>
      <w:pPr>
        <w:pStyle w:val="Funote"/>
        <w:rPr/>
      </w:pPr>
      <w:r>
        <w:rPr/>
        <w:footnoteRef/>
        <w:tab/>
        <w:t>Die grammatikalische Konstruktion ist hier schwierig zu deuten, weil zwei emphatische Ausdrücke kombiniert werden, inhaltlich aber ist klar: Paulus hält sein Leben „für absolut wertlos“ (Dupont 1966, 67f).</w:t>
      </w:r>
    </w:p>
  </w:footnote>
  <w:footnote w:id="5369">
    <w:p>
      <w:pPr>
        <w:pStyle w:val="Funote"/>
        <w:rPr/>
      </w:pPr>
      <w:r>
        <w:rPr/>
        <w:footnoteRef/>
        <w:tab/>
        <w:t>Textkritik: SCHL fügt hier hinzu, "mit Freuden". (textus receptus)</w:t>
      </w:r>
    </w:p>
  </w:footnote>
  <w:footnote w:id="5370">
    <w:p>
      <w:pPr>
        <w:pStyle w:val="Funote"/>
        <w:rPr/>
      </w:pPr>
      <w:r>
        <w:rPr/>
        <w:footnoteRef/>
        <w:tab/>
        <w:t>Apg 18,6 zeigt, dass er mit dem Blut die fehlende Errettung meint, also „Ich bin unschuldig, wenn einer von euch verloren geht.“ (vgl. Zmijewski 1994, 743). Aber ist nicht jeder für seine eigene Errettung zuständig? Hier hilft ein Verweis auf Wächteramt von Hesekiel: wenn der Prophet Gottes Gerichtswarnung verschweigt, so wird das Gericht den Gottlosen treffen, die Blutschuld aber Hesekiel (Hes 3,18;33,6).</w:t>
      </w:r>
    </w:p>
  </w:footnote>
  <w:footnote w:id="5371">
    <w:p>
      <w:pPr>
        <w:pStyle w:val="Funote"/>
        <w:rPr/>
      </w:pPr>
      <w:r>
        <w:rPr/>
        <w:footnoteRef/>
        <w:tab/>
        <w:t>Bei diesen Aufsehern (</w:t>
      </w:r>
      <w:r>
        <w:rPr>
          <w:lang w:val="el-GR"/>
        </w:rPr>
        <w:t>ἐπισκόποι</w:t>
      </w:r>
      <w:r>
        <w:rPr/>
        <w:t>) handelt es sich um die gleiche Personengruppe wie in V. 17: Älteste (</w:t>
      </w:r>
      <w:r>
        <w:rPr>
          <w:lang w:val="el-GR"/>
        </w:rPr>
        <w:t>πρεσβυτέροι</w:t>
      </w:r>
      <w:r>
        <w:rPr/>
        <w:t>). Wir denken bei Ältesten und Bischöfe zuerst an Autorität und Hierarchie; dies wäre hier anachronistisch. Zu der damaligen Zeit waren beide Begriffe wohl Umschreibungen für die gleiche Aufgabe: sich um die Gemeinde fürsorglich zu kümmern. Paulus erinnert hier an die Verantwortung ihrer Leiterrolle. (vgl. Stott 2000, 473)</w:t>
      </w:r>
    </w:p>
  </w:footnote>
  <w:footnote w:id="5372">
    <w:p>
      <w:pPr>
        <w:pStyle w:val="Funote"/>
        <w:rPr/>
      </w:pPr>
      <w:r>
        <w:rPr/>
        <w:footnoteRef/>
        <w:tab/>
        <w:t>Textkritik: viele Handschriften haben hier "Gemeinde des Herrn". Vgl. Metzger 1971, 425-427</w:t>
      </w:r>
    </w:p>
  </w:footnote>
  <w:footnote w:id="5373">
    <w:p>
      <w:pPr>
        <w:pStyle w:val="Funote"/>
        <w:rPr/>
      </w:pPr>
      <w:r>
        <w:rPr/>
        <w:footnoteRef/>
        <w:tab/>
        <w:t>d.i. durch den Blut seines eigenes [Sohnes]. Vgl. NSS; Dupont: "Paulus an die Seelsorger (1966), S. 107-109</w:t>
      </w:r>
    </w:p>
  </w:footnote>
  <w:footnote w:id="5374">
    <w:p>
      <w:pPr>
        <w:pStyle w:val="Funote"/>
        <w:rPr/>
      </w:pPr>
      <w:r>
        <w:rPr/>
        <w:footnoteRef/>
        <w:tab/>
        <w:t>Präsens-Stamm, durativ-iterativ.</w:t>
      </w:r>
    </w:p>
  </w:footnote>
  <w:footnote w:id="5375">
    <w:p>
      <w:pPr>
        <w:pStyle w:val="Funote"/>
        <w:rPr/>
      </w:pPr>
      <w:r>
        <w:rPr/>
        <w:footnoteRef/>
        <w:tab/>
        <w:t>Also: die Jünger aus der Herde zu entfernen. Stattdessen schließen sie sich diesen Irrlehrern an.</w:t>
      </w:r>
    </w:p>
  </w:footnote>
  <w:footnote w:id="5376">
    <w:p>
      <w:pPr>
        <w:pStyle w:val="Funote"/>
        <w:rPr/>
      </w:pPr>
      <w:r>
        <w:rPr/>
        <w:footnoteRef/>
        <w:tab/>
        <w:t xml:space="preserve">LUT: "der" fähig ist, also Gott. Das Relativpronomen kann sich tatsächlich auf beides beziehen, denn </w:t>
      </w:r>
      <w:r>
        <w:rPr>
          <w:lang w:val="el-GR"/>
        </w:rPr>
        <w:t>θεός</w:t>
      </w:r>
      <w:r>
        <w:rPr/>
        <w:t xml:space="preserve"> und </w:t>
      </w:r>
      <w:r>
        <w:rPr>
          <w:lang w:val="el-GR"/>
        </w:rPr>
        <w:t>λόγος</w:t>
      </w:r>
      <w:r>
        <w:rPr/>
        <w:t xml:space="preserve"> haben den gleichen Genus. Im Kontext der Verse 20.24.27 ist es allerdings wahrscheinlicher, dass Paulus hier die Predigt meint, dessen Inhalt die Gnade ist.</w:t>
      </w:r>
    </w:p>
  </w:footnote>
  <w:footnote w:id="5377">
    <w:p>
      <w:pPr>
        <w:pStyle w:val="Funote"/>
        <w:rPr/>
      </w:pPr>
      <w:r>
        <w:rPr/>
        <w:footnoteRef/>
        <w:tab/>
        <w:t>Silber oder Gold: Paraphrastisch für "Geld". Könnte in der Lesefassung als "Münzen oder Scheine" wiedergegeben werden.</w:t>
      </w:r>
    </w:p>
  </w:footnote>
  <w:footnote w:id="5378">
    <w:p>
      <w:pPr>
        <w:pStyle w:val="Funote"/>
        <w:rPr/>
      </w:pPr>
      <w:r>
        <w:rPr/>
        <w:footnoteRef/>
        <w:tab/>
        <w:t>Als Hintergrund für die nun folgende Ermahnung muss uns bewusst sein: Paulus hat die Jersualem-Kollekte dabei. Lukas erwähnt diese nicht explizit, aber Apg 20,4 deutet stark auf die anvisierte Delegation der Gemeinden (1Kor 16,3) hin (Böttrich 2013). Diese Kollekte ist eine freiwillige Gabe (2Kor 8,3.8; 9,7), die die Verbundenheit der überwiegende heidenchristlichen Gemeinden mit den Judenchristen in Jerusalem ausdrückt (Gal 2,10), und für die Armen in Jerusalem bestimmt ist (2Kor 9,7).</w:t>
      </w:r>
    </w:p>
  </w:footnote>
  <w:footnote w:id="5379">
    <w:p>
      <w:pPr>
        <w:pStyle w:val="Funote"/>
        <w:rPr/>
      </w:pPr>
      <w:r>
        <w:rPr/>
        <w:footnoteRef/>
        <w:tab/>
        <w:t xml:space="preserve">Betonung. Vielleicht auf deutsch: "meine </w:t>
      </w:r>
      <w:r>
        <w:rPr>
          <w:i/>
        </w:rPr>
        <w:t>eigenen</w:t>
      </w:r>
      <w:r>
        <w:rPr/>
        <w:t xml:space="preserve"> Hände"</w:t>
      </w:r>
    </w:p>
  </w:footnote>
  <w:footnote w:id="5380">
    <w:p>
      <w:pPr>
        <w:pStyle w:val="Funote"/>
        <w:rPr/>
      </w:pPr>
      <w:r>
        <w:rPr/>
        <w:footnoteRef/>
        <w:tab/>
        <w:t>Er hat selbst den Unterhalt für sich und seine Begleiter erarbeitet. Dass dies nicht selbstverständlich war, wird in 1Kor 9 deutlich: natürlich haben die Leviten, und damit auch die Wanderprediger (1Kor 9,14), Recht auf Unterhalt. Er verzichtet darauf, nicht weil es von Gott so befohlen ist, sondern freiwillig, um der Verbreitung des Evangeliums in keinster Weise ein Hindernis zu sein (1Kor 9,12). Als er im Gefängnis ist, nimmt er eine Gabe von den Philippern dankend an (Phil 4,10–18).</w:t>
      </w:r>
    </w:p>
  </w:footnote>
  <w:footnote w:id="5381">
    <w:p>
      <w:pPr>
        <w:pStyle w:val="Funote"/>
        <w:rPr/>
      </w:pPr>
      <w:r>
        <w:rPr/>
        <w:footnoteRef/>
        <w:tab/>
        <w:t>Im Griechischen fehlt das Subjekt. Darum haben die Übersetzung hier verschiedene Formulierungen gewählt: man (soll/kann ...) (ELB, LUT, SCHL, EU, HFA), wir (NGÜ, GNB, NeÜ, NIV), ihr (NLB, KJV).</w:t>
      </w:r>
    </w:p>
  </w:footnote>
  <w:footnote w:id="5382">
    <w:p>
      <w:pPr>
        <w:pStyle w:val="Funote"/>
        <w:rPr/>
      </w:pPr>
      <w:r>
        <w:rPr/>
        <w:footnoteRef/>
        <w:tab/>
        <w:t xml:space="preserve">Er begründet sein Verhalten mit dem jüdischen Wohlfahrtsgedanken: wer etwas hat, soll mit dem Teilen, der nicht genug hat (5Mo 24,19; Sach 7,9f; Lk 3,11). </w:t>
      </w:r>
    </w:p>
  </w:footnote>
  <w:footnote w:id="5383">
    <w:p>
      <w:pPr>
        <w:pStyle w:val="Funote"/>
        <w:rPr/>
      </w:pPr>
      <w:r>
        <w:rPr/>
        <w:footnoteRef/>
        <w:tab/>
        <w:t xml:space="preserve">Das Wort </w:t>
      </w:r>
      <w:r>
        <w:rPr>
          <w:lang w:val="el-GR"/>
        </w:rPr>
        <w:t>μακάριος</w:t>
      </w:r>
      <w:r>
        <w:rPr/>
        <w:t xml:space="preserve"> hat dabei sowohl einen horizontalen, als auch einen vertikalen Aspekt: es macht glücklicher, aber auch: es ist gesegneter (Becker 2000, 1642f). </w:t>
      </w:r>
    </w:p>
  </w:footnote>
  <w:footnote w:id="5384">
    <w:p>
      <w:pPr>
        <w:pStyle w:val="Funote"/>
        <w:rPr/>
      </w:pPr>
      <w:r>
        <w:rPr/>
        <w:footnoteRef/>
        <w:tab/>
        <w:t>Dieses Jesus-Wort ist nicht in den Evangelien überliefert. Aber vgl. Lk 6,38</w:t>
      </w:r>
    </w:p>
  </w:footnote>
  <w:footnote w:id="5385">
    <w:p>
      <w:pPr>
        <w:pStyle w:val="Funote"/>
        <w:rPr/>
      </w:pPr>
      <w:r>
        <w:rPr/>
        <w:footnoteRef/>
        <w:tab/>
        <w:t>Impf - durativ iterativ (oder linear: sie hörten nicht auf, ihn zu küssen). Beides spricht von einem längerem Abschied.</w:t>
      </w:r>
    </w:p>
  </w:footnote>
  <w:footnote w:id="5386">
    <w:p>
      <w:pPr>
        <w:pStyle w:val="Funote"/>
        <w:rPr/>
      </w:pPr>
      <w:r>
        <w:rPr/>
        <w:footnoteRef/>
        <w:tab/>
        <w:t>w. sie statteten ihn zur Weiterreise aus. D.h. sie taten alles, was sie konnten, um Paulus ein letztes Mal Ehre zu erweisen. Antike Gastfreundschaft</w:t>
      </w:r>
    </w:p>
  </w:footnote>
  <w:footnote w:id="5387">
    <w:p>
      <w:pPr>
        <w:pStyle w:val="Funote"/>
        <w:rPr/>
      </w:pPr>
      <w:r>
        <w:rPr/>
        <w:footnoteRef/>
        <w:tab/>
        <w:t>[Status: Ungeprüft]</w:t>
      </w:r>
    </w:p>
  </w:footnote>
  <w:footnote w:id="5388">
    <w:p>
      <w:pPr>
        <w:pStyle w:val="Funote"/>
        <w:rPr/>
      </w:pPr>
      <w:r>
        <w:rPr/>
        <w:footnoteRef/>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w:t>
      </w:r>
      <w:hyperlink r:id="rId549">
        <w:r>
          <w:rPr>
            <w:rStyle w:val="Internetverknpfung"/>
          </w:rPr>
          <w:t>1 Sam 18,5.30</w:t>
        </w:r>
      </w:hyperlink>
      <w:r>
        <w:rPr/>
        <w:t xml:space="preserve"> und </w:t>
      </w:r>
      <w:hyperlink r:id="rId550">
        <w:r>
          <w:rPr>
            <w:rStyle w:val="Internetverknpfung"/>
          </w:rPr>
          <w:t>19,4</w:t>
        </w:r>
      </w:hyperlink>
      <w:r>
        <w:rPr/>
        <w:t xml:space="preserve"> (Haaker </w:t>
      </w:r>
      <w:r>
        <w:rPr>
          <w:position w:val="7"/>
          <w:sz w:val="16"/>
        </w:rPr>
        <w:t>3</w:t>
      </w:r>
      <w:r>
        <w:rPr/>
        <w:t>2006, 22–23).</w:t>
      </w:r>
    </w:p>
  </w:footnote>
  <w:footnote w:id="5389">
    <w:p>
      <w:pPr>
        <w:pStyle w:val="Funote"/>
        <w:rPr/>
      </w:pPr>
      <w:r>
        <w:rPr/>
        <w:footnoteRef/>
        <w:tab/>
        <w:t>D.h. wohl „seiner menschlichen Abstammung nach“ (vgl. NGÜ)</w:t>
      </w:r>
    </w:p>
  </w:footnote>
  <w:footnote w:id="5390">
    <w:p>
      <w:pPr>
        <w:pStyle w:val="Funote"/>
        <w:rPr/>
      </w:pPr>
      <w:r>
        <w:rPr/>
        <w:footnoteRef/>
        <w:tab/>
        <w:t xml:space="preserve">D.h. „seiner himmlischen Herkunft nach“. Paulus erklärt hier anhand einer zitierten Formulierung die Zweinaturenlehre von Jesu irdischer Herkunft und seiner himmlischen Herkunft. Es geht also nicht - wie anderswo bei Paulus (etwa </w:t>
      </w:r>
      <w:hyperlink r:id="rId551">
        <w:r>
          <w:rPr>
            <w:rStyle w:val="Internetverknpfung"/>
          </w:rPr>
          <w:t>Gal 5</w:t>
        </w:r>
      </w:hyperlink>
      <w:r>
        <w:rPr/>
        <w:t xml:space="preserve">) um einen Gegensatz zwischen „Fleisch“ und „Geist“ im Leben der Christen. </w:t>
      </w:r>
    </w:p>
  </w:footnote>
  <w:footnote w:id="5391">
    <w:p>
      <w:pPr>
        <w:pStyle w:val="Funote"/>
        <w:rPr/>
      </w:pPr>
      <w:r>
        <w:rPr/>
        <w:footnoteRef/>
        <w:tab/>
        <w:t xml:space="preserve">Wörtlich </w:t>
      </w:r>
      <w:r>
        <w:rPr>
          <w:lang w:val="el-GR"/>
        </w:rPr>
        <w:t>ἐξ ἀναστάσεως νεκρῶν</w:t>
      </w:r>
      <w:r>
        <w:rPr/>
        <w:t xml:space="preserve"> „</w:t>
      </w:r>
      <w:r>
        <w:rPr>
          <w:i/>
        </w:rPr>
        <w:t>aus</w:t>
      </w:r>
      <w:r>
        <w:rPr/>
        <w:t xml:space="preserve"> der Auferstehung der Toten“. „Aus“ ist entweder kausal („durch“) oder temporal („nach“) zu verstehen, hier wurde einstweilen kausal formuliert. </w:t>
      </w:r>
    </w:p>
  </w:footnote>
  <w:footnote w:id="5392">
    <w:p>
      <w:pPr>
        <w:pStyle w:val="Funote"/>
        <w:rPr/>
      </w:pPr>
      <w:r>
        <w:rPr/>
        <w:footnoteRef/>
        <w:tab/>
        <w:t>„</w:t>
      </w:r>
      <w:r>
        <w:rPr>
          <w:i/>
        </w:rPr>
        <w:t>Sohn Gottes in Macht“</w:t>
      </w:r>
      <w:r>
        <w:rPr/>
        <w:t xml:space="preserve">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 </w:t>
      </w:r>
    </w:p>
  </w:footnote>
  <w:footnote w:id="5393">
    <w:p>
      <w:pPr>
        <w:pStyle w:val="Funote"/>
        <w:rPr/>
      </w:pPr>
      <w:r>
        <w:rPr/>
        <w:footnoteRef/>
        <w:tab/>
        <w:t xml:space="preserve">Jesus wurde durch Tod und Auferstehung in das messianische Amt des verheißenen Königs von Israel eingesetzt, der ein Erbe Davids sein sollte (vgl. </w:t>
      </w:r>
      <w:r>
        <w:fldChar w:fldCharType="begin"/>
      </w:r>
      <w:r>
        <w:instrText> HYPERLINK "file:///wiki/Römer_1" \l "s3"</w:instrText>
      </w:r>
      <w:r>
        <w:fldChar w:fldCharType="separate"/>
      </w:r>
      <w:r>
        <w:rPr>
          <w:rStyle w:val="Internetverknpfung"/>
        </w:rPr>
        <w:t>3</w:t>
      </w:r>
      <w:r>
        <w:fldChar w:fldCharType="end"/>
      </w:r>
      <w:r>
        <w:rPr/>
        <w:t xml:space="preserve">), also zum Messias gemacht. Obwohl er das schon vorher war, ist dieser Status erst jetzt in Kraft getreten. Röm 1,4 darf man hingegen nicht adoptianistisch verstehen, dass Jesus also erst nach seinem Tod als Sohn Gottes adoptiert wurde und vorher lediglich Mensch war. </w:t>
      </w:r>
    </w:p>
  </w:footnote>
  <w:footnote w:id="5394">
    <w:p>
      <w:pPr>
        <w:pStyle w:val="Funote"/>
        <w:rPr/>
      </w:pPr>
      <w:r>
        <w:rPr/>
        <w:footnoteRef/>
        <w:tab/>
        <w:t>Oder „... auch ihr seid, weil ihr von Jesus Christus berufen worden seid“. Dann wird das Ptz. „berufen“ kausal aufgelöst (vgl. Menge). [von] Jesus Christus Berufene Genitivus auctoris (NSS, 900).</w:t>
      </w:r>
    </w:p>
  </w:footnote>
  <w:footnote w:id="5395">
    <w:p>
      <w:pPr>
        <w:pStyle w:val="Funote"/>
        <w:rPr/>
      </w:pPr>
      <w:r>
        <w:rPr/>
        <w:footnoteRef/>
        <w:tab/>
        <w:t>Theoretisch ebenfalls möglich: „unserem Vater und Herrn von Jesus Christus“ oder „unserem Vater sowie [dem Vater] unseres Herrn Jesus Christus“</w:t>
      </w:r>
    </w:p>
  </w:footnote>
  <w:footnote w:id="5396">
    <w:p>
      <w:pPr>
        <w:pStyle w:val="Funote"/>
        <w:rPr/>
      </w:pPr>
      <w:r>
        <w:rPr/>
        <w:footnoteRef/>
        <w:tab/>
        <w:t>Luther: „dass man von eurem Glauben in aller Welt spricht“ (ähnlich NGÜ, GNB, Menge)</w:t>
      </w:r>
    </w:p>
  </w:footnote>
  <w:footnote w:id="5397">
    <w:p>
      <w:pPr>
        <w:pStyle w:val="Funote"/>
        <w:rPr/>
      </w:pPr>
      <w:r>
        <w:rPr/>
        <w:footnoteRef/>
        <w:tab/>
        <w:t xml:space="preserve">Das Verb meint einen Dienst im Sinne religiöser Verehrung (engl. „worship“; vgl. Wilckens </w:t>
      </w:r>
      <w:r>
        <w:rPr>
          <w:position w:val="7"/>
          <w:sz w:val="16"/>
        </w:rPr>
        <w:t>2</w:t>
      </w:r>
      <w:r>
        <w:rPr/>
        <w:t xml:space="preserve">1987, 78), nicht einfach den Dienst eines Sklaven. </w:t>
      </w:r>
    </w:p>
  </w:footnote>
  <w:footnote w:id="5398">
    <w:p>
      <w:pPr>
        <w:pStyle w:val="Funote"/>
        <w:rPr/>
      </w:pPr>
      <w:r>
        <w:rPr>
          <w:i/>
        </w:rPr>
        <w:footnoteRef/>
        <w:tab/>
        <w:t>an euch denke</w:t>
      </w:r>
      <w:r>
        <w:rPr/>
        <w:t xml:space="preserve"> W. „euer Andenken mache“</w:t>
      </w:r>
    </w:p>
  </w:footnote>
  <w:footnote w:id="5399">
    <w:p>
      <w:pPr>
        <w:pStyle w:val="Funote"/>
        <w:rPr/>
      </w:pPr>
      <w:r>
        <w:rPr/>
        <w:footnoteRef/>
        <w:tab/>
        <w:t>Oder über die Versgrenzen hinweg „dass ich beständig, jedes Mal bei meinen Gebeten an euch denke und [darum] bitte, dass...“</w:t>
      </w:r>
    </w:p>
  </w:footnote>
  <w:footnote w:id="5400">
    <w:p>
      <w:pPr>
        <w:pStyle w:val="Funote"/>
        <w:rPr/>
      </w:pPr>
      <w:r>
        <w:rPr/>
        <w:footnoteRef/>
        <w:tab/>
        <w:t xml:space="preserve">Participium coniunctum, hier temporal aufgelöst (mit „wenn“). Möglich auch als „und“-Kombination („denke und … bitte“) oder kausal (mit „weil“). </w:t>
      </w:r>
    </w:p>
  </w:footnote>
  <w:footnote w:id="5401">
    <w:p>
      <w:pPr>
        <w:pStyle w:val="Funote"/>
        <w:rPr/>
      </w:pPr>
      <w:r>
        <w:rPr/>
        <w:footnoteRef/>
        <w:tab/>
        <w:t>Oder: "einmal schaffen könnte, in Gottes Willen zu euch zu kommen"</w:t>
      </w:r>
    </w:p>
  </w:footnote>
  <w:footnote w:id="5402">
    <w:p>
      <w:pPr>
        <w:pStyle w:val="Funote"/>
        <w:rPr/>
      </w:pPr>
      <w:r>
        <w:rPr/>
        <w:footnoteRef/>
        <w:tab/>
        <w:t>W. „und dieses [Geschenk] ist“</w:t>
      </w:r>
    </w:p>
  </w:footnote>
  <w:footnote w:id="5403">
    <w:p>
      <w:pPr>
        <w:pStyle w:val="Funote"/>
        <w:rPr/>
      </w:pPr>
      <w:r>
        <w:rPr/>
        <w:footnoteRef/>
        <w:tab/>
        <w:t>Oder freier „durch den uns allen gemeinsamen Glauben“ (so Zür).</w:t>
      </w:r>
    </w:p>
  </w:footnote>
  <w:footnote w:id="5404">
    <w:p>
      <w:pPr>
        <w:pStyle w:val="Funote"/>
        <w:rPr/>
      </w:pPr>
      <w:r>
        <w:rPr/>
        <w:footnoteRef/>
        <w:tab/>
        <w:t xml:space="preserve">Oder „Ich will aber nicht, dass ihr unwissend bleibt.“ Die gewählte Übersetzung löst den AcI aber genauer und eleganter auf. </w:t>
      </w:r>
    </w:p>
  </w:footnote>
  <w:footnote w:id="5405">
    <w:p>
      <w:pPr>
        <w:pStyle w:val="Funote"/>
        <w:rPr/>
      </w:pPr>
      <w:r>
        <w:rPr/>
        <w:footnoteRef/>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5406">
    <w:p>
      <w:pPr>
        <w:pStyle w:val="Funote"/>
        <w:rPr/>
      </w:pPr>
      <w:r>
        <w:rPr/>
        <w:footnoteRef/>
        <w:tab/>
        <w:t xml:space="preserve">Substantiviertes Ptz., als Relativsatz aufgelöst. </w:t>
      </w:r>
    </w:p>
  </w:footnote>
  <w:footnote w:id="5407">
    <w:p>
      <w:pPr>
        <w:pStyle w:val="Funote"/>
        <w:rPr/>
      </w:pPr>
      <w:r>
        <w:rPr/>
        <w:footnoteRef/>
        <w:tab/>
        <w:t>[Platzhalter]</w:t>
      </w:r>
    </w:p>
  </w:footnote>
  <w:footnote w:id="5408">
    <w:p>
      <w:pPr>
        <w:pStyle w:val="Funote"/>
        <w:rPr/>
      </w:pPr>
      <w:r>
        <w:rPr>
          <w:i/>
        </w:rPr>
        <w:footnoteRef/>
        <w:tab/>
        <w:t>aufgrund des Glaubens zum Glauben</w:t>
      </w:r>
      <w:r>
        <w:rPr/>
        <w:t xml:space="preserve"> Es wird klar, was damit gemeint ist, wenn man beachtet, dass </w:t>
      </w:r>
      <w:r>
        <w:rPr>
          <w:lang w:val="el-GR"/>
        </w:rPr>
        <w:t>ἐν αὐτῷ</w:t>
      </w:r>
      <w:r>
        <w:rPr/>
        <w:t xml:space="preserve"> </w:t>
      </w:r>
      <w:r>
        <w:rPr>
          <w:i/>
        </w:rPr>
        <w:t>darin</w:t>
      </w:r>
      <w:r>
        <w:rPr/>
        <w:t xml:space="preserve"> und </w:t>
      </w:r>
      <w:r>
        <w:rPr>
          <w:lang w:val="el-GR"/>
        </w:rPr>
        <w:t>γὰρ</w:t>
      </w:r>
      <w:r>
        <w:rPr/>
        <w:t xml:space="preserve"> </w:t>
      </w:r>
      <w:r>
        <w:rPr>
          <w:i/>
        </w:rPr>
        <w:t>ja</w:t>
      </w:r>
      <w:r>
        <w:rPr/>
        <w:t xml:space="preserve"> darauf hinweisen, dass V. 17 V. 16 genauer erklärt. </w:t>
      </w:r>
      <w:r>
        <w:rPr>
          <w:lang w:val="el-GR"/>
        </w:rPr>
        <w:t>ἐκ πίστεως</w:t>
      </w:r>
      <w:r>
        <w:rPr/>
        <w:t xml:space="preserve"> </w:t>
      </w:r>
      <w:r>
        <w:rPr>
          <w:i/>
        </w:rPr>
        <w:t>aufgrund des Glaubens</w:t>
      </w:r>
      <w:r>
        <w:rPr/>
        <w:t xml:space="preserve"> ist diese Gerechtigkeit verfügbar, weil die Gerechtigkeit Gottes (vgl. vorige Fußnote) im Evangelium auf Gottes Kraft beruht, und </w:t>
      </w:r>
      <w:r>
        <w:rPr>
          <w:lang w:val="el-GR"/>
        </w:rPr>
        <w:t>εἰς πίστιν</w:t>
      </w:r>
      <w:r>
        <w:rPr/>
        <w:t xml:space="preserve"> </w:t>
      </w:r>
      <w:r>
        <w:rPr>
          <w:i/>
        </w:rPr>
        <w:t>zum Glauben</w:t>
      </w:r>
      <w:r>
        <w:rPr/>
        <w:t xml:space="preserve"> führt Gottes Gerechtigkeit jeden, der glaubt (Wilckens </w:t>
      </w:r>
      <w:r>
        <w:rPr>
          <w:position w:val="7"/>
          <w:sz w:val="16"/>
        </w:rPr>
        <w:t>2</w:t>
      </w:r>
      <w:r>
        <w:rPr/>
        <w:t xml:space="preserve">1987, 86). Sinngemäß könnte man also zusammenfassen: „Gerechtigkeit Gottes aufgrund des Glaubens (weil Gottes Kraft sie erwirkt), die zum Glauben führt“ </w:t>
      </w:r>
    </w:p>
  </w:footnote>
  <w:footnote w:id="5409">
    <w:p>
      <w:pPr>
        <w:pStyle w:val="Funote"/>
        <w:rPr/>
      </w:pPr>
      <w:r>
        <w:rPr/>
        <w:footnoteRef/>
        <w:tab/>
        <w:t>[Status: Ungeprüft]</w:t>
      </w:r>
    </w:p>
  </w:footnote>
  <w:footnote w:id="5410">
    <w:p>
      <w:pPr>
        <w:pStyle w:val="Funote"/>
        <w:rPr/>
      </w:pPr>
      <w:r>
        <w:rPr/>
        <w:footnoteRef/>
        <w:tab/>
        <w:t xml:space="preserve">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w:t>
      </w:r>
      <w:r>
        <w:rPr>
          <w:position w:val="7"/>
          <w:sz w:val="16"/>
        </w:rPr>
        <w:t>3</w:t>
      </w:r>
      <w:r>
        <w:rPr/>
        <w:t>2006, S. 62</w:t>
      </w:r>
    </w:p>
  </w:footnote>
  <w:footnote w:id="5411">
    <w:p>
      <w:pPr>
        <w:pStyle w:val="Funote"/>
        <w:rPr/>
      </w:pPr>
      <w:r>
        <w:rPr/>
        <w:footnoteRef/>
        <w:tab/>
        <w:t>Ein Genitivus absolutus wurde hier als (einigermaßen neutral einzustufender) Relativsatz übersetzt.</w:t>
      </w:r>
    </w:p>
  </w:footnote>
  <w:footnote w:id="5412">
    <w:p>
      <w:pPr>
        <w:pStyle w:val="Funote"/>
        <w:rPr/>
      </w:pPr>
      <w:r>
        <w:rPr/>
        <w:footnoteRef/>
        <w:tab/>
        <w:t>[Status: Ungeprüft]</w:t>
      </w:r>
    </w:p>
  </w:footnote>
  <w:footnote w:id="5413">
    <w:p>
      <w:pPr>
        <w:pStyle w:val="Funote"/>
        <w:rPr/>
      </w:pPr>
      <w:r>
        <w:rPr>
          <w:i/>
        </w:rPr>
        <w:footnoteRef/>
        <w:tab/>
        <w:t>perissos</w:t>
      </w:r>
      <w:r>
        <w:rPr/>
        <w:t xml:space="preserve"> meint das, was über das übliche Maß oder die übliche Anzahl hinausgeht. Damit stehen Bedeutungshorizonte von „besonders“ bzw. „vorzüglich“ bis „überflüssig“ bzw. „unnötig“ offen.</w:t>
      </w:r>
    </w:p>
  </w:footnote>
  <w:footnote w:id="5414">
    <w:p>
      <w:pPr>
        <w:pStyle w:val="Funote"/>
        <w:rPr/>
      </w:pPr>
      <w:r>
        <w:rPr/>
        <w:footnoteRef/>
        <w:tab/>
        <w:t xml:space="preserve">Grundsätzlich kann man hier </w:t>
      </w:r>
      <w:r>
        <w:rPr>
          <w:i/>
        </w:rPr>
        <w:t>prwton</w:t>
      </w:r>
      <w:r>
        <w:rPr/>
        <w:t xml:space="preserve">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w:t>
      </w:r>
      <w:r>
        <w:rPr>
          <w:i/>
        </w:rPr>
        <w:t>prwton</w:t>
      </w:r>
      <w:r>
        <w:rPr/>
        <w:t xml:space="preserve"> auch den Rang bezeichnen („in erster Linie“, „vor allem“), beziehungsweise einfach die Grundbedeutung „zuerst, früher, vorher“ meinen. Die Übersetzung mit dem Rang scheint mir gut zu passen.</w:t>
      </w:r>
    </w:p>
  </w:footnote>
  <w:footnote w:id="5415">
    <w:p>
      <w:pPr>
        <w:pStyle w:val="Funote"/>
        <w:rPr/>
      </w:pPr>
      <w:r>
        <w:rPr/>
        <w:footnoteRef/>
        <w:tab/>
        <w:t>Das verneinende Partikel wird in direkten Fragen mit „doch nicht“ oder „etwa“ übersetzt</w:t>
      </w:r>
    </w:p>
  </w:footnote>
  <w:footnote w:id="5416">
    <w:p>
      <w:pPr>
        <w:pStyle w:val="Funote"/>
        <w:rPr/>
      </w:pPr>
      <w:r>
        <w:rPr/>
        <w:footnoteRef/>
        <w:tab/>
        <w:t xml:space="preserve">Gott kann schwer gläubig sein. Bei ihm/ihr wird </w:t>
      </w:r>
      <w:r>
        <w:rPr>
          <w:i/>
        </w:rPr>
        <w:t>pistis</w:t>
      </w:r>
      <w:r>
        <w:rPr/>
        <w:t xml:space="preserve"> wohl besser mit Treue übersetzt. Bei den Menschen geht es aber in erster Linie um den Glauben, id est die Treue zu Gott.</w:t>
      </w:r>
    </w:p>
  </w:footnote>
  <w:footnote w:id="5417">
    <w:p>
      <w:pPr>
        <w:pStyle w:val="Funote"/>
        <w:rPr/>
      </w:pPr>
      <w:r>
        <w:rPr/>
        <w:footnoteRef/>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5418">
    <w:p>
      <w:pPr>
        <w:pStyle w:val="Funote"/>
        <w:rPr/>
      </w:pPr>
      <w:r>
        <w:rPr/>
        <w:footnoteRef/>
        <w:tab/>
        <w:t>Bei Personen: wahrhaftig oder aufrichtig, bei Sachen: wahr, insgesamt aber auch: wirklich oder echt;</w:t>
      </w:r>
    </w:p>
  </w:footnote>
  <w:footnote w:id="5419">
    <w:p>
      <w:pPr>
        <w:pStyle w:val="Funote"/>
        <w:rPr/>
      </w:pPr>
      <w:r>
        <w:rPr/>
        <w:footnoteRef/>
        <w:tab/>
        <w:t>Eigentlich ein Partizip, also wörtlich: „keinen Verstehenden“ bzw. „keinen Begreifenden“.</w:t>
      </w:r>
    </w:p>
  </w:footnote>
  <w:footnote w:id="5420">
    <w:p>
      <w:pPr>
        <w:pStyle w:val="Funote"/>
        <w:rPr/>
      </w:pPr>
      <w:r>
        <w:rPr/>
        <w:footnoteRef/>
        <w:tab/>
        <w:t>(h)ews bezeichnet die Höchstgrenze, die sich normalerweise gut mit „bis“ ausdrücken lässt. Hier geht es um eine negative Höchstgrenze, was mit „nicht einmal“ widergegeben wird</w:t>
      </w:r>
    </w:p>
  </w:footnote>
  <w:footnote w:id="5421">
    <w:p>
      <w:pPr>
        <w:pStyle w:val="Funote"/>
        <w:rPr/>
      </w:pPr>
      <w:r>
        <w:rPr/>
        <w:footnoteRef/>
        <w:tab/>
        <w:t>abstrakt: Zorn</w:t>
      </w:r>
    </w:p>
  </w:footnote>
  <w:footnote w:id="5422">
    <w:p>
      <w:pPr>
        <w:pStyle w:val="Funote"/>
        <w:rPr/>
      </w:pPr>
      <w:r>
        <w:rPr/>
        <w:footnoteRef/>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5423">
    <w:p>
      <w:pPr>
        <w:pStyle w:val="Funote"/>
        <w:rPr/>
      </w:pPr>
      <w:r>
        <w:rPr>
          <w:i/>
        </w:rPr>
        <w:footnoteRef/>
        <w:tab/>
        <w:t>enwpion</w:t>
      </w:r>
      <w:r>
        <w:rPr/>
        <w:t xml:space="preserve"> meint grundsätzlich „vor jdn./etw.“ und kann daher auch „vor den Augen von jdn.“ bzw. „in Gegenwart“ meinen. Daraus resultiert wiederum die dritte Bedeutung „nach Meinung“ oder „nach dem Urteil“, welche hier im Gesetzeskontext m.E. sehr relevant ist.</w:t>
      </w:r>
    </w:p>
  </w:footnote>
  <w:footnote w:id="5424">
    <w:p>
      <w:pPr>
        <w:pStyle w:val="Funote"/>
        <w:rPr/>
      </w:pPr>
      <w:r>
        <w:rPr/>
        <w:footnoteRef/>
        <w:tab/>
        <w:t>abstrakt: Erlösung</w:t>
      </w:r>
    </w:p>
  </w:footnote>
  <w:footnote w:id="5425">
    <w:p>
      <w:pPr>
        <w:pStyle w:val="Funote"/>
        <w:rPr/>
      </w:pPr>
      <w:r>
        <w:rPr/>
        <w:footnoteRef/>
        <w:tab/>
        <w:t>...den, [der] aus Glauben an Jesus [ist],...</w:t>
      </w:r>
    </w:p>
  </w:footnote>
  <w:footnote w:id="5426">
    <w:p>
      <w:pPr>
        <w:pStyle w:val="Funote"/>
        <w:rPr/>
      </w:pPr>
      <w:r>
        <w:rPr/>
        <w:footnoteRef/>
        <w:tab/>
        <w:t>eigentlich: [die] Beschneidung</w:t>
      </w:r>
    </w:p>
  </w:footnote>
  <w:footnote w:id="5427">
    <w:p>
      <w:pPr>
        <w:pStyle w:val="Funote"/>
        <w:rPr/>
      </w:pPr>
      <w:r>
        <w:rPr/>
        <w:footnoteRef/>
        <w:tab/>
        <w:t>eigentlich: [die] Vorhaut</w:t>
      </w:r>
    </w:p>
  </w:footnote>
  <w:footnote w:id="5428">
    <w:p>
      <w:pPr>
        <w:pStyle w:val="Funote"/>
        <w:rPr/>
      </w:pPr>
      <w:r>
        <w:rPr/>
        <w:footnoteRef/>
        <w:tab/>
        <w:t>[Status: Ungeprüft]</w:t>
      </w:r>
    </w:p>
  </w:footnote>
  <w:footnote w:id="5429">
    <w:p>
      <w:pPr>
        <w:pStyle w:val="Funote"/>
        <w:rPr/>
      </w:pPr>
      <w:r>
        <w:rPr/>
        <w:footnoteRef/>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5430">
    <w:p>
      <w:pPr>
        <w:pStyle w:val="Funote"/>
        <w:rPr/>
      </w:pPr>
      <w:r>
        <w:rPr/>
        <w:footnoteRef/>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5431">
    <w:p>
      <w:pPr>
        <w:pStyle w:val="Funote"/>
        <w:rPr/>
      </w:pPr>
      <w:r>
        <w:rPr/>
        <w:footnoteRef/>
        <w:tab/>
        <w:t>Verstärkte Verneinung!</w:t>
      </w:r>
    </w:p>
  </w:footnote>
  <w:footnote w:id="5432">
    <w:p>
      <w:pPr>
        <w:pStyle w:val="Funote"/>
        <w:rPr/>
      </w:pPr>
      <w:r>
        <w:rPr/>
        <w:footnoteRef/>
        <w:tab/>
        <w:t>EWigentlich: „für die Beschneidung“.</w:t>
      </w:r>
    </w:p>
  </w:footnote>
  <w:footnote w:id="5433">
    <w:p>
      <w:pPr>
        <w:pStyle w:val="Funote"/>
        <w:rPr/>
      </w:pPr>
      <w:r>
        <w:rPr/>
        <w:footnoteRef/>
        <w:tab/>
        <w:t>Wörtlich: „In [der] Beschneidung seiend, oder in [der] Vorhaut?“</w:t>
      </w:r>
    </w:p>
  </w:footnote>
  <w:footnote w:id="5434">
    <w:p>
      <w:pPr>
        <w:pStyle w:val="Funote"/>
        <w:rPr/>
      </w:pPr>
      <w:r>
        <w:rPr/>
        <w:footnoteRef/>
        <w:tab/>
        <w:t>Wörtlich: „Nicht in [der] Beschneidung, sondern in [der] Vorhaut“. Zum besseren Verständnis könnte ergänzt werden: „…wurde ihm der Glaube zur Gerechtigkeit zugerechnet“</w:t>
      </w:r>
    </w:p>
  </w:footnote>
  <w:footnote w:id="5435">
    <w:p>
      <w:pPr>
        <w:pStyle w:val="Funote"/>
        <w:rPr/>
      </w:pPr>
      <w:r>
        <w:rPr/>
        <w:footnoteRef/>
        <w:tab/>
        <w:t xml:space="preserve">Das </w:t>
      </w:r>
      <w:r>
        <w:rPr>
          <w:lang w:val="el-GR"/>
        </w:rPr>
        <w:t>καὶ</w:t>
      </w:r>
      <w:r>
        <w:rPr/>
        <w:t xml:space="preserve"> ist textkritisch strittig: Die </w:t>
      </w:r>
      <w:r>
        <w:rPr>
          <w:i/>
        </w:rPr>
        <w:t>codices</w:t>
      </w:r>
      <w:r>
        <w:rPr/>
        <w:t xml:space="preserve"> </w:t>
      </w:r>
      <w:r>
        <w:rPr>
          <w:rtl w:val="true"/>
          <w:lang w:bidi="he-IL"/>
        </w:rPr>
        <w:t>א</w:t>
      </w:r>
      <w:r>
        <w:rPr/>
        <w:t>,C², D* u.a. lassen es weg.</w:t>
      </w:r>
    </w:p>
  </w:footnote>
  <w:footnote w:id="5436">
    <w:p>
      <w:pPr>
        <w:pStyle w:val="Funote"/>
        <w:rPr/>
      </w:pPr>
      <w:r>
        <w:rPr/>
        <w:footnoteRef/>
        <w:tab/>
        <w:t>D.h. nicht allein derer, die beschnitten sind…</w:t>
      </w:r>
    </w:p>
  </w:footnote>
  <w:footnote w:id="5437">
    <w:p>
      <w:pPr>
        <w:pStyle w:val="Funote"/>
        <w:rPr/>
      </w:pPr>
      <w:r>
        <w:rPr/>
        <w:footnoteRef/>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5438">
    <w:p>
      <w:pPr>
        <w:pStyle w:val="Funote"/>
        <w:rPr/>
      </w:pPr>
      <w:r>
        <w:rPr/>
        <w:footnoteRef/>
        <w:tab/>
        <w:t>Wörtlich: „nicht ein“.</w:t>
      </w:r>
    </w:p>
  </w:footnote>
  <w:footnote w:id="5439">
    <w:p>
      <w:pPr>
        <w:pStyle w:val="Funote"/>
        <w:rPr/>
      </w:pPr>
      <w:r>
        <w:rPr/>
        <w:footnoteRef/>
        <w:tab/>
        <w:t>Wörtlich: „nicht ein“.</w:t>
      </w:r>
    </w:p>
  </w:footnote>
  <w:footnote w:id="5440">
    <w:p>
      <w:pPr>
        <w:pStyle w:val="Funote"/>
        <w:rPr/>
      </w:pPr>
      <w:r>
        <w:rPr>
          <w:lang w:val="el-GR"/>
        </w:rPr>
        <w:footnoteRef/>
        <w:tab/>
        <w:t>κατέναντι</w:t>
      </w:r>
      <w:r>
        <w:rPr/>
        <w:t xml:space="preserve"> meint grundsätzlich „gegenüber“, in übertragenem Sinne aber auch „vor den Augen“, bzw. verkürzt schlicht „vor“.</w:t>
      </w:r>
    </w:p>
  </w:footnote>
  <w:footnote w:id="5441">
    <w:p>
      <w:pPr>
        <w:pStyle w:val="Funote"/>
        <w:rPr/>
      </w:pPr>
      <w:r>
        <w:rPr/>
        <w:footnoteRef/>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5442">
    <w:p>
      <w:pPr>
        <w:pStyle w:val="Funote"/>
        <w:rPr/>
      </w:pPr>
      <w:r>
        <w:rPr/>
        <w:footnoteRef/>
        <w:tab/>
        <w:t>Da es eine Verheißung und keine Prophetie ist, ist das Futur vermutlich besser mit „soll“ zu übersetzen. In der Studienfassung bleibe ich bei der wörtlichen Wiedergabe des Futurs.</w:t>
      </w:r>
    </w:p>
  </w:footnote>
  <w:footnote w:id="5443">
    <w:p>
      <w:pPr>
        <w:pStyle w:val="Funote"/>
        <w:rPr/>
      </w:pPr>
      <w:r>
        <w:rPr/>
        <w:footnoteRef/>
        <w:tab/>
        <w:t xml:space="preserve">Das </w:t>
      </w:r>
      <w:r>
        <w:rPr>
          <w:lang w:val="el-GR"/>
        </w:rPr>
        <w:t>ἤδη</w:t>
      </w:r>
      <w:r>
        <w:rPr/>
        <w:t xml:space="preserve"> ist textkritisch strittig: Die </w:t>
      </w:r>
      <w:r>
        <w:rPr>
          <w:i/>
        </w:rPr>
        <w:t>codices</w:t>
      </w:r>
      <w:r>
        <w:rPr/>
        <w:t xml:space="preserve"> B, F, G u.a. lassen es weg.</w:t>
      </w:r>
    </w:p>
  </w:footnote>
  <w:footnote w:id="5444">
    <w:p>
      <w:pPr>
        <w:pStyle w:val="Funote"/>
        <w:rPr/>
      </w:pPr>
      <w:r>
        <w:rPr/>
        <w:footnoteRef/>
        <w:tab/>
        <w:t>Also Gott.</w:t>
      </w:r>
    </w:p>
  </w:footnote>
  <w:footnote w:id="5445">
    <w:p>
      <w:pPr>
        <w:pStyle w:val="Funote"/>
        <w:rPr/>
      </w:pPr>
      <w:r>
        <w:rPr/>
        <w:footnoteRef/>
        <w:tab/>
        <w:t xml:space="preserve">Das </w:t>
      </w:r>
      <w:r>
        <w:rPr>
          <w:lang w:val="el-GR"/>
        </w:rPr>
        <w:t>καὶ</w:t>
      </w:r>
      <w:r>
        <w:rPr/>
        <w:t xml:space="preserve"> ist textkritisch strittig: Die </w:t>
      </w:r>
      <w:r>
        <w:rPr>
          <w:i/>
        </w:rPr>
        <w:t>codices</w:t>
      </w:r>
      <w:r>
        <w:rPr/>
        <w:t xml:space="preserve"> B, D*, F, G u.a. lassen es weg.</w:t>
      </w:r>
    </w:p>
  </w:footnote>
  <w:footnote w:id="5446">
    <w:p>
      <w:pPr>
        <w:pStyle w:val="Funote"/>
        <w:rPr/>
      </w:pPr>
      <w:r>
        <w:rPr/>
        <w:footnoteRef/>
        <w:tab/>
        <w:t>Partizip Aorist Aktiv, wörtlich: „den auferweckt Habenden“.</w:t>
      </w:r>
    </w:p>
  </w:footnote>
  <w:footnote w:id="5447">
    <w:p>
      <w:pPr>
        <w:pStyle w:val="Funote"/>
        <w:rPr/>
      </w:pPr>
      <w:r>
        <w:rPr/>
        <w:footnoteRef/>
        <w:tab/>
        <w:t>[Status: Ungeprüft]</w:t>
      </w:r>
    </w:p>
  </w:footnote>
  <w:footnote w:id="5448">
    <w:p>
      <w:pPr>
        <w:pStyle w:val="Funote"/>
        <w:rPr/>
      </w:pPr>
      <w:r>
        <w:rPr/>
        <w:footnoteRef/>
        <w:tab/>
        <w:t>Adverbiales Ptz. Aor. Pass., hier substantivisch interpretiert. Alternativ kausal/temporal (NSS), dann: „weil/seit wir … gerecht gesprochen wurden“</w:t>
      </w:r>
    </w:p>
  </w:footnote>
  <w:footnote w:id="5449">
    <w:p>
      <w:pPr>
        <w:pStyle w:val="Funote"/>
        <w:rPr/>
      </w:pPr>
      <w:r>
        <w:rPr/>
        <w:footnoteRef/>
        <w:tab/>
        <w:t>cf. NSS.</w:t>
      </w:r>
    </w:p>
  </w:footnote>
  <w:footnote w:id="5450">
    <w:p>
      <w:pPr>
        <w:pStyle w:val="Funote"/>
        <w:rPr/>
      </w:pPr>
      <w:r>
        <w:rPr/>
        <w:footnoteRef/>
        <w:tab/>
        <w:t xml:space="preserve">Wörtlich „dem Glauben“. Dat. causae. Die Lesart </w:t>
      </w:r>
      <w:r>
        <w:rPr>
          <w:lang w:val="el-GR"/>
        </w:rPr>
        <w:t>τῇ πίστει</w:t>
      </w:r>
      <w:r>
        <w:rPr/>
        <w:t xml:space="preserve"> (im/durch den Glauben) lassen die </w:t>
      </w:r>
      <w:r>
        <w:rPr>
          <w:i/>
        </w:rPr>
        <w:t>Codices</w:t>
      </w:r>
      <w:r>
        <w:rPr/>
        <w:t xml:space="preserve"> B, D, F, G u.a. weg, weshalb diese Lesart textkritisch als unsicher bezeichnet werden kann.</w:t>
      </w:r>
    </w:p>
  </w:footnote>
  <w:footnote w:id="5451">
    <w:p>
      <w:pPr>
        <w:pStyle w:val="Funote"/>
        <w:rPr/>
      </w:pPr>
      <w:r>
        <w:rPr/>
        <w:footnoteRef/>
        <w:tab/>
        <w:t>Wörtlich „der Herrlichkeit“; Gen. obiectivus</w:t>
      </w:r>
    </w:p>
  </w:footnote>
  <w:footnote w:id="5452">
    <w:p>
      <w:pPr>
        <w:pStyle w:val="Funote"/>
        <w:rPr/>
      </w:pPr>
      <w:r>
        <w:rPr/>
        <w:footnoteRef/>
        <w:tab/>
        <w:t>Gen. auctoris: Also der Herrlichkeit, die von Gott kommt.</w:t>
      </w:r>
    </w:p>
  </w:footnote>
  <w:footnote w:id="5453">
    <w:p>
      <w:pPr>
        <w:pStyle w:val="Funote"/>
        <w:rPr/>
      </w:pPr>
      <w:r>
        <w:rPr>
          <w:i/>
        </w:rPr>
        <w:footnoteRef/>
        <w:tab/>
        <w:t>im Wissen</w:t>
      </w:r>
      <w:r>
        <w:rPr/>
        <w:t xml:space="preserve"> </w:t>
      </w:r>
      <w:hyperlink r:id="rId552">
        <w:r>
          <w:rPr>
            <w:rStyle w:val="Internetverknpfung"/>
          </w:rPr>
          <w:t>Ptc. coni.</w:t>
        </w:r>
      </w:hyperlink>
      <w:r>
        <w:rPr/>
        <w:t xml:space="preserve"> mit kausaler Konnotation, hier als Präpositionalphrase aufglöst. Alternativ mit Nebensatz „weil wir wissen“ oder als deutscher Partizipialsatz „wissend“. </w:t>
      </w:r>
    </w:p>
  </w:footnote>
  <w:footnote w:id="5454">
    <w:p>
      <w:pPr>
        <w:pStyle w:val="Funote"/>
        <w:rPr/>
      </w:pPr>
      <w:r>
        <w:rPr/>
        <w:footnoteRef/>
        <w:tab/>
        <w:t>Hier kausativ (NSS cf. B/A).</w:t>
      </w:r>
    </w:p>
  </w:footnote>
  <w:footnote w:id="5455">
    <w:p>
      <w:pPr>
        <w:pStyle w:val="Funote"/>
        <w:rPr/>
      </w:pPr>
      <w:r>
        <w:rPr/>
        <w:footnoteRef/>
        <w:tab/>
        <w:t>Hier ein Pf. Pass. Das griechische Perfekt hebt das Resultat hervor.</w:t>
      </w:r>
    </w:p>
  </w:footnote>
  <w:footnote w:id="5456">
    <w:p>
      <w:pPr>
        <w:pStyle w:val="Funote"/>
        <w:rPr/>
      </w:pPr>
      <w:r>
        <w:rPr/>
        <w:footnoteRef/>
        <w:tab/>
        <w:t>Konstruktion mit Genitivus Absolutus (Partizip Präsens), der an dieser Stelle aufgelöst wurde.</w:t>
      </w:r>
    </w:p>
  </w:footnote>
  <w:footnote w:id="5457">
    <w:p>
      <w:pPr>
        <w:pStyle w:val="Funote"/>
        <w:rPr/>
      </w:pPr>
      <w:r>
        <w:rPr/>
        <w:footnoteRef/>
        <w:tab/>
        <w:t>Wörtlich „denn“. V. 7 sei als Parenthese zu verstehen (NSS).</w:t>
      </w:r>
    </w:p>
  </w:footnote>
  <w:footnote w:id="5458">
    <w:p>
      <w:pPr>
        <w:pStyle w:val="Funote"/>
        <w:rPr/>
      </w:pPr>
      <w:r>
        <w:rPr/>
        <w:footnoteRef/>
        <w:tab/>
        <w:t>Wieder eine Konstruktion mit Genitivus Absolutus mit Partizip Präsens (s.o. in Vers 6), hier temporal aufgelöst.</w:t>
      </w:r>
    </w:p>
  </w:footnote>
  <w:footnote w:id="5459">
    <w:p>
      <w:pPr>
        <w:pStyle w:val="Funote"/>
        <w:rPr/>
      </w:pPr>
      <w:r>
        <w:rPr/>
        <w:footnoteRef/>
        <w:tab/>
        <w:t>Substantiviertes (attributives) Partizip Aor. Pass., hier aufgelöst.</w:t>
      </w:r>
    </w:p>
  </w:footnote>
  <w:footnote w:id="5460">
    <w:p>
      <w:pPr>
        <w:pStyle w:val="Funote"/>
        <w:rPr/>
      </w:pPr>
      <w:r>
        <w:rPr/>
        <w:footnoteRef/>
        <w:tab/>
        <w:t>Genitivus Absolutus mit Partizip Präsens.</w:t>
      </w:r>
    </w:p>
  </w:footnote>
  <w:footnote w:id="5461">
    <w:p>
      <w:pPr>
        <w:pStyle w:val="Funote"/>
        <w:rPr/>
      </w:pPr>
      <w:r>
        <w:rPr/>
        <w:footnoteRef/>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5462">
    <w:p>
      <w:pPr>
        <w:pStyle w:val="Funote"/>
        <w:rPr/>
      </w:pPr>
      <w:r>
        <w:rPr/>
        <w:footnoteRef/>
        <w:tab/>
        <w:t>Wörtlich: „nicht ein“</w:t>
      </w:r>
    </w:p>
  </w:footnote>
  <w:footnote w:id="5463">
    <w:p>
      <w:pPr>
        <w:pStyle w:val="Funote"/>
        <w:rPr/>
      </w:pPr>
      <w:r>
        <w:rPr/>
        <w:footnoteRef/>
        <w:tab/>
        <w:t>Wörtlich „ist“. Gen.abs. wurde konditional/temporal aufgelöst.</w:t>
      </w:r>
    </w:p>
  </w:footnote>
  <w:footnote w:id="5464">
    <w:p>
      <w:pPr>
        <w:pStyle w:val="Funote"/>
        <w:rPr/>
      </w:pPr>
      <w:r>
        <w:rPr/>
        <w:footnoteRef/>
        <w:tab/>
        <w:t>Ptz. Aor., substantivisch; hier aufgelöst.</w:t>
      </w:r>
    </w:p>
  </w:footnote>
  <w:footnote w:id="5465">
    <w:p>
      <w:pPr>
        <w:pStyle w:val="Funote"/>
        <w:rPr/>
      </w:pPr>
      <w:r>
        <w:rPr/>
        <w:footnoteRef/>
        <w:tab/>
        <w:t>Wörtlich: „auf die Gleichheit…“</w:t>
      </w:r>
    </w:p>
  </w:footnote>
  <w:footnote w:id="5466">
    <w:p>
      <w:pPr>
        <w:pStyle w:val="Funote"/>
        <w:rPr/>
      </w:pPr>
      <w:r>
        <w:rPr/>
        <w:footnoteRef/>
        <w:tab/>
        <w:t>cf. B/A</w:t>
      </w:r>
    </w:p>
  </w:footnote>
  <w:footnote w:id="5467">
    <w:p>
      <w:pPr>
        <w:pStyle w:val="Funote"/>
        <w:rPr/>
      </w:pPr>
      <w:r>
        <w:rPr/>
        <w:footnoteRef/>
        <w:tab/>
        <w:t>Wörtlich „die vielen“. Semitismus (cf. NSS).</w:t>
      </w:r>
    </w:p>
  </w:footnote>
  <w:footnote w:id="5468">
    <w:p>
      <w:pPr>
        <w:pStyle w:val="Funote"/>
        <w:rPr/>
      </w:pPr>
      <w:r>
        <w:rPr/>
        <w:footnoteRef/>
        <w:tab/>
        <w:t>Wörtlich „die vielen“. Semitismus (cf. NSS).</w:t>
      </w:r>
    </w:p>
  </w:footnote>
  <w:footnote w:id="5469">
    <w:p>
      <w:pPr>
        <w:pStyle w:val="Funote"/>
        <w:rPr/>
      </w:pPr>
      <w:r>
        <w:rPr/>
        <w:footnoteRef/>
        <w:tab/>
        <w:t>Wörtlich „des Lebens“; Gen. des Zwecks (NSS)</w:t>
      </w:r>
    </w:p>
  </w:footnote>
  <w:footnote w:id="5470">
    <w:p>
      <w:pPr>
        <w:pStyle w:val="Funote"/>
        <w:rPr/>
      </w:pPr>
      <w:r>
        <w:rPr/>
        <w:footnoteRef/>
        <w:tab/>
        <w:t>Wörtlich „die vielen“. Semitismus (cf. NSS).</w:t>
      </w:r>
    </w:p>
  </w:footnote>
  <w:footnote w:id="5471">
    <w:p>
      <w:pPr>
        <w:pStyle w:val="Funote"/>
        <w:rPr/>
      </w:pPr>
      <w:r>
        <w:rPr/>
        <w:footnoteRef/>
        <w:tab/>
        <w:t>Wörtlich „die vielen“. Semitismus (cf. NSS).</w:t>
      </w:r>
    </w:p>
  </w:footnote>
  <w:footnote w:id="5472">
    <w:p>
      <w:pPr>
        <w:pStyle w:val="Funote"/>
        <w:rPr/>
      </w:pPr>
      <w:r>
        <w:rPr/>
        <w:footnoteRef/>
        <w:tab/>
        <w:t>[Status: Ungeprüft]</w:t>
      </w:r>
    </w:p>
  </w:footnote>
  <w:footnote w:id="5473">
    <w:p>
      <w:pPr>
        <w:pStyle w:val="Funote"/>
        <w:rPr/>
      </w:pPr>
      <w:r>
        <w:rPr/>
        <w:footnoteRef/>
        <w:tab/>
        <w:t>Die Vokabel drückt häufig etwas Ungewöhnliches aus; es geht um etwas Ungewöhnliches, Neues.</w:t>
      </w:r>
    </w:p>
  </w:footnote>
  <w:footnote w:id="5474">
    <w:p>
      <w:pPr>
        <w:pStyle w:val="Funote"/>
        <w:rPr/>
      </w:pPr>
      <w:r>
        <w:rPr/>
        <w:footnoteRef/>
        <w:tab/>
        <w:t>AcI.</w:t>
      </w:r>
    </w:p>
  </w:footnote>
  <w:footnote w:id="5475">
    <w:p>
      <w:pPr>
        <w:pStyle w:val="Funote"/>
        <w:rPr/>
      </w:pPr>
      <w:r>
        <w:rPr/>
        <w:footnoteRef/>
        <w:tab/>
        <w:t>Eventuell kann man auch wörtlich ohne Pronomen übersetzen und so sehr nahe am griechischen Text bleiben</w:t>
      </w:r>
    </w:p>
  </w:footnote>
  <w:footnote w:id="5476">
    <w:p>
      <w:pPr>
        <w:pStyle w:val="Funote"/>
        <w:rPr/>
      </w:pPr>
      <w:r>
        <w:rPr/>
        <w:footnoteRef/>
        <w:tab/>
        <w:t>Mit „betrachten“ kann auch das Reflexivpronomen im Deutschen wörtlich übersetzt werden: „betrachtet euch als Tote“.</w:t>
      </w:r>
    </w:p>
  </w:footnote>
  <w:footnote w:id="5477">
    <w:p>
      <w:pPr>
        <w:pStyle w:val="Funote"/>
        <w:rPr/>
      </w:pPr>
      <w:r>
        <w:rPr/>
        <w:footnoteRef/>
        <w:tab/>
        <w:t>AcI.</w:t>
      </w:r>
    </w:p>
  </w:footnote>
  <w:footnote w:id="5478">
    <w:p>
      <w:pPr>
        <w:pStyle w:val="Funote"/>
        <w:rPr/>
      </w:pPr>
      <w:r>
        <w:rPr>
          <w:lang w:val="el-GR"/>
        </w:rPr>
        <w:footnoteRef/>
        <w:tab/>
        <w:t>χάρις</w:t>
      </w:r>
      <w:r>
        <w:rPr/>
        <w:t xml:space="preserve"> bedeutet Gnade, aber auch Dank. Gnade ist, was von Gott kommt. Dank ist, was der Mensch entgegnet. Diese Unterscheidung gibt es im Deutschen, im Griechischen steht ein und dasselbe Vokabel.</w:t>
      </w:r>
    </w:p>
  </w:footnote>
  <w:footnote w:id="5479">
    <w:p>
      <w:pPr>
        <w:pStyle w:val="Funote"/>
        <w:rPr/>
      </w:pPr>
      <w:r>
        <w:rPr/>
        <w:footnoteRef/>
        <w:tab/>
        <w:t>Oder: 2.Pers. Pl. Ind. Aor. akt.: „so habt ihr nun zur Verfügung ... gestellt“ Bei dieser Übersetzung würde die Einmaligkeit bzw. das punktuelle Handeln hervorgehoben werden, welches der Aorist ausdrückt.</w:t>
      </w:r>
    </w:p>
  </w:footnote>
  <w:footnote w:id="5480">
    <w:p>
      <w:pPr>
        <w:pStyle w:val="Funote"/>
        <w:rPr/>
      </w:pPr>
      <w:r>
        <w:rPr/>
        <w:footnoteRef/>
        <w:tab/>
        <w:t>Eigtl. steht an dieser Stelle eine Pluralform.</w:t>
      </w:r>
    </w:p>
  </w:footnote>
  <w:footnote w:id="5481">
    <w:p>
      <w:pPr>
        <w:pStyle w:val="Funote"/>
        <w:rPr/>
      </w:pPr>
      <w:r>
        <w:rPr/>
        <w:footnoteRef/>
        <w:tab/>
        <w:t>Hierbei handelt es sich um einen Gen. Abs.</w:t>
      </w:r>
    </w:p>
  </w:footnote>
  <w:footnote w:id="5482">
    <w:p>
      <w:pPr>
        <w:pStyle w:val="Funote"/>
        <w:rPr/>
      </w:pPr>
      <w:r>
        <w:rPr/>
        <w:footnoteRef/>
        <w:tab/>
        <w:t>[Status: Ungeprüft]</w:t>
      </w:r>
    </w:p>
  </w:footnote>
  <w:footnote w:id="5483">
    <w:p>
      <w:pPr>
        <w:pStyle w:val="Funote"/>
        <w:rPr/>
      </w:pPr>
      <w:r>
        <w:rPr/>
        <w:footnoteRef/>
        <w:tab/>
        <w:t>wörtlich: das Unmögliche (Unvermögende) des Gesetzes [betreffend]</w:t>
      </w:r>
    </w:p>
  </w:footnote>
  <w:footnote w:id="5484">
    <w:p>
      <w:pPr>
        <w:pStyle w:val="Funote"/>
        <w:rPr/>
      </w:pPr>
      <w:r>
        <w:rPr/>
        <w:footnoteRef/>
        <w:tab/>
        <w:t>Partizip aufgelöst</w:t>
      </w:r>
    </w:p>
  </w:footnote>
  <w:footnote w:id="5485">
    <w:p>
      <w:pPr>
        <w:pStyle w:val="Funote"/>
        <w:rPr/>
      </w:pPr>
      <w:r>
        <w:rPr/>
        <w:footnoteRef/>
        <w:tab/>
        <w:t>wörtlich: den nicht Fleisch-gemäß Lebenden, sondern Geist-gemäß</w:t>
      </w:r>
    </w:p>
  </w:footnote>
  <w:footnote w:id="5486">
    <w:p>
      <w:pPr>
        <w:pStyle w:val="Funote"/>
        <w:rPr/>
      </w:pPr>
      <w:r>
        <w:rPr/>
        <w:footnoteRef/>
        <w:tab/>
        <w:t>wörtlich: Denn die Fleisch-gemäß Seienden sinnen auf (denken an) die [Angelegenheiten] des Fleisches, aber die Geist-gemäß [Seienden] auf die [Angelegenheiten] des Geistes.</w:t>
      </w:r>
    </w:p>
  </w:footnote>
  <w:footnote w:id="5487">
    <w:p>
      <w:pPr>
        <w:pStyle w:val="Funote"/>
        <w:rPr/>
      </w:pPr>
      <w:hyperlink r:id="rId553">
        <w:r>
          <w:rPr>
            <w:rStyle w:val="Internetverknpfung"/>
          </w:rPr>
          <w:footnoteRef/>
          <w:tab/>
          <w:t>Generisches Maskulinum</w:t>
        </w:r>
      </w:hyperlink>
    </w:p>
  </w:footnote>
  <w:footnote w:id="5488">
    <w:p>
      <w:pPr>
        <w:pStyle w:val="Funote"/>
        <w:rPr/>
      </w:pPr>
      <w:r>
        <w:rPr/>
        <w:footnoteRef/>
        <w:tab/>
        <w:t xml:space="preserve">Das Bild der Adoption als erbberechtigter Sohn ist auch auf Frauen anwendbar (vgl. </w:t>
      </w:r>
      <w:hyperlink r:id="rId554">
        <w:r>
          <w:rPr>
            <w:rStyle w:val="Internetverknpfung"/>
          </w:rPr>
          <w:t>generisches Maskulinum</w:t>
        </w:r>
      </w:hyperlink>
      <w:r>
        <w:rPr/>
        <w:t>).</w:t>
      </w:r>
    </w:p>
  </w:footnote>
  <w:footnote w:id="5489">
    <w:p>
      <w:pPr>
        <w:pStyle w:val="Funote"/>
        <w:rPr/>
      </w:pPr>
      <w:r>
        <w:rPr/>
        <w:footnoteRef/>
        <w:tab/>
        <w:t>„</w:t>
      </w:r>
      <w:r>
        <w:rPr/>
        <w:t>Abba“ ist das aramäische Wort für „Vater“, das Paulus direkt anschließend mit „</w:t>
      </w:r>
      <w:r>
        <w:rPr>
          <w:lang w:val="el-GR"/>
        </w:rPr>
        <w:t>ὁ πατήρ</w:t>
      </w:r>
      <w:r>
        <w:rPr/>
        <w:t>“ ins Griechisch übersetzt.</w:t>
      </w:r>
    </w:p>
  </w:footnote>
  <w:footnote w:id="5490">
    <w:p>
      <w:pPr>
        <w:pStyle w:val="Funote"/>
        <w:rPr/>
      </w:pPr>
      <w:r>
        <w:rPr/>
        <w:footnoteRef/>
        <w:tab/>
        <w:t>[Status: Ungeprüft]</w:t>
      </w:r>
    </w:p>
  </w:footnote>
  <w:footnote w:id="5491">
    <w:p>
      <w:pPr>
        <w:pStyle w:val="Funote"/>
        <w:rPr/>
      </w:pPr>
      <w:r>
        <w:rPr/>
        <w:footnoteRef/>
        <w:tab/>
        <w:t xml:space="preserve">Nicht Gegensatz (aber), sondern Weiterführung (und). Vgl. Moo 1996, 527. </w:t>
      </w:r>
    </w:p>
  </w:footnote>
  <w:footnote w:id="5492">
    <w:p>
      <w:pPr>
        <w:pStyle w:val="Funote"/>
        <w:rPr/>
      </w:pPr>
      <w:r>
        <w:rPr/>
        <w:footnoteRef/>
        <w:tab/>
        <w:t xml:space="preserve">Auflösung eines attributiven Ptz. Dat. Pl. als Relativsatz mit „[für alle], die“. </w:t>
      </w:r>
    </w:p>
  </w:footnote>
  <w:footnote w:id="5493">
    <w:p>
      <w:pPr>
        <w:pStyle w:val="Funote"/>
        <w:rPr/>
      </w:pPr>
      <w:r>
        <w:rPr/>
        <w:footnoteRef/>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5494">
    <w:p>
      <w:pPr>
        <w:pStyle w:val="Funote"/>
        <w:rPr/>
      </w:pPr>
      <w:r>
        <w:rPr/>
        <w:footnoteRef/>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5495">
    <w:p>
      <w:pPr>
        <w:pStyle w:val="Funote"/>
        <w:rPr/>
      </w:pPr>
      <w:r>
        <w:rPr/>
        <w:footnoteRef/>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5496">
    <w:p>
      <w:pPr>
        <w:pStyle w:val="Funote"/>
        <w:rPr/>
      </w:pPr>
      <w:r>
        <w:rPr/>
        <w:footnoteRef/>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 xml:space="preserve">“-Verbindungen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 </w:t>
      </w:r>
    </w:p>
  </w:footnote>
  <w:footnote w:id="5497">
    <w:p>
      <w:pPr>
        <w:pStyle w:val="Funote"/>
        <w:rPr/>
      </w:pPr>
      <w:r>
        <w:rPr/>
        <w:footnoteRef/>
        <w:tab/>
        <w:t xml:space="preserve">Wilckens: „zuvor erwählt“. Moo 1996, 532f. betont dagegen, dass es hier um ein persönliches Kennen, nicht um ein unbeteiligtes vorher von ihrem Glauben Wissen geht. </w:t>
      </w:r>
    </w:p>
  </w:footnote>
  <w:footnote w:id="5498">
    <w:p>
      <w:pPr>
        <w:pStyle w:val="Funote"/>
        <w:rPr/>
      </w:pPr>
      <w:r>
        <w:rPr/>
        <w:footnoteRef/>
        <w:tab/>
        <w:t xml:space="preserve">Christus ist nicht visuell das Abbild Gottes, sondern in seinem Wesen, er ist Gottes „Wesenserscheinung“ (Wilckens, </w:t>
      </w:r>
      <w:r>
        <w:rPr>
          <w:position w:val="7"/>
          <w:sz w:val="16"/>
        </w:rPr>
        <w:t>2</w:t>
      </w:r>
      <w:r>
        <w:rPr/>
        <w:t>1987, 163).</w:t>
      </w:r>
    </w:p>
  </w:footnote>
  <w:footnote w:id="5499">
    <w:p>
      <w:pPr>
        <w:pStyle w:val="Funote"/>
        <w:rPr/>
      </w:pPr>
      <w:r>
        <w:rPr/>
        <w:footnoteRef/>
        <w:tab/>
        <w:t>[Status: Ungeprüft]</w:t>
      </w:r>
    </w:p>
  </w:footnote>
  <w:footnote w:id="5500">
    <w:p>
      <w:pPr>
        <w:pStyle w:val="Funote"/>
        <w:rPr/>
      </w:pPr>
      <w:r>
        <w:rPr/>
        <w:footnoteRef/>
        <w:tab/>
        <w:t>Gen. abs.; bezieht sich auf die vorhergehende Aussage Paulis.</w:t>
      </w:r>
    </w:p>
  </w:footnote>
  <w:footnote w:id="5501">
    <w:p>
      <w:pPr>
        <w:pStyle w:val="Funote"/>
        <w:rPr/>
      </w:pPr>
      <w:r>
        <w:rPr/>
        <w:footnoteRef/>
        <w:tab/>
        <w:t>wenn die Worte anders angeordnet werden, kommt es zu erheblichen Bedeutungsverschiebungen: z. Bsp. „Christus, der über allem Gott ist, gelobt [sei er] in Ewigkeit. Amen.“ &gt; Dies dürfte nicht ganz in paulinische Theologie passen.</w:t>
      </w:r>
    </w:p>
  </w:footnote>
  <w:footnote w:id="5502">
    <w:p>
      <w:pPr>
        <w:pStyle w:val="Funote"/>
        <w:rPr/>
      </w:pPr>
      <w:r>
        <w:rPr/>
        <w:footnoteRef/>
        <w:tab/>
        <w:t>Perf.3.Sg.Akt.; andere Ü. umschreiben es im Konj. wie LuthÜ., Elb, Schl 2000, NGÜ.</w:t>
      </w:r>
    </w:p>
  </w:footnote>
  <w:footnote w:id="5503">
    <w:p>
      <w:pPr>
        <w:pStyle w:val="Funote"/>
        <w:rPr/>
      </w:pPr>
      <w:r>
        <w:rPr/>
        <w:footnoteRef/>
        <w:tab/>
        <w:t>vgl. Schl 2000: „die aus Israel abstammen“</w:t>
      </w:r>
    </w:p>
  </w:footnote>
  <w:footnote w:id="5504">
    <w:p>
      <w:pPr>
        <w:pStyle w:val="Funote"/>
        <w:rPr/>
      </w:pPr>
      <w:r>
        <w:rPr/>
        <w:footnoteRef/>
        <w:tab/>
        <w:t>Kann auch als rhetorische Frage wie die erste verstanden werden: „Sind denn [etwa] nicht alle, die aus Israel stammen, diese [auch richtige] Israeliten?“ &gt; Verwiesen wird hier auf den gesetzesgebunden Glauben des israelitischen Volkes.</w:t>
      </w:r>
    </w:p>
  </w:footnote>
  <w:footnote w:id="5505">
    <w:p>
      <w:pPr>
        <w:pStyle w:val="Funote"/>
        <w:rPr/>
      </w:pPr>
      <w:r>
        <w:rPr/>
        <w:footnoteRef/>
        <w:tab/>
        <w:t>Gen 21,12.</w:t>
      </w:r>
    </w:p>
  </w:footnote>
  <w:footnote w:id="5506">
    <w:p>
      <w:pPr>
        <w:pStyle w:val="Funote"/>
        <w:rPr/>
      </w:pPr>
      <w:r>
        <w:rPr/>
        <w:footnoteRef/>
        <w:tab/>
        <w:t>Gen 18,10.</w:t>
      </w:r>
    </w:p>
  </w:footnote>
  <w:footnote w:id="5507">
    <w:p>
      <w:pPr>
        <w:pStyle w:val="Funote"/>
        <w:rPr/>
      </w:pPr>
      <w:r>
        <w:rPr/>
        <w:footnoteRef/>
        <w:tab/>
        <w:t>Vgl. Bauer/Aland,S.894; andere Ü. mit „schwanger sein“.</w:t>
      </w:r>
    </w:p>
  </w:footnote>
  <w:footnote w:id="5508">
    <w:p>
      <w:pPr>
        <w:pStyle w:val="Funote"/>
        <w:rPr/>
      </w:pPr>
      <w:r>
        <w:rPr/>
        <w:footnoteRef/>
        <w:tab/>
        <w:t>2x Gen.abs.: Part.Aor.Ps.Gen.Pl.</w:t>
      </w:r>
    </w:p>
  </w:footnote>
  <w:footnote w:id="5509">
    <w:p>
      <w:pPr>
        <w:pStyle w:val="Funote"/>
        <w:rPr/>
      </w:pPr>
      <w:r>
        <w:rPr/>
        <w:footnoteRef/>
        <w:tab/>
        <w:t>Präs.3.Sg.Akt.Konj.; viele Übersetzung bieten an dieser Stelle ein konträres Bild: z.Bsp.: EinÜ erweitert mit um „Vorherbestimmung“; LuthÜ; Elbü, Schl 2000 ergänzen mit „freier Wahl“; und noch einiges mehr.</w:t>
      </w:r>
    </w:p>
  </w:footnote>
  <w:footnote w:id="5510">
    <w:p>
      <w:pPr>
        <w:pStyle w:val="Funote"/>
        <w:rPr/>
      </w:pPr>
      <w:r>
        <w:rPr/>
        <w:footnoteRef/>
        <w:tab/>
        <w:t>Präs. Ptz.Akt.Gen.Sg.</w:t>
      </w:r>
    </w:p>
  </w:footnote>
  <w:footnote w:id="5511">
    <w:p>
      <w:pPr>
        <w:pStyle w:val="Funote"/>
        <w:rPr/>
      </w:pPr>
      <w:r>
        <w:rPr/>
        <w:footnoteRef/>
        <w:tab/>
        <w:t>Gen 25,23; im übertragenen Sinne: „Der Ältere soll dem Jüngeren dienen“.</w:t>
      </w:r>
    </w:p>
  </w:footnote>
  <w:footnote w:id="5512">
    <w:p>
      <w:pPr>
        <w:pStyle w:val="Funote"/>
        <w:rPr/>
      </w:pPr>
      <w:r>
        <w:rPr/>
        <w:footnoteRef/>
        <w:tab/>
        <w:t>Mal 1,2f.</w:t>
      </w:r>
    </w:p>
  </w:footnote>
  <w:footnote w:id="5513">
    <w:p>
      <w:pPr>
        <w:pStyle w:val="Funote"/>
        <w:rPr/>
      </w:pPr>
      <w:r>
        <w:rPr/>
        <w:footnoteRef/>
        <w:tab/>
        <w:t>Fut.1.Pl.Akt.</w:t>
      </w:r>
    </w:p>
  </w:footnote>
  <w:footnote w:id="5514">
    <w:p>
      <w:pPr>
        <w:pStyle w:val="Funote"/>
        <w:rPr/>
      </w:pPr>
      <w:r>
        <w:rPr/>
        <w:footnoteRef/>
        <w:tab/>
        <w:t>oder: „Auf keinen Fall!“;„Das sei Ferne“ (LuthÜ.; Schl 2000; ElbÜ)</w:t>
      </w:r>
    </w:p>
  </w:footnote>
  <w:footnote w:id="5515">
    <w:p>
      <w:pPr>
        <w:pStyle w:val="Funote"/>
        <w:rPr/>
      </w:pPr>
      <w:r>
        <w:rPr/>
        <w:footnoteRef/>
        <w:tab/>
        <w:t>Ex 33,19; die beiden hier benutzten Verben haben einen ähnlichen Sinn von „sich erbarmen“, „Mitleid haben“, „gnädig sein“; viele Ü. bieten je eigene Auffassungen der Worte an, geben sie aber meist sinngemäß wieder.</w:t>
      </w:r>
    </w:p>
  </w:footnote>
  <w:footnote w:id="5516">
    <w:p>
      <w:pPr>
        <w:pStyle w:val="Funote"/>
        <w:rPr/>
      </w:pPr>
      <w:r>
        <w:rPr/>
        <w:footnoteRef/>
        <w:tab/>
        <w:t>Wörtl.: „angestrengt Laufenden“</w:t>
      </w:r>
    </w:p>
  </w:footnote>
  <w:footnote w:id="5517">
    <w:p>
      <w:pPr>
        <w:pStyle w:val="Funote"/>
        <w:rPr/>
      </w:pPr>
      <w:r>
        <w:rPr/>
        <w:footnoteRef/>
        <w:tab/>
        <w:t>vgl. ElbÜ.; die Ü. sehen die ersten beide Verben als Aktionen des Menschen an; vgl. EinÜ, LuthÜ, Schl 2000, NGÜ.</w:t>
      </w:r>
    </w:p>
  </w:footnote>
  <w:footnote w:id="5518">
    <w:p>
      <w:pPr>
        <w:pStyle w:val="Funote"/>
        <w:rPr/>
      </w:pPr>
      <w:r>
        <w:rPr/>
        <w:footnoteRef/>
        <w:tab/>
        <w:t>wörtl.: „Zum (in) selbigen diesen“ &gt; „Aus diesem Grund“, könnte man noch sagen; vgl. EinÜ; ElbÜ, LuthÜ, Schl 2000.</w:t>
      </w:r>
    </w:p>
  </w:footnote>
  <w:footnote w:id="5519">
    <w:p>
      <w:pPr>
        <w:pStyle w:val="Funote"/>
        <w:rPr/>
      </w:pPr>
      <w:r>
        <w:rPr/>
        <w:footnoteRef/>
        <w:tab/>
        <w:t>Vgl. Bauer/Aland,S.553.</w:t>
      </w:r>
    </w:p>
  </w:footnote>
  <w:footnote w:id="5520">
    <w:p>
      <w:pPr>
        <w:pStyle w:val="Funote"/>
        <w:rPr/>
      </w:pPr>
      <w:r>
        <w:rPr/>
        <w:footnoteRef/>
        <w:tab/>
        <w:t>Ex 9,16</w:t>
      </w:r>
    </w:p>
  </w:footnote>
  <w:footnote w:id="5521">
    <w:p>
      <w:pPr>
        <w:pStyle w:val="Funote"/>
        <w:rPr/>
      </w:pPr>
      <w:r>
        <w:rPr/>
        <w:footnoteRef/>
        <w:tab/>
        <w:t>Bezeichnet einen Schlusspunkt in einer Argumentation.</w:t>
      </w:r>
    </w:p>
  </w:footnote>
  <w:footnote w:id="5522">
    <w:p>
      <w:pPr>
        <w:pStyle w:val="Funote"/>
        <w:rPr/>
      </w:pPr>
      <w:r>
        <w:rPr/>
        <w:footnoteRef/>
        <w:tab/>
        <w:t>Wörtl.: „sagen“.</w:t>
      </w:r>
    </w:p>
  </w:footnote>
  <w:footnote w:id="5523">
    <w:p>
      <w:pPr>
        <w:pStyle w:val="Funote"/>
        <w:rPr/>
      </w:pPr>
      <w:r>
        <w:rPr/>
        <w:footnoteRef/>
        <w:tab/>
        <w:t>Perf.3.Sg.Akt.</w:t>
      </w:r>
    </w:p>
  </w:footnote>
  <w:footnote w:id="5524">
    <w:p>
      <w:pPr>
        <w:pStyle w:val="Funote"/>
        <w:rPr/>
      </w:pPr>
      <w:r>
        <w:rPr/>
        <w:footnoteRef/>
        <w:tab/>
        <w:t>Eine Verstärkungspartikel, um Affekte auszudrücken; vgl. Bauer/Aland,S.1785; andere Ü.: „Ja“ (ElbÜ; LuthÜ).</w:t>
      </w:r>
    </w:p>
  </w:footnote>
  <w:footnote w:id="5525">
    <w:p>
      <w:pPr>
        <w:pStyle w:val="Funote"/>
        <w:rPr/>
      </w:pPr>
      <w:r>
        <w:rPr/>
        <w:footnoteRef/>
        <w:tab/>
        <w:t>Vokativ; vgl. Schl 2000.</w:t>
      </w:r>
    </w:p>
  </w:footnote>
  <w:footnote w:id="5526">
    <w:p>
      <w:pPr>
        <w:pStyle w:val="Funote"/>
        <w:rPr/>
      </w:pPr>
      <w:r>
        <w:rPr/>
        <w:footnoteRef/>
        <w:tab/>
        <w:t>Verstärkungspartikel.</w:t>
      </w:r>
    </w:p>
  </w:footnote>
  <w:footnote w:id="5527">
    <w:p>
      <w:pPr>
        <w:pStyle w:val="Funote"/>
        <w:rPr/>
      </w:pPr>
      <w:r>
        <w:rPr/>
        <w:footnoteRef/>
        <w:tab/>
        <w:t>Part.Präs.MedPs.Nom.Sg.</w:t>
      </w:r>
    </w:p>
  </w:footnote>
  <w:footnote w:id="5528">
    <w:p>
      <w:pPr>
        <w:pStyle w:val="Funote"/>
        <w:rPr/>
      </w:pPr>
      <w:r>
        <w:rPr/>
        <w:footnoteRef/>
        <w:tab/>
        <w:t>Part.Aor.Akt.Dat.Sg</w:t>
      </w:r>
    </w:p>
  </w:footnote>
  <w:footnote w:id="5529">
    <w:p>
      <w:pPr>
        <w:pStyle w:val="Funote"/>
        <w:rPr/>
      </w:pPr>
      <w:r>
        <w:rPr/>
        <w:footnoteRef/>
        <w:tab/>
        <w:t>Part.Präs.Akt.Sg.Nom.</w:t>
      </w:r>
    </w:p>
  </w:footnote>
  <w:footnote w:id="5530">
    <w:p>
      <w:pPr>
        <w:pStyle w:val="Funote"/>
        <w:rPr/>
      </w:pPr>
      <w:r>
        <w:rPr/>
        <w:footnoteRef/>
        <w:tab/>
        <w:t>Part.Perf.Ps.Pl.Akku.Ntr.</w:t>
      </w:r>
    </w:p>
  </w:footnote>
  <w:footnote w:id="5531">
    <w:p>
      <w:pPr>
        <w:pStyle w:val="Funote"/>
        <w:rPr/>
      </w:pPr>
      <w:r>
        <w:rPr/>
        <w:footnoteRef/>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5532">
    <w:p>
      <w:pPr>
        <w:pStyle w:val="Funote"/>
        <w:rPr/>
      </w:pPr>
      <w:r>
        <w:rPr/>
        <w:footnoteRef/>
        <w:tab/>
        <w:t>Wörtl.: „allein“.</w:t>
      </w:r>
    </w:p>
  </w:footnote>
  <w:footnote w:id="5533">
    <w:p>
      <w:pPr>
        <w:pStyle w:val="Funote"/>
        <w:rPr/>
      </w:pPr>
      <w:r>
        <w:rPr/>
        <w:footnoteRef/>
        <w:tab/>
        <w:t>Part.</w:t>
      </w:r>
    </w:p>
  </w:footnote>
  <w:footnote w:id="5534">
    <w:p>
      <w:pPr>
        <w:pStyle w:val="Funote"/>
        <w:rPr/>
      </w:pPr>
      <w:r>
        <w:rPr/>
        <w:footnoteRef/>
        <w:tab/>
        <w:t>2x Part.Perf.Ps.Akku.fem.Sg.</w:t>
      </w:r>
    </w:p>
  </w:footnote>
  <w:footnote w:id="5535">
    <w:p>
      <w:pPr>
        <w:pStyle w:val="Funote"/>
        <w:rPr/>
      </w:pPr>
      <w:r>
        <w:rPr/>
        <w:footnoteRef/>
        <w:tab/>
        <w:t>Vgl. ElbÜ.</w:t>
      </w:r>
    </w:p>
  </w:footnote>
  <w:footnote w:id="5536">
    <w:p>
      <w:pPr>
        <w:pStyle w:val="Funote"/>
        <w:rPr/>
      </w:pPr>
      <w:r>
        <w:rPr/>
        <w:footnoteRef/>
        <w:tab/>
        <w:t>Part.Präs.Akt.Gen.Sg.mask.</w:t>
      </w:r>
    </w:p>
  </w:footnote>
  <w:footnote w:id="5537">
    <w:p>
      <w:pPr>
        <w:pStyle w:val="Funote"/>
        <w:rPr/>
      </w:pPr>
      <w:r>
        <w:rPr/>
        <w:footnoteRef/>
        <w:tab/>
        <w:t>Fut.Ps.3.Pl.</w:t>
      </w:r>
    </w:p>
  </w:footnote>
  <w:footnote w:id="5538">
    <w:p>
      <w:pPr>
        <w:pStyle w:val="Funote"/>
        <w:rPr/>
      </w:pPr>
      <w:r>
        <w:rPr/>
        <w:footnoteRef/>
        <w:tab/>
        <w:t>Hos 2,1.25.</w:t>
      </w:r>
    </w:p>
  </w:footnote>
  <w:footnote w:id="5539">
    <w:p>
      <w:pPr>
        <w:pStyle w:val="Funote"/>
        <w:rPr/>
      </w:pPr>
      <w:r>
        <w:rPr/>
        <w:footnoteRef/>
        <w:tab/>
        <w:t>Fut.Ps.3.Sg.; andere Ü.: „[nur] der Rest wird …“ (EinÜ; ElbÜ)</w:t>
      </w:r>
    </w:p>
  </w:footnote>
  <w:footnote w:id="5540">
    <w:p>
      <w:pPr>
        <w:pStyle w:val="Funote"/>
        <w:rPr/>
      </w:pPr>
      <w:r>
        <w:rPr/>
        <w:footnoteRef/>
        <w:tab/>
        <w:t>2x Part.Präs.Akt.Nom.Sg.mask.; andere Ü.: EinÜ: »erfüllt und durchsetzt«, LuthÜ: »vollendet und ausrichtet«; NGÜ: »ohne Einschränkung und ohne Verzögerung«.</w:t>
      </w:r>
    </w:p>
  </w:footnote>
  <w:footnote w:id="5541">
    <w:p>
      <w:pPr>
        <w:pStyle w:val="Funote"/>
        <w:rPr/>
      </w:pPr>
      <w:r>
        <w:rPr/>
        <w:footnoteRef/>
        <w:tab/>
        <w:t>Jes 10,22f.</w:t>
      </w:r>
    </w:p>
  </w:footnote>
  <w:footnote w:id="5542">
    <w:p>
      <w:pPr>
        <w:pStyle w:val="Funote"/>
        <w:rPr/>
      </w:pPr>
      <w:r>
        <w:rPr/>
        <w:footnoteRef/>
        <w:tab/>
        <w:t>Irrealis; Jes 1,9.</w:t>
      </w:r>
    </w:p>
  </w:footnote>
  <w:footnote w:id="5543">
    <w:p>
      <w:pPr>
        <w:pStyle w:val="Funote"/>
        <w:rPr/>
      </w:pPr>
      <w:r>
        <w:rPr/>
        <w:footnoteRef/>
        <w:tab/>
        <w:t>Part.Präs.Akt.Nom/Akku.Pl.Ntr.</w:t>
      </w:r>
    </w:p>
  </w:footnote>
  <w:footnote w:id="5544">
    <w:p>
      <w:pPr>
        <w:pStyle w:val="Funote"/>
        <w:rPr/>
      </w:pPr>
      <w:r>
        <w:rPr/>
        <w:footnoteRef/>
        <w:tab/>
        <w:t>Part.Präs.Nom.Sg.mask.</w:t>
      </w:r>
    </w:p>
  </w:footnote>
  <w:footnote w:id="5545">
    <w:p>
      <w:pPr>
        <w:pStyle w:val="Funote"/>
        <w:rPr/>
      </w:pPr>
      <w:r>
        <w:rPr/>
        <w:footnoteRef/>
        <w:tab/>
        <w:t>Andere Ü.: „Sie haben sich am Stein des Anstoßes gestoßen“; gemeint ist der Unglaube.</w:t>
      </w:r>
    </w:p>
  </w:footnote>
  <w:footnote w:id="5546">
    <w:p>
      <w:pPr>
        <w:pStyle w:val="Funote"/>
        <w:rPr/>
      </w:pPr>
      <w:r>
        <w:rPr/>
        <w:footnoteRef/>
        <w:tab/>
        <w:t>ElbÜ: „des Strauchelns“.</w:t>
      </w:r>
    </w:p>
  </w:footnote>
  <w:footnote w:id="5547">
    <w:p>
      <w:pPr>
        <w:pStyle w:val="Funote"/>
        <w:rPr/>
      </w:pPr>
      <w:r>
        <w:rPr/>
        <w:footnoteRef/>
        <w:tab/>
        <w:t>Part.Präs.Nom.Sg.mask.</w:t>
      </w:r>
    </w:p>
  </w:footnote>
  <w:footnote w:id="5548">
    <w:p>
      <w:pPr>
        <w:pStyle w:val="Funote"/>
        <w:rPr/>
      </w:pPr>
      <w:r>
        <w:rPr/>
        <w:footnoteRef/>
        <w:tab/>
        <w:t>Lev 18,5b. (Abgesehen von einer Anpassung an den grammatikalischen Kontext entspricht das Zitat dem Septuagintatext.)</w:t>
      </w:r>
    </w:p>
  </w:footnote>
  <w:footnote w:id="5549">
    <w:p>
      <w:pPr>
        <w:pStyle w:val="Funote"/>
        <w:rPr/>
      </w:pPr>
      <w:r>
        <w:rPr/>
        <w:footnoteRef/>
        <w:tab/>
        <w:t>Exakte Übereinstimmung mit dem Beginn von Dtn 9,4 in der Septuaginta.</w:t>
      </w:r>
    </w:p>
  </w:footnote>
  <w:footnote w:id="5550">
    <w:p>
      <w:pPr>
        <w:pStyle w:val="Funote"/>
        <w:rPr/>
      </w:pPr>
      <w:r>
        <w:rPr/>
        <w:footnoteRef/>
        <w:tab/>
        <w:t>Ausschnitt von Dtn 30,12. Septuaginta: „</w:t>
      </w:r>
      <w:r>
        <w:rPr>
          <w:lang w:val="el-GR"/>
        </w:rPr>
        <w:t>τίς ἀναβήσεται ἡμῖν εἰς τὸν οὐρανὸν</w:t>
      </w:r>
      <w:r>
        <w:rPr/>
        <w:t>“ (wer wird für uns in den Himmel hinaufsteigen), hier: „</w:t>
      </w:r>
      <w:r>
        <w:rPr>
          <w:lang w:val="el-GR"/>
        </w:rPr>
        <w:t>τίς ἀναβήσεται εἰς τὸν οὐρανόν</w:t>
      </w:r>
      <w:r>
        <w:rPr/>
        <w:t>;“ (wer wird in den Himmel hinaufsteigen).</w:t>
      </w:r>
    </w:p>
  </w:footnote>
  <w:footnote w:id="5551">
    <w:p>
      <w:pPr>
        <w:pStyle w:val="Funote"/>
        <w:rPr/>
      </w:pPr>
      <w:r>
        <w:rPr/>
        <w:footnoteRef/>
        <w:tab/>
        <w:t>Es gibt keine exakte Entsprechung im Alten Testament. In Dtn 30,13 findet sich: „Wer wird für uns hinüberfahren auf die andere Seite des Meers?“</w:t>
      </w:r>
    </w:p>
  </w:footnote>
  <w:footnote w:id="5552">
    <w:p>
      <w:pPr>
        <w:pStyle w:val="Funote"/>
        <w:rPr/>
      </w:pPr>
      <w:r>
        <w:rPr/>
        <w:footnoteRef/>
        <w:tab/>
        <w:t xml:space="preserve">Der Bezug ist nicht eindeutig, aber der nächste sinnvolle Bezug ist „die Gerechtigkeit aus dem Glauben“ in 6a. Diese Interpretation wird unterstützt von der Wiederaufnahme von </w:t>
      </w:r>
      <w:r>
        <w:rPr>
          <w:lang w:val="el-GR"/>
        </w:rPr>
        <w:t>λέγει</w:t>
      </w:r>
      <w:r>
        <w:rPr/>
        <w:t xml:space="preserve"> aus 6a hier in 8a.</w:t>
      </w:r>
    </w:p>
  </w:footnote>
  <w:footnote w:id="5553">
    <w:p>
      <w:pPr>
        <w:pStyle w:val="Funote"/>
        <w:rPr/>
      </w:pPr>
      <w:r>
        <w:rPr/>
        <w:footnoteRef/>
        <w:tab/>
        <w:t>Fast wörtliche Wiedergabe von Dtn 30,14a in der Septuaginta.</w:t>
      </w:r>
    </w:p>
  </w:footnote>
  <w:footnote w:id="5554">
    <w:p>
      <w:pPr>
        <w:pStyle w:val="Funote"/>
        <w:rPr/>
      </w:pPr>
      <w:r>
        <w:rPr/>
        <w:footnoteRef/>
        <w:tab/>
        <w:t>Jes 28,16. Statt „jeder, der glaubt“ (</w:t>
      </w:r>
      <w:r>
        <w:rPr>
          <w:lang w:val="el-GR"/>
        </w:rPr>
        <w:t>πᾶς ὁ πιστεύων</w:t>
      </w:r>
      <w:r>
        <w:rPr/>
        <w:t>) hat der Septuagintatext „wer glaubt“ (</w:t>
      </w:r>
      <w:r>
        <w:rPr>
          <w:lang w:val="el-GR"/>
        </w:rPr>
        <w:t>ὁ πιστεύων</w:t>
      </w:r>
      <w:r>
        <w:rPr/>
        <w:t>). Außerdem betont der Septuagintatext die Verneinung (</w:t>
      </w:r>
      <w:r>
        <w:rPr>
          <w:lang w:val="el-GR"/>
        </w:rPr>
        <w:t>οὐ μὴ</w:t>
      </w:r>
      <w:r>
        <w:rPr/>
        <w:t xml:space="preserve"> statt einfach </w:t>
      </w:r>
      <w:r>
        <w:rPr>
          <w:lang w:val="el-GR"/>
        </w:rPr>
        <w:t>οὐ</w:t>
      </w:r>
      <w:r>
        <w:rPr/>
        <w:t xml:space="preserve">) und verwendet den Konjunktiv Aorist </w:t>
      </w:r>
      <w:r>
        <w:rPr>
          <w:lang w:val="el-GR"/>
        </w:rPr>
        <w:t>καταισχυνθῇ</w:t>
      </w:r>
      <w:r>
        <w:rPr/>
        <w:t xml:space="preserve"> statt des Futurs </w:t>
      </w:r>
      <w:r>
        <w:rPr>
          <w:lang w:val="el-GR"/>
        </w:rPr>
        <w:t>καταισχυνθήσεται</w:t>
      </w:r>
      <w:r>
        <w:rPr/>
        <w:t>.</w:t>
      </w:r>
    </w:p>
  </w:footnote>
  <w:footnote w:id="5555">
    <w:p>
      <w:pPr>
        <w:pStyle w:val="Funote"/>
        <w:rPr/>
      </w:pPr>
      <w:r>
        <w:rPr/>
        <w:footnoteRef/>
        <w:tab/>
        <w:t>Exakte Wiedergabe von Joel 3,5 (Göttinger Septuaginta 2,32) in der Septuagintafassung.</w:t>
      </w:r>
    </w:p>
  </w:footnote>
  <w:footnote w:id="5556">
    <w:p>
      <w:pPr>
        <w:pStyle w:val="Funote"/>
        <w:rPr/>
      </w:pPr>
      <w:r>
        <w:rPr/>
        <w:footnoteRef/>
        <w:tab/>
        <w:t>[Status: Ungeprüft]</w:t>
      </w:r>
    </w:p>
  </w:footnote>
  <w:footnote w:id="5557">
    <w:p>
      <w:pPr>
        <w:pStyle w:val="Funote"/>
        <w:rPr/>
      </w:pPr>
      <w:r>
        <w:rPr/>
        <w:footnoteRef/>
        <w:tab/>
        <w:t>Imp. pass.; wörtlich „werde nicht … besiegt“.</w:t>
      </w:r>
    </w:p>
  </w:footnote>
  <w:footnote w:id="5558">
    <w:p>
      <w:pPr>
        <w:pStyle w:val="Funote"/>
        <w:rPr/>
      </w:pPr>
      <w:r>
        <w:rPr/>
        <w:footnoteRef/>
        <w:tab/>
        <w:t>Part. akt.</w:t>
      </w:r>
    </w:p>
  </w:footnote>
  <w:footnote w:id="5559">
    <w:p>
      <w:pPr>
        <w:pStyle w:val="Funote"/>
        <w:rPr/>
      </w:pPr>
      <w:r>
        <w:rPr/>
        <w:footnoteRef/>
        <w:tab/>
        <w:t>Partizip, kausal aufgelöst</w:t>
      </w:r>
    </w:p>
  </w:footnote>
  <w:footnote w:id="5560">
    <w:p>
      <w:pPr>
        <w:pStyle w:val="Funote"/>
        <w:rPr/>
      </w:pPr>
      <w:r>
        <w:rPr/>
        <w:footnoteRef/>
        <w:tab/>
        <w:t>Partizip, kausal aufgelöst</w:t>
      </w:r>
    </w:p>
  </w:footnote>
  <w:footnote w:id="5561">
    <w:p>
      <w:pPr>
        <w:pStyle w:val="Funote"/>
        <w:rPr/>
      </w:pPr>
      <w:r>
        <w:rPr/>
        <w:footnoteRef/>
        <w:tab/>
        <w:t>Partizip</w:t>
      </w:r>
    </w:p>
  </w:footnote>
  <w:footnote w:id="5562">
    <w:p>
      <w:pPr>
        <w:pStyle w:val="Funote"/>
        <w:rPr/>
      </w:pPr>
      <w:r>
        <w:rPr/>
        <w:footnoteRef/>
        <w:tab/>
        <w:t>Partizip</w:t>
      </w:r>
    </w:p>
  </w:footnote>
  <w:footnote w:id="5563">
    <w:p>
      <w:pPr>
        <w:pStyle w:val="Funote"/>
        <w:rPr/>
      </w:pPr>
      <w:r>
        <w:rPr/>
        <w:footnoteRef/>
        <w:tab/>
        <w:t>Partizip</w:t>
      </w:r>
    </w:p>
  </w:footnote>
  <w:footnote w:id="5564">
    <w:p>
      <w:pPr>
        <w:pStyle w:val="Funote"/>
        <w:rPr/>
      </w:pPr>
      <w:r>
        <w:rPr/>
        <w:footnoteRef/>
        <w:tab/>
        <w:t>Partizip</w:t>
      </w:r>
    </w:p>
  </w:footnote>
  <w:footnote w:id="5565">
    <w:p>
      <w:pPr>
        <w:pStyle w:val="Funote"/>
        <w:rPr/>
      </w:pPr>
      <w:r>
        <w:rPr/>
        <w:footnoteRef/>
        <w:tab/>
        <w:t>Partizip</w:t>
      </w:r>
    </w:p>
  </w:footnote>
  <w:footnote w:id="5566">
    <w:p>
      <w:pPr>
        <w:pStyle w:val="Funote"/>
        <w:rPr/>
      </w:pPr>
      <w:r>
        <w:rPr/>
        <w:footnoteRef/>
        <w:tab/>
        <w:t>Partizip</w:t>
      </w:r>
    </w:p>
  </w:footnote>
  <w:footnote w:id="5567">
    <w:p>
      <w:pPr>
        <w:pStyle w:val="Funote"/>
        <w:rPr/>
      </w:pPr>
      <w:r>
        <w:rPr/>
        <w:footnoteRef/>
        <w:tab/>
        <w:t>Partizip</w:t>
      </w:r>
    </w:p>
  </w:footnote>
  <w:footnote w:id="5568">
    <w:p>
      <w:pPr>
        <w:pStyle w:val="Funote"/>
        <w:rPr/>
      </w:pPr>
      <w:r>
        <w:rPr/>
        <w:footnoteRef/>
        <w:tab/>
        <w:t>[Status: Ungeprüft]</w:t>
      </w:r>
    </w:p>
  </w:footnote>
  <w:footnote w:id="5569">
    <w:p>
      <w:pPr>
        <w:pStyle w:val="Funote"/>
        <w:rPr/>
      </w:pPr>
      <w:r>
        <w:rPr/>
        <w:footnoteRef/>
        <w:tab/>
        <w:t>Präskript (Adresse) des Briefes. Im Präskript steht der Absender im Nominativ, der Adressat (s. Vers 2) im Dativ.</w:t>
      </w:r>
    </w:p>
  </w:footnote>
  <w:footnote w:id="5570">
    <w:p>
      <w:pPr>
        <w:pStyle w:val="Funote"/>
        <w:rPr/>
      </w:pPr>
      <w:r>
        <w:rPr/>
        <w:footnoteRef/>
        <w:tab/>
        <w:t>Hier wird der Adressat genannt, daher wäre im Deutschen mit „an“ wiederzugeben, auch wenn die Präposition im Griechischen nicht da steht.</w:t>
      </w:r>
    </w:p>
  </w:footnote>
  <w:footnote w:id="5571">
    <w:p>
      <w:pPr>
        <w:pStyle w:val="Funote"/>
        <w:rPr/>
      </w:pPr>
      <w:r>
        <w:rPr/>
        <w:footnoteRef/>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5572">
    <w:p>
      <w:pPr>
        <w:pStyle w:val="Funote"/>
        <w:rPr/>
      </w:pPr>
      <w:r>
        <w:rPr/>
        <w:footnoteRef/>
        <w:tab/>
        <w:t>Partizip</w:t>
      </w:r>
    </w:p>
  </w:footnote>
  <w:footnote w:id="5573">
    <w:p>
      <w:pPr>
        <w:pStyle w:val="Funote"/>
        <w:rPr/>
      </w:pPr>
      <w:r>
        <w:rPr/>
        <w:footnoteRef/>
        <w:tab/>
        <w:t>Partizip</w:t>
      </w:r>
    </w:p>
  </w:footnote>
  <w:footnote w:id="5574">
    <w:p>
      <w:pPr>
        <w:pStyle w:val="Funote"/>
        <w:rPr/>
      </w:pPr>
      <w:r>
        <w:rPr/>
        <w:footnoteRef/>
        <w:tab/>
        <w:t>Man könnte die Possessivpronomina auch auf „Herr“ beziehen, dann würde man übersetzen: ihres und unseres Herrn, vgl. H.Conzelmann, Kommentar z.St.</w:t>
      </w:r>
    </w:p>
  </w:footnote>
  <w:footnote w:id="5575">
    <w:p>
      <w:pPr>
        <w:pStyle w:val="Funote"/>
        <w:rPr/>
      </w:pPr>
      <w:r>
        <w:rPr/>
        <w:footnoteRef/>
        <w:tab/>
        <w:t xml:space="preserve">Das Hilfsverb „eiä“, sei, ist hier zu ergänzen, vgl. Blass-Debrunner-Rehkopf, Grammatik des ntl. Griechisch, 16.Aufl. 1984, §128, Anm. 8. </w:t>
      </w:r>
    </w:p>
  </w:footnote>
  <w:footnote w:id="5576">
    <w:p>
      <w:pPr>
        <w:pStyle w:val="Funote"/>
        <w:rPr/>
      </w:pPr>
      <w:r>
        <w:rPr/>
        <w:footnoteRef/>
        <w:tab/>
        <w:t xml:space="preserve">D.h. die Bezeugung durch einen Zeugen. </w:t>
      </w:r>
    </w:p>
  </w:footnote>
  <w:footnote w:id="5577">
    <w:p>
      <w:pPr>
        <w:pStyle w:val="Funote"/>
        <w:rPr/>
      </w:pPr>
      <w:r>
        <w:rPr/>
        <w:footnoteRef/>
        <w:tab/>
        <w:t xml:space="preserve">Es handelt sich um von Gott geschenkte besondere Fähigkeiten: Charismen. Man kann den Begriff „charisma“ hier als terminus technicus ansehen. </w:t>
      </w:r>
    </w:p>
  </w:footnote>
  <w:footnote w:id="5578">
    <w:p>
      <w:pPr>
        <w:pStyle w:val="Funote"/>
        <w:rPr/>
      </w:pPr>
      <w:r>
        <w:rPr/>
        <w:footnoteRef/>
        <w:tab/>
        <w:t>Partizip</w:t>
      </w:r>
    </w:p>
  </w:footnote>
  <w:footnote w:id="5579">
    <w:p>
      <w:pPr>
        <w:pStyle w:val="Funote"/>
        <w:rPr/>
      </w:pPr>
      <w:r>
        <w:rPr/>
        <w:footnoteRef/>
        <w:tab/>
        <w:t>Partizip Passiv</w:t>
      </w:r>
    </w:p>
  </w:footnote>
  <w:footnote w:id="5580">
    <w:p>
      <w:pPr>
        <w:pStyle w:val="Funote"/>
        <w:rPr/>
      </w:pPr>
      <w:r>
        <w:rPr/>
        <w:footnoteRef/>
        <w:tab/>
        <w:t>Sg. Bruder, der Pl. kann Geschwister verschiedenen Geschlechtes bedeuten, Bauer, Wörterbuch, 5.Aufl. 1971, Sp. 31</w:t>
      </w:r>
    </w:p>
  </w:footnote>
  <w:footnote w:id="5581">
    <w:p>
      <w:pPr>
        <w:pStyle w:val="Funote"/>
        <w:rPr/>
      </w:pPr>
      <w:r>
        <w:rPr/>
        <w:footnoteRef/>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5582">
    <w:p>
      <w:pPr>
        <w:pStyle w:val="Funote"/>
        <w:rPr/>
      </w:pPr>
      <w:r>
        <w:rPr/>
        <w:footnoteRef/>
        <w:tab/>
        <w:t>Partizip Medium.</w:t>
      </w:r>
    </w:p>
  </w:footnote>
  <w:footnote w:id="5583">
    <w:p>
      <w:pPr>
        <w:pStyle w:val="Funote"/>
        <w:rPr/>
      </w:pPr>
      <w:r>
        <w:rPr/>
        <w:footnoteRef/>
        <w:tab/>
        <w:t>Partizip</w:t>
      </w:r>
    </w:p>
  </w:footnote>
  <w:footnote w:id="5584">
    <w:p>
      <w:pPr>
        <w:pStyle w:val="Funote"/>
        <w:rPr/>
      </w:pPr>
      <w:r>
        <w:rPr/>
        <w:footnoteRef/>
        <w:tab/>
        <w:t>S. Diskussion.</w:t>
      </w:r>
    </w:p>
  </w:footnote>
  <w:footnote w:id="5585">
    <w:p>
      <w:pPr>
        <w:pStyle w:val="Funote"/>
        <w:rPr/>
      </w:pPr>
      <w:r>
        <w:rPr/>
        <w:footnoteRef/>
        <w:tab/>
        <w:t>Partizip</w:t>
      </w:r>
    </w:p>
  </w:footnote>
  <w:footnote w:id="5586">
    <w:p>
      <w:pPr>
        <w:pStyle w:val="Funote"/>
        <w:rPr/>
      </w:pPr>
      <w:r>
        <w:rPr/>
        <w:footnoteRef/>
        <w:tab/>
        <w:t xml:space="preserve">'kai' … 'kai' steht hier in Korrelation, vgl. Blass-Debrunner-Rehkopf, Grammatik § 444, Anm. 4. </w:t>
      </w:r>
    </w:p>
  </w:footnote>
  <w:footnote w:id="5587">
    <w:p>
      <w:pPr>
        <w:pStyle w:val="Funote"/>
        <w:rPr/>
      </w:pPr>
      <w:r>
        <w:rPr/>
        <w:footnoteRef/>
        <w:tab/>
        <w:t xml:space="preserve">Partizip passiv. </w:t>
      </w:r>
    </w:p>
  </w:footnote>
  <w:footnote w:id="5588">
    <w:p>
      <w:pPr>
        <w:pStyle w:val="Funote"/>
        <w:rPr/>
      </w:pPr>
      <w:r>
        <w:rPr/>
        <w:footnoteRef/>
        <w:tab/>
        <w:t xml:space="preserve">'skandalon' ist der Stolperstein, durch den man zu Fall kommt. </w:t>
      </w:r>
    </w:p>
  </w:footnote>
  <w:footnote w:id="5589">
    <w:p>
      <w:pPr>
        <w:pStyle w:val="Funote"/>
        <w:rPr/>
      </w:pPr>
      <w:r>
        <w:rPr/>
        <w:footnoteRef/>
        <w:tab/>
        <w:t xml:space="preserve">'ethne' bezeichnet die nichtjüdischen Völker, oft synonym mit 'Griechen' gebraucht. </w:t>
      </w:r>
    </w:p>
  </w:footnote>
  <w:footnote w:id="5590">
    <w:p>
      <w:pPr>
        <w:pStyle w:val="Funote"/>
        <w:rPr/>
      </w:pPr>
      <w:r>
        <w:rPr/>
        <w:footnoteRef/>
        <w:tab/>
        <w:t>D.h. „Was an Gott töricht erscheint“.</w:t>
      </w:r>
    </w:p>
  </w:footnote>
  <w:footnote w:id="5591">
    <w:p>
      <w:pPr>
        <w:pStyle w:val="Funote"/>
        <w:rPr/>
      </w:pPr>
      <w:r>
        <w:rPr/>
        <w:footnoteRef/>
        <w:tab/>
        <w:t>S. Diskussion.</w:t>
      </w:r>
    </w:p>
  </w:footnote>
  <w:footnote w:id="5592">
    <w:p>
      <w:pPr>
        <w:pStyle w:val="Funote"/>
        <w:rPr/>
      </w:pPr>
      <w:r>
        <w:rPr/>
        <w:footnoteRef/>
        <w:tab/>
        <w:t>Neutrum Pl. und Genitiv bezieht sich auf eine Mehrzahl von Erscheinungen, hier: Personen, vgl. Blass-Debrunner-Rehkopf, Grammatik § 263,4.</w:t>
      </w:r>
    </w:p>
  </w:footnote>
  <w:footnote w:id="5593">
    <w:p>
      <w:pPr>
        <w:pStyle w:val="Funote"/>
        <w:rPr/>
      </w:pPr>
      <w:r>
        <w:rPr/>
        <w:footnoteRef/>
        <w:tab/>
        <w:t>S. Diskussion.</w:t>
      </w:r>
    </w:p>
  </w:footnote>
  <w:footnote w:id="5594">
    <w:p>
      <w:pPr>
        <w:pStyle w:val="Funote"/>
        <w:rPr/>
      </w:pPr>
      <w:r>
        <w:rPr/>
        <w:footnoteRef/>
        <w:tab/>
        <w:t>Gott, d.h. „aufgrund eurer Erwählung“.</w:t>
      </w:r>
    </w:p>
  </w:footnote>
  <w:footnote w:id="5595">
    <w:p>
      <w:pPr>
        <w:pStyle w:val="Funote"/>
        <w:rPr/>
      </w:pPr>
      <w:r>
        <w:rPr/>
        <w:footnoteRef/>
        <w:tab/>
        <w:t>Partizip</w:t>
      </w:r>
    </w:p>
  </w:footnote>
  <w:footnote w:id="5596">
    <w:p>
      <w:pPr>
        <w:pStyle w:val="Funote"/>
        <w:rPr/>
      </w:pPr>
      <w:r>
        <w:rPr/>
        <w:footnoteRef/>
        <w:tab/>
        <w:t>[Status: Ungeprüft]</w:t>
      </w:r>
    </w:p>
  </w:footnote>
  <w:footnote w:id="5597">
    <w:p>
      <w:pPr>
        <w:pStyle w:val="Funote"/>
        <w:rPr/>
      </w:pPr>
      <w:r>
        <w:rPr>
          <w:lang w:val="el-GR"/>
        </w:rPr>
        <w:footnoteRef/>
        <w:tab/>
        <w:t>κατά</w:t>
      </w:r>
      <w:r>
        <w:rPr/>
        <w:t xml:space="preserve"> zur Bezeichnung der Art und Weise, Bauer Wörterbuch Sp. 1665</w:t>
      </w:r>
    </w:p>
  </w:footnote>
  <w:footnote w:id="5598">
    <w:p>
      <w:pPr>
        <w:pStyle w:val="Funote"/>
        <w:rPr/>
      </w:pPr>
      <w:r>
        <w:rPr/>
        <w:footnoteRef/>
        <w:tab/>
        <w:t>Partizip Aorist</w:t>
      </w:r>
    </w:p>
  </w:footnote>
  <w:footnote w:id="5599">
    <w:p>
      <w:pPr>
        <w:pStyle w:val="Funote"/>
        <w:rPr/>
      </w:pPr>
      <w:r>
        <w:rPr>
          <w:lang w:val="el-GR"/>
        </w:rPr>
        <w:footnoteRef/>
        <w:tab/>
        <w:t>λόγος</w:t>
      </w:r>
      <w:r>
        <w:rPr/>
        <w:t xml:space="preserve"> (hier Sg.) hat eine breites Bedeutungsfeld: Sprechen, Ausspruch, Aussage, Rede, Gegenstand (der Rede) usw.</w:t>
      </w:r>
    </w:p>
  </w:footnote>
  <w:footnote w:id="5600">
    <w:p>
      <w:pPr>
        <w:pStyle w:val="Funote"/>
        <w:rPr/>
      </w:pPr>
      <w:r>
        <w:rPr/>
        <w:footnoteRef/>
        <w:tab/>
        <w:t xml:space="preserve">der Satz ist noch abhängig vom Verb </w:t>
      </w:r>
      <w:r>
        <w:rPr>
          <w:lang w:val="el-GR"/>
        </w:rPr>
        <w:t>ἐγενόμην</w:t>
      </w:r>
      <w:r>
        <w:rPr/>
        <w:t xml:space="preserve"> Vers 3</w:t>
      </w:r>
    </w:p>
  </w:footnote>
  <w:footnote w:id="5601">
    <w:p>
      <w:pPr>
        <w:pStyle w:val="Funote"/>
        <w:rPr/>
      </w:pPr>
      <w:r>
        <w:rPr/>
        <w:footnoteRef/>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5602">
    <w:p>
      <w:pPr>
        <w:pStyle w:val="Funote"/>
        <w:rPr/>
      </w:pPr>
      <w:r>
        <w:rPr/>
        <w:footnoteRef/>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5603">
    <w:p>
      <w:pPr>
        <w:pStyle w:val="Funote"/>
        <w:rPr/>
      </w:pPr>
      <w:r>
        <w:rPr/>
        <w:footnoteRef/>
        <w:tab/>
        <w:t>Irrealis der Vergangenheit</w:t>
      </w:r>
    </w:p>
  </w:footnote>
  <w:footnote w:id="5604">
    <w:p>
      <w:pPr>
        <w:pStyle w:val="Funote"/>
        <w:rPr/>
      </w:pPr>
      <w:r>
        <w:rPr/>
        <w:footnoteRef/>
        <w:tab/>
        <w:t>"Das Zitat kann weder im AT noch im außerkanonischen jüdischen Schrifttum nachgewiesen werden. Nach Origenes stammt es aus der Elia-Apokalypse", Conzelmann, S. 81 und Anm. 70</w:t>
      </w:r>
    </w:p>
  </w:footnote>
  <w:footnote w:id="5605">
    <w:p>
      <w:pPr>
        <w:pStyle w:val="Funote"/>
        <w:rPr/>
      </w:pPr>
      <w:r>
        <w:rPr>
          <w:lang w:val="el-GR"/>
        </w:rPr>
        <w:footnoteRef/>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5606">
    <w:p>
      <w:pPr>
        <w:pStyle w:val="Funote"/>
        <w:rPr/>
      </w:pPr>
      <w:r>
        <w:rPr/>
        <w:footnoteRef/>
        <w:tab/>
        <w:t>gemeint ist: ein Gedanke steigt in uns auf, weil das Herz als Sitz des Denkens galt, Bauer, Wörterbuch Sp. 100</w:t>
      </w:r>
    </w:p>
  </w:footnote>
  <w:footnote w:id="5607">
    <w:p>
      <w:pPr>
        <w:pStyle w:val="Funote"/>
        <w:rPr/>
      </w:pPr>
      <w:r>
        <w:rPr/>
        <w:footnoteRef/>
        <w:tab/>
        <w:t>Partizip</w:t>
      </w:r>
    </w:p>
  </w:footnote>
  <w:footnote w:id="5608">
    <w:p>
      <w:pPr>
        <w:pStyle w:val="Funote"/>
        <w:rPr/>
      </w:pPr>
      <w:r>
        <w:rPr/>
        <w:footnoteRef/>
        <w:tab/>
        <w:t>Bauer, Wörterbuch Sp. 259: "Die Abgründe des göttlichen Wesens"</w:t>
      </w:r>
    </w:p>
  </w:footnote>
  <w:footnote w:id="5609">
    <w:p>
      <w:pPr>
        <w:pStyle w:val="Funote"/>
        <w:rPr/>
      </w:pPr>
      <w:r>
        <w:rPr/>
        <w:footnoteRef/>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5610">
    <w:p>
      <w:pPr>
        <w:pStyle w:val="Funote"/>
        <w:rPr/>
      </w:pPr>
      <w:r>
        <w:rPr/>
        <w:footnoteRef/>
        <w:tab/>
        <w:t xml:space="preserve">Relativpronomen, schließt an </w:t>
      </w:r>
      <w:r>
        <w:rPr>
          <w:lang w:val="el-GR"/>
        </w:rPr>
        <w:t>τὰ χαρισθέντα</w:t>
      </w:r>
      <w:r>
        <w:rPr/>
        <w:t xml:space="preserve"> = das [von Gott] Geschenkte Vers 12 an</w:t>
      </w:r>
    </w:p>
  </w:footnote>
  <w:footnote w:id="5611">
    <w:p>
      <w:pPr>
        <w:pStyle w:val="Funote"/>
        <w:rPr/>
      </w:pPr>
      <w:r>
        <w:rPr>
          <w:lang w:val="el-GR"/>
        </w:rPr>
        <w:footnoteRef/>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5612">
    <w:p>
      <w:pPr>
        <w:pStyle w:val="Funote"/>
        <w:rPr/>
      </w:pPr>
      <w:r>
        <w:rPr/>
        <w:footnoteRef/>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5613">
    <w:p>
      <w:pPr>
        <w:pStyle w:val="Funote"/>
        <w:rPr/>
      </w:pPr>
      <w:r>
        <w:rPr/>
        <w:footnoteRef/>
        <w:tab/>
        <w:t>Adverb</w:t>
      </w:r>
    </w:p>
  </w:footnote>
  <w:footnote w:id="5614">
    <w:p>
      <w:pPr>
        <w:pStyle w:val="Funote"/>
        <w:rPr/>
      </w:pPr>
      <w:r>
        <w:rPr/>
        <w:footnoteRef/>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5615">
    <w:p>
      <w:pPr>
        <w:pStyle w:val="Funote"/>
        <w:rPr/>
      </w:pPr>
      <w:r>
        <w:rPr/>
        <w:footnoteRef/>
        <w:tab/>
        <w:t xml:space="preserve">wie im atl. Zitat steht hier </w:t>
      </w:r>
      <w:r>
        <w:rPr>
          <w:lang w:val="el-GR"/>
        </w:rPr>
        <w:t>νοῦς</w:t>
      </w:r>
      <w:r>
        <w:rPr/>
        <w:t>, man kann es aber m.E. nicht mit der gleichen Vokabel übersetzen</w:t>
      </w:r>
    </w:p>
  </w:footnote>
  <w:footnote w:id="5616">
    <w:p>
      <w:pPr>
        <w:pStyle w:val="Funote"/>
        <w:rPr/>
      </w:pPr>
      <w:r>
        <w:rPr/>
        <w:footnoteRef/>
        <w:tab/>
        <w:t>[Status: Ungeprüft]</w:t>
      </w:r>
    </w:p>
  </w:footnote>
  <w:footnote w:id="5617">
    <w:p>
      <w:pPr>
        <w:pStyle w:val="Funote"/>
        <w:rPr/>
      </w:pPr>
      <w:r>
        <w:rPr/>
        <w:footnoteRef/>
        <w:tab/>
        <w:t>gemeint sind natürlich nicht kirchliche Amtsträger, sondern solche, die den Hl. Geist haben</w:t>
      </w:r>
    </w:p>
  </w:footnote>
  <w:footnote w:id="5618">
    <w:p>
      <w:pPr>
        <w:pStyle w:val="Funote"/>
        <w:rPr/>
      </w:pPr>
      <w:r>
        <w:rPr/>
        <w:footnoteRef/>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5619">
    <w:p>
      <w:pPr>
        <w:pStyle w:val="Funote"/>
        <w:rPr/>
      </w:pPr>
      <w:r>
        <w:rPr>
          <w:lang w:val="el-GR"/>
        </w:rPr>
        <w:footnoteRef/>
        <w:tab/>
        <w:t>ὅπου</w:t>
      </w:r>
      <w:r>
        <w:rPr/>
        <w:t xml:space="preserve"> kausal = </w:t>
      </w:r>
      <w:r>
        <w:rPr>
          <w:lang w:val="el-GR"/>
        </w:rPr>
        <w:t>ἐπεί</w:t>
      </w:r>
      <w:r>
        <w:rPr/>
        <w:t>, Conzelmann S. 88 Anm. 7</w:t>
      </w:r>
    </w:p>
  </w:footnote>
  <w:footnote w:id="5620">
    <w:p>
      <w:pPr>
        <w:pStyle w:val="Funote"/>
        <w:rPr/>
      </w:pPr>
      <w:r>
        <w:rPr/>
        <w:footnoteRef/>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5621">
    <w:p>
      <w:pPr>
        <w:pStyle w:val="Funote"/>
        <w:rPr/>
      </w:pPr>
      <w:r>
        <w:rPr/>
        <w:footnoteRef/>
        <w:tab/>
        <w:t>wörtl.: des Paulus - es geht um verschiedene "Parteien", die sich nach den Personen benennen, die sie getauft haben</w:t>
      </w:r>
    </w:p>
  </w:footnote>
  <w:footnote w:id="5622">
    <w:p>
      <w:pPr>
        <w:pStyle w:val="Funote"/>
        <w:rPr/>
      </w:pPr>
      <w:r>
        <w:rPr/>
        <w:footnoteRef/>
        <w:tab/>
        <w:t>als Baustoff, z.B. Grashütte</w:t>
      </w:r>
    </w:p>
  </w:footnote>
  <w:footnote w:id="5623">
    <w:p>
      <w:pPr>
        <w:pStyle w:val="Funote"/>
        <w:rPr/>
      </w:pPr>
      <w:r>
        <w:rPr/>
        <w:footnoteRef/>
        <w:tab/>
        <w:t>Paulus meint den "Tag des Herrn", nicht wie im Sprichwort: "Die Sonne bringt es an den Tag"</w:t>
      </w:r>
    </w:p>
  </w:footnote>
  <w:footnote w:id="5624">
    <w:p>
      <w:pPr>
        <w:pStyle w:val="Funote"/>
        <w:rPr/>
      </w:pPr>
      <w:r>
        <w:rPr/>
        <w:footnoteRef/>
        <w:tab/>
        <w:t>[Status: Ungeprüft]</w:t>
      </w:r>
    </w:p>
  </w:footnote>
  <w:footnote w:id="5625">
    <w:p>
      <w:pPr>
        <w:pStyle w:val="Funote"/>
        <w:rPr/>
      </w:pPr>
      <w:r>
        <w:rPr>
          <w:lang w:val="el-GR"/>
        </w:rPr>
        <w:footnoteRef/>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5626">
    <w:p>
      <w:pPr>
        <w:pStyle w:val="Funote"/>
        <w:rPr/>
      </w:pPr>
      <w:r>
        <w:rPr/>
        <w:footnoteRef/>
        <w:tab/>
        <w:t>wörtl.: mir wird es zu etwas ganz Geringfügigem</w:t>
      </w:r>
    </w:p>
  </w:footnote>
  <w:footnote w:id="5627">
    <w:p>
      <w:pPr>
        <w:pStyle w:val="Funote"/>
        <w:rPr/>
      </w:pPr>
      <w:r>
        <w:rPr>
          <w:lang w:val="el-GR"/>
        </w:rPr>
        <w:footnoteRef/>
        <w:tab/>
        <w:t>ἳνα</w:t>
      </w:r>
      <w:r>
        <w:rPr/>
        <w:t xml:space="preserve"> hier nicht final; es vertritt den Infinitiv, Blass-Debrunner-Rehkopf § 393</w:t>
      </w:r>
    </w:p>
  </w:footnote>
  <w:footnote w:id="5628">
    <w:p>
      <w:pPr>
        <w:pStyle w:val="Funote"/>
        <w:rPr/>
      </w:pPr>
      <w:r>
        <w:rPr>
          <w:lang w:val="el-GR"/>
        </w:rPr>
        <w:footnoteRef/>
        <w:tab/>
        <w:t>ἀλλά</w:t>
      </w:r>
      <w:r>
        <w:rPr/>
        <w:t xml:space="preserve"> führt Hinzukommends stark ein, Blass-Debrunner-Rehkopf § 448,6</w:t>
      </w:r>
    </w:p>
  </w:footnote>
  <w:footnote w:id="5629">
    <w:p>
      <w:pPr>
        <w:pStyle w:val="Funote"/>
        <w:rPr/>
      </w:pPr>
      <w:r>
        <w:rPr/>
        <w:footnoteRef/>
        <w:tab/>
        <w:t>i.S. von: keiner Schuld</w:t>
      </w:r>
    </w:p>
  </w:footnote>
  <w:footnote w:id="5630">
    <w:p>
      <w:pPr>
        <w:pStyle w:val="Funote"/>
        <w:rPr/>
      </w:pPr>
      <w:r>
        <w:rPr>
          <w:lang w:val="el-GR"/>
        </w:rPr>
        <w:footnoteRef/>
        <w:tab/>
        <w:t>καιρός</w:t>
      </w:r>
      <w:r>
        <w:rPr/>
        <w:t xml:space="preserve"> = die Endzeit, die mit dem Kommen Jesu das Gericht bringt</w:t>
      </w:r>
    </w:p>
  </w:footnote>
  <w:footnote w:id="5631">
    <w:p>
      <w:pPr>
        <w:pStyle w:val="Funote"/>
        <w:rPr/>
      </w:pPr>
      <w:r>
        <w:rPr/>
        <w:footnoteRef/>
        <w:tab/>
        <w:t>das Herz als Sitz des Willens und der Gedanken</w:t>
      </w:r>
    </w:p>
  </w:footnote>
  <w:footnote w:id="5632">
    <w:p>
      <w:pPr>
        <w:pStyle w:val="Funote"/>
        <w:rPr/>
      </w:pPr>
      <w:r>
        <w:rPr>
          <w:lang w:val="el-GR"/>
        </w:rPr>
        <w:footnoteRef/>
        <w:tab/>
        <w:t>τὸ</w:t>
      </w:r>
      <w:r>
        <w:rPr/>
        <w:t xml:space="preserve"> weist auf einen anerkannten Grundsatz hin. Was der aber bedeutet, ist unverständlich. Handelt es sich evtl. um eine Glosse (i.S. von: du sollst nicht über die Spalte hinaus schreiben)? vgl. Conzelmann, S. 105</w:t>
      </w:r>
    </w:p>
  </w:footnote>
  <w:footnote w:id="5633">
    <w:p>
      <w:pPr>
        <w:pStyle w:val="Funote"/>
        <w:rPr/>
      </w:pPr>
      <w:r>
        <w:rPr/>
        <w:footnoteRef/>
        <w:tab/>
        <w:t>i.S. von hochmütig sein</w:t>
      </w:r>
    </w:p>
  </w:footnote>
  <w:footnote w:id="5634">
    <w:p>
      <w:pPr>
        <w:pStyle w:val="Funote"/>
        <w:rPr/>
      </w:pPr>
      <w:r>
        <w:rPr/>
        <w:footnoteRef/>
        <w:tab/>
        <w:t>gemeint ist: damit ihr euch nicht aufbläht, der einzelne (Korinther) für den einen (Apostel, dem er anhängt, und damit) gegen den anderen, Bauer, Wörterbuch Sp. 1719</w:t>
      </w:r>
    </w:p>
  </w:footnote>
  <w:footnote w:id="5635">
    <w:p>
      <w:pPr>
        <w:pStyle w:val="Funote"/>
        <w:rPr/>
      </w:pPr>
      <w:r>
        <w:rPr/>
        <w:footnoteRef/>
        <w:tab/>
        <w:t>ergänze: sondern dir selbst erworben</w:t>
      </w:r>
    </w:p>
  </w:footnote>
  <w:footnote w:id="5636">
    <w:p>
      <w:pPr>
        <w:pStyle w:val="Funote"/>
        <w:rPr/>
      </w:pPr>
      <w:r>
        <w:rPr/>
        <w:footnoteRef/>
        <w:tab/>
        <w:t>ihr glaubt, nichts mehr an geistlicher Nahrung nötig zu haben, Bauer, Wörterbuch Sp. 879. Es handelt sich um ironische Feststellungen</w:t>
      </w:r>
    </w:p>
  </w:footnote>
  <w:footnote w:id="5637">
    <w:p>
      <w:pPr>
        <w:pStyle w:val="Funote"/>
        <w:rPr/>
      </w:pPr>
      <w:r>
        <w:rPr/>
        <w:footnoteRef/>
        <w:tab/>
        <w:t>Bild aus dem Gladiatorenkampf</w:t>
      </w:r>
    </w:p>
  </w:footnote>
  <w:footnote w:id="5638">
    <w:p>
      <w:pPr>
        <w:pStyle w:val="Funote"/>
        <w:rPr/>
      </w:pPr>
      <w:r>
        <w:rPr/>
        <w:footnoteRef/>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5639">
    <w:p>
      <w:pPr>
        <w:pStyle w:val="Funote"/>
        <w:rPr/>
      </w:pPr>
      <w:r>
        <w:rPr/>
        <w:footnoteRef/>
        <w:tab/>
        <w:t>die selbe Bedeutung wie das vorige Wort: das, was beim Reinigungsprozess abgeht</w:t>
      </w:r>
    </w:p>
  </w:footnote>
  <w:footnote w:id="5640">
    <w:p>
      <w:pPr>
        <w:pStyle w:val="Funote"/>
        <w:rPr/>
      </w:pPr>
      <w:r>
        <w:rPr/>
        <w:footnoteRef/>
        <w:tab/>
        <w:t>Nestle-Aland hat das Partizip; einige gewichtige Handschriften bezeugen aber auch die 1.Sg.</w:t>
      </w:r>
    </w:p>
  </w:footnote>
  <w:footnote w:id="5641">
    <w:p>
      <w:pPr>
        <w:pStyle w:val="Funote"/>
        <w:rPr/>
      </w:pPr>
      <w:r>
        <w:rPr/>
        <w:footnoteRef/>
        <w:tab/>
        <w:t>nicht zu verwechseln mit dem Lehrer! Den Pädagogen unterstand die äußere Erziehung der Knaben und Jünglinge, nicht jedoch der eigentliche Unterricht, Bauer, Wörterbuch Sp. 1195f</w:t>
      </w:r>
    </w:p>
  </w:footnote>
  <w:footnote w:id="5642">
    <w:p>
      <w:pPr>
        <w:pStyle w:val="Funote"/>
        <w:rPr/>
      </w:pPr>
      <w:r>
        <w:rPr/>
        <w:footnoteRef/>
        <w:tab/>
        <w:t>Iterativus der Gegenwart: so oft = wenn</w:t>
      </w:r>
    </w:p>
  </w:footnote>
  <w:footnote w:id="5643">
    <w:p>
      <w:pPr>
        <w:pStyle w:val="Funote"/>
        <w:rPr/>
      </w:pPr>
      <w:r>
        <w:rPr/>
        <w:footnoteRef/>
        <w:tab/>
        <w:t>Futuralis</w:t>
      </w:r>
    </w:p>
  </w:footnote>
  <w:footnote w:id="5644">
    <w:p>
      <w:pPr>
        <w:pStyle w:val="Funote"/>
        <w:rPr/>
      </w:pPr>
      <w:r>
        <w:rPr/>
        <w:footnoteRef/>
        <w:tab/>
        <w:t>oder: beruht auf dem Wort</w:t>
      </w:r>
    </w:p>
  </w:footnote>
  <w:footnote w:id="5645">
    <w:p>
      <w:pPr>
        <w:pStyle w:val="Funote"/>
        <w:rPr/>
      </w:pPr>
      <w:r>
        <w:rPr/>
        <w:footnoteRef/>
        <w:tab/>
        <w:t>Paulus bezieht sich hier zum ersten Mal auf Fragen der Korinther, die ihm von den Korinthern in einem Brief gestellt wurden. Weitere Stellen: 7,25; 8,1; 12,1.</w:t>
      </w:r>
    </w:p>
  </w:footnote>
  <w:footnote w:id="5646">
    <w:p>
      <w:pPr>
        <w:pStyle w:val="Funote"/>
        <w:rPr/>
      </w:pPr>
      <w:r>
        <w:rPr/>
        <w:footnoteRef/>
        <w:tab/>
        <w:t>Wörtl.: Menschen</w:t>
      </w:r>
    </w:p>
  </w:footnote>
  <w:footnote w:id="5647">
    <w:p>
      <w:pPr>
        <w:pStyle w:val="Funote"/>
        <w:rPr/>
      </w:pPr>
      <w:r>
        <w:rPr/>
        <w:footnoteRef/>
        <w:tab/>
        <w:t xml:space="preserve">Das griechische Verb </w:t>
      </w:r>
      <w:r>
        <w:rPr>
          <w:lang w:val="el-GR"/>
        </w:rPr>
        <w:t>απτομαι</w:t>
      </w:r>
      <w:r>
        <w:rPr/>
        <w:t xml:space="preserve"> (haptomai) meint nicht eine spezielle, z.B. sexuelle Form der Berührung, sondern das Berühren (= Anfassen) überhaupt.</w:t>
      </w:r>
    </w:p>
  </w:footnote>
  <w:footnote w:id="5648">
    <w:p>
      <w:pPr>
        <w:pStyle w:val="Funote"/>
        <w:rPr/>
      </w:pPr>
      <w:r>
        <w:rPr/>
        <w:footnoteRef/>
        <w:tab/>
        <w:t>Gemeint ist: außerehelicher Geschlechtsverkehr</w:t>
      </w:r>
    </w:p>
  </w:footnote>
  <w:footnote w:id="5649">
    <w:p>
      <w:pPr>
        <w:pStyle w:val="Funote"/>
        <w:rPr/>
      </w:pPr>
      <w:r>
        <w:rPr/>
        <w:footnoteRef/>
        <w:tab/>
        <w:t>Der Ausdruck "seine Pflicht erfüllen" bezieht sich nicht auf eine spezifische Pflicht, z.B. die sog. "ehelichen Pflichten", d.h. die Bereitschaft zum Geschlechtsverkehr, könnte aber im Zusammenhang hier gemeint sein.</w:t>
      </w:r>
    </w:p>
  </w:footnote>
  <w:footnote w:id="5650">
    <w:p>
      <w:pPr>
        <w:pStyle w:val="Funote"/>
        <w:rPr/>
      </w:pPr>
      <w:r>
        <w:rPr/>
        <w:footnoteRef/>
        <w:tab/>
        <w:t>Wörtlich: beraubt nicht</w:t>
      </w:r>
    </w:p>
  </w:footnote>
  <w:footnote w:id="5651">
    <w:p>
      <w:pPr>
        <w:pStyle w:val="Funote"/>
        <w:rPr/>
      </w:pPr>
      <w:r>
        <w:rPr/>
        <w:footnoteRef/>
        <w:tab/>
        <w:t>Auch: Geschiedenen</w:t>
      </w:r>
    </w:p>
  </w:footnote>
  <w:footnote w:id="5652">
    <w:p>
      <w:pPr>
        <w:pStyle w:val="Funote"/>
        <w:rPr/>
      </w:pPr>
      <w:r>
        <w:rPr/>
        <w:footnoteRef/>
        <w:tab/>
        <w:t>Gemeint ist: vor Lust.</w:t>
      </w:r>
    </w:p>
  </w:footnote>
  <w:footnote w:id="5653">
    <w:p>
      <w:pPr>
        <w:pStyle w:val="Funote"/>
        <w:rPr/>
      </w:pPr>
      <w:r>
        <w:rPr/>
        <w:footnoteRef/>
        <w:tab/>
        <w:t>Eine der wenigen Stellen, an denen Paulus ein Jesuswort ("Herrenwort") überliefert, vgl. 9,14 und 1.Thessalonicher 4,15.</w:t>
      </w:r>
    </w:p>
  </w:footnote>
  <w:footnote w:id="5654">
    <w:p>
      <w:pPr>
        <w:pStyle w:val="Funote"/>
        <w:rPr/>
      </w:pPr>
      <w:r>
        <w:rPr/>
        <w:footnoteRef/>
        <w:tab/>
        <w:t xml:space="preserve">Nicht Einräumung einer Ausnahme ("falls sie sich doch scheidet"), </w:t>
      </w:r>
      <w:hyperlink r:id="rId555">
        <w:r>
          <w:rPr>
            <w:rStyle w:val="Internetverknpfung"/>
          </w:rPr>
          <w:t>BDR</w:t>
        </w:r>
      </w:hyperlink>
      <w:r>
        <w:rPr/>
        <w:t xml:space="preserve"> § 373.</w:t>
      </w:r>
    </w:p>
  </w:footnote>
  <w:footnote w:id="5655">
    <w:p>
      <w:pPr>
        <w:pStyle w:val="Funote"/>
        <w:rPr/>
      </w:pPr>
      <w:r>
        <w:rPr/>
        <w:footnoteRef/>
        <w:tab/>
        <w:t>(Aus einem Rechtsverhältnis entlassen) Hier zeigt sich die Gleichstellung der Geschlechter bei Paulus, so auch in den Versen 13 und 15; das entspricht dem griechischen und römischen Recht, im Gegensatz dazu das jüdische Recht (Conzelmann, S. 145).</w:t>
      </w:r>
    </w:p>
  </w:footnote>
  <w:footnote w:id="5656">
    <w:p>
      <w:pPr>
        <w:pStyle w:val="Funote"/>
        <w:rPr/>
      </w:pPr>
      <w:r>
        <w:rPr/>
        <w:footnoteRef/>
        <w:tab/>
        <w:t>Nämlich denen, die in christlich-heidnischer Mischehe leben.</w:t>
      </w:r>
    </w:p>
  </w:footnote>
  <w:footnote w:id="5657">
    <w:p>
      <w:pPr>
        <w:pStyle w:val="Funote"/>
        <w:rPr/>
      </w:pPr>
      <w:r>
        <w:rPr/>
        <w:footnoteRef/>
        <w:tab/>
        <w:t>Im kultischen Sinn unrein ist, was mit der Gottheit nicht in Berührung gebracht werden darf.</w:t>
      </w:r>
    </w:p>
  </w:footnote>
  <w:footnote w:id="5658">
    <w:p>
      <w:pPr>
        <w:pStyle w:val="Funote"/>
        <w:rPr/>
      </w:pPr>
      <w:r>
        <w:rPr/>
        <w:footnoteRef/>
        <w:tab/>
        <w:t>Kann sowohl das Bisherige zusammenfassen (= doch) als auch einen Neueinsatz einleiten (= sondern), Conzelmann, S. 150.</w:t>
      </w:r>
    </w:p>
  </w:footnote>
  <w:footnote w:id="5659">
    <w:p>
      <w:pPr>
        <w:pStyle w:val="Funote"/>
        <w:rPr/>
      </w:pPr>
      <w:r>
        <w:rPr/>
        <w:footnoteRef/>
        <w:tab/>
        <w:t>Um die Beschneidung zu verdecken.</w:t>
      </w:r>
    </w:p>
  </w:footnote>
  <w:footnote w:id="5660">
    <w:p>
      <w:pPr>
        <w:pStyle w:val="Funote"/>
        <w:rPr/>
      </w:pPr>
      <w:r>
        <w:rPr/>
        <w:footnoteRef/>
        <w:tab/>
        <w:t>Es handelt sich um bürgerliche Freiheit, die in der Gemeinde keinen Wert darstellt, da dort nicht zwischen frei und unfrei unterschieden wird.</w:t>
      </w:r>
    </w:p>
  </w:footnote>
  <w:footnote w:id="5661">
    <w:p>
      <w:pPr>
        <w:pStyle w:val="Funote"/>
        <w:rPr/>
      </w:pPr>
      <w:r>
        <w:rPr/>
        <w:footnoteRef/>
        <w:tab/>
        <w:t>Bezieht sich "sie" auf die Sklaverei oder die Freiheit? Im Griechischen fehlt das Bezugswort, sodass beides möglich wäre. Conzelmann, S. 153, meint, dass "die Sklaverei" gemeint ist, weil es sich um ein Trostwort handelt und wegen einer Parallele bei Epiktet (II,6,18): "Was kümmert es dich, welchen Weg zum Hades du nimmst? Alle sind gleich".</w:t>
      </w:r>
    </w:p>
  </w:footnote>
  <w:footnote w:id="5662">
    <w:p>
      <w:pPr>
        <w:pStyle w:val="Funote"/>
        <w:rPr/>
      </w:pPr>
      <w:r>
        <w:rPr/>
        <w:footnoteRef/>
        <w:tab/>
        <w:t>Vgl. Römer 6,18; 8,2;Galater 5,1.</w:t>
      </w:r>
    </w:p>
  </w:footnote>
  <w:footnote w:id="5663">
    <w:p>
      <w:pPr>
        <w:pStyle w:val="Funote"/>
        <w:rPr/>
      </w:pPr>
      <w:r>
        <w:rPr/>
        <w:footnoteRef/>
        <w:tab/>
        <w:t>Der Begriff bezeichnet Männer und Frauen, die Jungfräulichkeit gelobt haben.</w:t>
      </w:r>
    </w:p>
  </w:footnote>
  <w:footnote w:id="5664">
    <w:p>
      <w:pPr>
        <w:pStyle w:val="Funote"/>
        <w:rPr/>
      </w:pPr>
      <w:r>
        <w:rPr/>
        <w:footnoteRef/>
        <w:tab/>
        <w:t>Wörtl.: Die Meinung "abgeben".</w:t>
      </w:r>
    </w:p>
  </w:footnote>
  <w:footnote w:id="5665">
    <w:p>
      <w:pPr>
        <w:pStyle w:val="Funote"/>
        <w:rPr/>
      </w:pPr>
      <w:r>
        <w:rPr>
          <w:lang w:val="el-GR"/>
        </w:rPr>
        <w:footnoteRef/>
        <w:tab/>
        <w:t>πιστος</w:t>
      </w:r>
      <w:r>
        <w:rPr/>
        <w:t xml:space="preserve"> heißt hier schwerlich "gläubig", sondern der Apostel Paulus fühlt sich in besonderer Weise vom Herrn berufen und beauftragt, das Adjektiv ist also hier eher ein Titel: "Vertrauensmann", vgl. 1.Thessalonicher 2,4, "Beauftragter" - oft in Inschriften </w:t>
      </w:r>
      <w:hyperlink r:id="rId556">
        <w:r>
          <w:rPr>
            <w:rStyle w:val="Internetverknpfung"/>
          </w:rPr>
          <w:t>BW</w:t>
        </w:r>
      </w:hyperlink>
      <w:r>
        <w:rPr/>
        <w:t xml:space="preserve"> Sp. 1318.</w:t>
      </w:r>
    </w:p>
  </w:footnote>
  <w:footnote w:id="5666">
    <w:p>
      <w:pPr>
        <w:pStyle w:val="Funote"/>
        <w:rPr/>
      </w:pPr>
      <w:hyperlink r:id="rId557">
        <w:r>
          <w:rPr>
            <w:rStyle w:val="Internetverknpfung"/>
          </w:rPr>
          <w:footnoteRef/>
          <w:tab/>
          <w:t>Part. coni.</w:t>
        </w:r>
      </w:hyperlink>
      <w:r>
        <w:rPr/>
        <w:t>, kausal aufgelöst.</w:t>
      </w:r>
    </w:p>
  </w:footnote>
  <w:footnote w:id="5667">
    <w:p>
      <w:pPr>
        <w:pStyle w:val="Funote"/>
        <w:rPr/>
      </w:pPr>
      <w:r>
        <w:rPr/>
        <w:footnoteRef/>
        <w:tab/>
        <w:t>Die Endzeit, die Paulus als unmittelbar bevorstehend annahm.</w:t>
      </w:r>
    </w:p>
  </w:footnote>
  <w:footnote w:id="5668">
    <w:p>
      <w:pPr>
        <w:pStyle w:val="Funote"/>
        <w:rPr/>
      </w:pPr>
      <w:r>
        <w:rPr/>
        <w:footnoteRef/>
        <w:tab/>
        <w:t>Im oben V. 25 gemeinten Sinn</w:t>
      </w:r>
    </w:p>
  </w:footnote>
  <w:footnote w:id="5669">
    <w:p>
      <w:pPr>
        <w:pStyle w:val="Funote"/>
        <w:rPr/>
      </w:pPr>
      <w:r>
        <w:rPr>
          <w:lang w:val="el-GR"/>
        </w:rPr>
        <w:footnoteRef/>
        <w:tab/>
        <w:t>ινα</w:t>
      </w:r>
      <w:r>
        <w:rPr/>
        <w:t xml:space="preserve"> mit Konjunktiv ersetzt den Imperativ, </w:t>
      </w:r>
      <w:hyperlink r:id="rId558">
        <w:r>
          <w:rPr>
            <w:rStyle w:val="Internetverknpfung"/>
          </w:rPr>
          <w:t>BDR</w:t>
        </w:r>
      </w:hyperlink>
      <w:r>
        <w:rPr/>
        <w:t xml:space="preserve"> § 387,3a.</w:t>
      </w:r>
    </w:p>
  </w:footnote>
  <w:footnote w:id="5670">
    <w:p>
      <w:pPr>
        <w:pStyle w:val="Funote"/>
        <w:rPr/>
      </w:pPr>
      <w:r>
        <w:rPr/>
        <w:footnoteRef/>
        <w:tab/>
        <w:t xml:space="preserve">Die Präposition </w:t>
      </w:r>
      <w:r>
        <w:rPr>
          <w:lang w:val="el-GR"/>
        </w:rPr>
        <w:t>κατα</w:t>
      </w:r>
      <w:r>
        <w:rPr/>
        <w:t xml:space="preserve"> gibt dem Verb </w:t>
      </w:r>
      <w:r>
        <w:rPr>
          <w:lang w:val="el-GR"/>
        </w:rPr>
        <w:t>χραομαι</w:t>
      </w:r>
      <w:r>
        <w:rPr/>
        <w:t xml:space="preserve"> (gebrauchen) eine besondere Färbung im Sinne von "ganz und gar verbrauchen", "missbrauchen", "ausnutzen".</w:t>
      </w:r>
    </w:p>
  </w:footnote>
  <w:footnote w:id="5671">
    <w:p>
      <w:pPr>
        <w:pStyle w:val="Funote"/>
        <w:rPr/>
      </w:pPr>
      <w:r>
        <w:rPr/>
        <w:footnoteRef/>
        <w:tab/>
        <w:t>Vgl. 1.Korinther 1,13</w:t>
      </w:r>
    </w:p>
  </w:footnote>
  <w:footnote w:id="5672">
    <w:p>
      <w:pPr>
        <w:pStyle w:val="Funote"/>
        <w:rPr/>
      </w:pPr>
      <w:r>
        <w:rPr/>
        <w:footnoteRef/>
        <w:tab/>
        <w:t>Gemeint ist die Verlobte eines Bräutigams, Conzelmann S. 160</w:t>
      </w:r>
    </w:p>
  </w:footnote>
  <w:footnote w:id="5673">
    <w:p>
      <w:pPr>
        <w:pStyle w:val="Funote"/>
        <w:rPr/>
      </w:pPr>
      <w:r>
        <w:rPr/>
        <w:footnoteRef/>
        <w:tab/>
        <w:t xml:space="preserve">Ein zusammengesetztes Verb; </w:t>
      </w:r>
      <w:r>
        <w:rPr>
          <w:lang w:val="el-GR"/>
        </w:rPr>
        <w:t>ακμος</w:t>
      </w:r>
      <w:r>
        <w:rPr/>
        <w:t xml:space="preserve"> bezeichnet den Höhepunkt einer Entwicklung; </w:t>
      </w:r>
      <w:r>
        <w:rPr>
          <w:lang w:val="el-GR"/>
        </w:rPr>
        <w:t>υπερακμος</w:t>
      </w:r>
      <w:r>
        <w:rPr/>
        <w:t xml:space="preserve"> ist also ein Überschreiten dieses Höhepunktes. Ist hier auf das Begehren angespielt, also UGS "spitz, scharf sein"?</w:t>
      </w:r>
    </w:p>
  </w:footnote>
  <w:footnote w:id="5674">
    <w:p>
      <w:pPr>
        <w:pStyle w:val="Funote"/>
        <w:rPr/>
      </w:pPr>
      <w:r>
        <w:rPr/>
        <w:footnoteRef/>
        <w:tab/>
        <w:t>D.h. unter der Voraussetzung, dass</w:t>
      </w:r>
    </w:p>
  </w:footnote>
  <w:footnote w:id="5675">
    <w:p>
      <w:pPr>
        <w:pStyle w:val="Funote"/>
        <w:rPr/>
      </w:pPr>
      <w:r>
        <w:rPr/>
        <w:footnoteRef/>
        <w:tab/>
        <w:t>D.h. unverheiratet</w:t>
      </w:r>
    </w:p>
  </w:footnote>
  <w:footnote w:id="5676">
    <w:p>
      <w:pPr>
        <w:pStyle w:val="Funote"/>
        <w:rPr/>
      </w:pPr>
      <w:r>
        <w:rPr/>
        <w:footnoteRef/>
        <w:tab/>
        <w:t>Hier wird eine Ptz.-Konstruktion aufgelöst. Hier wird kausal übersetzt: nur ein freier Mensch kann sich zum Sklaven machen (vgl. Schnabel 2010, S. 500; Wolff 1996, S. 201). ELB, NGÜ, SCHL2000, LUT2017 übersetzen alle konzessiv („obwohl“, „doch“), vermutlich da „frei“ und „Sklave“ ein antithetisches Begriffspaar darstellt.</w:t>
      </w:r>
    </w:p>
  </w:footnote>
  <w:footnote w:id="5677">
    <w:p>
      <w:pPr>
        <w:pStyle w:val="Funote"/>
        <w:rPr/>
      </w:pPr>
      <w:r>
        <w:rPr/>
        <w:footnoteRef/>
        <w:tab/>
        <w:t>w. "im Stadium laufen". Das (</w:t>
      </w:r>
      <w:r>
        <w:rPr>
          <w:lang w:val="el-GR"/>
        </w:rPr>
        <w:t>τρέχω ἐν σταδίῳ</w:t>
      </w:r>
      <w:r>
        <w:rPr/>
        <w:t>) war ein terminus technikus für Kurzstreckenlauf: bis zu 12 Läufer liefen gegeneinander eine Runde (ca. 200m) vor bis zu 21 000 Zuschauern (Schnabel 2010, S. 511f)</w:t>
      </w:r>
    </w:p>
  </w:footnote>
  <w:footnote w:id="5678">
    <w:p>
      <w:pPr>
        <w:pStyle w:val="Funote"/>
        <w:rPr/>
      </w:pPr>
      <w:r>
        <w:rPr/>
        <w:footnoteRef/>
        <w:tab/>
        <w:t>Der Sieger bekam einen Siegeskranz aus Fichtenholz oder Eppich (so ähnlich wie Sellerie), und wurde zusätzlich von seiner Heimatstadt materiell und durch ein einflussreiches politisches Amt belohnt (Schnabel 2010, S. 512, 514)</w:t>
      </w:r>
    </w:p>
  </w:footnote>
  <w:footnote w:id="5679">
    <w:p>
      <w:pPr>
        <w:pStyle w:val="Funote"/>
        <w:rPr/>
      </w:pPr>
      <w:r>
        <w:rPr/>
        <w:footnoteRef/>
        <w:tab/>
        <w:t>Verzicht/Selbstbeherrschung (</w:t>
      </w:r>
      <w:r>
        <w:rPr>
          <w:lang w:val="el-GR"/>
        </w:rPr>
        <w:t>ἐγκράτεια</w:t>
      </w:r>
      <w:r>
        <w:rPr/>
        <w:t>) ist ein Teil der Frucht des Geistes (Gal 5,23). Sein Wortstamm enthält den Begriff "Askese": Die griechischen Stoiker sahen die Bezähmung ihrer Leidenschaften als Lebensziel an. Jesus und Paulus dagegen fordern diese Selbstbeherrschung nicht als „allg. gültige asketische Verhaltensethik“, sondern als Mittel der Nachfolge (Baltensweiler &amp; Wibbing 1997, 408). In unserem Kontext handelt es sich also um einen „Verzicht auf eigentliche berechtigte Ansprüche.“ (Wolff 1996, 206)</w:t>
      </w:r>
    </w:p>
  </w:footnote>
  <w:footnote w:id="5680">
    <w:p>
      <w:pPr>
        <w:pStyle w:val="Funote"/>
        <w:rPr/>
      </w:pPr>
      <w:r>
        <w:rPr/>
        <w:footnoteRef/>
        <w:tab/>
        <w:t>Wenn der Siegeskranz aus Sellerie ist (s.o.), verwelkt er recht schnell. Selbst wenn es sich um Fichtenholz handelt, vergeht der Ruhm in kurzer Zeit.</w:t>
      </w:r>
    </w:p>
  </w:footnote>
  <w:footnote w:id="5681">
    <w:p>
      <w:pPr>
        <w:pStyle w:val="Funote"/>
        <w:rPr/>
      </w:pPr>
      <w:r>
        <w:rPr/>
        <w:footnoteRef/>
        <w:tab/>
        <w:t xml:space="preserve">Durch das </w:t>
      </w:r>
      <w:r>
        <w:rPr>
          <w:lang w:val="el-GR"/>
        </w:rPr>
        <w:t>ἐγὼ τοίνυν</w:t>
      </w:r>
      <w:r>
        <w:rPr/>
        <w:t xml:space="preserve"> wird ein Perspektivwechsel eingeleitet: jetzt geht es wieder um das Vorbild Paulus (vgl. 11,1).</w:t>
      </w:r>
    </w:p>
  </w:footnote>
  <w:footnote w:id="5682">
    <w:p>
      <w:pPr>
        <w:pStyle w:val="Funote"/>
        <w:rPr/>
      </w:pPr>
      <w:r>
        <w:rPr/>
        <w:footnoteRef/>
        <w:tab/>
        <w:t xml:space="preserve">Der Begriff </w:t>
      </w:r>
      <w:r>
        <w:rPr>
          <w:lang w:val="el-GR"/>
        </w:rPr>
        <w:t>δέρω</w:t>
      </w:r>
      <w:r>
        <w:rPr/>
        <w:t xml:space="preserve"> wird hier bewusst mit dem etwas saloppen Wort „hauen“ wiedergegeben: Es handelt sich hier nicht um einen terminus technicus, sondern bedeutet eher umgangsprachlich „prügeln“ (Schnabel 2010, S. 516)</w:t>
      </w:r>
    </w:p>
  </w:footnote>
  <w:footnote w:id="5683">
    <w:p>
      <w:pPr>
        <w:pStyle w:val="Funote"/>
        <w:rPr/>
      </w:pPr>
      <w:r>
        <w:rPr/>
        <w:footnoteRef/>
        <w:tab/>
        <w:t>w. „unter das Auge schlagen“: also brutal und effektiv kämpfen (Haubeck &amp; Siebenthal 2007, 976)</w:t>
      </w:r>
    </w:p>
  </w:footnote>
  <w:footnote w:id="5684">
    <w:p>
      <w:pPr>
        <w:pStyle w:val="Funote"/>
        <w:rPr/>
      </w:pPr>
      <w:r>
        <w:rPr/>
        <w:footnoteRef/>
        <w:tab/>
        <w:t>w. versklave meinen Körper</w:t>
      </w:r>
    </w:p>
  </w:footnote>
  <w:footnote w:id="5685">
    <w:p>
      <w:pPr>
        <w:pStyle w:val="Funote"/>
        <w:rPr/>
      </w:pPr>
      <w:r>
        <w:rPr/>
        <w:footnoteRef/>
        <w:tab/>
        <w:t>eig.: Volk</w:t>
      </w:r>
    </w:p>
  </w:footnote>
  <w:footnote w:id="5686">
    <w:p>
      <w:pPr>
        <w:pStyle w:val="Funote"/>
        <w:rPr/>
      </w:pPr>
      <w:r>
        <w:rPr/>
        <w:footnoteRef/>
        <w:tab/>
        <w:t>Wörtlich: »Fluch, Bann«</w:t>
      </w:r>
    </w:p>
  </w:footnote>
  <w:footnote w:id="5687">
    <w:p>
      <w:pPr>
        <w:pStyle w:val="Funote"/>
        <w:rPr/>
      </w:pPr>
      <w:r>
        <w:rPr/>
        <w:footnoteRef/>
        <w:tab/>
        <w:t>[Status: Ungeprüft]</w:t>
      </w:r>
    </w:p>
  </w:footnote>
  <w:footnote w:id="5688">
    <w:p>
      <w:pPr>
        <w:pStyle w:val="Funote"/>
        <w:rPr/>
      </w:pPr>
      <w:r>
        <w:rPr/>
        <w:footnoteRef/>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5689">
    <w:p>
      <w:pPr>
        <w:pStyle w:val="Funote"/>
        <w:rPr/>
      </w:pPr>
      <w:r>
        <w:rPr/>
        <w:footnoteRef/>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5690">
    <w:p>
      <w:pPr>
        <w:pStyle w:val="Funote"/>
        <w:rPr/>
      </w:pPr>
      <w:r>
        <w:rPr/>
        <w:footnoteRef/>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5691">
    <w:p>
      <w:pPr>
        <w:pStyle w:val="Funote"/>
        <w:rPr/>
      </w:pPr>
      <w:r>
        <w:rPr/>
        <w:footnoteRef/>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5692">
    <w:p>
      <w:pPr>
        <w:pStyle w:val="Funote"/>
        <w:rPr/>
      </w:pPr>
      <w:r>
        <w:rPr/>
        <w:footnoteRef/>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5693">
    <w:p>
      <w:pPr>
        <w:pStyle w:val="Funote"/>
        <w:rPr/>
      </w:pPr>
      <w:r>
        <w:rPr/>
        <w:footnoteRef/>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5694">
    <w:p>
      <w:pPr>
        <w:pStyle w:val="Funote"/>
        <w:rPr/>
      </w:pPr>
      <w:r>
        <w:rPr/>
        <w:footnoteRef/>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5695">
    <w:p>
      <w:pPr>
        <w:pStyle w:val="Funote"/>
        <w:rPr/>
      </w:pPr>
      <w:r>
        <w:rPr>
          <w:i/>
        </w:rPr>
        <w:footnoteRef/>
        <w:tab/>
        <w:t>Zimbel</w:t>
      </w:r>
      <w:r>
        <w:rPr/>
        <w:t xml:space="preserve"> - metallene Handbecken, s. </w:t>
      </w:r>
      <w:hyperlink r:id="rId559">
        <w:r>
          <w:rPr>
            <w:rStyle w:val="Internetverknpfung"/>
          </w:rPr>
          <w:t>Wikipedia/Zimbel</w:t>
        </w:r>
      </w:hyperlink>
      <w:r>
        <w:rPr/>
        <w:t>.</w:t>
      </w:r>
    </w:p>
  </w:footnote>
  <w:footnote w:id="5696">
    <w:p>
      <w:pPr>
        <w:pStyle w:val="Funote"/>
        <w:rPr/>
      </w:pPr>
      <w:r>
        <w:rPr/>
        <w:footnoteRef/>
        <w:tab/>
        <w:t>{geworden} - nicht: „wäre geworden“: das Perfekt markiert hier keinen Tempus, sd. markiert den Satz als hypothetisch (vgl. BDR §344).</w:t>
      </w:r>
    </w:p>
  </w:footnote>
  <w:footnote w:id="5697">
    <w:p>
      <w:pPr>
        <w:pStyle w:val="Funote"/>
        <w:rPr/>
      </w:pPr>
      <w:r>
        <w:rPr/>
        <w:footnoteRef/>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5698">
    <w:p>
      <w:pPr>
        <w:pStyle w:val="Funote"/>
        <w:rPr/>
      </w:pPr>
      <w:r>
        <w:rPr/>
        <w:footnoteRef/>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5699">
    <w:p>
      <w:pPr>
        <w:pStyle w:val="Funote"/>
        <w:rPr/>
      </w:pPr>
      <w:r>
        <w:rPr/>
        <w:footnoteRef/>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5700">
    <w:p>
      <w:pPr>
        <w:pStyle w:val="Funote"/>
        <w:rPr/>
      </w:pPr>
      <w:r>
        <w:rPr/>
        <w:footnoteRef/>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5701">
    <w:p>
      <w:pPr>
        <w:pStyle w:val="Funote"/>
        <w:rPr/>
      </w:pPr>
      <w:r>
        <w:rPr/>
        <w:footnoteRef/>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5702">
    <w:p>
      <w:pPr>
        <w:pStyle w:val="Funote"/>
        <w:rPr/>
      </w:pPr>
      <w:r>
        <w:rPr/>
        <w:footnoteRef/>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5703">
    <w:p>
      <w:pPr>
        <w:pStyle w:val="Funote"/>
        <w:rPr/>
      </w:pPr>
      <w:r>
        <w:rPr>
          <w:i/>
        </w:rPr>
        <w:footnoteRef/>
        <w:tab/>
        <w:t>strebt nicht nach dem Ihrigen</w:t>
      </w:r>
      <w:r>
        <w:rPr/>
        <w:t xml:space="preserve">, d.h. sie „verfolgt nicht ihre eigenen Interessen“, „ist nicht selbstsüchtig“ (s. </w:t>
      </w:r>
      <w:r>
        <w:fldChar w:fldCharType="begin"/>
      </w:r>
      <w:r>
        <w:instrText> HYPERLINK "file:///wiki/1_Korinther_10" \l "s24"</w:instrText>
      </w:r>
      <w:r>
        <w:fldChar w:fldCharType="separate"/>
      </w:r>
      <w:r>
        <w:rPr>
          <w:rStyle w:val="Internetverknpfung"/>
        </w:rPr>
        <w:t>1 Kor 10,24</w:t>
      </w:r>
      <w:r>
        <w:fldChar w:fldCharType="end"/>
      </w:r>
      <w:r>
        <w:rPr/>
        <w:t xml:space="preserve">; </w:t>
      </w:r>
      <w:r>
        <w:fldChar w:fldCharType="begin"/>
      </w:r>
      <w:r>
        <w:instrText> HYPERLINK "file:///wiki/Philipper_2" \l "s4"</w:instrText>
      </w:r>
      <w:r>
        <w:fldChar w:fldCharType="separate"/>
      </w:r>
      <w:r>
        <w:rPr>
          <w:rStyle w:val="Internetverknpfung"/>
        </w:rPr>
        <w:t>Phil 2,4</w:t>
      </w:r>
      <w:r>
        <w:fldChar w:fldCharType="end"/>
      </w:r>
      <w:r>
        <w:rPr/>
        <w:t>).</w:t>
      </w:r>
    </w:p>
  </w:footnote>
  <w:footnote w:id="5704">
    <w:p>
      <w:pPr>
        <w:pStyle w:val="Funote"/>
        <w:rPr/>
      </w:pPr>
      <w:r>
        <w:rPr/>
        <w:footnoteRef/>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5705">
    <w:p>
      <w:pPr>
        <w:pStyle w:val="Funote"/>
        <w:rPr/>
      </w:pPr>
      <w:r>
        <w:rPr/>
        <w:footnoteRef/>
        <w:tab/>
        <w:t>Litotes: Nicht i.S.v. „sie ist nicht gerade ein Sadist“, sd. von „Ungerechtigkeit ist ihr absolut verhasst“ (Fee 1987, S. 639: „Love absolutely rejects that most pernicious form of rejoicing over evil...“</w:t>
      </w:r>
    </w:p>
  </w:footnote>
  <w:footnote w:id="5706">
    <w:p>
      <w:pPr>
        <w:pStyle w:val="Funote"/>
        <w:rPr/>
      </w:pPr>
      <w:r>
        <w:rPr>
          <w:i/>
        </w:rPr>
        <w:footnoteRef/>
        <w:tab/>
        <w:t>über</w:t>
      </w:r>
      <w:r>
        <w:rPr/>
        <w:t xml:space="preserve"> - nicht: „freut sich </w:t>
      </w:r>
      <w:r>
        <w:rPr>
          <w:i/>
        </w:rPr>
        <w:t>mit</w:t>
      </w:r>
      <w:r>
        <w:rPr/>
        <w:t xml:space="preserve"> der Wahrheit“; s. BDAG: „In this case the compound has the same mng. as the simple verb [...:] </w:t>
      </w:r>
      <w:r>
        <w:rPr>
          <w:i/>
        </w:rPr>
        <w:t>it does not rejoice over injustice, but rejoices in the truth</w:t>
      </w:r>
      <w:r>
        <w:rPr/>
        <w:t xml:space="preserve"> 1 Cor 13:6 [...]“.</w:t>
      </w:r>
    </w:p>
  </w:footnote>
  <w:footnote w:id="5707">
    <w:p>
      <w:pPr>
        <w:pStyle w:val="Funote"/>
        <w:rPr/>
      </w:pPr>
      <w:r>
        <w:rPr/>
        <w:footnoteRef/>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5708">
    <w:p>
      <w:pPr>
        <w:pStyle w:val="Funote"/>
        <w:rPr/>
      </w:pPr>
      <w:r>
        <w:rPr/>
        <w:footnoteRef/>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5709">
    <w:p>
      <w:pPr>
        <w:pStyle w:val="Funote"/>
        <w:rPr/>
      </w:pPr>
      <w:r>
        <w:rPr/>
        <w:footnoteRef/>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5710">
    <w:p>
      <w:pPr>
        <w:pStyle w:val="Funote"/>
        <w:rPr/>
      </w:pPr>
      <w:r>
        <w:rPr/>
        <w:footnoteRef/>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5711">
    <w:p>
      <w:pPr>
        <w:pStyle w:val="Funote"/>
        <w:rPr/>
      </w:pPr>
      <w:r>
        <w:rPr>
          <w:i/>
        </w:rPr>
        <w:footnoteRef/>
        <w:tab/>
        <w:t>Kind</w:t>
      </w:r>
      <w:r>
        <w:rPr/>
        <w:t xml:space="preserve"> - W. „kindlich“; das Kind steht im NT häufiger übertragen für Unwissenheit und meint ursprünglich den, der noch nicht in der Lage war, zu sprechen. Zusammen mit „sprechen wie ein </w:t>
      </w:r>
      <w:r>
        <w:rPr>
          <w:i/>
        </w:rPr>
        <w:t>nepios</w:t>
      </w:r>
      <w:r>
        <w:rPr/>
        <w:t xml:space="preserve">“ und „urteilen/argumentieren wie ein </w:t>
      </w:r>
      <w:r>
        <w:rPr>
          <w:i/>
        </w:rPr>
        <w:t>nepios</w:t>
      </w:r>
      <w:r>
        <w:rPr/>
        <w:t>“ weckt das Wort in einem griechischen Leser also die Assoziation eines lallenden Kleinkinds, das Unsinn von sich gibt.</w:t>
      </w:r>
    </w:p>
  </w:footnote>
  <w:footnote w:id="5712">
    <w:p>
      <w:pPr>
        <w:pStyle w:val="Funote"/>
        <w:rPr/>
      </w:pPr>
      <w:r>
        <w:rPr>
          <w:i/>
        </w:rPr>
        <w:footnoteRef/>
        <w:tab/>
        <w:t>die [Dinge] des</w:t>
      </w:r>
      <w:r>
        <w:rPr/>
        <w:t xml:space="preserve"> - W.: „das des Kindes“ = „diese kindlichen Eigenschaften“.</w:t>
      </w:r>
    </w:p>
  </w:footnote>
  <w:footnote w:id="5713">
    <w:p>
      <w:pPr>
        <w:pStyle w:val="Funote"/>
        <w:rPr/>
      </w:pPr>
      <w:r>
        <w:rPr>
          <w:i/>
        </w:rPr>
        <w:footnoteRef/>
        <w:tab/>
        <w:t>in einem Rätsel (indirekt, undeutlich)</w:t>
      </w:r>
      <w:r>
        <w:rPr/>
        <w:t xml:space="preserve">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5714">
    <w:p>
      <w:pPr>
        <w:pStyle w:val="Funote"/>
        <w:rPr/>
      </w:pPr>
      <w:r>
        <w:rPr>
          <w:i/>
        </w:rPr>
        <w:footnoteRef/>
        <w:tab/>
        <w:t>durch einen (in einem)</w:t>
      </w:r>
      <w:r>
        <w:rPr/>
        <w:t xml:space="preserve"> - Gr. Idiom; im Gr. sieht man etwas nicht „in einem“, sd. „durch einen“ Spiegel. Übersetze „in einem Spiegel“.</w:t>
      </w:r>
    </w:p>
  </w:footnote>
  <w:footnote w:id="5715">
    <w:p>
      <w:pPr>
        <w:pStyle w:val="Funote"/>
        <w:rPr/>
      </w:pPr>
      <w:r>
        <w:rPr/>
        <w:footnoteRef/>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5716">
    <w:p>
      <w:pPr>
        <w:pStyle w:val="Funote"/>
        <w:rPr/>
      </w:pPr>
      <w:r>
        <w:rPr/>
        <w:footnoteRef/>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5717">
    <w:p>
      <w:pPr>
        <w:pStyle w:val="Funote"/>
        <w:rPr/>
      </w:pPr>
      <w:r>
        <w:rPr/>
        <w:footnoteRef/>
        <w:tab/>
        <w:t xml:space="preserve">Entweder handelt es sich hier um eine Voranstellung des Nebensatzes vor den Hauptsatz: </w:t>
      </w:r>
      <w:r>
        <w:rPr>
          <w:lang w:val="el-GR"/>
        </w:rPr>
        <w:t>κατέχετε, τίνι λόγῳ</w:t>
      </w:r>
      <w:r>
        <w:rPr/>
        <w:t xml:space="preserve"> …: „Haltet fest, in welchem Wortlaut ich euch das Evangelium gepredigt habe“, dann wäre </w:t>
      </w:r>
      <w:r>
        <w:rPr>
          <w:lang w:val="el-GR"/>
        </w:rPr>
        <w:t>εἰ</w:t>
      </w:r>
      <w:r>
        <w:rPr/>
        <w:t xml:space="preserve"> zu streichen, wofür es aber keinen Anhalt in der Textkritik gibt. Oder es handelt sich um eine Parenthese, und der eigentliche Satz lautete: </w:t>
      </w:r>
      <w:r>
        <w:rPr>
          <w:lang w:val="el-GR"/>
        </w:rPr>
        <w:t>δι᾽ οὗ καὶ σῴζεσθε, εἰ κατέχετε</w:t>
      </w:r>
      <w:r>
        <w:rPr/>
        <w:t>: „Durch welches ihr auch gerettet werdet (wie ich euch verkündigt habe), wenn ihr festhaltet“, BDR § 478.1</w:t>
      </w:r>
    </w:p>
  </w:footnote>
  <w:footnote w:id="5718">
    <w:p>
      <w:pPr>
        <w:pStyle w:val="Funote"/>
        <w:rPr/>
      </w:pPr>
      <w:r>
        <w:rPr/>
        <w:footnoteRef/>
        <w:tab/>
        <w:t xml:space="preserve">Im Griech. steht hier zweimal </w:t>
      </w:r>
      <w:r>
        <w:rPr>
          <w:lang w:val="el-GR"/>
        </w:rPr>
        <w:t>χάρις</w:t>
      </w:r>
      <w:r>
        <w:rPr/>
        <w:t>, das sowohl „Dank“ als auch „Gnadengabe“, „Gnade“ sein kann.</w:t>
      </w:r>
    </w:p>
  </w:footnote>
  <w:footnote w:id="5719">
    <w:p>
      <w:pPr>
        <w:pStyle w:val="Funote"/>
        <w:rPr/>
      </w:pPr>
      <w:r>
        <w:rPr/>
        <w:footnoteRef/>
        <w:tab/>
        <w:t xml:space="preserve">Mit, griech. </w:t>
      </w:r>
      <w:r>
        <w:rPr>
          <w:lang w:val="el-GR"/>
        </w:rPr>
        <w:t>σύν</w:t>
      </w:r>
      <w:r>
        <w:rPr/>
        <w:t>, bezieht sich nicht auf „plagen“, so als hätte die Gnadengabe bei der Arbeit geholfen, sondern auf Paulus: er wird von dieser Gnadengabe angetrieben; sie ist das Subjekt seiner Leistung (Conzelmann, S. 292 und 308)</w:t>
      </w:r>
    </w:p>
  </w:footnote>
  <w:footnote w:id="5720">
    <w:p>
      <w:pPr>
        <w:pStyle w:val="Funote"/>
        <w:rPr/>
      </w:pPr>
      <w:r>
        <w:rPr/>
        <w:footnoteRef/>
        <w:tab/>
        <w:t>Hier und 1.Korinther 15,16.29.32 fehlt im Griech. der Artikel, weil es auf den Begriff, nicht die Vollzahl ankommt; im Dt. steht der Artikel, BDR § 254.7</w:t>
      </w:r>
    </w:p>
  </w:footnote>
  <w:footnote w:id="5721">
    <w:p>
      <w:pPr>
        <w:pStyle w:val="Funote"/>
        <w:rPr/>
      </w:pPr>
      <w:r>
        <w:rPr/>
        <w:footnoteRef/>
        <w:tab/>
        <w:t>Paulus verwendet „Auferweckung“ und „Auferstehung“ synonym, Conzelmann, S. 313.</w:t>
      </w:r>
    </w:p>
  </w:footnote>
  <w:footnote w:id="5722">
    <w:p>
      <w:pPr>
        <w:pStyle w:val="Funote"/>
        <w:rPr/>
      </w:pPr>
      <w:hyperlink r:id="rId560">
        <w:r>
          <w:rPr>
            <w:rStyle w:val="Internetverknpfung"/>
          </w:rPr>
          <w:footnoteRef/>
          <w:tab/>
          <w:t>Ὅτι citativum (Seite nicht vorhanden)"&gt;</w:t>
        </w:r>
        <w:r>
          <w:rPr>
            <w:rStyle w:val="Internetverknpfung"/>
            <w:lang w:val="el-GR"/>
          </w:rPr>
          <w:t>ὅτι</w:t>
        </w:r>
        <w:r>
          <w:rPr>
            <w:rStyle w:val="Internetverknpfung"/>
          </w:rPr>
          <w:t xml:space="preserve"> citativum</w:t>
        </w:r>
      </w:hyperlink>
    </w:p>
  </w:footnote>
  <w:footnote w:id="5723">
    <w:p>
      <w:pPr>
        <w:pStyle w:val="Funote"/>
        <w:rPr/>
      </w:pPr>
      <w:r>
        <w:rPr/>
        <w:footnoteRef/>
        <w:tab/>
        <w:t>Hypothetische Konstruktion, BDR § 454.2 und § 451,2</w:t>
      </w:r>
    </w:p>
  </w:footnote>
  <w:footnote w:id="5724">
    <w:p>
      <w:pPr>
        <w:pStyle w:val="Funote"/>
        <w:rPr/>
      </w:pPr>
      <w:r>
        <w:rPr/>
        <w:footnoteRef/>
        <w:tab/>
        <w:t>nichtig = ohne Inhalt, oder eitel = ohne Wahrheit</w:t>
      </w:r>
    </w:p>
  </w:footnote>
  <w:footnote w:id="5725">
    <w:p>
      <w:pPr>
        <w:pStyle w:val="Funote"/>
        <w:rPr/>
      </w:pPr>
      <w:r>
        <w:rPr/>
        <w:footnoteRef/>
        <w:tab/>
        <w:t>Ptz., substantiviert</w:t>
      </w:r>
    </w:p>
  </w:footnote>
  <w:footnote w:id="5726">
    <w:p>
      <w:pPr>
        <w:pStyle w:val="Funote"/>
        <w:rPr/>
      </w:pPr>
      <w:r>
        <w:rPr/>
        <w:footnoteRef/>
        <w:tab/>
        <w:t>Ptz., wörtlich: Hoffende sind.</w:t>
      </w:r>
    </w:p>
  </w:footnote>
  <w:footnote w:id="5727">
    <w:p>
      <w:pPr>
        <w:pStyle w:val="Funote"/>
        <w:rPr/>
      </w:pPr>
      <w:r>
        <w:rPr/>
        <w:footnoteRef/>
        <w:tab/>
        <w:t xml:space="preserve">Im AT meint </w:t>
      </w:r>
      <w:r>
        <w:rPr>
          <w:lang w:val="el-GR"/>
        </w:rPr>
        <w:t>άπαρχἠ</w:t>
      </w:r>
      <w:r>
        <w:rPr/>
        <w:t xml:space="preserve"> den (Gott geweihten) Erstgeborenen; hier ist nicht darauf abgezielt, sondern dass Christus der Erste einer Anzahl ist. Dass Paulus ihn den Ersten der Entschlafenen nennt, betont, dass er bisher auch der Einzige ist, Conzelmann, S. 317.</w:t>
      </w:r>
    </w:p>
  </w:footnote>
  <w:footnote w:id="5728">
    <w:p>
      <w:pPr>
        <w:pStyle w:val="Funote"/>
        <w:rPr/>
      </w:pPr>
      <w:r>
        <w:rPr/>
        <w:footnoteRef/>
        <w:tab/>
        <w:t xml:space="preserve">Apostel: Siehe </w:t>
      </w:r>
      <w:hyperlink r:id="rId561">
        <w:r>
          <w:rPr>
            <w:rStyle w:val="Internetverknpfung"/>
          </w:rPr>
          <w:t>Lexikon:Apostel</w:t>
        </w:r>
      </w:hyperlink>
    </w:p>
  </w:footnote>
  <w:footnote w:id="5729">
    <w:p>
      <w:pPr>
        <w:pStyle w:val="Funote"/>
        <w:rPr/>
      </w:pPr>
      <w:r>
        <w:rPr/>
        <w:footnoteRef/>
        <w:tab/>
        <w:t xml:space="preserve">Gnade: Siehe </w:t>
      </w:r>
      <w:hyperlink r:id="rId562">
        <w:r>
          <w:rPr>
            <w:rStyle w:val="Internetverknpfung"/>
          </w:rPr>
          <w:t>Lexikon:Gnade</w:t>
        </w:r>
      </w:hyperlink>
    </w:p>
  </w:footnote>
  <w:footnote w:id="5730">
    <w:p>
      <w:pPr>
        <w:pStyle w:val="Funote"/>
        <w:rPr/>
      </w:pPr>
      <w:r>
        <w:rPr/>
        <w:footnoteRef/>
        <w:tab/>
        <w:t xml:space="preserve">Friede:Siehe </w:t>
      </w:r>
      <w:hyperlink r:id="rId563">
        <w:r>
          <w:rPr>
            <w:rStyle w:val="Internetverknpfung"/>
          </w:rPr>
          <w:t>Lexikon:Friede</w:t>
        </w:r>
      </w:hyperlink>
    </w:p>
  </w:footnote>
  <w:footnote w:id="5731">
    <w:p>
      <w:pPr>
        <w:pStyle w:val="Funote"/>
        <w:rPr/>
      </w:pPr>
      <w:hyperlink r:id="rId564">
        <w:r>
          <w:rPr>
            <w:rStyle w:val="Internetverknpfung"/>
          </w:rPr>
          <w:footnoteRef/>
          <w:tab/>
          <w:t>Part. coni.</w:t>
        </w:r>
      </w:hyperlink>
      <w:r>
        <w:rPr/>
        <w:t>, kausal aufgelöst</w:t>
      </w:r>
    </w:p>
  </w:footnote>
  <w:footnote w:id="5732">
    <w:p>
      <w:pPr>
        <w:pStyle w:val="Funote"/>
        <w:rPr/>
      </w:pPr>
      <w:r>
        <w:rPr/>
        <w:footnoteRef/>
        <w:tab/>
        <w:t xml:space="preserve">Der Begriff </w:t>
      </w:r>
      <w:r>
        <w:rPr>
          <w:lang w:val="el-GR"/>
        </w:rPr>
        <w:t>σαρξ</w:t>
      </w:r>
      <w:r>
        <w:rPr/>
        <w:t xml:space="preserve"> (sarx) bedeutet wörtlich „Fleisch, Körper“ und bezeichnet bei Paulus die menschliche Natur im Gegensatz zu Gott, vgl. </w:t>
      </w:r>
      <w:hyperlink r:id="rId565">
        <w:r>
          <w:rPr>
            <w:rStyle w:val="Internetverknpfung"/>
          </w:rPr>
          <w:t>Lexikon:Fleisch</w:t>
        </w:r>
      </w:hyperlink>
      <w:r>
        <w:rPr/>
        <w:t>.</w:t>
      </w:r>
    </w:p>
  </w:footnote>
  <w:footnote w:id="5733">
    <w:p>
      <w:pPr>
        <w:pStyle w:val="Funote"/>
        <w:rPr/>
      </w:pPr>
      <w:r>
        <w:rPr/>
        <w:footnoteRef/>
        <w:tab/>
        <w:t xml:space="preserve">Gnade: Siehe </w:t>
      </w:r>
      <w:hyperlink r:id="rId566">
        <w:r>
          <w:rPr>
            <w:rStyle w:val="Internetverknpfung"/>
          </w:rPr>
          <w:t>Lexikon:Gnade</w:t>
        </w:r>
      </w:hyperlink>
    </w:p>
  </w:footnote>
  <w:footnote w:id="5734">
    <w:p>
      <w:pPr>
        <w:pStyle w:val="Funote"/>
        <w:rPr/>
      </w:pPr>
      <w:hyperlink r:id="rId567">
        <w:r>
          <w:rPr>
            <w:rStyle w:val="Internetverknpfung"/>
          </w:rPr>
          <w:footnoteRef/>
          <w:tab/>
          <w:t>Part. coni.</w:t>
        </w:r>
      </w:hyperlink>
      <w:r>
        <w:rPr/>
        <w:t>, kausal aufgelöst</w:t>
      </w:r>
    </w:p>
  </w:footnote>
  <w:footnote w:id="5735">
    <w:p>
      <w:pPr>
        <w:pStyle w:val="Funote"/>
        <w:rPr/>
      </w:pPr>
      <w:r>
        <w:rPr/>
        <w:footnoteRef/>
        <w:tab/>
        <w:t>Wörtlich: In der [mir vorgeworfenen] Leichtfertigkeit, so Bultmann, KEK, S. 43</w:t>
      </w:r>
    </w:p>
  </w:footnote>
  <w:footnote w:id="5736">
    <w:p>
      <w:pPr>
        <w:pStyle w:val="Funote"/>
        <w:rPr/>
      </w:pPr>
      <w:r>
        <w:rPr/>
        <w:footnoteRef/>
        <w:tab/>
        <w:t>Wörtlich: das, was ich will, will ich das „fleischlich“ (kata sarka), d.h. unaufrichtig - Synonym zu „leichtfertig“, so Bultmann a.a.O.</w:t>
      </w:r>
    </w:p>
  </w:footnote>
  <w:footnote w:id="5737">
    <w:p>
      <w:pPr>
        <w:pStyle w:val="Funote"/>
        <w:rPr/>
      </w:pPr>
      <w:r>
        <w:rPr/>
        <w:footnoteRef/>
        <w:tab/>
        <w:t>Konsekutiv bzw. expexegetisch: so dass, Bultmann ebd.</w:t>
      </w:r>
    </w:p>
  </w:footnote>
  <w:footnote w:id="5738">
    <w:p>
      <w:pPr>
        <w:pStyle w:val="Funote"/>
        <w:rPr/>
      </w:pPr>
      <w:r>
        <w:rPr/>
        <w:footnoteRef/>
        <w:tab/>
        <w:t>Schwurformel, Bultmann, KEK S. 43</w:t>
      </w:r>
    </w:p>
  </w:footnote>
  <w:footnote w:id="5739">
    <w:p>
      <w:pPr>
        <w:pStyle w:val="Funote"/>
        <w:rPr/>
      </w:pPr>
      <w:r>
        <w:rPr/>
        <w:footnoteRef/>
        <w:tab/>
        <w:t xml:space="preserve">Amen: Siehe </w:t>
      </w:r>
      <w:hyperlink r:id="rId568">
        <w:r>
          <w:rPr>
            <w:rStyle w:val="Internetverknpfung"/>
          </w:rPr>
          <w:t>Lexikon:Amen</w:t>
        </w:r>
      </w:hyperlink>
    </w:p>
  </w:footnote>
  <w:footnote w:id="5740">
    <w:p>
      <w:pPr>
        <w:pStyle w:val="Funote"/>
        <w:rPr/>
      </w:pPr>
      <w:r>
        <w:rPr/>
        <w:footnoteRef/>
        <w:tab/>
        <w:t>Das Verb ist juristischer t.t. und bedeutet dort quittieren, Bultmann, KEK, S. 45</w:t>
      </w:r>
    </w:p>
  </w:footnote>
  <w:footnote w:id="5741">
    <w:p>
      <w:pPr>
        <w:pStyle w:val="Funote"/>
        <w:rPr/>
      </w:pPr>
      <w:r>
        <w:rPr/>
        <w:footnoteRef/>
        <w:tab/>
        <w:t xml:space="preserve">Es geht um ein Besitzzeichen, wie das Brandzeichen bei Tieren, </w:t>
      </w:r>
      <w:hyperlink r:id="rId569">
        <w:r>
          <w:rPr>
            <w:rStyle w:val="Internetverknpfung"/>
          </w:rPr>
          <w:t>BW</w:t>
        </w:r>
      </w:hyperlink>
      <w:r>
        <w:rPr/>
        <w:t xml:space="preserve"> Sp. 1576</w:t>
      </w:r>
    </w:p>
  </w:footnote>
  <w:footnote w:id="5742">
    <w:p>
      <w:pPr>
        <w:pStyle w:val="Funote"/>
        <w:rPr/>
      </w:pPr>
      <w:r>
        <w:rPr/>
        <w:footnoteRef/>
        <w:tab/>
        <w:t xml:space="preserve">Seele: Siehe </w:t>
      </w:r>
      <w:hyperlink r:id="rId570">
        <w:r>
          <w:rPr>
            <w:rStyle w:val="Internetverknpfung"/>
          </w:rPr>
          <w:t>Lexikon:Seele</w:t>
        </w:r>
      </w:hyperlink>
    </w:p>
  </w:footnote>
  <w:footnote w:id="5743">
    <w:p>
      <w:pPr>
        <w:pStyle w:val="Funote"/>
        <w:rPr/>
      </w:pPr>
      <w:r>
        <w:rPr/>
        <w:footnoteRef/>
        <w:tab/>
        <w:t>Part. coni., final aufgelöst.</w:t>
      </w:r>
    </w:p>
  </w:footnote>
  <w:footnote w:id="5744">
    <w:p>
      <w:pPr>
        <w:pStyle w:val="Funote"/>
        <w:rPr/>
      </w:pPr>
      <w:r>
        <w:rPr/>
        <w:footnoteRef/>
        <w:tab/>
        <w:t>[Status: Zuverlässig]</w:t>
      </w:r>
    </w:p>
  </w:footnote>
  <w:footnote w:id="5745">
    <w:p>
      <w:pPr>
        <w:pStyle w:val="Funote"/>
        <w:rPr/>
      </w:pPr>
      <w:r>
        <w:rPr/>
        <w:footnoteRef/>
        <w:tab/>
        <w:t>Wörtlich mehr in Richtung „jedes Mal, wenn...“, „bei jeder Gelegenheit“, was hier aber missverständlich wäre.</w:t>
      </w:r>
    </w:p>
  </w:footnote>
  <w:footnote w:id="5746">
    <w:p>
      <w:pPr>
        <w:pStyle w:val="Funote"/>
        <w:rPr/>
      </w:pPr>
      <w:r>
        <w:rPr/>
        <w:footnoteRef/>
        <w:tab/>
        <w:t>Gen. epexegeticus.</w:t>
      </w:r>
    </w:p>
  </w:footnote>
  <w:footnote w:id="5747">
    <w:p>
      <w:pPr>
        <w:pStyle w:val="Funote"/>
        <w:rPr/>
      </w:pPr>
      <w:r>
        <w:rPr>
          <w:i/>
        </w:rPr>
        <w:footnoteRef/>
        <w:tab/>
        <w:t>der herumführt</w:t>
      </w:r>
      <w:r>
        <w:rPr/>
        <w:t xml:space="preserve"> und </w:t>
      </w:r>
      <w:r>
        <w:rPr>
          <w:i/>
        </w:rPr>
        <w:t>bekannt macht</w:t>
      </w:r>
      <w:r>
        <w:rPr/>
        <w:t xml:space="preserve"> Auflösung zweier attr. </w:t>
      </w:r>
      <w:hyperlink r:id="rId571">
        <w:r>
          <w:rPr>
            <w:rStyle w:val="Internetverknpfung"/>
          </w:rPr>
          <w:t>Ptz</w:t>
        </w:r>
      </w:hyperlink>
      <w:r>
        <w:rPr/>
        <w:t>.</w:t>
      </w:r>
    </w:p>
  </w:footnote>
  <w:footnote w:id="5748">
    <w:p>
      <w:pPr>
        <w:pStyle w:val="Funote"/>
        <w:rPr/>
      </w:pPr>
      <w:r>
        <w:rPr/>
        <w:footnoteRef/>
        <w:tab/>
        <w:t>Duft ist in der Regel nicht sichtbar, deshalb wurde das Wort in einem allgemeineren Sinn übersetzt. „Sichtbar machen“ ist allerdings ebenso denkbar, weil Paulus hier vielleicht an Weihrauch denkt.</w:t>
      </w:r>
    </w:p>
  </w:footnote>
  <w:footnote w:id="5749">
    <w:p>
      <w:pPr>
        <w:pStyle w:val="Funote"/>
        <w:rPr/>
      </w:pPr>
      <w:r>
        <w:rPr/>
        <w:footnoteRef/>
        <w:tab/>
        <w:t xml:space="preserve">Oder als </w:t>
      </w:r>
      <w:hyperlink r:id="rId572">
        <w:r>
          <w:rPr>
            <w:rStyle w:val="Internetverknpfung"/>
          </w:rPr>
          <w:t>Dativus commodi</w:t>
        </w:r>
      </w:hyperlink>
      <w:r>
        <w:rPr/>
        <w:t>: „für Gott“; eine mögliche Übersetzung der Stelle wäre dann „wir leben für Gott als Wohlgeruch Christi“ (nach Mofatt bei Harris).</w:t>
      </w:r>
    </w:p>
  </w:footnote>
  <w:footnote w:id="5750">
    <w:p>
      <w:pPr>
        <w:pStyle w:val="Funote"/>
        <w:rPr/>
      </w:pPr>
      <w:r>
        <w:rPr/>
        <w:footnoteRef/>
        <w:tab/>
        <w:t xml:space="preserve">Auflösung zweier subst. </w:t>
      </w:r>
      <w:hyperlink r:id="rId573">
        <w:r>
          <w:rPr>
            <w:rStyle w:val="Internetverknpfung"/>
          </w:rPr>
          <w:t>Ptz</w:t>
        </w:r>
      </w:hyperlink>
      <w:r>
        <w:rPr/>
        <w:t>.</w:t>
      </w:r>
    </w:p>
  </w:footnote>
  <w:footnote w:id="5751">
    <w:p>
      <w:pPr>
        <w:pStyle w:val="Funote"/>
        <w:rPr/>
      </w:pPr>
      <w:r>
        <w:rPr/>
        <w:footnoteRef/>
        <w:tab/>
        <w:t xml:space="preserve">Auflösung eines subst. </w:t>
      </w:r>
      <w:hyperlink r:id="rId574">
        <w:r>
          <w:rPr>
            <w:rStyle w:val="Internetverknpfung"/>
          </w:rPr>
          <w:t>Ptz</w:t>
        </w:r>
      </w:hyperlink>
      <w:r>
        <w:rPr/>
        <w:t>. Alternativ nach Harris periphrastisches Verständnis durch direkten Bezug auf „wir sind“. Die Übersetzung lautete dann „wir machen nicht, wie so viele, Geschäfte...“</w:t>
      </w:r>
    </w:p>
  </w:footnote>
  <w:footnote w:id="5752">
    <w:p>
      <w:pPr>
        <w:pStyle w:val="Funote"/>
        <w:rPr/>
      </w:pPr>
      <w:r>
        <w:rPr/>
        <w:footnoteRef/>
        <w:tab/>
        <w:t>D.h. wohl „von Gott [Beauftragte]“</w:t>
      </w:r>
    </w:p>
  </w:footnote>
  <w:footnote w:id="5753">
    <w:p>
      <w:pPr>
        <w:pStyle w:val="Funote"/>
        <w:rPr/>
      </w:pPr>
      <w:r>
        <w:rPr/>
        <w:footnoteRef/>
        <w:tab/>
        <w:t>D.h. wohl „[in der Verantwortung] vor Gott“</w:t>
      </w:r>
    </w:p>
  </w:footnote>
  <w:footnote w:id="5754">
    <w:p>
      <w:pPr>
        <w:pStyle w:val="Funote"/>
        <w:rPr/>
      </w:pPr>
      <w:r>
        <w:rPr/>
        <w:footnoteRef/>
        <w:tab/>
        <w:t>So wörtlich. Der semantische Bezug zum „Wort Gottes“ ist im Griechischen wohl zumindest andeutungsweise vorhanden, wird bei wörtlicher Übersetzung (als „sprechen wir“) aber unberücksichtigt gelassen.</w:t>
      </w:r>
    </w:p>
  </w:footnote>
  <w:footnote w:id="5755">
    <w:p>
      <w:pPr>
        <w:pStyle w:val="Funote"/>
        <w:rPr/>
      </w:pPr>
      <w:r>
        <w:rPr/>
        <w:footnoteRef/>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5756">
    <w:p>
      <w:pPr>
        <w:pStyle w:val="Funote"/>
        <w:rPr/>
      </w:pPr>
      <w:r>
        <w:rPr/>
        <w:footnoteRef/>
        <w:tab/>
        <w:t xml:space="preserve">Wieder eine andere Form des Adjektivs aus Vers 5, diesmal das Verb: </w:t>
      </w:r>
      <w:r>
        <w:rPr>
          <w:lang w:val="el-GR"/>
        </w:rPr>
        <w:t>ἱκάνόω</w:t>
      </w:r>
      <w:r>
        <w:rPr/>
        <w:t xml:space="preserve"> = geschickt/fähig/tüchtig machen.</w:t>
      </w:r>
    </w:p>
  </w:footnote>
  <w:footnote w:id="5757">
    <w:p>
      <w:pPr>
        <w:pStyle w:val="Funote"/>
        <w:rPr/>
      </w:pPr>
      <w:hyperlink r:id="rId575">
        <w:r>
          <w:rPr>
            <w:rStyle w:val="Internetverknpfung"/>
          </w:rPr>
          <w:footnoteRef/>
          <w:tab/>
          <w:t>Ptz. coni.</w:t>
        </w:r>
      </w:hyperlink>
      <w:r>
        <w:rPr/>
        <w:t>, kausal aufgelöst.</w:t>
      </w:r>
    </w:p>
  </w:footnote>
  <w:footnote w:id="5758">
    <w:p>
      <w:pPr>
        <w:pStyle w:val="Funote"/>
        <w:rPr/>
      </w:pPr>
      <w:r>
        <w:rPr/>
        <w:footnoteRef/>
        <w:tab/>
        <w:t xml:space="preserve">Evangelium: Siehe </w:t>
      </w:r>
      <w:hyperlink r:id="rId576">
        <w:r>
          <w:rPr>
            <w:rStyle w:val="Internetverknpfung"/>
          </w:rPr>
          <w:t>Lexikon:Evangelium</w:t>
        </w:r>
      </w:hyperlink>
    </w:p>
  </w:footnote>
  <w:footnote w:id="5759">
    <w:p>
      <w:pPr>
        <w:pStyle w:val="Funote"/>
        <w:rPr/>
      </w:pPr>
      <w:hyperlink r:id="rId577">
        <w:r>
          <w:rPr>
            <w:rStyle w:val="Internetverknpfung"/>
          </w:rPr>
          <w:footnoteRef/>
          <w:tab/>
          <w:t>Ptz. coni.</w:t>
        </w:r>
      </w:hyperlink>
      <w:r>
        <w:rPr/>
        <w:t>, relativisch aufgelöst</w:t>
      </w:r>
    </w:p>
  </w:footnote>
  <w:footnote w:id="5760">
    <w:p>
      <w:pPr>
        <w:pStyle w:val="Funote"/>
        <w:rPr/>
      </w:pPr>
      <w:r>
        <w:rPr/>
        <w:footnoteRef/>
        <w:tab/>
        <w:t>= Beliar, siehe 2.Korinther 6,15</w:t>
      </w:r>
    </w:p>
  </w:footnote>
  <w:footnote w:id="5761">
    <w:p>
      <w:pPr>
        <w:pStyle w:val="Funote"/>
        <w:rPr/>
      </w:pPr>
      <w:r>
        <w:rPr/>
        <w:footnoteRef/>
        <w:tab/>
        <w:t xml:space="preserve">Herrlichkeit (griech.: doxa), siehe: </w:t>
      </w:r>
      <w:hyperlink r:id="rId578">
        <w:r>
          <w:rPr>
            <w:rStyle w:val="Internetverknpfung"/>
          </w:rPr>
          <w:t>Lexikon:Herrlichkeit</w:t>
        </w:r>
      </w:hyperlink>
    </w:p>
  </w:footnote>
  <w:footnote w:id="5762">
    <w:p>
      <w:pPr>
        <w:pStyle w:val="Funote"/>
        <w:rPr/>
      </w:pPr>
      <w:r>
        <w:rPr/>
        <w:footnoteRef/>
        <w:tab/>
        <w:t>Wörtlich: Gottes sei und nicht von uns</w:t>
      </w:r>
    </w:p>
  </w:footnote>
  <w:footnote w:id="5763">
    <w:p>
      <w:pPr>
        <w:pStyle w:val="Funote"/>
        <w:rPr/>
      </w:pPr>
      <w:hyperlink r:id="rId579">
        <w:r>
          <w:rPr>
            <w:rStyle w:val="Internetverknpfung"/>
          </w:rPr>
          <w:footnoteRef/>
          <w:tab/>
          <w:t>Ptz. coni.</w:t>
        </w:r>
      </w:hyperlink>
      <w:r>
        <w:rPr/>
        <w:t>, relativisch aufgelöst</w:t>
      </w:r>
    </w:p>
  </w:footnote>
  <w:footnote w:id="5764">
    <w:p>
      <w:pPr>
        <w:pStyle w:val="Funote"/>
        <w:rPr/>
      </w:pPr>
      <w:r>
        <w:rPr/>
        <w:footnoteRef/>
        <w:tab/>
        <w:t xml:space="preserve">Heiliger Geist (Griechisch: pneuma): Siehe </w:t>
      </w:r>
      <w:hyperlink r:id="rId580">
        <w:r>
          <w:rPr>
            <w:rStyle w:val="Internetverknpfung"/>
          </w:rPr>
          <w:t>Lexikon:Geist</w:t>
        </w:r>
      </w:hyperlink>
    </w:p>
  </w:footnote>
  <w:footnote w:id="5765">
    <w:p>
      <w:pPr>
        <w:pStyle w:val="Funote"/>
        <w:rPr/>
      </w:pPr>
      <w:r>
        <w:rPr/>
        <w:footnoteRef/>
        <w:tab/>
        <w:t>Wörtlich: Gemäß dem Geschriebenen</w:t>
      </w:r>
    </w:p>
  </w:footnote>
  <w:footnote w:id="5766">
    <w:p>
      <w:pPr>
        <w:pStyle w:val="Funote"/>
        <w:rPr/>
      </w:pPr>
      <w:hyperlink r:id="rId581">
        <w:r>
          <w:rPr>
            <w:rStyle w:val="Internetverknpfung"/>
          </w:rPr>
          <w:footnoteRef/>
          <w:tab/>
          <w:t>Ptz. coni</w:t>
        </w:r>
      </w:hyperlink>
      <w:r>
        <w:rPr/>
        <w:t>, beiordnend aufgelöst.</w:t>
      </w:r>
    </w:p>
  </w:footnote>
  <w:footnote w:id="5767">
    <w:p>
      <w:pPr>
        <w:pStyle w:val="Funote"/>
        <w:rPr/>
      </w:pPr>
      <w:r>
        <w:rPr/>
        <w:footnoteRef/>
        <w:tab/>
        <w:t xml:space="preserve">Ein t.t. der Gerichtssprache: Vor den Richterstuhl stellen, doch hier ohne forensische Bedeutung: vor Gott bringen, nahebringen, </w:t>
      </w:r>
      <w:hyperlink r:id="rId582">
        <w:r>
          <w:rPr>
            <w:rStyle w:val="Internetverknpfung"/>
          </w:rPr>
          <w:t>BW</w:t>
        </w:r>
      </w:hyperlink>
      <w:r>
        <w:rPr/>
        <w:t xml:space="preserve"> Sp. 1245.</w:t>
      </w:r>
    </w:p>
  </w:footnote>
  <w:footnote w:id="5768">
    <w:p>
      <w:pPr>
        <w:pStyle w:val="Funote"/>
        <w:rPr/>
      </w:pPr>
      <w:r>
        <w:rPr/>
        <w:footnoteRef/>
        <w:tab/>
        <w:t xml:space="preserve">Gnade, griech.: charis, siehe: </w:t>
      </w:r>
      <w:hyperlink r:id="rId583">
        <w:r>
          <w:rPr>
            <w:rStyle w:val="Internetverknpfung"/>
          </w:rPr>
          <w:t>Lexikon:Gnade</w:t>
        </w:r>
      </w:hyperlink>
      <w:r>
        <w:rPr/>
        <w:t>.</w:t>
      </w:r>
    </w:p>
  </w:footnote>
  <w:footnote w:id="5769">
    <w:p>
      <w:pPr>
        <w:pStyle w:val="Funote"/>
        <w:rPr/>
      </w:pPr>
      <w:hyperlink r:id="rId584">
        <w:r>
          <w:rPr>
            <w:rStyle w:val="Internetverknpfung"/>
          </w:rPr>
          <w:footnoteRef/>
          <w:tab/>
          <w:t>Ptz. coni.</w:t>
        </w:r>
      </w:hyperlink>
      <w:r>
        <w:rPr/>
        <w:t>, relativisch aufgelöst</w:t>
      </w:r>
    </w:p>
  </w:footnote>
  <w:footnote w:id="5770">
    <w:p>
      <w:pPr>
        <w:pStyle w:val="Funote"/>
        <w:rPr/>
      </w:pPr>
      <w:hyperlink r:id="rId585">
        <w:r>
          <w:rPr>
            <w:rStyle w:val="Internetverknpfung"/>
          </w:rPr>
          <w:footnoteRef/>
          <w:tab/>
          <w:t>Ptz. coni.</w:t>
        </w:r>
      </w:hyperlink>
      <w:r>
        <w:rPr/>
        <w:t>, kausal aufgelöst.</w:t>
      </w:r>
    </w:p>
  </w:footnote>
  <w:footnote w:id="5771">
    <w:p>
      <w:pPr>
        <w:pStyle w:val="Funote"/>
        <w:rPr/>
      </w:pPr>
      <w:r>
        <w:rPr/>
        <w:footnoteRef/>
        <w:tab/>
        <w:t>[Status: Ungeprüft]</w:t>
      </w:r>
    </w:p>
  </w:footnote>
  <w:footnote w:id="5772">
    <w:p>
      <w:pPr>
        <w:pStyle w:val="Funote"/>
        <w:rPr/>
      </w:pPr>
      <w:r>
        <w:rPr/>
        <w:footnoteRef/>
        <w:tab/>
        <w:t>Futuralis</w:t>
      </w:r>
    </w:p>
  </w:footnote>
  <w:footnote w:id="5773">
    <w:p>
      <w:pPr>
        <w:pStyle w:val="Funote"/>
        <w:rPr/>
      </w:pPr>
      <w:r>
        <w:rPr/>
        <w:footnoteRef/>
        <w:tab/>
        <w:t>Genitivus appositivus, BDR § 176.2</w:t>
      </w:r>
    </w:p>
  </w:footnote>
  <w:footnote w:id="5774">
    <w:p>
      <w:pPr>
        <w:pStyle w:val="Funote"/>
        <w:rPr/>
      </w:pPr>
      <w:hyperlink r:id="rId586">
        <w:r>
          <w:rPr>
            <w:rStyle w:val="Internetverknpfung"/>
          </w:rPr>
          <w:footnoteRef/>
          <w:tab/>
          <w:t>Ptz. coni.</w:t>
        </w:r>
      </w:hyperlink>
      <w:r>
        <w:rPr/>
        <w:t>, kausal aufgelöst</w:t>
      </w:r>
    </w:p>
  </w:footnote>
  <w:footnote w:id="5775">
    <w:p>
      <w:pPr>
        <w:pStyle w:val="Funote"/>
        <w:rPr/>
      </w:pPr>
      <w:hyperlink r:id="rId587">
        <w:r>
          <w:rPr>
            <w:rStyle w:val="Internetverknpfung"/>
          </w:rPr>
          <w:footnoteRef/>
          <w:tab/>
          <w:t>Ptz. coni.</w:t>
        </w:r>
      </w:hyperlink>
      <w:r>
        <w:rPr/>
        <w:t>, temporal aufgelöst</w:t>
      </w:r>
    </w:p>
  </w:footnote>
  <w:footnote w:id="5776">
    <w:p>
      <w:pPr>
        <w:pStyle w:val="Funote"/>
        <w:rPr/>
      </w:pPr>
      <w:r>
        <w:rPr/>
        <w:footnoteRef/>
        <w:tab/>
        <w:t>Bultmann, KEK S. 137: „</w:t>
      </w:r>
      <w:r>
        <w:rPr>
          <w:lang w:val="el-GR"/>
        </w:rPr>
        <w:t>εἴ γε καὶ</w:t>
      </w:r>
      <w:r>
        <w:rPr/>
        <w:t xml:space="preserve"> … = ‚wenn wenigstens‘, wie Gal 3,4 … Zu umschreiben also: ‚sofern es nämlich richtig ist, dass …‘, ‚natürlich nur unter der (als selbstverständlich vorausgesetzten) Bedingung‘. … Zu übersetzen ist: ‚wenn es wenigstens richtig ist, dass wir, nachdem wir das (irdische) Gewand abgelegt haben, nicht nackt dastehen werden‘.“</w:t>
      </w:r>
    </w:p>
  </w:footnote>
  <w:footnote w:id="5777">
    <w:p>
      <w:pPr>
        <w:pStyle w:val="Funote"/>
        <w:rPr/>
      </w:pPr>
      <w:hyperlink r:id="rId588">
        <w:r>
          <w:rPr>
            <w:rStyle w:val="Internetverknpfung"/>
          </w:rPr>
          <w:footnoteRef/>
          <w:tab/>
          <w:t>Ptz. coni.</w:t>
        </w:r>
      </w:hyperlink>
      <w:r>
        <w:rPr/>
        <w:t>, relativisch aufgelöst</w:t>
      </w:r>
    </w:p>
  </w:footnote>
  <w:footnote w:id="5778">
    <w:p>
      <w:pPr>
        <w:pStyle w:val="Funote"/>
        <w:rPr/>
      </w:pPr>
      <w:hyperlink r:id="rId589">
        <w:r>
          <w:rPr>
            <w:rStyle w:val="Internetverknpfung"/>
          </w:rPr>
          <w:footnoteRef/>
          <w:tab/>
          <w:t>Ptz. coni.</w:t>
        </w:r>
      </w:hyperlink>
      <w:r>
        <w:rPr/>
        <w:t>, kausal aufgelöst</w:t>
      </w:r>
    </w:p>
  </w:footnote>
  <w:footnote w:id="5779">
    <w:p>
      <w:pPr>
        <w:pStyle w:val="Funote"/>
        <w:rPr/>
      </w:pPr>
      <w:r>
        <w:rPr/>
        <w:footnoteRef/>
        <w:tab/>
        <w:t>Bultmann hat „beklommen“</w:t>
      </w:r>
    </w:p>
  </w:footnote>
  <w:footnote w:id="5780">
    <w:p>
      <w:pPr>
        <w:pStyle w:val="Funote"/>
        <w:rPr/>
      </w:pPr>
      <w:hyperlink r:id="rId590">
        <w:r>
          <w:rPr>
            <w:rStyle w:val="Internetverknpfung"/>
          </w:rPr>
          <w:footnoteRef/>
          <w:tab/>
          <w:t>Ptz. coni.</w:t>
        </w:r>
      </w:hyperlink>
      <w:r>
        <w:rPr/>
        <w:t>, relativisch aufgelöst</w:t>
      </w:r>
    </w:p>
  </w:footnote>
  <w:footnote w:id="5781">
    <w:p>
      <w:pPr>
        <w:pStyle w:val="Funote"/>
        <w:rPr/>
      </w:pPr>
      <w:r>
        <w:rPr/>
        <w:footnoteRef/>
        <w:tab/>
        <w:t>Ein terminus technicus der Geschäftssprache</w:t>
      </w:r>
    </w:p>
  </w:footnote>
  <w:footnote w:id="5782">
    <w:p>
      <w:pPr>
        <w:pStyle w:val="Funote"/>
        <w:rPr/>
      </w:pPr>
      <w:hyperlink r:id="rId591">
        <w:r>
          <w:rPr>
            <w:rStyle w:val="Internetverknpfung"/>
          </w:rPr>
          <w:footnoteRef/>
          <w:tab/>
          <w:t>Ptz. coni.</w:t>
        </w:r>
      </w:hyperlink>
      <w:r>
        <w:rPr/>
        <w:t>, modal übersetzt</w:t>
      </w:r>
    </w:p>
  </w:footnote>
  <w:footnote w:id="5783">
    <w:p>
      <w:pPr>
        <w:pStyle w:val="Funote"/>
        <w:rPr/>
      </w:pPr>
      <w:r>
        <w:rPr/>
        <w:footnoteRef/>
        <w:tab/>
        <w:t>oder: in der Fremde sein</w:t>
      </w:r>
    </w:p>
  </w:footnote>
  <w:footnote w:id="5784">
    <w:p>
      <w:pPr>
        <w:pStyle w:val="Funote"/>
        <w:rPr/>
      </w:pPr>
      <w:r>
        <w:rPr/>
        <w:footnoteRef/>
        <w:tab/>
        <w:t>Hier steht das selbe Verb wie Vers 6: fern/ in der Fremde sein; das griechische Wortspiel lässt sich leider im Deutschen nicht wiedergeben</w:t>
      </w:r>
    </w:p>
  </w:footnote>
  <w:footnote w:id="5785">
    <w:p>
      <w:pPr>
        <w:pStyle w:val="Funote"/>
        <w:rPr/>
      </w:pPr>
      <w:r>
        <w:rPr/>
        <w:footnoteRef/>
        <w:tab/>
        <w:t>Im Griech. stehen hier zwei Partizipien, man könnte auch (etwas umständlicher) übersetzen: Sei es, dass wir in der Fremde, sei es, dass wir Zuhause sind</w:t>
      </w:r>
    </w:p>
  </w:footnote>
  <w:footnote w:id="5786">
    <w:p>
      <w:pPr>
        <w:pStyle w:val="Funote"/>
        <w:rPr/>
      </w:pPr>
      <w:r>
        <w:rPr/>
        <w:footnoteRef/>
        <w:tab/>
        <w:t xml:space="preserve">Bultmann: bei Leibesleben, eine wörtlichere Wiedergabe von </w:t>
      </w:r>
      <w:r>
        <w:rPr>
          <w:lang w:val="el-GR"/>
        </w:rPr>
        <w:t>διὰ τοῦ σώματος</w:t>
      </w:r>
    </w:p>
  </w:footnote>
  <w:footnote w:id="5787">
    <w:p>
      <w:pPr>
        <w:pStyle w:val="Funote"/>
        <w:rPr/>
      </w:pPr>
      <w:hyperlink r:id="rId592">
        <w:r>
          <w:rPr>
            <w:rStyle w:val="Internetverknpfung"/>
          </w:rPr>
          <w:footnoteRef/>
          <w:tab/>
          <w:t>Ptz. coni.</w:t>
        </w:r>
      </w:hyperlink>
      <w:r>
        <w:rPr/>
        <w:t>, kausal übersetzt</w:t>
      </w:r>
    </w:p>
  </w:footnote>
  <w:footnote w:id="5788">
    <w:p>
      <w:pPr>
        <w:pStyle w:val="Funote"/>
        <w:rPr/>
      </w:pPr>
      <w:r>
        <w:rPr/>
        <w:footnoteRef/>
        <w:tab/>
        <w:t xml:space="preserve">So BW Sp. 1707, oder: Ehrfurcht. Bultmann übersetzt: „Im Bewusstsein der Furcht des Herrn“ - Bezug auf Vers 10, das Stehen vor dem Richterstuhl Christi. Es ist „natürlich nicht die Angst, von der der Glaubende nach Röm 8,15 frei ist …, sondern die Gottesfurcht, die zum Glauben gehört … Im Zusammenhang ist der </w:t>
      </w:r>
      <w:r>
        <w:rPr>
          <w:lang w:val="el-GR"/>
        </w:rPr>
        <w:t>φόβος τοῦ κυρίου</w:t>
      </w:r>
      <w:r>
        <w:rPr/>
        <w:t xml:space="preserve"> einfach das Bewusstsein der Verantwortung“. (KEK, S. 147f) </w:t>
      </w:r>
    </w:p>
  </w:footnote>
  <w:footnote w:id="5789">
    <w:p>
      <w:pPr>
        <w:pStyle w:val="Funote"/>
        <w:rPr/>
      </w:pPr>
      <w:r>
        <w:rPr/>
        <w:footnoteRef/>
        <w:tab/>
        <w:t>Hier nimmt Paulus wohl einen Vorwurf seiner Gegner auf, deshalb steht das Wort in Anführungszeichen, vgl. Bultmann, S. 148</w:t>
      </w:r>
    </w:p>
  </w:footnote>
  <w:footnote w:id="5790">
    <w:p>
      <w:pPr>
        <w:pStyle w:val="Funote"/>
        <w:rPr/>
      </w:pPr>
      <w:r>
        <w:rPr/>
        <w:footnoteRef/>
        <w:tab/>
        <w:t>Etwas freier: ein Loblied über uns zu singen</w:t>
      </w:r>
    </w:p>
  </w:footnote>
  <w:footnote w:id="5791">
    <w:p>
      <w:pPr>
        <w:pStyle w:val="Funote"/>
        <w:rPr/>
      </w:pPr>
      <w:hyperlink r:id="rId593">
        <w:r>
          <w:rPr>
            <w:rStyle w:val="Internetverknpfung"/>
          </w:rPr>
          <w:footnoteRef/>
          <w:tab/>
          <w:t>Ptz. coni.</w:t>
        </w:r>
      </w:hyperlink>
      <w:r>
        <w:rPr/>
        <w:t>, relativisch aufgelöst</w:t>
      </w:r>
    </w:p>
  </w:footnote>
  <w:footnote w:id="5792">
    <w:p>
      <w:pPr>
        <w:pStyle w:val="Funote"/>
        <w:rPr/>
      </w:pPr>
      <w:r>
        <w:rPr/>
        <w:footnoteRef/>
        <w:tab/>
        <w:t>So Bultmann, S. 152. BW Sp. 1562 hat ‚in Schranken halten‘.</w:t>
      </w:r>
    </w:p>
  </w:footnote>
  <w:footnote w:id="5793">
    <w:p>
      <w:pPr>
        <w:pStyle w:val="Funote"/>
        <w:rPr/>
      </w:pPr>
      <w:hyperlink r:id="rId594">
        <w:r>
          <w:rPr>
            <w:rStyle w:val="Internetverknpfung"/>
          </w:rPr>
          <w:footnoteRef/>
          <w:tab/>
          <w:t>Ptz. coni.</w:t>
        </w:r>
      </w:hyperlink>
      <w:r>
        <w:rPr/>
        <w:t>, beiordnend aufgelöst</w:t>
      </w:r>
    </w:p>
  </w:footnote>
  <w:footnote w:id="5794">
    <w:p>
      <w:pPr>
        <w:pStyle w:val="Funote"/>
        <w:rPr/>
      </w:pPr>
      <w:r>
        <w:rPr/>
        <w:footnoteRef/>
        <w:tab/>
        <w:t>Hier liegt ein juristischer Stellvertretungsgedanke vor, Bultmann, S. 153</w:t>
      </w:r>
    </w:p>
  </w:footnote>
  <w:footnote w:id="5795">
    <w:p>
      <w:pPr>
        <w:pStyle w:val="Funote"/>
        <w:rPr/>
      </w:pPr>
      <w:r>
        <w:rPr/>
        <w:footnoteRef/>
        <w:tab/>
        <w:t>Im Griech. Partizip: Die Lebenden, Plural, so auch im Folgenden</w:t>
      </w:r>
    </w:p>
  </w:footnote>
  <w:footnote w:id="5796">
    <w:p>
      <w:pPr>
        <w:pStyle w:val="Funote"/>
        <w:rPr/>
      </w:pPr>
      <w:r>
        <w:rPr/>
        <w:footnoteRef/>
        <w:tab/>
        <w:t xml:space="preserve">Bultmann: </w:t>
      </w:r>
      <w:r>
        <w:rPr>
          <w:lang w:val="el-GR"/>
        </w:rPr>
        <w:t>σάρξ</w:t>
      </w:r>
      <w:r>
        <w:rPr/>
        <w:t xml:space="preserve"> ist die Sphäre des Vorfindlichen, S. 155</w:t>
      </w:r>
    </w:p>
  </w:footnote>
  <w:footnote w:id="5797">
    <w:p>
      <w:pPr>
        <w:pStyle w:val="Funote"/>
        <w:rPr/>
      </w:pPr>
      <w:r>
        <w:rPr/>
        <w:footnoteRef/>
        <w:tab/>
        <w:t>Ein hypothetischer Fall, Irrealis, vgl. Bultmann, S. 156</w:t>
      </w:r>
    </w:p>
  </w:footnote>
  <w:footnote w:id="5798">
    <w:p>
      <w:pPr>
        <w:pStyle w:val="Funote"/>
        <w:rPr/>
      </w:pPr>
      <w:r>
        <w:rPr/>
        <w:footnoteRef/>
        <w:tab/>
        <w:t>Durch die Taufe in die Gemeinde aufgenommen</w:t>
      </w:r>
    </w:p>
  </w:footnote>
  <w:footnote w:id="5799">
    <w:p>
      <w:pPr>
        <w:pStyle w:val="Funote"/>
        <w:rPr/>
      </w:pPr>
      <w:hyperlink r:id="rId595">
        <w:r>
          <w:rPr>
            <w:rStyle w:val="Internetverknpfung"/>
          </w:rPr>
          <w:footnoteRef/>
          <w:tab/>
          <w:t>Ptz. coni.</w:t>
        </w:r>
      </w:hyperlink>
      <w:r>
        <w:rPr/>
        <w:t>, relativisch aufgelöst</w:t>
      </w:r>
    </w:p>
  </w:footnote>
  <w:footnote w:id="5800">
    <w:p>
      <w:pPr>
        <w:pStyle w:val="Funote"/>
        <w:rPr/>
      </w:pPr>
      <w:hyperlink r:id="rId596">
        <w:r>
          <w:rPr>
            <w:rStyle w:val="Internetverknpfung"/>
          </w:rPr>
          <w:footnoteRef/>
          <w:tab/>
          <w:t>Ptz. coni.</w:t>
        </w:r>
      </w:hyperlink>
      <w:r>
        <w:rPr/>
        <w:t>, beiordnend aufgelöst. Im Griechischen ist der Satz mit Komma abgetrennt</w:t>
      </w:r>
    </w:p>
  </w:footnote>
  <w:footnote w:id="5801">
    <w:p>
      <w:pPr>
        <w:pStyle w:val="Funote"/>
        <w:rPr/>
      </w:pPr>
      <w:r>
        <w:rPr/>
        <w:footnoteRef/>
        <w:tab/>
        <w:t>BDR § 425,3</w:t>
      </w:r>
    </w:p>
  </w:footnote>
  <w:footnote w:id="5802">
    <w:p>
      <w:pPr>
        <w:pStyle w:val="Funote"/>
        <w:rPr/>
      </w:pPr>
      <w:hyperlink r:id="rId597">
        <w:r>
          <w:rPr>
            <w:rStyle w:val="Internetverknpfung"/>
          </w:rPr>
          <w:footnoteRef/>
          <w:tab/>
          <w:t>Ptz. coni.</w:t>
        </w:r>
      </w:hyperlink>
      <w:r>
        <w:rPr/>
        <w:t xml:space="preserve"> - wessen? Gottes? Der Korinther?</w:t>
      </w:r>
    </w:p>
  </w:footnote>
  <w:footnote w:id="5803">
    <w:p>
      <w:pPr>
        <w:pStyle w:val="Funote"/>
        <w:rPr/>
      </w:pPr>
      <w:r>
        <w:rPr/>
        <w:footnoteRef/>
        <w:tab/>
        <w:t xml:space="preserve">Gnade (Griech.: </w:t>
      </w:r>
      <w:r>
        <w:rPr>
          <w:i/>
        </w:rPr>
        <w:t>charis</w:t>
      </w:r>
      <w:r>
        <w:rPr/>
        <w:t xml:space="preserve">) siehe: </w:t>
      </w:r>
      <w:hyperlink r:id="rId598">
        <w:r>
          <w:rPr>
            <w:rStyle w:val="Internetverknpfung"/>
          </w:rPr>
          <w:t>Lexikon:Gnade</w:t>
        </w:r>
      </w:hyperlink>
    </w:p>
  </w:footnote>
  <w:footnote w:id="5804">
    <w:p>
      <w:pPr>
        <w:pStyle w:val="Funote"/>
        <w:rPr/>
      </w:pPr>
      <w:r>
        <w:rPr/>
        <w:footnoteRef/>
        <w:tab/>
        <w:t>Wörtlich: angenehm =&gt; günstig</w:t>
      </w:r>
    </w:p>
  </w:footnote>
  <w:footnote w:id="5805">
    <w:p>
      <w:pPr>
        <w:pStyle w:val="Funote"/>
        <w:rPr/>
      </w:pPr>
      <w:r>
        <w:rPr/>
        <w:footnoteRef/>
        <w:tab/>
        <w:t xml:space="preserve">Die Präposition </w:t>
      </w:r>
      <w:r>
        <w:rPr>
          <w:i/>
        </w:rPr>
        <w:t>en</w:t>
      </w:r>
      <w:r>
        <w:rPr/>
        <w:t xml:space="preserve"> mit Dativ kann auch instrumentale Bedeutung haben = „durch“; entsprechend kann in diesem und in den Versen 5-7 „in“ immer mit „durch“ ersetzt werden.</w:t>
      </w:r>
    </w:p>
  </w:footnote>
  <w:footnote w:id="5806">
    <w:p>
      <w:pPr>
        <w:pStyle w:val="Funote"/>
        <w:rPr/>
      </w:pPr>
      <w:r>
        <w:rPr/>
        <w:footnoteRef/>
        <w:tab/>
        <w:t xml:space="preserve">Außerbiblisch selten: unter Druck geraten, vgl. </w:t>
      </w:r>
      <w:r>
        <w:rPr>
          <w:i/>
        </w:rPr>
        <w:t xml:space="preserve">Queen: 'Under pressure' </w:t>
      </w:r>
      <w:r>
        <w:rPr/>
        <w:t>.</w:t>
      </w:r>
    </w:p>
  </w:footnote>
  <w:footnote w:id="5807">
    <w:p>
      <w:pPr>
        <w:pStyle w:val="Funote"/>
        <w:rPr/>
      </w:pPr>
      <w:r>
        <w:rPr/>
        <w:footnoteRef/>
        <w:tab/>
        <w:t xml:space="preserve">Das griechische Wort </w:t>
      </w:r>
      <w:r>
        <w:rPr>
          <w:i/>
        </w:rPr>
        <w:t>stenochoria</w:t>
      </w:r>
      <w:r>
        <w:rPr/>
        <w:t xml:space="preserve"> setzt sich zusammen aus </w:t>
      </w:r>
      <w:r>
        <w:rPr>
          <w:i/>
        </w:rPr>
        <w:t>stenos</w:t>
      </w:r>
      <w:r>
        <w:rPr/>
        <w:t xml:space="preserve">, eng und </w:t>
      </w:r>
      <w:r>
        <w:rPr>
          <w:i/>
        </w:rPr>
        <w:t>chora</w:t>
      </w:r>
      <w:r>
        <w:rPr/>
        <w:t>, Land, Ort. Insofern ist unser umgangssprachlicher Ausdruck „es wird eng“ eine wörtliche und inhaltlich angemessene Wiedergabe der beiden Wortbestandteile.</w:t>
      </w:r>
    </w:p>
  </w:footnote>
  <w:footnote w:id="5808">
    <w:p>
      <w:pPr>
        <w:pStyle w:val="Funote"/>
        <w:rPr/>
      </w:pPr>
      <w:r>
        <w:rPr/>
        <w:footnoteRef/>
        <w:tab/>
        <w:t>im Griech. steht hier wie bei allen anderen Begriffen der Plural; wir verwenden im Dt. für das Kollektivum den Singular.</w:t>
      </w:r>
    </w:p>
  </w:footnote>
  <w:footnote w:id="5809">
    <w:p>
      <w:pPr>
        <w:pStyle w:val="Funote"/>
        <w:rPr/>
      </w:pPr>
      <w:r>
        <w:rPr/>
        <w:footnoteRef/>
        <w:tab/>
        <w:t>Wörtl.: Nachtwachen</w:t>
      </w:r>
    </w:p>
  </w:footnote>
  <w:footnote w:id="5810">
    <w:p>
      <w:pPr>
        <w:pStyle w:val="Funote"/>
        <w:rPr/>
      </w:pPr>
      <w:r>
        <w:rPr/>
        <w:footnoteRef/>
        <w:tab/>
        <w:t xml:space="preserve">Gerechtigkeit (Griech.: </w:t>
      </w:r>
      <w:r>
        <w:rPr>
          <w:i/>
        </w:rPr>
        <w:t>dikaiosyne</w:t>
      </w:r>
      <w:r>
        <w:rPr/>
        <w:t xml:space="preserve">), siehe: </w:t>
      </w:r>
      <w:hyperlink r:id="rId599">
        <w:r>
          <w:rPr>
            <w:rStyle w:val="Internetverknpfung"/>
          </w:rPr>
          <w:t>Lexikon:Gerechtigkeit</w:t>
        </w:r>
      </w:hyperlink>
    </w:p>
  </w:footnote>
  <w:footnote w:id="5811">
    <w:p>
      <w:pPr>
        <w:pStyle w:val="Funote"/>
        <w:rPr/>
      </w:pPr>
      <w:r>
        <w:rPr/>
        <w:footnoteRef/>
        <w:tab/>
        <w:t>D.h. Angriffs- (zur Rechten) und Verteidigungswaffen, d.h. Schild (links) und Schwert des Legionssoldaten. Paulus greift hier auf eine Waffenmetaphorik zurück, die Kyniker und Stoiker verwenden. Paulus hat das Ideal der Gerechtigkeit internalisiert; sie steht daher als Waffe zur Verfügung, Ebner S. 268f.</w:t>
      </w:r>
    </w:p>
  </w:footnote>
  <w:footnote w:id="5812">
    <w:p>
      <w:pPr>
        <w:pStyle w:val="Funote"/>
        <w:rPr/>
      </w:pPr>
      <w:r>
        <w:rPr/>
        <w:footnoteRef/>
        <w:tab/>
        <w:t xml:space="preserve">Diese Begriffe in Vers 9 und 10 sind alles konjunkte Partizipien, siehe: </w:t>
      </w:r>
      <w:hyperlink r:id="rId600">
        <w:r>
          <w:rPr>
            <w:rStyle w:val="Internetverknpfung"/>
          </w:rPr>
          <w:t>Part. coni.</w:t>
        </w:r>
      </w:hyperlink>
      <w:r>
        <w:rPr/>
        <w:t>, die man entsprechend auflösen könnte - also z.B. obwohl wir verkannt werden, sind wir doch erkannt.</w:t>
      </w:r>
    </w:p>
  </w:footnote>
  <w:footnote w:id="5813">
    <w:p>
      <w:pPr>
        <w:pStyle w:val="Funote"/>
        <w:rPr/>
      </w:pPr>
      <w:r>
        <w:rPr>
          <w:i/>
        </w:rPr>
        <w:footnoteRef/>
        <w:tab/>
        <w:t>ginomai</w:t>
      </w:r>
      <w:r>
        <w:rPr/>
        <w:t xml:space="preserve"> mit Partizip Präsens drückt den Anfang des Seins aus =&gt; gebt euch nicht dazu her, </w:t>
      </w:r>
      <w:hyperlink r:id="rId601">
        <w:r>
          <w:rPr>
            <w:rStyle w:val="Internetverknpfung"/>
          </w:rPr>
          <w:t>BDR § 354,1</w:t>
        </w:r>
      </w:hyperlink>
      <w:r>
        <w:rPr/>
        <w:t>; wörtlich: Werdet nicht solche, die unter fremdartigem Joch gehen, vgl. 3.Mose 19,19.</w:t>
      </w:r>
    </w:p>
  </w:footnote>
  <w:footnote w:id="5814">
    <w:p>
      <w:pPr>
        <w:pStyle w:val="Funote"/>
        <w:rPr/>
      </w:pPr>
      <w:r>
        <w:rPr/>
        <w:footnoteRef/>
        <w:tab/>
        <w:t xml:space="preserve">Gerechtigkeit (Griech.: </w:t>
      </w:r>
      <w:r>
        <w:rPr>
          <w:i/>
        </w:rPr>
        <w:t>dikaiosyne</w:t>
      </w:r>
      <w:r>
        <w:rPr/>
        <w:t xml:space="preserve">), siehe: </w:t>
      </w:r>
      <w:hyperlink r:id="rId602">
        <w:r>
          <w:rPr>
            <w:rStyle w:val="Internetverknpfung"/>
          </w:rPr>
          <w:t>Lexikon:Gerechtigkeit</w:t>
        </w:r>
      </w:hyperlink>
    </w:p>
  </w:footnote>
  <w:footnote w:id="5815">
    <w:p>
      <w:pPr>
        <w:pStyle w:val="Funote"/>
        <w:rPr/>
      </w:pPr>
      <w:r>
        <w:rPr>
          <w:i/>
        </w:rPr>
        <w:footnoteRef/>
        <w:tab/>
        <w:t>Belial</w:t>
      </w:r>
      <w:r>
        <w:rPr/>
        <w:t>, hebräisch der Teufel, der Antimessias</w:t>
      </w:r>
    </w:p>
  </w:footnote>
  <w:footnote w:id="5816">
    <w:p>
      <w:pPr>
        <w:pStyle w:val="Funote"/>
        <w:rPr/>
      </w:pPr>
      <w:r>
        <w:rPr/>
        <w:footnoteRef/>
        <w:tab/>
        <w:t xml:space="preserve">Sog. </w:t>
      </w:r>
      <w:r>
        <w:rPr>
          <w:i/>
        </w:rPr>
        <w:t>oti citativum</w:t>
      </w:r>
      <w:r>
        <w:rPr/>
        <w:t>, im Dt. durch einen Doppelpunkt wiedergegeben.</w:t>
      </w:r>
    </w:p>
  </w:footnote>
  <w:footnote w:id="5817">
    <w:p>
      <w:pPr>
        <w:pStyle w:val="Funote"/>
        <w:rPr/>
      </w:pPr>
      <w:r>
        <w:rPr/>
        <w:footnoteRef/>
        <w:tab/>
        <w:t>Wörtl.: Geht heraus aus ihrer Mitte.</w:t>
      </w:r>
    </w:p>
  </w:footnote>
  <w:footnote w:id="5818">
    <w:p>
      <w:pPr>
        <w:pStyle w:val="Funote"/>
        <w:rPr/>
      </w:pPr>
      <w:r>
        <w:rPr/>
        <w:footnoteRef/>
        <w:tab/>
        <w:t>I.S.v.:Ein Opfer darbringen-</w:t>
      </w:r>
    </w:p>
  </w:footnote>
  <w:footnote w:id="5819">
    <w:p>
      <w:pPr>
        <w:pStyle w:val="Funote"/>
        <w:rPr/>
      </w:pPr>
      <w:hyperlink r:id="rId603">
        <w:r>
          <w:rPr>
            <w:rStyle w:val="Internetverknpfung"/>
          </w:rPr>
          <w:footnoteRef/>
          <w:tab/>
          <w:t>Ptz. coni.</w:t>
        </w:r>
      </w:hyperlink>
      <w:r>
        <w:rPr/>
        <w:t>, beiordnend aufgelöst.</w:t>
      </w:r>
    </w:p>
  </w:footnote>
  <w:footnote w:id="5820">
    <w:p>
      <w:pPr>
        <w:pStyle w:val="Funote"/>
        <w:rPr/>
      </w:pPr>
      <w:r>
        <w:rPr/>
        <w:footnoteRef/>
        <w:tab/>
        <w:t>Offenbar sind in Paulus' Abwesenheit in Korinth Apostel aufgetreten, die sich besonderer Fähigkeiten gerühmt haben, wie Paulus im Folgenden ausgführt. Der Begriff "Überapostel" ist ironisch gemeint.</w:t>
      </w:r>
    </w:p>
  </w:footnote>
  <w:footnote w:id="5821">
    <w:p>
      <w:pPr>
        <w:pStyle w:val="Funote"/>
        <w:rPr/>
      </w:pPr>
      <w:r>
        <w:rPr/>
        <w:footnoteRef/>
        <w:tab/>
        <w:t>Auf die Redekunst (Rhetorik) wurde in der Antike großen Wert gelegt. Paulus wird vorgeworfen, gut formulieren zu können, aber ein miserabler Redner zu sein, vgl. 2.Korinther 10,10.</w:t>
      </w:r>
    </w:p>
  </w:footnote>
  <w:footnote w:id="5822">
    <w:p>
      <w:pPr>
        <w:pStyle w:val="Funote"/>
        <w:rPr/>
      </w:pPr>
      <w:hyperlink r:id="rId604">
        <w:r>
          <w:rPr>
            <w:rStyle w:val="Internetverknpfung"/>
          </w:rPr>
          <w:footnoteRef/>
          <w:tab/>
          <w:t>Ptz. coni.</w:t>
        </w:r>
      </w:hyperlink>
      <w:r>
        <w:rPr/>
        <w:t>, temporal aufgelöst.</w:t>
      </w:r>
    </w:p>
  </w:footnote>
  <w:footnote w:id="5823">
    <w:p>
      <w:pPr>
        <w:pStyle w:val="Funote"/>
        <w:rPr/>
      </w:pPr>
      <w:hyperlink r:id="rId605">
        <w:r>
          <w:rPr>
            <w:rStyle w:val="Internetverknpfung"/>
          </w:rPr>
          <w:footnoteRef/>
          <w:tab/>
          <w:t>Ptz. coni.</w:t>
        </w:r>
      </w:hyperlink>
      <w:r>
        <w:rPr/>
        <w:t>, modal aufgelöst.</w:t>
      </w:r>
    </w:p>
  </w:footnote>
  <w:footnote w:id="5824">
    <w:p>
      <w:pPr>
        <w:pStyle w:val="Funote"/>
        <w:rPr/>
      </w:pPr>
      <w:hyperlink r:id="rId606">
        <w:r>
          <w:rPr>
            <w:rStyle w:val="Internetverknpfung"/>
          </w:rPr>
          <w:footnoteRef/>
          <w:tab/>
          <w:t>Ptz. coni.</w:t>
        </w:r>
      </w:hyperlink>
      <w:r>
        <w:rPr/>
        <w:t>, temporal aufgelöst.</w:t>
      </w:r>
    </w:p>
  </w:footnote>
  <w:footnote w:id="5825">
    <w:p>
      <w:pPr>
        <w:pStyle w:val="Funote"/>
        <w:rPr/>
      </w:pPr>
      <w:hyperlink r:id="rId607">
        <w:r>
          <w:rPr>
            <w:rStyle w:val="Internetverknpfung"/>
          </w:rPr>
          <w:footnoteRef/>
          <w:tab/>
          <w:t>Ptz. coni.</w:t>
        </w:r>
      </w:hyperlink>
      <w:r>
        <w:rPr/>
        <w:t>, relativisch aufgelöst.</w:t>
      </w:r>
    </w:p>
  </w:footnote>
  <w:footnote w:id="5826">
    <w:p>
      <w:pPr>
        <w:pStyle w:val="Funote"/>
        <w:rPr/>
      </w:pPr>
      <w:r>
        <w:rPr/>
        <w:footnoteRef/>
        <w:tab/>
        <w:t>Andere Übersetzungen (Luther 2017, NGÜ) fassen diesen Satz als Schwurformel auf: "So gewiss die Wahrheit Christi in mir ist"</w:t>
      </w:r>
    </w:p>
  </w:footnote>
  <w:footnote w:id="5827">
    <w:p>
      <w:pPr>
        <w:pStyle w:val="Funote"/>
        <w:rPr/>
      </w:pPr>
      <w:r>
        <w:rPr/>
        <w:footnoteRef/>
        <w:tab/>
        <w:t>Wörtl.: wollen.</w:t>
      </w:r>
    </w:p>
  </w:footnote>
  <w:footnote w:id="5828">
    <w:p>
      <w:pPr>
        <w:pStyle w:val="Funote"/>
        <w:rPr/>
      </w:pPr>
      <w:r>
        <w:rPr/>
        <w:footnoteRef/>
        <w:tab/>
        <w:t xml:space="preserve">Wörtl.:Arbeiter. Griech. </w:t>
      </w:r>
      <w:r>
        <w:rPr>
          <w:i/>
        </w:rPr>
        <w:t>ergazo</w:t>
      </w:r>
      <w:r>
        <w:rPr/>
        <w:t xml:space="preserve"> heißt arbeiten, lat. </w:t>
      </w:r>
      <w:r>
        <w:rPr>
          <w:i/>
        </w:rPr>
        <w:t>agere</w:t>
      </w:r>
      <w:r>
        <w:rPr/>
        <w:t>, daher: Agent.</w:t>
      </w:r>
    </w:p>
  </w:footnote>
  <w:footnote w:id="5829">
    <w:p>
      <w:pPr>
        <w:pStyle w:val="Funote"/>
        <w:rPr/>
      </w:pPr>
      <w:hyperlink r:id="rId608">
        <w:r>
          <w:rPr>
            <w:rStyle w:val="Internetverknpfung"/>
          </w:rPr>
          <w:footnoteRef/>
          <w:tab/>
          <w:t>Ptz. coni.</w:t>
        </w:r>
      </w:hyperlink>
      <w:r>
        <w:rPr/>
        <w:t>, relativisch aufgelöst.</w:t>
      </w:r>
    </w:p>
  </w:footnote>
  <w:footnote w:id="5830">
    <w:p>
      <w:pPr>
        <w:pStyle w:val="Funote"/>
        <w:rPr/>
      </w:pPr>
      <w:r>
        <w:rPr/>
        <w:footnoteRef/>
        <w:tab/>
        <w:t>Also etwa: Wie es sich für einen Christen gehören würde.</w:t>
      </w:r>
    </w:p>
  </w:footnote>
  <w:footnote w:id="5831">
    <w:p>
      <w:pPr>
        <w:pStyle w:val="Funote"/>
        <w:rPr/>
      </w:pPr>
      <w:r>
        <w:rPr/>
        <w:footnoteRef/>
        <w:tab/>
        <w:t xml:space="preserve">Im Text steht </w:t>
      </w:r>
      <w:r>
        <w:rPr>
          <w:i/>
        </w:rPr>
        <w:t>kata sarka</w:t>
      </w:r>
      <w:r>
        <w:rPr/>
        <w:t xml:space="preserve">, wörtl.: "nach dem Fleisch". </w:t>
      </w:r>
      <w:r>
        <w:rPr>
          <w:i/>
        </w:rPr>
        <w:t>sarx</w:t>
      </w:r>
      <w:r>
        <w:rPr/>
        <w:t xml:space="preserve"> ist bei Paulus das Menschliche im Gegensatz zum Göttlichen, das er </w:t>
      </w:r>
      <w:r>
        <w:rPr>
          <w:i/>
        </w:rPr>
        <w:t>pneuma</w:t>
      </w:r>
      <w:r>
        <w:rPr/>
        <w:t>, Geist, nennt. Es geht hier also um das, wessen sich ein Mensch rühmen könnte - die Vorzüge, oder eben die "Leistungen", wie der folgende Peristasenkatalog zeigt.</w:t>
      </w:r>
    </w:p>
  </w:footnote>
  <w:footnote w:id="5832">
    <w:p>
      <w:pPr>
        <w:pStyle w:val="Funote"/>
        <w:rPr/>
      </w:pPr>
      <w:r>
        <w:rPr/>
        <w:footnoteRef/>
        <w:tab/>
        <w:t>Die Anrede "Kluge" ist ironisch gemeint.</w:t>
      </w:r>
    </w:p>
  </w:footnote>
  <w:footnote w:id="5833">
    <w:p>
      <w:pPr>
        <w:pStyle w:val="Funote"/>
        <w:rPr/>
      </w:pPr>
      <w:r>
        <w:rPr/>
        <w:footnoteRef/>
        <w:tab/>
        <w:t>I.S.d. Aneignung von Besitz.</w:t>
      </w:r>
    </w:p>
  </w:footnote>
  <w:footnote w:id="5834">
    <w:p>
      <w:pPr>
        <w:pStyle w:val="Funote"/>
        <w:rPr/>
      </w:pPr>
      <w:r>
        <w:rPr/>
        <w:footnoteRef/>
        <w:tab/>
        <w:t>Wörtlich: An Mühen mehr.</w:t>
      </w:r>
    </w:p>
  </w:footnote>
  <w:footnote w:id="5835">
    <w:p>
      <w:pPr>
        <w:pStyle w:val="Funote"/>
        <w:rPr/>
      </w:pPr>
      <w:r>
        <w:rPr/>
        <w:footnoteRef/>
        <w:tab/>
        <w:t>Wörtl.: in Gefängnissen mehr.</w:t>
      </w:r>
    </w:p>
  </w:footnote>
  <w:footnote w:id="5836">
    <w:p>
      <w:pPr>
        <w:pStyle w:val="Funote"/>
        <w:rPr/>
      </w:pPr>
      <w:r>
        <w:rPr/>
        <w:footnoteRef/>
        <w:tab/>
        <w:t>Wörtl.: an Schlägen übermäßig.</w:t>
      </w:r>
    </w:p>
  </w:footnote>
  <w:footnote w:id="5837">
    <w:p>
      <w:pPr>
        <w:pStyle w:val="Funote"/>
        <w:rPr/>
      </w:pPr>
      <w:r>
        <w:rPr/>
        <w:footnoteRef/>
        <w:tab/>
        <w:t>Es handelt sich um die Prügelstrafe, und zwar lt. 5.Mose 25,3 um die Höchststrafe: Erlaubt waren max. 40 Schläge; üblich war, einen Schlag weniger zu verabreichen, vgl. Ebner S. 134.</w:t>
      </w:r>
    </w:p>
  </w:footnote>
  <w:footnote w:id="5838">
    <w:p>
      <w:pPr>
        <w:pStyle w:val="Funote"/>
        <w:rPr/>
      </w:pPr>
      <w:r>
        <w:rPr/>
        <w:footnoteRef/>
        <w:tab/>
        <w:t xml:space="preserve">D.i. die </w:t>
      </w:r>
      <w:r>
        <w:rPr>
          <w:i/>
        </w:rPr>
        <w:t>verberatio</w:t>
      </w:r>
      <w:r>
        <w:rPr/>
        <w:t xml:space="preserve"> durch die römischen Behörden, die von den </w:t>
      </w:r>
      <w:r>
        <w:rPr>
          <w:i/>
        </w:rPr>
        <w:t>Liktoren</w:t>
      </w:r>
      <w:r>
        <w:rPr/>
        <w:t xml:space="preserve"> mit deren Rutenbündel (</w:t>
      </w:r>
      <w:r>
        <w:rPr>
          <w:i/>
        </w:rPr>
        <w:t>fasces</w:t>
      </w:r>
      <w:r>
        <w:rPr/>
        <w:t>) ausgeführt wurde.</w:t>
      </w:r>
    </w:p>
  </w:footnote>
  <w:footnote w:id="5839">
    <w:p>
      <w:pPr>
        <w:pStyle w:val="Funote"/>
        <w:rPr/>
      </w:pPr>
      <w:r>
        <w:rPr/>
        <w:footnoteRef/>
        <w:tab/>
        <w:t>Wörtl.: Oft in durchwachten Nächten; dabei könnte es sich um bewussten Verzicht auf Schlaf handeln, meint Ebner S. 148f.</w:t>
      </w:r>
    </w:p>
  </w:footnote>
  <w:footnote w:id="5840">
    <w:p>
      <w:pPr>
        <w:pStyle w:val="Funote"/>
        <w:rPr/>
      </w:pPr>
      <w:r>
        <w:rPr/>
        <w:footnoteRef/>
        <w:tab/>
        <w:t>Wörtl.:draußen</w:t>
      </w:r>
    </w:p>
  </w:footnote>
  <w:footnote w:id="5841">
    <w:p>
      <w:pPr>
        <w:pStyle w:val="Funote"/>
        <w:rPr/>
      </w:pPr>
      <w:r>
        <w:rPr/>
        <w:footnoteRef/>
        <w:tab/>
        <w:t>Gemeint ist:Vor Mitgefühl brennen.</w:t>
      </w:r>
    </w:p>
  </w:footnote>
  <w:footnote w:id="5842">
    <w:p>
      <w:pPr>
        <w:pStyle w:val="Funote"/>
        <w:rPr/>
      </w:pPr>
      <w:r>
        <w:rPr/>
        <w:footnoteRef/>
        <w:tab/>
        <w:t>Das Perfekt betont die abschließende Antwort (M.Thrall 2000, 821).</w:t>
      </w:r>
    </w:p>
  </w:footnote>
  <w:footnote w:id="5843">
    <w:p>
      <w:pPr>
        <w:pStyle w:val="Funote"/>
        <w:rPr/>
      </w:pPr>
      <w:r>
        <w:rPr/>
        <w:footnoteRef/>
        <w:tab/>
        <w:t>Andere Handschriften: „… wird zur Vollendung kommen.“</w:t>
      </w:r>
    </w:p>
  </w:footnote>
  <w:footnote w:id="5844">
    <w:p>
      <w:pPr>
        <w:pStyle w:val="Funote"/>
        <w:rPr/>
      </w:pPr>
      <w:r>
        <w:rPr/>
        <w:footnoteRef/>
        <w:tab/>
        <w:t>Das „meine“ steht nicht in allen Handschriften.</w:t>
      </w:r>
    </w:p>
  </w:footnote>
  <w:footnote w:id="5845">
    <w:p>
      <w:pPr>
        <w:pStyle w:val="Funote"/>
        <w:rPr/>
      </w:pPr>
      <w:r>
        <w:rPr/>
        <w:footnoteRef/>
        <w:tab/>
        <w:t>Das „lieber“ kann verschieden bezogen werden: auf „meine Schwächen“ (M.Thrall 2000, 826) oder auf den ganzen Satz (V.Furnish 1984, 531).</w:t>
      </w:r>
    </w:p>
  </w:footnote>
  <w:footnote w:id="5846">
    <w:p>
      <w:pPr>
        <w:pStyle w:val="Funote"/>
        <w:rPr/>
      </w:pPr>
      <w:r>
        <w:rPr/>
        <w:footnoteRef/>
        <w:tab/>
        <w:t>Mögliche Deutungen: „meine Schwächen, die die Kraft Christi in mir wohnen lassen“ oder „damit sichtbar wird, dass die Kraft Christi als in mir wohnt“ (M.Thrall 2000, 826–829).</w:t>
      </w:r>
    </w:p>
  </w:footnote>
  <w:footnote w:id="5847">
    <w:p>
      <w:pPr>
        <w:pStyle w:val="Funote"/>
        <w:rPr/>
      </w:pPr>
      <w:r>
        <w:rPr/>
        <w:footnoteRef/>
        <w:tab/>
        <w:t xml:space="preserve">Andere Handschriften: „über Verfolgungen, </w:t>
      </w:r>
      <w:r>
        <w:rPr>
          <w:i/>
        </w:rPr>
        <w:t>über</w:t>
      </w:r>
      <w:r>
        <w:rPr/>
        <w:t xml:space="preserve"> Bedrängnisse“ oder „</w:t>
      </w:r>
      <w:r>
        <w:rPr>
          <w:i/>
        </w:rPr>
        <w:t>und</w:t>
      </w:r>
      <w:r>
        <w:rPr/>
        <w:t xml:space="preserve"> Verfolgungen und Bedrängnisse“</w:t>
      </w:r>
    </w:p>
  </w:footnote>
  <w:footnote w:id="5848">
    <w:p>
      <w:pPr>
        <w:pStyle w:val="Funote"/>
        <w:rPr/>
      </w:pPr>
      <w:r>
        <w:rPr/>
        <w:footnoteRef/>
        <w:tab/>
        <w:t>Das „wegen Christus“ bezieht sich vermutlich auf den ganzen Satz (V.Furnish 1984, 531, und M.Thrall 2000, 829–830).</w:t>
      </w:r>
    </w:p>
  </w:footnote>
  <w:footnote w:id="5849">
    <w:p>
      <w:pPr>
        <w:pStyle w:val="Funote"/>
        <w:rPr/>
      </w:pPr>
      <w:r>
        <w:rPr/>
        <w:footnoteRef/>
        <w:tab/>
        <w:t>[Status: Ungeprüft]</w:t>
      </w:r>
    </w:p>
  </w:footnote>
  <w:footnote w:id="5850">
    <w:p>
      <w:pPr>
        <w:pStyle w:val="Funote"/>
        <w:rPr/>
      </w:pPr>
      <w:r>
        <w:rPr/>
        <w:footnoteRef/>
        <w:tab/>
        <w:t>D.h. „die bei mir sind“.</w:t>
      </w:r>
    </w:p>
  </w:footnote>
  <w:footnote w:id="5851">
    <w:p>
      <w:pPr>
        <w:pStyle w:val="Funote"/>
        <w:rPr/>
      </w:pPr>
      <w:r>
        <w:rPr/>
        <w:footnoteRef/>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5852">
    <w:p>
      <w:pPr>
        <w:pStyle w:val="Funote"/>
        <w:rPr/>
      </w:pPr>
      <w:r>
        <w:rPr/>
        <w:footnoteRef/>
        <w:tab/>
        <w:t>oder: außer es gibt irgendwelche</w:t>
      </w:r>
    </w:p>
  </w:footnote>
  <w:footnote w:id="5853">
    <w:p>
      <w:pPr>
        <w:pStyle w:val="Funote"/>
        <w:rPr/>
      </w:pPr>
      <w:r>
        <w:rPr/>
        <w:footnoteRef/>
        <w:tab/>
        <w:t>Umstrittene Lesart.</w:t>
      </w:r>
    </w:p>
  </w:footnote>
  <w:footnote w:id="5854">
    <w:p>
      <w:pPr>
        <w:pStyle w:val="Funote"/>
        <w:rPr/>
      </w:pPr>
      <w:r>
        <w:rPr/>
        <w:footnoteRef/>
        <w:tab/>
        <w:t>Eigtl. ein Sg.</w:t>
      </w:r>
    </w:p>
  </w:footnote>
  <w:footnote w:id="5855">
    <w:p>
      <w:pPr>
        <w:pStyle w:val="Funote"/>
        <w:rPr/>
      </w:pPr>
      <w:r>
        <w:rPr/>
        <w:footnoteRef/>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5856">
    <w:p>
      <w:pPr>
        <w:pStyle w:val="Funote"/>
        <w:rPr/>
      </w:pPr>
      <w:r>
        <w:rPr/>
        <w:footnoteRef/>
        <w:tab/>
        <w:t>Oder wörtlicher Satzbau: „…so wäre ich Christi Sklave nicht.“</w:t>
      </w:r>
    </w:p>
  </w:footnote>
  <w:footnote w:id="5857">
    <w:p>
      <w:pPr>
        <w:pStyle w:val="Funote"/>
        <w:rPr/>
      </w:pPr>
      <w:r>
        <w:rPr/>
        <w:footnoteRef/>
        <w:tab/>
        <w:t>Wörtlich: „dass“. „Nämlich“ ergänzend eingefügt, um die Funktion als Einleitewort eines erklärenden Satzes zu unterstreichen (s. Louw/Nida 91.15).</w:t>
      </w:r>
    </w:p>
  </w:footnote>
  <w:footnote w:id="5858">
    <w:p>
      <w:pPr>
        <w:pStyle w:val="Funote"/>
        <w:rPr/>
      </w:pPr>
      <w:r>
        <w:rPr/>
        <w:footnoteRef/>
        <w:tab/>
        <w:t>D.h. „vom Vater stammenden“.</w:t>
      </w:r>
    </w:p>
  </w:footnote>
  <w:footnote w:id="5859">
    <w:p>
      <w:pPr>
        <w:pStyle w:val="Funote"/>
        <w:rPr/>
      </w:pPr>
      <w:r>
        <w:rPr/>
        <w:footnoteRef/>
        <w:tab/>
        <w:t>Wörtlich: „zu den Aposteln vor mir“.</w:t>
      </w:r>
    </w:p>
  </w:footnote>
  <w:footnote w:id="5860">
    <w:p>
      <w:pPr>
        <w:pStyle w:val="Funote"/>
        <w:rPr/>
      </w:pPr>
      <w:r>
        <w:rPr/>
        <w:footnoteRef/>
        <w:tab/>
        <w:t>Aramäischer Beiname des Simon (griech. Petrus).</w:t>
      </w:r>
    </w:p>
  </w:footnote>
  <w:footnote w:id="5861">
    <w:p>
      <w:pPr>
        <w:pStyle w:val="Funote"/>
        <w:rPr/>
      </w:pPr>
      <w:r>
        <w:rPr/>
        <w:footnoteRef/>
        <w:tab/>
        <w:t>D.h. persönlich nicht bekannt.</w:t>
      </w:r>
    </w:p>
  </w:footnote>
  <w:footnote w:id="5862">
    <w:p>
      <w:pPr>
        <w:pStyle w:val="Funote"/>
        <w:rPr/>
      </w:pPr>
      <w:r>
        <w:rPr/>
        <w:footnoteRef/>
        <w:tab/>
        <w:t>Oder „die in Christus sind“.</w:t>
      </w:r>
    </w:p>
  </w:footnote>
  <w:footnote w:id="5863">
    <w:p>
      <w:pPr>
        <w:pStyle w:val="Funote"/>
        <w:rPr/>
      </w:pPr>
      <w:r>
        <w:rPr/>
        <w:footnoteRef/>
        <w:tab/>
        <w:t>Imperfekt (konativ).</w:t>
      </w:r>
    </w:p>
  </w:footnote>
  <w:footnote w:id="5864">
    <w:p>
      <w:pPr>
        <w:pStyle w:val="Funote"/>
        <w:rPr/>
      </w:pPr>
      <w:r>
        <w:rPr/>
        <w:footnoteRef/>
        <w:tab/>
        <w:t>Imperfekt.</w:t>
      </w:r>
    </w:p>
  </w:footnote>
  <w:footnote w:id="5865">
    <w:p>
      <w:pPr>
        <w:pStyle w:val="Funote"/>
        <w:rPr/>
      </w:pPr>
      <w:r>
        <w:rPr/>
        <w:footnoteRef/>
        <w:tab/>
        <w:t>Wörtlich: „in mir“ (kausal). So NSS nach BDR §219,2.</w:t>
      </w:r>
    </w:p>
  </w:footnote>
  <w:footnote w:id="5866">
    <w:p>
      <w:pPr>
        <w:pStyle w:val="Funote"/>
        <w:rPr/>
      </w:pPr>
      <w:r>
        <w:rPr/>
        <w:footnoteRef/>
        <w:tab/>
        <w:t>[Status: Ungeprüft]</w:t>
      </w:r>
    </w:p>
  </w:footnote>
  <w:footnote w:id="5867">
    <w:p>
      <w:pPr>
        <w:pStyle w:val="Funote"/>
        <w:rPr/>
      </w:pPr>
      <w:r>
        <w:rPr/>
        <w:footnoteRef/>
        <w:tab/>
        <w:t>So NSS. Wörtlich: „ins Leere“.</w:t>
      </w:r>
    </w:p>
  </w:footnote>
  <w:footnote w:id="5868">
    <w:p>
      <w:pPr>
        <w:pStyle w:val="Funote"/>
        <w:rPr/>
      </w:pPr>
      <w:r>
        <w:rPr/>
        <w:footnoteRef/>
        <w:tab/>
        <w:t>Auch: „ist mir aber gleichgültig“.</w:t>
      </w:r>
    </w:p>
  </w:footnote>
  <w:footnote w:id="5869">
    <w:p>
      <w:pPr>
        <w:pStyle w:val="Funote"/>
        <w:rPr/>
      </w:pPr>
      <w:r>
        <w:rPr/>
        <w:footnoteRef/>
        <w:tab/>
        <w:t>Im Sinne von unparteiisch sein.</w:t>
      </w:r>
    </w:p>
  </w:footnote>
  <w:footnote w:id="5870">
    <w:p>
      <w:pPr>
        <w:pStyle w:val="Funote"/>
        <w:rPr/>
      </w:pPr>
      <w:r>
        <w:rPr/>
        <w:footnoteRef/>
        <w:tab/>
        <w:t>D.h. das Evangelium der Unbeschnittenheit, also für die Heiden.</w:t>
      </w:r>
    </w:p>
  </w:footnote>
  <w:footnote w:id="5871">
    <w:p>
      <w:pPr>
        <w:pStyle w:val="Funote"/>
        <w:rPr/>
      </w:pPr>
      <w:r>
        <w:rPr/>
        <w:footnoteRef/>
        <w:tab/>
        <w:t>Im Sinne von: „von Angesicht zu Angesicht“.</w:t>
      </w:r>
    </w:p>
  </w:footnote>
  <w:footnote w:id="5872">
    <w:p>
      <w:pPr>
        <w:pStyle w:val="Funote"/>
        <w:rPr/>
      </w:pPr>
      <w:r>
        <w:rPr/>
        <w:footnoteRef/>
        <w:tab/>
        <w:t xml:space="preserve">P 46 u.a. lassen gegenüber der Mehrheitslesart das </w:t>
      </w:r>
      <w:r>
        <w:rPr>
          <w:lang w:val="el-GR"/>
        </w:rPr>
        <w:t>δὲ</w:t>
      </w:r>
      <w:r>
        <w:rPr/>
        <w:t xml:space="preserve"> weg.</w:t>
      </w:r>
    </w:p>
  </w:footnote>
  <w:footnote w:id="5873">
    <w:p>
      <w:pPr>
        <w:pStyle w:val="Funote"/>
        <w:rPr/>
      </w:pPr>
      <w:r>
        <w:rPr/>
        <w:footnoteRef/>
        <w:tab/>
        <w:t>Gemeint sind hier die Judenchristen.</w:t>
      </w:r>
    </w:p>
  </w:footnote>
  <w:footnote w:id="5874">
    <w:p>
      <w:pPr>
        <w:pStyle w:val="Funote"/>
        <w:rPr/>
      </w:pPr>
      <w:r>
        <w:rPr/>
        <w:footnoteRef/>
        <w:tab/>
        <w:t xml:space="preserve">Wörtlicher Sinn von </w:t>
      </w:r>
      <w:r>
        <w:rPr>
          <w:lang w:val="el-GR"/>
        </w:rPr>
        <w:t>ὀρθοποδοῦσιν</w:t>
      </w:r>
      <w:r>
        <w:rPr/>
        <w:t>: „mit geraden Füßen laufen“.</w:t>
      </w:r>
    </w:p>
  </w:footnote>
  <w:footnote w:id="5875">
    <w:p>
      <w:pPr>
        <w:pStyle w:val="Funote"/>
        <w:rPr/>
      </w:pPr>
      <w:r>
        <w:rPr/>
        <w:footnoteRef/>
        <w:tab/>
        <w:t xml:space="preserve">P 46 u.a. lassen gegenüber der Mehrheitslesart das </w:t>
      </w:r>
      <w:r>
        <w:rPr>
          <w:lang w:val="el-GR"/>
        </w:rPr>
        <w:t>δὲ</w:t>
      </w:r>
      <w:r>
        <w:rPr/>
        <w:t xml:space="preserve"> weg.</w:t>
      </w:r>
    </w:p>
  </w:footnote>
  <w:footnote w:id="5876">
    <w:p>
      <w:pPr>
        <w:pStyle w:val="Funote"/>
        <w:rPr/>
      </w:pPr>
      <w:r>
        <w:rPr/>
        <w:footnoteRef/>
        <w:tab/>
        <w:t>Adv. Ptz., hier kausal (NSS)</w:t>
      </w:r>
    </w:p>
  </w:footnote>
  <w:footnote w:id="5877">
    <w:p>
      <w:pPr>
        <w:pStyle w:val="Funote"/>
        <w:rPr/>
      </w:pPr>
      <w:r>
        <w:rPr/>
        <w:footnoteRef/>
        <w:tab/>
        <w:t>Der hier verwendete Genitiv ist wahrscheinlich ein Genitivus obiectivus, obwohl er auch als subiectivus gedeutet werden kann. Sinn dann: „Glaube, den Jesus Christus zeigte“.</w:t>
      </w:r>
    </w:p>
  </w:footnote>
  <w:footnote w:id="5878">
    <w:p>
      <w:pPr>
        <w:pStyle w:val="Funote"/>
        <w:rPr/>
      </w:pPr>
      <w:r>
        <w:rPr/>
        <w:footnoteRef/>
        <w:tab/>
        <w:t>Siehe weiter oben im Vers.</w:t>
      </w:r>
    </w:p>
  </w:footnote>
  <w:footnote w:id="5879">
    <w:p>
      <w:pPr>
        <w:pStyle w:val="Funote"/>
        <w:rPr/>
      </w:pPr>
      <w:r>
        <w:rPr/>
        <w:footnoteRef/>
        <w:tab/>
        <w:t>Wörtlich: „wird alles Fleisch nicht gerechtfertigt werden“.</w:t>
      </w:r>
    </w:p>
  </w:footnote>
  <w:footnote w:id="5880">
    <w:p>
      <w:pPr>
        <w:pStyle w:val="Funote"/>
        <w:rPr/>
      </w:pPr>
      <w:r>
        <w:rPr/>
        <w:footnoteRef/>
        <w:tab/>
        <w:t>Starke Verneinung nach rhetorischen Fragen. Martin Luther übersetzte hier „Das sei ferne!“.</w:t>
      </w:r>
    </w:p>
  </w:footnote>
  <w:footnote w:id="5881">
    <w:p>
      <w:pPr>
        <w:pStyle w:val="Funote"/>
        <w:rPr/>
      </w:pPr>
      <w:r>
        <w:rPr/>
        <w:footnoteRef/>
        <w:tab/>
        <w:t>[Status: Ungeprüft]</w:t>
      </w:r>
    </w:p>
  </w:footnote>
  <w:footnote w:id="5882">
    <w:p>
      <w:pPr>
        <w:pStyle w:val="Funote"/>
        <w:rPr/>
      </w:pPr>
      <w:r>
        <w:rPr>
          <w:lang w:val="el-GR"/>
        </w:rPr>
        <w:footnoteRef/>
        <w:tab/>
        <w:t>ἐσταυρωμένος</w:t>
      </w:r>
      <w:r>
        <w:rPr/>
        <w:t xml:space="preserve"> (Part. perf. pass.) steht im Griechischen in hervorgehobener Satzendstellung. Das Geschehen der Kreuzigung in der Vergangenheit wirkt bis ins heute hinein.</w:t>
      </w:r>
    </w:p>
  </w:footnote>
  <w:footnote w:id="5883">
    <w:p>
      <w:pPr>
        <w:pStyle w:val="Funote"/>
        <w:rPr/>
      </w:pPr>
      <w:r>
        <w:rPr/>
        <w:footnoteRef/>
        <w:tab/>
        <w:t>oder: Begonnen [habt ihr] im Geist und im Fleisch wollt ihr enden?</w:t>
      </w:r>
    </w:p>
  </w:footnote>
  <w:footnote w:id="5884">
    <w:p>
      <w:pPr>
        <w:pStyle w:val="Funote"/>
        <w:rPr/>
      </w:pPr>
      <w:r>
        <w:rPr/>
        <w:footnoteRef/>
        <w:tab/>
        <w:t>Gemeint sind Männer und Frauen (</w:t>
      </w:r>
      <w:hyperlink r:id="rId609">
        <w:r>
          <w:rPr>
            <w:rStyle w:val="Internetverknpfung"/>
          </w:rPr>
          <w:t>generisches Maskulinum</w:t>
        </w:r>
      </w:hyperlink>
      <w:r>
        <w:rPr/>
        <w:t>)</w:t>
      </w:r>
    </w:p>
  </w:footnote>
  <w:footnote w:id="5885">
    <w:p>
      <w:pPr>
        <w:pStyle w:val="Funote"/>
        <w:rPr/>
      </w:pPr>
      <w:r>
        <w:rPr/>
        <w:footnoteRef/>
        <w:tab/>
        <w:t>NGÜ, NIW und andere gehen einen Schritt weiter und übersetzen in etwa: „Abraham, dem Mann des Glaubens“</w:t>
      </w:r>
    </w:p>
  </w:footnote>
  <w:footnote w:id="5886">
    <w:p>
      <w:pPr>
        <w:pStyle w:val="Funote"/>
        <w:rPr/>
      </w:pPr>
      <w:r>
        <w:rPr/>
        <w:footnoteRef/>
        <w:tab/>
        <w:t>oder: der nicht verharrt in allen Dingen, was geschrieben …, um sie (d.h. alle Dinge) zu tun.</w:t>
      </w:r>
    </w:p>
  </w:footnote>
  <w:footnote w:id="5887">
    <w:p>
      <w:pPr>
        <w:pStyle w:val="Funote"/>
        <w:rPr/>
      </w:pPr>
      <w:r>
        <w:rPr/>
        <w:footnoteRef/>
        <w:tab/>
        <w:t>Grammatisch ist ebenfalls denkbar: Aber da sich im (durch das) Gesetz niemand rechtfertigen kann, ist vor Gott offenkundig, dass der Gerechte aus Glauben leben wird.</w:t>
      </w:r>
    </w:p>
  </w:footnote>
  <w:footnote w:id="5888">
    <w:p>
      <w:pPr>
        <w:pStyle w:val="Funote"/>
        <w:rPr/>
      </w:pPr>
      <w:r>
        <w:rPr/>
        <w:footnoteRef/>
        <w:tab/>
        <w:t>Eigentlich steht hier der Plural, da der Bezug zu „den Werken des Gesetzes“ aber im Deutschen nicht deutlich wird, wurde hier der Singular bewählt. Dasselbe gilt für das nachfolgende „aus ihm“, was eigentlich „aus ihnen“ heißen müsste.</w:t>
      </w:r>
    </w:p>
  </w:footnote>
  <w:footnote w:id="5889">
    <w:p>
      <w:pPr>
        <w:pStyle w:val="Funote"/>
        <w:rPr/>
      </w:pPr>
      <w:r>
        <w:rPr/>
        <w:footnoteRef/>
        <w:tab/>
        <w:t>Modal aufgelöstes Ptz.</w:t>
      </w:r>
    </w:p>
  </w:footnote>
  <w:footnote w:id="5890">
    <w:p>
      <w:pPr>
        <w:pStyle w:val="Funote"/>
        <w:rPr/>
      </w:pPr>
      <w:r>
        <w:rPr/>
        <w:footnoteRef/>
        <w:tab/>
        <w:t>Substantiviertes Ptz.</w:t>
      </w:r>
    </w:p>
  </w:footnote>
  <w:footnote w:id="5891">
    <w:p>
      <w:pPr>
        <w:pStyle w:val="Funote"/>
        <w:rPr/>
      </w:pPr>
      <w:r>
        <w:rPr/>
        <w:footnoteRef/>
        <w:tab/>
        <w:t>vorzeitig und punktuelle Übersetzung möglich</w:t>
      </w:r>
    </w:p>
  </w:footnote>
  <w:footnote w:id="5892">
    <w:p>
      <w:pPr>
        <w:pStyle w:val="Funote"/>
        <w:rPr/>
      </w:pPr>
      <w:r>
        <w:rPr/>
        <w:footnoteRef/>
        <w:tab/>
        <w:t>Im Sinne von „nach Menschenart“.</w:t>
      </w:r>
    </w:p>
  </w:footnote>
  <w:footnote w:id="5893">
    <w:p>
      <w:pPr>
        <w:pStyle w:val="Funote"/>
        <w:rPr/>
      </w:pPr>
      <w:r>
        <w:rPr/>
        <w:footnoteRef/>
        <w:tab/>
        <w:t>Im Akkusativ, meint: „In Bezug auf ein Testament“.</w:t>
      </w:r>
    </w:p>
  </w:footnote>
  <w:footnote w:id="5894">
    <w:p>
      <w:pPr>
        <w:pStyle w:val="Funote"/>
        <w:rPr/>
      </w:pPr>
      <w:r>
        <w:rPr/>
        <w:footnoteRef/>
        <w:tab/>
        <w:t>Oder: „…durch Engel angeordnet in der Hand eines Mittlers.“</w:t>
      </w:r>
    </w:p>
  </w:footnote>
  <w:footnote w:id="5895">
    <w:p>
      <w:pPr>
        <w:pStyle w:val="Funote"/>
        <w:rPr/>
      </w:pPr>
      <w:r>
        <w:rPr/>
        <w:footnoteRef/>
        <w:tab/>
        <w:t xml:space="preserve">P 46 u.a. lassen gegenüber der Mehrheitslesart das </w:t>
      </w:r>
      <w:r>
        <w:rPr>
          <w:lang w:val="el-GR"/>
        </w:rPr>
        <w:t>τοῦ θεοῦ</w:t>
      </w:r>
      <w:r>
        <w:rPr/>
        <w:t xml:space="preserve"> weg.</w:t>
      </w:r>
    </w:p>
  </w:footnote>
  <w:footnote w:id="5896">
    <w:p>
      <w:pPr>
        <w:pStyle w:val="Funote"/>
        <w:rPr/>
      </w:pPr>
      <w:r>
        <w:rPr/>
        <w:footnoteRef/>
        <w:tab/>
        <w:t>Siehe: Gal 2,17.</w:t>
      </w:r>
    </w:p>
  </w:footnote>
  <w:footnote w:id="5897">
    <w:p>
      <w:pPr>
        <w:pStyle w:val="Funote"/>
        <w:rPr/>
      </w:pPr>
      <w:r>
        <w:rPr/>
        <w:footnoteRef/>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5898">
    <w:p>
      <w:pPr>
        <w:pStyle w:val="Funote"/>
        <w:rPr/>
      </w:pPr>
      <w:r>
        <w:rPr/>
        <w:footnoteRef/>
        <w:tab/>
        <w:t>Gemeint sind Männer und Frauen (</w:t>
      </w:r>
      <w:hyperlink r:id="rId610">
        <w:r>
          <w:rPr>
            <w:rStyle w:val="Internetverknpfung"/>
          </w:rPr>
          <w:t>generisches Maskulinum</w:t>
        </w:r>
      </w:hyperlink>
      <w:r>
        <w:rPr/>
        <w:t>)</w:t>
      </w:r>
    </w:p>
  </w:footnote>
  <w:footnote w:id="5899">
    <w:p>
      <w:pPr>
        <w:pStyle w:val="Funote"/>
        <w:rPr/>
      </w:pPr>
      <w:r>
        <w:rPr/>
        <w:footnoteRef/>
        <w:tab/>
        <w:t>[Status: Ungeprüft]</w:t>
      </w:r>
    </w:p>
  </w:footnote>
  <w:footnote w:id="5900">
    <w:p>
      <w:pPr>
        <w:pStyle w:val="Funote"/>
        <w:rPr/>
      </w:pPr>
      <w:r>
        <w:rPr>
          <w:lang w:val="el-GR"/>
        </w:rPr>
        <w:footnoteRef/>
        <w:tab/>
        <w:t>τὸ πλήρωμα τοῦ χρόνου</w:t>
      </w:r>
      <w:r>
        <w:rPr/>
        <w:t>, d.h. „Zeit der Erfüllung“.</w:t>
      </w:r>
    </w:p>
  </w:footnote>
  <w:footnote w:id="5901">
    <w:p>
      <w:pPr>
        <w:pStyle w:val="Funote"/>
        <w:rPr/>
      </w:pPr>
      <w:r>
        <w:rPr/>
        <w:footnoteRef/>
        <w:tab/>
        <w:t>Die Annahme der Menschen durch Gott als seine Kinder.</w:t>
      </w:r>
    </w:p>
  </w:footnote>
  <w:footnote w:id="5902">
    <w:p>
      <w:pPr>
        <w:pStyle w:val="Funote"/>
        <w:rPr/>
      </w:pPr>
      <w:r>
        <w:rPr/>
        <w:footnoteRef/>
        <w:tab/>
        <w:t>Es könnten hier bestimmte festliche Jahrestage (z.B. Neujahrsfest) oder eine Anspielung auf das Sabbatjahr gemeint sein.</w:t>
      </w:r>
    </w:p>
  </w:footnote>
  <w:footnote w:id="5903">
    <w:p>
      <w:pPr>
        <w:pStyle w:val="Funote"/>
        <w:rPr/>
      </w:pPr>
      <w:r>
        <w:rPr/>
        <w:footnoteRef/>
        <w:tab/>
        <w:t>Im Sinne einer apotropäischen Geste: Ausspucken zur Abwehr von Bösem oder Krankheit.</w:t>
      </w:r>
    </w:p>
  </w:footnote>
  <w:footnote w:id="5904">
    <w:p>
      <w:pPr>
        <w:pStyle w:val="Funote"/>
        <w:rPr/>
      </w:pPr>
      <w:r>
        <w:rPr/>
        <w:footnoteRef/>
        <w:tab/>
        <w:t>Mit der dt. Bedeutung von: „einen anderen Ton anschlagen“.</w:t>
      </w:r>
    </w:p>
  </w:footnote>
  <w:footnote w:id="5905">
    <w:p>
      <w:pPr>
        <w:pStyle w:val="Funote"/>
        <w:rPr/>
      </w:pPr>
      <w:r>
        <w:rPr/>
        <w:footnoteRef/>
        <w:tab/>
        <w:t>Im Sinne von „himmlisch“, „künftig“.</w:t>
      </w:r>
    </w:p>
  </w:footnote>
  <w:footnote w:id="5906">
    <w:p>
      <w:pPr>
        <w:pStyle w:val="Funote"/>
        <w:rPr/>
      </w:pPr>
      <w:r>
        <w:rPr/>
        <w:footnoteRef/>
        <w:tab/>
        <w:t>[Status: Ungeprüft]</w:t>
      </w:r>
    </w:p>
  </w:footnote>
  <w:footnote w:id="5907">
    <w:p>
      <w:pPr>
        <w:pStyle w:val="Funote"/>
        <w:rPr/>
      </w:pPr>
      <w:r>
        <w:rPr/>
        <w:footnoteRef/>
        <w:tab/>
        <w:t>Oder: „… lasst euch nicht mit dem Joch der Sklaverei belasten.“</w:t>
      </w:r>
    </w:p>
  </w:footnote>
  <w:footnote w:id="5908">
    <w:p>
      <w:pPr>
        <w:pStyle w:val="Funote"/>
        <w:rPr/>
      </w:pPr>
      <w:r>
        <w:rPr/>
        <w:footnoteRef/>
        <w:tab/>
        <w:t>Wörtlich: „dass [er] ein Verpflichteter (Schuldner) ist, das …“.</w:t>
      </w:r>
    </w:p>
  </w:footnote>
  <w:footnote w:id="5909">
    <w:p>
      <w:pPr>
        <w:pStyle w:val="Funote"/>
        <w:rPr/>
      </w:pPr>
      <w:r>
        <w:rPr/>
        <w:footnoteRef/>
        <w:tab/>
        <w:t>Vgl. Gal 2,7.</w:t>
      </w:r>
    </w:p>
  </w:footnote>
  <w:footnote w:id="5910">
    <w:p>
      <w:pPr>
        <w:pStyle w:val="Funote"/>
        <w:rPr/>
      </w:pPr>
      <w:r>
        <w:rPr/>
        <w:footnoteRef/>
        <w:tab/>
        <w:t>Das meint „Vorhaut abtrennen“ oder auch im Sinne von „kastrieren“, „verschneiden“.</w:t>
      </w:r>
    </w:p>
  </w:footnote>
  <w:footnote w:id="5911">
    <w:p>
      <w:pPr>
        <w:pStyle w:val="Funote"/>
        <w:rPr/>
      </w:pPr>
      <w:r>
        <w:rPr/>
        <w:footnoteRef/>
        <w:tab/>
        <w:t>[Status: Ungeprüft]</w:t>
      </w:r>
    </w:p>
  </w:footnote>
  <w:footnote w:id="5912">
    <w:p>
      <w:pPr>
        <w:pStyle w:val="Funote"/>
        <w:rPr/>
      </w:pPr>
      <w:r>
        <w:rPr/>
        <w:footnoteRef/>
        <w:tab/>
        <w:t>„</w:t>
      </w:r>
      <w:r>
        <w:rPr/>
        <w:t>tun“ ist hier ein Partizip Pl. und kann auch para- bzw. hypotaktisch übersetzt werden.</w:t>
      </w:r>
    </w:p>
  </w:footnote>
  <w:footnote w:id="5913">
    <w:p>
      <w:pPr>
        <w:pStyle w:val="Funote"/>
        <w:rPr/>
      </w:pPr>
      <w:r>
        <w:rPr>
          <w:lang w:val="el-GR"/>
        </w:rPr>
        <w:footnoteRef/>
        <w:tab/>
        <w:t>καιρῷ γὰρ ἰδίῳ</w:t>
      </w:r>
      <w:r>
        <w:rPr/>
        <w:t>.</w:t>
      </w:r>
    </w:p>
  </w:footnote>
  <w:footnote w:id="5914">
    <w:p>
      <w:pPr>
        <w:pStyle w:val="Funote"/>
        <w:rPr/>
      </w:pPr>
      <w:r>
        <w:rPr/>
        <w:footnoteRef/>
        <w:tab/>
        <w:t>[Status: Ungeprüft]</w:t>
      </w:r>
    </w:p>
  </w:footnote>
  <w:footnote w:id="5915">
    <w:p>
      <w:pPr>
        <w:pStyle w:val="Funote"/>
        <w:rPr/>
      </w:pPr>
      <w:r>
        <w:rPr/>
        <w:footnoteRef/>
        <w:tab/>
        <w:t xml:space="preserve">Die Ortsangabe„in Ephesus“ ist in einigen wenigen wichtigen Manuskripten des NT nicht enthalten (𝔓46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5916">
    <w:p>
      <w:pPr>
        <w:pStyle w:val="Funote"/>
        <w:rPr/>
      </w:pPr>
      <w:r>
        <w:rPr/>
        <w:footnoteRef/>
        <w:tab/>
        <w:t xml:space="preserve">Auflösung eines attr. Ptz. präs. als Relativsatz. </w:t>
      </w:r>
    </w:p>
  </w:footnote>
  <w:footnote w:id="5917">
    <w:p>
      <w:pPr>
        <w:pStyle w:val="Funote"/>
        <w:rPr/>
      </w:pPr>
      <w:r>
        <w:rPr>
          <w:i/>
        </w:rPr>
        <w:footnoteRef/>
        <w:tab/>
        <w:t>die Gläubigen (Treuen) in (durch, an) Christus Jesus</w:t>
      </w:r>
      <w:r>
        <w:rPr/>
        <w:t xml:space="preserve">, d.h. „in der Gemeinschaft mit Christus Jesus Stehenden“ (TWNT, </w:t>
      </w:r>
      <w:r>
        <w:rPr>
          <w:lang w:val="el-GR"/>
        </w:rPr>
        <w:t>ἒν</w:t>
      </w:r>
      <w:r>
        <w:rPr/>
        <w:t>, B.3.); oder: „die an Christus Jesus Glaubenden“ (</w:t>
      </w:r>
      <w:r>
        <w:fldChar w:fldCharType="begin"/>
      </w:r>
      <w:r>
        <w:instrText> HYPERLINK "http://books.google.com/books?id=uu4IJ8cccqAC&amp;lpg=PP1&amp;hl=de&amp;pg=PA177" \l "v=onepage&amp;q&amp;f=false"</w:instrText>
      </w:r>
      <w:r>
        <w:fldChar w:fldCharType="separate"/>
      </w:r>
      <w:r>
        <w:rPr>
          <w:rStyle w:val="Internetverknpfung"/>
        </w:rPr>
        <w:t>Sellin, Adresse und Intention des Eph, in: Trowitzsch (Hg.), Paulus, Apostel Jesu Christi. FS Günter Klein, 177</w:t>
      </w:r>
      <w:r>
        <w:fldChar w:fldCharType="end"/>
      </w:r>
      <w:r>
        <w:rPr/>
        <w:t xml:space="preserve">) doch dann würde man eher </w:t>
      </w:r>
      <w:r>
        <w:rPr>
          <w:lang w:val="el-GR"/>
        </w:rPr>
        <w:t>ἒις</w:t>
      </w:r>
      <w:r>
        <w:rPr/>
        <w:t xml:space="preserve"> erwarten. „in Christus Jesus“ deutet hier auf Gemeinschaft und Zugehörigkeit (</w:t>
      </w:r>
      <w:r>
        <w:fldChar w:fldCharType="begin"/>
      </w:r>
      <w:r>
        <w:instrText> HYPERLINK "http://books.google.de/books?id=cz-3LzhHIrIC&amp;lpg=PP1&amp;pg=PA103" \l "v=onepage&amp;q&amp;f=false"</w:instrText>
      </w:r>
      <w:r>
        <w:fldChar w:fldCharType="separate"/>
      </w:r>
      <w:r>
        <w:rPr>
          <w:rStyle w:val="Internetverknpfung"/>
        </w:rPr>
        <w:t>Simojoki, In Christus. Epheser 1,1-14, in Dahl (Hg.), Kurze Auslegung des Epheserbriefs, 103</w:t>
      </w:r>
      <w:r>
        <w:fldChar w:fldCharType="end"/>
      </w:r>
      <w:r>
        <w:rPr/>
        <w:t xml:space="preserve">). Alternativ könnte sich „in Christus Jesus“ auch auf Paulus' Gruß selbst beziehen. </w:t>
      </w:r>
    </w:p>
  </w:footnote>
  <w:footnote w:id="5918">
    <w:p>
      <w:pPr>
        <w:pStyle w:val="Funote"/>
        <w:rPr/>
      </w:pPr>
      <w:r>
        <w:rPr/>
        <w:footnoteRef/>
        <w:tab/>
        <w:t xml:space="preserve">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w:t>
      </w:r>
      <w:r>
        <w:fldChar w:fldCharType="begin"/>
      </w:r>
      <w:r>
        <w:instrText> HYPERLINK "http://books.google.com/books?id=WfQKPH3-dysC&amp;lpg=PP1&amp;hl=de&amp;pg=PA98" \l "v=onepage&amp;q&amp;f=true"</w:instrText>
      </w:r>
      <w:r>
        <w:fldChar w:fldCharType="separate"/>
      </w:r>
      <w:r>
        <w:rPr>
          <w:rStyle w:val="Internetverknpfung"/>
        </w:rPr>
        <w:t>Best 1998, 98</w:t>
      </w:r>
      <w:r>
        <w:fldChar w:fldCharType="end"/>
      </w:r>
      <w:r>
        <w:rPr/>
        <w:t>).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5919">
    <w:p>
      <w:pPr>
        <w:pStyle w:val="Funote"/>
        <w:rPr/>
      </w:pPr>
      <w:r>
        <w:rPr/>
        <w:footnoteRef/>
        <w:tab/>
        <w:t xml:space="preserve">Theoretisch auch möglich: „...Gott, dem Vater von euch und von Jesus Christus“. </w:t>
      </w:r>
    </w:p>
  </w:footnote>
  <w:footnote w:id="5920">
    <w:p>
      <w:pPr>
        <w:pStyle w:val="Funote"/>
        <w:rPr/>
      </w:pPr>
      <w:r>
        <w:rPr/>
        <w:footnoteRef/>
        <w:tab/>
        <w:t>Subst. Ptz. als Relativsatz aufgelöst.</w:t>
      </w:r>
    </w:p>
  </w:footnote>
  <w:footnote w:id="5921">
    <w:p>
      <w:pPr>
        <w:pStyle w:val="Funote"/>
        <w:rPr/>
      </w:pPr>
      <w:r>
        <w:rPr/>
        <w:footnoteRef/>
        <w:tab/>
        <w:t xml:space="preserve">Das Wort kann hier neben „wie“ auch „weil“ (so Hoehner </w:t>
      </w:r>
      <w:r>
        <w:rPr>
          <w:position w:val="7"/>
          <w:sz w:val="16"/>
        </w:rPr>
        <w:t>4</w:t>
      </w:r>
      <w:r>
        <w:rPr/>
        <w:t xml:space="preserve">2006, 175) bedeuten oder leitet hier vielleicht ein Zitat unbekannten Ursprungs ein (Barth, </w:t>
      </w:r>
      <w:r>
        <w:rPr>
          <w:position w:val="7"/>
          <w:sz w:val="16"/>
        </w:rPr>
        <w:t>6</w:t>
      </w:r>
      <w:r>
        <w:rPr/>
        <w:t xml:space="preserve">1981, 79). </w:t>
      </w:r>
    </w:p>
  </w:footnote>
  <w:footnote w:id="5922">
    <w:p>
      <w:pPr>
        <w:pStyle w:val="Funote"/>
        <w:rPr/>
      </w:pPr>
      <w:r>
        <w:rPr/>
        <w:footnoteRef/>
        <w:tab/>
        <w:t xml:space="preserve">Das Wort, das strikt als so etwas wie „Hinwerfung“ übersetzt werden kann, bedeutet im klassischen Griechisch je nach Kontext u.a. Aussaat oder Grundsteinlegung. Im NT bezeichnet es mit Ausnahme von </w:t>
      </w:r>
      <w:r>
        <w:fldChar w:fldCharType="begin"/>
      </w:r>
      <w:r>
        <w:instrText> HYPERLINK "file:///wiki/Hebräer_11" \l "s11"</w:instrText>
      </w:r>
      <w:r>
        <w:fldChar w:fldCharType="separate"/>
      </w:r>
      <w:r>
        <w:rPr>
          <w:rStyle w:val="Internetverknpfung"/>
        </w:rPr>
        <w:t>Hebr 11,11</w:t>
      </w:r>
      <w:r>
        <w:fldChar w:fldCharType="end"/>
      </w:r>
      <w:r>
        <w:rPr/>
        <w:t xml:space="preserve"> die Erschaffung der Welt und steht in einem heilsgeschichtlichen Zusammenhang (</w:t>
      </w:r>
      <w:r>
        <w:fldChar w:fldCharType="begin"/>
      </w:r>
      <w:r>
        <w:instrText> HYPERLINK "file:///wiki/Matthäus_13" \l "s35"</w:instrText>
      </w:r>
      <w:r>
        <w:fldChar w:fldCharType="separate"/>
      </w:r>
      <w:r>
        <w:rPr>
          <w:rStyle w:val="Internetverknpfung"/>
        </w:rPr>
        <w:t>Mt 13,35</w:t>
      </w:r>
      <w:r>
        <w:fldChar w:fldCharType="end"/>
      </w:r>
      <w:r>
        <w:rPr/>
        <w:t xml:space="preserve">; </w:t>
      </w:r>
      <w:r>
        <w:fldChar w:fldCharType="begin"/>
      </w:r>
      <w:r>
        <w:instrText> HYPERLINK "file:///wiki/Matthäus_25" \l "s34"</w:instrText>
      </w:r>
      <w:r>
        <w:fldChar w:fldCharType="separate"/>
      </w:r>
      <w:r>
        <w:rPr>
          <w:rStyle w:val="Internetverknpfung"/>
        </w:rPr>
        <w:t>25,34</w:t>
      </w:r>
      <w:r>
        <w:fldChar w:fldCharType="end"/>
      </w:r>
      <w:r>
        <w:rPr/>
        <w:t xml:space="preserve">; </w:t>
      </w:r>
      <w:r>
        <w:fldChar w:fldCharType="begin"/>
      </w:r>
      <w:r>
        <w:instrText> HYPERLINK "file:///wiki/Lukas_11" \l "s50"</w:instrText>
      </w:r>
      <w:r>
        <w:fldChar w:fldCharType="separate"/>
      </w:r>
      <w:r>
        <w:rPr>
          <w:rStyle w:val="Internetverknpfung"/>
        </w:rPr>
        <w:t>Lk 11,50</w:t>
      </w:r>
      <w:r>
        <w:fldChar w:fldCharType="end"/>
      </w:r>
      <w:r>
        <w:rPr/>
        <w:t xml:space="preserve">; </w:t>
      </w:r>
      <w:r>
        <w:fldChar w:fldCharType="begin"/>
      </w:r>
      <w:r>
        <w:instrText> HYPERLINK "file:///wiki/Johannes_17" \l "s24"</w:instrText>
      </w:r>
      <w:r>
        <w:fldChar w:fldCharType="separate"/>
      </w:r>
      <w:r>
        <w:rPr>
          <w:rStyle w:val="Internetverknpfung"/>
        </w:rPr>
        <w:t>Jh 17,24</w:t>
      </w:r>
      <w:r>
        <w:fldChar w:fldCharType="end"/>
      </w:r>
      <w:r>
        <w:rPr/>
        <w:t xml:space="preserve">; </w:t>
      </w:r>
      <w:r>
        <w:fldChar w:fldCharType="begin"/>
      </w:r>
      <w:r>
        <w:instrText> HYPERLINK "file:///wiki/Hebräer_4" \l "s3"</w:instrText>
      </w:r>
      <w:r>
        <w:fldChar w:fldCharType="separate"/>
      </w:r>
      <w:r>
        <w:rPr>
          <w:rStyle w:val="Internetverknpfung"/>
        </w:rPr>
        <w:t>Hebr 4,3</w:t>
      </w:r>
      <w:r>
        <w:fldChar w:fldCharType="end"/>
      </w:r>
      <w:r>
        <w:rPr/>
        <w:t xml:space="preserve">; </w:t>
      </w:r>
      <w:hyperlink r:id="rId611">
        <w:r>
          <w:rPr>
            <w:rStyle w:val="Internetverknpfung"/>
          </w:rPr>
          <w:t>9,26</w:t>
        </w:r>
      </w:hyperlink>
      <w:r>
        <w:rPr/>
        <w:t xml:space="preserve">; </w:t>
      </w:r>
      <w:r>
        <w:fldChar w:fldCharType="begin"/>
      </w:r>
      <w:r>
        <w:instrText> HYPERLINK "file:///wiki/1_Petrus_1" \l "s20"</w:instrText>
      </w:r>
      <w:r>
        <w:fldChar w:fldCharType="separate"/>
      </w:r>
      <w:r>
        <w:rPr>
          <w:rStyle w:val="Internetverknpfung"/>
        </w:rPr>
        <w:t>1Petr 1,20</w:t>
      </w:r>
      <w:r>
        <w:fldChar w:fldCharType="end"/>
      </w:r>
      <w:r>
        <w:rPr/>
        <w:t xml:space="preserve">; </w:t>
      </w:r>
      <w:r>
        <w:fldChar w:fldCharType="begin"/>
      </w:r>
      <w:r>
        <w:instrText> HYPERLINK "file:///wiki/Offenbarung_13" \l "s8"</w:instrText>
      </w:r>
      <w:r>
        <w:fldChar w:fldCharType="separate"/>
      </w:r>
      <w:r>
        <w:rPr>
          <w:rStyle w:val="Internetverknpfung"/>
        </w:rPr>
        <w:t>Offb 13,8</w:t>
      </w:r>
      <w:r>
        <w:fldChar w:fldCharType="end"/>
      </w:r>
      <w:r>
        <w:rPr/>
        <w:t xml:space="preserve">; </w:t>
      </w:r>
      <w:hyperlink r:id="rId612">
        <w:r>
          <w:rPr>
            <w:rStyle w:val="Internetverknpfung"/>
          </w:rPr>
          <w:t>17,8</w:t>
        </w:r>
      </w:hyperlink>
      <w:r>
        <w:rPr/>
        <w:t xml:space="preserve">; vgl. TWNT, </w:t>
      </w:r>
      <w:r>
        <w:rPr>
          <w:lang w:val="el-GR"/>
        </w:rPr>
        <w:t>καταβολή</w:t>
      </w:r>
      <w:r>
        <w:rPr/>
        <w:t xml:space="preserve">). </w:t>
      </w:r>
    </w:p>
  </w:footnote>
  <w:footnote w:id="5923">
    <w:p>
      <w:pPr>
        <w:pStyle w:val="Funote"/>
        <w:rPr/>
      </w:pPr>
      <w:r>
        <w:rPr/>
        <w:footnoteRef/>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w:t>
      </w:r>
      <w:r>
        <w:fldChar w:fldCharType="begin"/>
      </w:r>
      <w:r>
        <w:instrText> HYPERLINK "file:///wiki/Genesis_13" \l "s11"</w:instrText>
      </w:r>
      <w:r>
        <w:fldChar w:fldCharType="separate"/>
      </w:r>
      <w:r>
        <w:rPr>
          <w:rStyle w:val="Internetverknpfung"/>
        </w:rPr>
        <w:t>13,11</w:t>
      </w:r>
      <w:r>
        <w:fldChar w:fldCharType="end"/>
      </w:r>
      <w:r>
        <w:rPr/>
        <w:t xml:space="preserve">; </w:t>
      </w:r>
      <w:r>
        <w:fldChar w:fldCharType="begin"/>
      </w:r>
      <w:r>
        <w:instrText> HYPERLINK "file:///wiki/Deuteronomium_14" \l "s2"</w:instrText>
      </w:r>
      <w:r>
        <w:fldChar w:fldCharType="separate"/>
      </w:r>
      <w:r>
        <w:rPr>
          <w:rStyle w:val="Internetverknpfung"/>
        </w:rPr>
        <w:t>Dtn 14,2</w:t>
      </w:r>
      <w:r>
        <w:fldChar w:fldCharType="end"/>
      </w:r>
      <w:r>
        <w:rPr/>
        <w:t xml:space="preserve">; </w:t>
      </w:r>
      <w:hyperlink r:id="rId613">
        <w:r>
          <w:rPr>
            <w:rStyle w:val="Internetverknpfung"/>
          </w:rPr>
          <w:t>30,19</w:t>
        </w:r>
      </w:hyperlink>
      <w:hyperlink r:id="rId614">
        <w:r>
          <w:rPr>
            <w:rStyle w:val="Internetverknpfung"/>
          </w:rPr>
          <w:t>1Sam 16,1-13</w:t>
        </w:r>
      </w:hyperlink>
      <w:r>
        <w:rPr/>
        <w:t xml:space="preserve">; </w:t>
      </w:r>
      <w:r>
        <w:fldChar w:fldCharType="begin"/>
      </w:r>
      <w:r>
        <w:instrText> HYPERLINK "file:///wiki/Lukas_6" \l "s13"</w:instrText>
      </w:r>
      <w:r>
        <w:fldChar w:fldCharType="separate"/>
      </w:r>
      <w:r>
        <w:rPr>
          <w:rStyle w:val="Internetverknpfung"/>
        </w:rPr>
        <w:t>Lk 6,13</w:t>
      </w:r>
      <w:r>
        <w:fldChar w:fldCharType="end"/>
      </w:r>
      <w:r>
        <w:rPr/>
        <w:t>), ohne Verpflichtung (</w:t>
      </w:r>
      <w:hyperlink r:id="rId615">
        <w:r>
          <w:rPr>
            <w:rStyle w:val="Internetverknpfung"/>
          </w:rPr>
          <w:t>Dtn 7,6-8</w:t>
        </w:r>
      </w:hyperlink>
      <w:r>
        <w:rPr/>
        <w:t>) oder notwendigerweise vorhandene Vorzüge (</w:t>
      </w:r>
      <w:r>
        <w:fldChar w:fldCharType="begin"/>
      </w:r>
      <w:r>
        <w:instrText> HYPERLINK "file:///wiki/Jakobus_2" \l "s5"</w:instrText>
      </w:r>
      <w:r>
        <w:fldChar w:fldCharType="separate"/>
      </w:r>
      <w:r>
        <w:rPr>
          <w:rStyle w:val="Internetverknpfung"/>
        </w:rPr>
        <w:t>Jak 2,5</w:t>
      </w:r>
      <w:r>
        <w:fldChar w:fldCharType="end"/>
      </w:r>
      <w:r>
        <w:rPr/>
        <w:t xml:space="preserve">). Nie kommt Abneigung gegenüber dem nicht ausgewählten Subjekt oder Objekt zum Ausdruck. Die mediale Verbform drückt hier Gottes persönliches Interesse aus (Hoehner </w:t>
      </w:r>
      <w:r>
        <w:rPr>
          <w:position w:val="7"/>
          <w:sz w:val="16"/>
        </w:rPr>
        <w:t>4</w:t>
      </w:r>
      <w:r>
        <w:rPr/>
        <w:t>2006, 187f.).</w:t>
      </w:r>
    </w:p>
  </w:footnote>
  <w:footnote w:id="5924">
    <w:p>
      <w:pPr>
        <w:pStyle w:val="Funote"/>
        <w:rPr/>
      </w:pPr>
      <w:r>
        <w:rPr/>
        <w:footnoteRef/>
        <w:tab/>
        <w:t>„</w:t>
      </w:r>
      <w:r>
        <w:rPr/>
        <w:t xml:space="preserve">in Liebe“ steht eigentlich ganz am Ende von </w:t>
      </w:r>
      <w:r>
        <w:fldChar w:fldCharType="begin"/>
      </w:r>
      <w:r>
        <w:instrText> HYPERLINK "file:///wiki/Epheser_1" \l "s4"</w:instrText>
      </w:r>
      <w:r>
        <w:fldChar w:fldCharType="separate"/>
      </w:r>
      <w:r>
        <w:rPr>
          <w:rStyle w:val="Internetverknpfung"/>
        </w:rPr>
        <w:t>4</w:t>
      </w:r>
      <w:r>
        <w:fldChar w:fldCharType="end"/>
      </w:r>
      <w:r>
        <w:rPr/>
        <w:t>, also noch hinter „vor ihm“. Es bezieht sich entweder auf das Erwählen, auf „heilig und fehlerlos“ oder auf das Vorherbestimmen (</w:t>
      </w:r>
      <w:r>
        <w:fldChar w:fldCharType="begin"/>
      </w:r>
      <w:r>
        <w:instrText> HYPERLINK "file:///wiki/Epheser_1" \l "s5"</w:instrText>
      </w:r>
      <w:r>
        <w:fldChar w:fldCharType="separate"/>
      </w:r>
      <w:r>
        <w:rPr>
          <w:rStyle w:val="Internetverknpfung"/>
        </w:rPr>
        <w:t>5</w:t>
      </w:r>
      <w:r>
        <w:fldChar w:fldCharType="end"/>
      </w:r>
      <w:r>
        <w:rPr/>
        <w:t>). Aufgrund der sehr ähnlichen Satzstellung im Kontext der gesamten Segensformel (3-14) bildet es wohl einen Nachschub zu den Eigenschaften der „vor ihm Stehenden“ (</w:t>
      </w:r>
      <w:r>
        <w:fldChar w:fldCharType="begin"/>
      </w:r>
      <w:r>
        <w:instrText> HYPERLINK "file:///wiki/Epheser_1" \l "s4"</w:instrText>
      </w:r>
      <w:r>
        <w:fldChar w:fldCharType="separate"/>
      </w:r>
      <w:r>
        <w:rPr>
          <w:rStyle w:val="Internetverknpfung"/>
        </w:rPr>
        <w:t>4</w:t>
      </w:r>
      <w:r>
        <w:fldChar w:fldCharType="end"/>
      </w:r>
      <w:r>
        <w:rPr/>
        <w:t xml:space="preserve">) (Hoehner </w:t>
      </w:r>
      <w:r>
        <w:rPr>
          <w:position w:val="7"/>
          <w:sz w:val="16"/>
        </w:rPr>
        <w:t>4</w:t>
      </w:r>
      <w:r>
        <w:rPr/>
        <w:t xml:space="preserve">2006, 183ff.). </w:t>
      </w:r>
    </w:p>
  </w:footnote>
  <w:footnote w:id="5925">
    <w:p>
      <w:pPr>
        <w:pStyle w:val="Funote"/>
        <w:rPr/>
      </w:pPr>
      <w:r>
        <w:rPr/>
        <w:footnoteRef/>
        <w:tab/>
        <w:t xml:space="preserve">Relativischer Satzanschluss. Ursprünglich bilden die Verse 3-14 eine einzige Satzkette. </w:t>
      </w:r>
    </w:p>
  </w:footnote>
  <w:footnote w:id="5926">
    <w:p>
      <w:pPr>
        <w:pStyle w:val="Funote"/>
        <w:rPr/>
      </w:pPr>
      <w:r>
        <w:rPr/>
        <w:footnoteRef/>
        <w:tab/>
        <w:t xml:space="preserve">Eigentlich </w:t>
      </w:r>
      <w:r>
        <w:rPr>
          <w:lang w:val="el-GR"/>
        </w:rPr>
        <w:t>εἰς</w:t>
      </w:r>
      <w:r>
        <w:rPr/>
        <w:t>, also „in... hinein“.</w:t>
      </w:r>
    </w:p>
  </w:footnote>
  <w:footnote w:id="5927">
    <w:p>
      <w:pPr>
        <w:pStyle w:val="Funote"/>
        <w:rPr/>
      </w:pPr>
      <w:r>
        <w:rPr/>
        <w:footnoteRef/>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5928">
    <w:p>
      <w:pPr>
        <w:pStyle w:val="Funote"/>
        <w:rPr/>
      </w:pPr>
      <w:r>
        <w:rPr/>
        <w:footnoteRef/>
        <w:tab/>
        <w:t>Das bezieht sich auf den Plan, der das Geheimnis (</w:t>
      </w:r>
      <w:r>
        <w:rPr>
          <w:lang w:val="el-GR"/>
        </w:rPr>
        <w:t>μυστήριον</w:t>
      </w:r>
      <w:r>
        <w:rPr/>
        <w:t xml:space="preserve">) darstellt. Zur Verdeutlichung der vorangehende Doppelpunkt. Bedeutungsnuance des Verbs: „alles in/unter einer Haupteinheit zusammenfassen“. </w:t>
      </w:r>
    </w:p>
  </w:footnote>
  <w:footnote w:id="5929">
    <w:p>
      <w:pPr>
        <w:pStyle w:val="Funote"/>
        <w:rPr/>
      </w:pPr>
      <w:r>
        <w:rPr/>
        <w:footnoteRef/>
        <w:tab/>
        <w:t>Wörtlich „auf (dem)“</w:t>
      </w:r>
    </w:p>
  </w:footnote>
  <w:footnote w:id="5930">
    <w:p>
      <w:pPr>
        <w:pStyle w:val="Funote"/>
        <w:rPr/>
      </w:pPr>
      <w:r>
        <w:rPr/>
        <w:footnoteRef/>
        <w:tab/>
        <w:t>Temporal (kausal) aufgelöstes Ptz. conj.</w:t>
      </w:r>
    </w:p>
  </w:footnote>
  <w:footnote w:id="5931">
    <w:p>
      <w:pPr>
        <w:pStyle w:val="Funote"/>
        <w:rPr/>
      </w:pPr>
      <w:r>
        <w:rPr/>
        <w:footnoteRef/>
        <w:tab/>
        <w:t>Substantiviertes Ptz.</w:t>
      </w:r>
    </w:p>
  </w:footnote>
  <w:footnote w:id="5932">
    <w:p>
      <w:pPr>
        <w:pStyle w:val="Funote"/>
        <w:rPr/>
      </w:pPr>
      <w:r>
        <w:rPr/>
        <w:footnoteRef/>
        <w:tab/>
        <w:t>Prädikatives Ptz.</w:t>
      </w:r>
    </w:p>
  </w:footnote>
  <w:footnote w:id="5933">
    <w:p>
      <w:pPr>
        <w:pStyle w:val="Funote"/>
        <w:rPr/>
      </w:pPr>
      <w:r>
        <w:rPr/>
        <w:footnoteRef/>
        <w:tab/>
        <w:t>Ingressiver Aorist, temporal.</w:t>
      </w:r>
    </w:p>
  </w:footnote>
  <w:footnote w:id="5934">
    <w:p>
      <w:pPr>
        <w:pStyle w:val="Funote"/>
        <w:rPr/>
      </w:pPr>
      <w:r>
        <w:rPr/>
        <w:footnoteRef/>
        <w:tab/>
        <w:t>Wörtlich „Heiligen Geist der Verheißung“. Ein solcher Gen. qualitatis bedeutet dasselbe wie ein deutsches attributives Adjektiv.</w:t>
      </w:r>
    </w:p>
  </w:footnote>
  <w:footnote w:id="5935">
    <w:p>
      <w:pPr>
        <w:pStyle w:val="Funote"/>
        <w:rPr/>
      </w:pPr>
      <w:r>
        <w:rPr/>
        <w:footnoteRef/>
        <w:tab/>
        <w:t xml:space="preserve">Eigtl. </w:t>
      </w:r>
      <w:r>
        <w:rPr>
          <w:lang w:val="el-GR"/>
        </w:rPr>
        <w:t>καθ᾽ ὑμᾶς</w:t>
      </w:r>
      <w:r>
        <w:rPr/>
        <w:t xml:space="preserve">, hier als Entsprechung des Gen. poss. (s.a. KG §289). </w:t>
      </w:r>
    </w:p>
  </w:footnote>
  <w:footnote w:id="5936">
    <w:p>
      <w:pPr>
        <w:pStyle w:val="Funote"/>
        <w:rPr/>
      </w:pPr>
      <w:r>
        <w:rPr/>
        <w:footnoteRef/>
        <w:tab/>
        <w:t xml:space="preserve">Vgl. </w:t>
      </w:r>
      <w:r>
        <w:fldChar w:fldCharType="begin"/>
      </w:r>
      <w:r>
        <w:instrText> HYPERLINK "file:///wiki/Epheser_1" \l "note_c"</w:instrText>
      </w:r>
      <w:r>
        <w:fldChar w:fldCharType="separate"/>
      </w:r>
      <w:r>
        <w:rPr>
          <w:rStyle w:val="Internetverknpfung"/>
        </w:rPr>
        <w:t>Fußnote c</w:t>
      </w:r>
      <w:r>
        <w:fldChar w:fldCharType="end"/>
      </w:r>
      <w:r>
        <w:rPr/>
        <w:t xml:space="preserve"> zu V. 1.</w:t>
      </w:r>
    </w:p>
  </w:footnote>
  <w:footnote w:id="5937">
    <w:p>
      <w:pPr>
        <w:pStyle w:val="Funote"/>
        <w:rPr/>
      </w:pPr>
      <w:r>
        <w:rPr/>
        <w:footnoteRef/>
        <w:tab/>
        <w:t>Kausal (temporal) aufgelöstes Ptz.</w:t>
      </w:r>
    </w:p>
  </w:footnote>
  <w:footnote w:id="5938">
    <w:p>
      <w:pPr>
        <w:pStyle w:val="Funote"/>
        <w:rPr/>
      </w:pPr>
      <w:r>
        <w:rPr/>
        <w:footnoteRef/>
        <w:tab/>
        <w:t>Präd. Ptz. (s.a. KG §435). Übersetzungsvorschlag NSS: „ich danke unaufhörlich“</w:t>
      </w:r>
    </w:p>
  </w:footnote>
  <w:footnote w:id="5939">
    <w:p>
      <w:pPr>
        <w:pStyle w:val="Funote"/>
        <w:rPr/>
      </w:pPr>
      <w:r>
        <w:rPr/>
        <w:footnoteRef/>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 </w:t>
      </w:r>
    </w:p>
  </w:footnote>
  <w:footnote w:id="5940">
    <w:p>
      <w:pPr>
        <w:pStyle w:val="Funote"/>
        <w:rPr/>
      </w:pPr>
      <w:r>
        <w:rPr/>
        <w:footnoteRef/>
        <w:tab/>
        <w:t xml:space="preserve">Obwohl im vorigen Vers noch von einem Dankgebet die Rede ist, zeigt die Konjunktion </w:t>
      </w:r>
      <w:r>
        <w:rPr>
          <w:lang w:val="el-GR"/>
        </w:rPr>
        <w:t>ἵνα</w:t>
      </w:r>
      <w:r>
        <w:rPr/>
        <w:t xml:space="preserve"> an, dass der Verfasser in 17-19 seine Gebetsanliegen für die Adressaten auflistet. </w:t>
      </w:r>
    </w:p>
  </w:footnote>
  <w:footnote w:id="5941">
    <w:p>
      <w:pPr>
        <w:pStyle w:val="Funote"/>
        <w:rPr/>
      </w:pPr>
      <w:r>
        <w:rPr/>
        <w:footnoteRef/>
        <w:tab/>
        <w:t>Wohl Gen. qual.: ~„der glänzende/herrliche/ruhmreiche Vater“ (NSS)</w:t>
      </w:r>
    </w:p>
  </w:footnote>
  <w:footnote w:id="5942">
    <w:p>
      <w:pPr>
        <w:pStyle w:val="Funote"/>
        <w:rPr/>
      </w:pPr>
      <w:r>
        <w:rPr/>
        <w:footnoteRef/>
        <w:tab/>
        <w:t xml:space="preserve">Die Bedeutung des Worts unklar: Geht es um den Heiligen Geist oder „einen Geist“ als eine Art geistige Fähigkeit? Sogar eine adjektivische Deutung wäre möglich: „geistliche Weisheit und Offenbarung“ </w:t>
      </w:r>
    </w:p>
  </w:footnote>
  <w:footnote w:id="5943">
    <w:p>
      <w:pPr>
        <w:pStyle w:val="Funote"/>
        <w:rPr/>
      </w:pPr>
      <w:r>
        <w:rPr/>
        <w:footnoteRef/>
        <w:tab/>
        <w:t xml:space="preserve">S. B/A </w:t>
      </w:r>
      <w:r>
        <w:rPr>
          <w:lang w:val="el-GR"/>
        </w:rPr>
        <w:t>ἐν</w:t>
      </w:r>
      <w:r>
        <w:rPr/>
        <w:t xml:space="preserve"> II.3 (NSS).</w:t>
      </w:r>
    </w:p>
  </w:footnote>
  <w:footnote w:id="5944">
    <w:p>
      <w:pPr>
        <w:pStyle w:val="Funote"/>
        <w:rPr/>
      </w:pPr>
      <w:r>
        <w:rPr/>
        <w:footnoteRef/>
        <w:tab/>
        <w:t>Wohl Gen. obi. (NSS) – Sinn der Konstruktion wäre dann etwa: „beim Prozess der Erkenntnis Gottes“</w:t>
      </w:r>
    </w:p>
  </w:footnote>
  <w:footnote w:id="5945">
    <w:p>
      <w:pPr>
        <w:pStyle w:val="Funote"/>
        <w:rPr/>
      </w:pPr>
      <w:r>
        <w:rPr/>
        <w:footnoteRef/>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5946">
    <w:p>
      <w:pPr>
        <w:pStyle w:val="Funote"/>
        <w:rPr/>
      </w:pPr>
      <w:r>
        <w:rPr/>
        <w:footnoteRef/>
        <w:tab/>
        <w:t>Also sinngemäß „zu welcher Hoffnung er euch berufen hat“ (NSS).</w:t>
      </w:r>
    </w:p>
  </w:footnote>
  <w:footnote w:id="5947">
    <w:p>
      <w:pPr>
        <w:pStyle w:val="Funote"/>
        <w:rPr/>
      </w:pPr>
      <w:r>
        <w:rPr/>
        <w:footnoteRef/>
        <w:tab/>
        <w:t>Wörtlich: und was die</w:t>
      </w:r>
    </w:p>
  </w:footnote>
  <w:footnote w:id="5948">
    <w:p>
      <w:pPr>
        <w:pStyle w:val="Funote"/>
        <w:rPr/>
      </w:pPr>
      <w:r>
        <w:rPr/>
        <w:footnoteRef/>
        <w:tab/>
        <w:t>Genitiv aufgelöst, wörtlich: die überragende Größe seiner Macht.</w:t>
      </w:r>
    </w:p>
  </w:footnote>
  <w:footnote w:id="5949">
    <w:p>
      <w:pPr>
        <w:pStyle w:val="Funote"/>
        <w:rPr/>
      </w:pPr>
      <w:r>
        <w:rPr/>
        <w:footnoteRef/>
        <w:tab/>
        <w:t>Partizip umgewandelt, wörtlich: die glauben.</w:t>
      </w:r>
    </w:p>
  </w:footnote>
  <w:footnote w:id="5950">
    <w:p>
      <w:pPr>
        <w:pStyle w:val="Funote"/>
        <w:rPr/>
      </w:pPr>
      <w:r>
        <w:rPr/>
        <w:footnoteRef/>
        <w:tab/>
        <w:t>Oder: gemäß seiner Wirksamkeit.</w:t>
      </w:r>
    </w:p>
  </w:footnote>
  <w:footnote w:id="5951">
    <w:p>
      <w:pPr>
        <w:pStyle w:val="Funote"/>
        <w:rPr/>
      </w:pPr>
      <w:r>
        <w:rPr/>
        <w:footnoteRef/>
        <w:tab/>
        <w:t>Genitivus epexegeticus aufgelöst, wörtlich: gemäß des übernatürlichen Eingreifens (oder: gemäß der Wirkung) der Kraft seiner Stärke.</w:t>
      </w:r>
    </w:p>
  </w:footnote>
  <w:footnote w:id="5952">
    <w:p>
      <w:pPr>
        <w:pStyle w:val="Funote"/>
        <w:rPr/>
      </w:pPr>
      <w:r>
        <w:rPr/>
        <w:footnoteRef/>
        <w:tab/>
        <w:t>Wörtlich: in den himmlischen (Welten).</w:t>
      </w:r>
    </w:p>
  </w:footnote>
  <w:footnote w:id="5953">
    <w:p>
      <w:pPr>
        <w:pStyle w:val="Funote"/>
        <w:rPr/>
      </w:pPr>
      <w:r>
        <w:rPr/>
        <w:footnoteRef/>
        <w:tab/>
        <w:t>Wörtlich: der genannt ist.</w:t>
      </w:r>
    </w:p>
  </w:footnote>
  <w:footnote w:id="5954">
    <w:p>
      <w:pPr>
        <w:pStyle w:val="Funote"/>
        <w:rPr/>
      </w:pPr>
      <w:r>
        <w:rPr/>
        <w:footnoteRef/>
        <w:tab/>
        <w:t>Wörtlich: Welche ist.</w:t>
      </w:r>
    </w:p>
  </w:footnote>
  <w:footnote w:id="5955">
    <w:p>
      <w:pPr>
        <w:pStyle w:val="Funote"/>
        <w:rPr/>
      </w:pPr>
      <w:r>
        <w:rPr/>
        <w:footnoteRef/>
        <w:tab/>
        <w:t>Oder: Leib.</w:t>
      </w:r>
    </w:p>
  </w:footnote>
  <w:footnote w:id="5956">
    <w:p>
      <w:pPr>
        <w:pStyle w:val="Funote"/>
        <w:rPr/>
      </w:pPr>
      <w:r>
        <w:rPr/>
        <w:footnoteRef/>
        <w:tab/>
        <w:t>[Status: Ungeprüft]</w:t>
      </w:r>
    </w:p>
  </w:footnote>
  <w:footnote w:id="5957">
    <w:p>
      <w:pPr>
        <w:pStyle w:val="Funote"/>
        <w:rPr/>
      </w:pPr>
      <w:r>
        <w:rPr/>
        <w:footnoteRef/>
        <w:tab/>
        <w:t>wörtlich: in denen wir früher wandelten</w:t>
      </w:r>
    </w:p>
  </w:footnote>
  <w:footnote w:id="5958">
    <w:p>
      <w:pPr>
        <w:pStyle w:val="Funote"/>
        <w:rPr/>
      </w:pPr>
      <w:r>
        <w:rPr/>
        <w:footnoteRef/>
        <w:tab/>
        <w:t>= Satan oder Beliar, Strack-Billerbeck verweist auf Test Benj 3 und Philo; so auch vorgeschlagen bei Louw-Nida</w:t>
      </w:r>
    </w:p>
  </w:footnote>
  <w:footnote w:id="5959">
    <w:p>
      <w:pPr>
        <w:pStyle w:val="Funote"/>
        <w:rPr/>
      </w:pPr>
      <w:r>
        <w:rPr/>
        <w:footnoteRef/>
        <w:tab/>
        <w:t>wörtlich: des Geistes; Gen. epexegeticus wurde aufgelöst</w:t>
      </w:r>
    </w:p>
  </w:footnote>
  <w:footnote w:id="5960">
    <w:p>
      <w:pPr>
        <w:pStyle w:val="Funote"/>
        <w:rPr/>
      </w:pPr>
      <w:r>
        <w:rPr/>
        <w:footnoteRef/>
        <w:tab/>
        <w:t>wörtlich: wegen seiner großen Liebe, mit der er uns geliebt hat</w:t>
      </w:r>
    </w:p>
  </w:footnote>
  <w:footnote w:id="5961">
    <w:p>
      <w:pPr>
        <w:pStyle w:val="Funote"/>
        <w:rPr/>
      </w:pPr>
      <w:r>
        <w:rPr/>
        <w:footnoteRef/>
        <w:tab/>
        <w:t>wörtlich: , damit er den überaus großen Reichtum seiner Gnade in Güte an uns in Christus Jesus beweist</w:t>
      </w:r>
    </w:p>
  </w:footnote>
  <w:footnote w:id="5962">
    <w:p>
      <w:pPr>
        <w:pStyle w:val="Funote"/>
        <w:rPr/>
      </w:pPr>
      <w:r>
        <w:rPr/>
        <w:footnoteRef/>
        <w:tab/>
        <w:t>wörtlich: Und dieses nicht aus euch</w:t>
      </w:r>
    </w:p>
  </w:footnote>
  <w:footnote w:id="5963">
    <w:p>
      <w:pPr>
        <w:pStyle w:val="Funote"/>
        <w:rPr/>
      </w:pPr>
      <w:r>
        <w:rPr/>
        <w:footnoteRef/>
        <w:tab/>
        <w:t xml:space="preserve">Werk und Werke sind im Grundtext verschiedene Begriffe. Werk geht evtl. auf Ps 142,5 LXX zurück (das Werk deiner Hände), im NT sonst nur in Röm 1,20 verwendet, für Werke steht </w:t>
      </w:r>
      <w:r>
        <w:rPr>
          <w:lang w:val="el-GR"/>
        </w:rPr>
        <w:t>ἔργον</w:t>
      </w:r>
      <w:r>
        <w:rPr/>
        <w:t xml:space="preserve"> bzw. </w:t>
      </w:r>
      <w:r>
        <w:rPr>
          <w:lang w:val="el-GR"/>
        </w:rPr>
        <w:t>ἔργοις</w:t>
      </w:r>
      <w:r>
        <w:rPr/>
        <w:t xml:space="preserve"> (derselbe Begriff wie in Vers 9)</w:t>
      </w:r>
    </w:p>
  </w:footnote>
  <w:footnote w:id="5964">
    <w:p>
      <w:pPr>
        <w:pStyle w:val="Funote"/>
        <w:rPr/>
      </w:pPr>
      <w:r>
        <w:rPr/>
        <w:footnoteRef/>
        <w:tab/>
        <w:t xml:space="preserve">Die Formulierung "geschaffen durch Christus Jesus" deutet darauf hin, dass hier nicht von der Schöpfung in Gen 1 die Rede ist, sondern von Gottes Neu-Schöpfung in der Wiedergeburt/Bekehrung (vgl. Lincoln 1990, S. 114) </w:t>
      </w:r>
    </w:p>
  </w:footnote>
  <w:footnote w:id="5965">
    <w:p>
      <w:pPr>
        <w:pStyle w:val="Funote"/>
        <w:rPr/>
      </w:pPr>
      <w:r>
        <w:rPr/>
        <w:footnoteRef/>
        <w:tab/>
        <w:t>„</w:t>
      </w:r>
      <w:r>
        <w:rPr/>
        <w:t>stets“ trägt dem linearen Aspekt des Präsensstamms Rechnung.</w:t>
      </w:r>
    </w:p>
  </w:footnote>
  <w:footnote w:id="5966">
    <w:p>
      <w:pPr>
        <w:pStyle w:val="Funote"/>
        <w:rPr/>
      </w:pPr>
      <w:r>
        <w:rPr/>
        <w:footnoteRef/>
        <w:tab/>
        <w:t>Wörtl.: „die (Heiden)Völker im Fleisch“</w:t>
      </w:r>
    </w:p>
  </w:footnote>
  <w:footnote w:id="5967">
    <w:p>
      <w:pPr>
        <w:pStyle w:val="Funote"/>
        <w:rPr/>
      </w:pPr>
      <w:r>
        <w:rPr/>
        <w:footnoteRef/>
        <w:tab/>
        <w:t>Gen. epexegeticus aufgelöst, wörtl.: Feinde der Bundesschlüsse der Verheißung.</w:t>
      </w:r>
    </w:p>
  </w:footnote>
  <w:footnote w:id="5968">
    <w:p>
      <w:pPr>
        <w:pStyle w:val="Funote"/>
        <w:rPr/>
      </w:pPr>
      <w:r>
        <w:rPr/>
        <w:footnoteRef/>
        <w:tab/>
        <w:t>Im Grundtext stehen „fern“ und „nah“ ohne Verb.</w:t>
      </w:r>
    </w:p>
  </w:footnote>
  <w:footnote w:id="5969">
    <w:p>
      <w:pPr>
        <w:pStyle w:val="Funote"/>
        <w:rPr/>
      </w:pPr>
      <w:r>
        <w:rPr/>
        <w:footnoteRef/>
        <w:tab/>
        <w:t>Gen. epexegeticus aufgelöst, wörtl.: „die Trennwand des Zaunes“</w:t>
      </w:r>
    </w:p>
  </w:footnote>
  <w:footnote w:id="5970">
    <w:p>
      <w:pPr>
        <w:pStyle w:val="Funote"/>
        <w:rPr/>
      </w:pPr>
      <w:r>
        <w:rPr/>
        <w:footnoteRef/>
        <w:tab/>
        <w:t>Gen. epexegeticus aufgelöst, wörtl.: „das Gesetz der Gebote in Einzelsatzungen“</w:t>
      </w:r>
    </w:p>
  </w:footnote>
  <w:footnote w:id="5971">
    <w:p>
      <w:pPr>
        <w:pStyle w:val="Funote"/>
        <w:rPr/>
      </w:pPr>
      <w:r>
        <w:rPr/>
        <w:footnoteRef/>
        <w:tab/>
        <w:t>Im Grundtext steht ein Zahlwort.</w:t>
      </w:r>
    </w:p>
  </w:footnote>
  <w:footnote w:id="5972">
    <w:p>
      <w:pPr>
        <w:pStyle w:val="Funote"/>
        <w:rPr/>
      </w:pPr>
      <w:r>
        <w:rPr/>
        <w:footnoteRef/>
        <w:tab/>
        <w:t>Im Grundtext steht en auto („in ihm“). Das kann sich auch auf Gott beziehen, der Bezug zum Kreuz ist m.E. naheliegender.</w:t>
      </w:r>
    </w:p>
  </w:footnote>
  <w:footnote w:id="5973">
    <w:p>
      <w:pPr>
        <w:pStyle w:val="Funote"/>
        <w:rPr/>
      </w:pPr>
      <w:r>
        <w:rPr/>
        <w:footnoteRef/>
        <w:tab/>
        <w:t>Im Grundtext stehen „fern“ und „nah“ ohne Verb.</w:t>
      </w:r>
    </w:p>
  </w:footnote>
  <w:footnote w:id="5974">
    <w:p>
      <w:pPr>
        <w:pStyle w:val="Funote"/>
        <w:rPr/>
      </w:pPr>
      <w:r>
        <w:rPr/>
        <w:footnoteRef/>
        <w:tab/>
        <w:t>Im Grundtext steht ein Zahlwort.</w:t>
      </w:r>
    </w:p>
  </w:footnote>
  <w:footnote w:id="5975">
    <w:p>
      <w:pPr>
        <w:pStyle w:val="Funote"/>
        <w:rPr/>
      </w:pPr>
      <w:r>
        <w:rPr/>
        <w:footnoteRef/>
        <w:tab/>
        <w:t>„</w:t>
      </w:r>
      <w:r>
        <w:rPr/>
        <w:t>ständigen“ trägt dem linearen Aspekt des Präsensstamms Rechnung.</w:t>
      </w:r>
    </w:p>
  </w:footnote>
  <w:footnote w:id="5976">
    <w:p>
      <w:pPr>
        <w:pStyle w:val="Funote"/>
        <w:rPr/>
      </w:pPr>
      <w:r>
        <w:rPr/>
        <w:footnoteRef/>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5977">
    <w:p>
      <w:pPr>
        <w:pStyle w:val="Funote"/>
        <w:rPr/>
      </w:pPr>
      <w:r>
        <w:rPr/>
        <w:footnoteRef/>
        <w:tab/>
        <w:t>„</w:t>
      </w:r>
      <w:r>
        <w:rPr/>
        <w:t>beständig“ trägt dem linearen Aspekt des Präsensstamms Rechnung.</w:t>
      </w:r>
    </w:p>
  </w:footnote>
  <w:footnote w:id="5978">
    <w:p>
      <w:pPr>
        <w:pStyle w:val="Funote"/>
        <w:rPr/>
      </w:pPr>
      <w:r>
        <w:rPr/>
        <w:footnoteRef/>
        <w:tab/>
        <w:t>„</w:t>
      </w:r>
      <w:r>
        <w:rPr/>
        <w:t>stetig“ trägt dem linearen Aspekt des Präsensstamms Rechnung.</w:t>
      </w:r>
    </w:p>
  </w:footnote>
  <w:footnote w:id="5979">
    <w:p>
      <w:pPr>
        <w:pStyle w:val="Funote"/>
        <w:rPr/>
      </w:pPr>
      <w:r>
        <w:rPr/>
        <w:footnoteRef/>
        <w:tab/>
        <w:t>[Status: Ungeprüft]</w:t>
      </w:r>
    </w:p>
  </w:footnote>
  <w:footnote w:id="5980">
    <w:p>
      <w:pPr>
        <w:pStyle w:val="Funote"/>
        <w:rPr/>
      </w:pPr>
      <w:r>
        <w:rPr/>
        <w:footnoteRef/>
        <w:tab/>
        <w:t>Wörtlich: In anderen.</w:t>
      </w:r>
    </w:p>
  </w:footnote>
  <w:footnote w:id="5981">
    <w:p>
      <w:pPr>
        <w:pStyle w:val="Funote"/>
        <w:rPr/>
      </w:pPr>
      <w:r>
        <w:rPr/>
        <w:footnoteRef/>
        <w:tab/>
        <w:t>Wörtlich: den Söhnen der Menschen.</w:t>
      </w:r>
    </w:p>
  </w:footnote>
  <w:footnote w:id="5982">
    <w:p>
      <w:pPr>
        <w:pStyle w:val="Funote"/>
        <w:rPr/>
      </w:pPr>
      <w:r>
        <w:rPr/>
        <w:footnoteRef/>
        <w:tab/>
        <w:t>Wörtlich stehen hier Adjektive: miterbend und zum selben Leib gehörend und teilhabend.</w:t>
      </w:r>
    </w:p>
  </w:footnote>
  <w:footnote w:id="5983">
    <w:p>
      <w:pPr>
        <w:pStyle w:val="Funote"/>
        <w:rPr/>
      </w:pPr>
      <w:r>
        <w:rPr/>
        <w:footnoteRef/>
        <w:tab/>
        <w:t>Wörtlich: dem (Bezug nehmend auf 'Evangelium') ich ein Diener wurde.</w:t>
      </w:r>
    </w:p>
  </w:footnote>
  <w:footnote w:id="5984">
    <w:p>
      <w:pPr>
        <w:pStyle w:val="Funote"/>
        <w:rPr/>
      </w:pPr>
      <w:r>
        <w:rPr/>
        <w:footnoteRef/>
        <w:tab/>
        <w:t>Gen. epexegeticus aufgelöst, wörtlich: des Wirkens seiner Wunder</w:t>
      </w:r>
    </w:p>
  </w:footnote>
  <w:footnote w:id="5985">
    <w:p>
      <w:pPr>
        <w:pStyle w:val="Funote"/>
        <w:rPr/>
      </w:pPr>
      <w:r>
        <w:rPr/>
        <w:footnoteRef/>
        <w:tab/>
        <w:t>Wörtlich: zu evangelisieren, oder: als frohe Botschaft weiter zu geben</w:t>
      </w:r>
    </w:p>
  </w:footnote>
  <w:footnote w:id="5986">
    <w:p>
      <w:pPr>
        <w:pStyle w:val="Funote"/>
        <w:rPr/>
      </w:pPr>
      <w:r>
        <w:rPr/>
        <w:footnoteRef/>
        <w:tab/>
        <w:t>Im Grundtext derselbe Ausdruck oikonomia wie in Vers 2 (Verwaltung)</w:t>
      </w:r>
    </w:p>
  </w:footnote>
  <w:footnote w:id="5987">
    <w:p>
      <w:pPr>
        <w:pStyle w:val="Funote"/>
        <w:rPr/>
      </w:pPr>
      <w:r>
        <w:rPr/>
        <w:footnoteRef/>
        <w:tab/>
        <w:t>Gen. epexegeticus aufgelöst, wörtlich: den Heilsplan (Verantwortung, Auftrag, Haushaltsführung) des Geheimnisses.</w:t>
      </w:r>
    </w:p>
  </w:footnote>
  <w:footnote w:id="5988">
    <w:p>
      <w:pPr>
        <w:pStyle w:val="Funote"/>
        <w:rPr/>
      </w:pPr>
      <w:r>
        <w:rPr/>
        <w:footnoteRef/>
        <w:tab/>
        <w:t>Wörtlich: Ewigkeiten, Äonen.</w:t>
      </w:r>
    </w:p>
  </w:footnote>
  <w:footnote w:id="5989">
    <w:p>
      <w:pPr>
        <w:pStyle w:val="Funote"/>
        <w:rPr/>
      </w:pPr>
      <w:r>
        <w:rPr/>
        <w:footnoteRef/>
        <w:tab/>
        <w:t>Wörtlich: Damit; Auf dass.</w:t>
      </w:r>
    </w:p>
  </w:footnote>
  <w:footnote w:id="5990">
    <w:p>
      <w:pPr>
        <w:pStyle w:val="Funote"/>
        <w:rPr/>
      </w:pPr>
      <w:r>
        <w:rPr/>
        <w:footnoteRef/>
        <w:tab/>
        <w:t>Wörtlich: in den himmlisch (Welten).</w:t>
      </w:r>
    </w:p>
  </w:footnote>
  <w:footnote w:id="5991">
    <w:p>
      <w:pPr>
        <w:pStyle w:val="Funote"/>
        <w:rPr/>
      </w:pPr>
      <w:r>
        <w:rPr/>
        <w:footnoteRef/>
        <w:tab/>
        <w:t>Wörtlich: Vorsatz der Ewigkeiten.</w:t>
      </w:r>
    </w:p>
  </w:footnote>
  <w:footnote w:id="5992">
    <w:p>
      <w:pPr>
        <w:pStyle w:val="Funote"/>
        <w:rPr/>
      </w:pPr>
      <w:r>
        <w:rPr/>
        <w:footnoteRef/>
        <w:tab/>
        <w:t>Wörtlich: getan</w:t>
      </w:r>
    </w:p>
  </w:footnote>
  <w:footnote w:id="5993">
    <w:p>
      <w:pPr>
        <w:pStyle w:val="Funote"/>
        <w:rPr/>
      </w:pPr>
      <w:r>
        <w:rPr/>
        <w:footnoteRef/>
        <w:tab/>
        <w:t>Wörtlich: Freimut, Offenheit, Vertrauen</w:t>
      </w:r>
    </w:p>
  </w:footnote>
  <w:footnote w:id="5994">
    <w:p>
      <w:pPr>
        <w:pStyle w:val="Funote"/>
        <w:rPr/>
      </w:pPr>
      <w:r>
        <w:rPr/>
        <w:footnoteRef/>
        <w:tab/>
        <w:t>Wörtlich: durch seinen Glauben; Ich deute das als Gen. objectivus: der Glaube zu ihm hin.</w:t>
      </w:r>
    </w:p>
  </w:footnote>
  <w:footnote w:id="5995">
    <w:p>
      <w:pPr>
        <w:pStyle w:val="Funote"/>
        <w:rPr/>
      </w:pPr>
      <w:r>
        <w:rPr/>
        <w:footnoteRef/>
        <w:tab/>
        <w:t>Wörtlich: „immer wieder“ oder „ständig“. Die Formulierung trägt dem linearen Aspekt des Präsensstamms Rechnung.</w:t>
      </w:r>
    </w:p>
  </w:footnote>
  <w:footnote w:id="5996">
    <w:p>
      <w:pPr>
        <w:pStyle w:val="Funote"/>
        <w:rPr/>
      </w:pPr>
      <w:r>
        <w:rPr/>
        <w:footnoteRef/>
        <w:tab/>
        <w:t>Wörtlich: die euer Ruhm ist. Das Relativpronomen steht im Grundtext im Sing. f., kann sich aber nur auf „Leiden“ (Dat. pl. f.) beziehen.</w:t>
      </w:r>
    </w:p>
  </w:footnote>
  <w:footnote w:id="5997">
    <w:p>
      <w:pPr>
        <w:pStyle w:val="Funote"/>
        <w:rPr/>
      </w:pPr>
      <w:r>
        <w:rPr/>
        <w:footnoteRef/>
        <w:tab/>
        <w:t>Das Beugen des Knies ist eine Gebetsstellung, ein Zeichen religiöser Devotion. Im weltl. Bereich ein Zeichen des Respektes vor dem höher Stehenden.</w:t>
      </w:r>
    </w:p>
  </w:footnote>
  <w:footnote w:id="5998">
    <w:p>
      <w:pPr>
        <w:pStyle w:val="Funote"/>
        <w:rPr/>
      </w:pPr>
      <w:r>
        <w:rPr>
          <w:lang w:val="el-GR"/>
        </w:rPr>
        <w:footnoteRef/>
        <w:tab/>
        <w:t>πάτρια</w:t>
      </w:r>
      <w:r>
        <w:rPr/>
        <w:t xml:space="preserve"> bezeichnet die Abstammung in der Manneslinie = das Geschlecht, der Familienstamm.</w:t>
      </w:r>
    </w:p>
  </w:footnote>
  <w:footnote w:id="5999">
    <w:p>
      <w:pPr>
        <w:pStyle w:val="Funote"/>
        <w:rPr/>
      </w:pPr>
      <w:r>
        <w:rPr/>
        <w:footnoteRef/>
        <w:tab/>
        <w:t>Wörtlich: in den Himmeln.</w:t>
      </w:r>
    </w:p>
  </w:footnote>
  <w:footnote w:id="6000">
    <w:p>
      <w:pPr>
        <w:pStyle w:val="Funote"/>
        <w:rPr/>
      </w:pPr>
      <w:r>
        <w:rPr/>
        <w:footnoteRef/>
        <w:tab/>
        <w:t>Wörtlich: benannt wird, „seinen Namen hat“ trägt dem linearen Aspekt des Präsensstamms Rechnung.</w:t>
      </w:r>
    </w:p>
  </w:footnote>
  <w:footnote w:id="6001">
    <w:p>
      <w:pPr>
        <w:pStyle w:val="Funote"/>
        <w:rPr/>
      </w:pPr>
      <w:r>
        <w:rPr/>
        <w:footnoteRef/>
        <w:tab/>
        <w:t>Gen. epexegeticus aufgelöst, wörtl.: nach dem Reichtum seiner Herrlichkeit.</w:t>
      </w:r>
    </w:p>
  </w:footnote>
  <w:footnote w:id="6002">
    <w:p>
      <w:pPr>
        <w:pStyle w:val="Funote"/>
        <w:rPr/>
      </w:pPr>
      <w:r>
        <w:rPr>
          <w:lang w:val="el-GR"/>
        </w:rPr>
        <w:footnoteRef/>
        <w:tab/>
        <w:t>εἰς</w:t>
      </w:r>
      <w:r>
        <w:rPr/>
        <w:t xml:space="preserve"> steht in der Koine für </w:t>
      </w:r>
      <w:r>
        <w:rPr>
          <w:lang w:val="el-GR"/>
        </w:rPr>
        <w:t>ἐν</w:t>
      </w:r>
      <w:r>
        <w:rPr/>
        <w:t>, BDR § 205, kann aber auch mit "für" übersetzt werden, BDR § 207, Anm. 4</w:t>
      </w:r>
    </w:p>
  </w:footnote>
  <w:footnote w:id="6003">
    <w:p>
      <w:pPr>
        <w:pStyle w:val="Funote"/>
        <w:rPr/>
      </w:pPr>
      <w:hyperlink r:id="rId616">
        <w:r>
          <w:rPr>
            <w:rStyle w:val="Internetverknpfung"/>
          </w:rPr>
          <w:footnoteRef/>
          <w:tab/>
          <w:t>Ptz. coni.</w:t>
        </w:r>
      </w:hyperlink>
      <w:r>
        <w:rPr/>
        <w:t>, relativisch aufgelöst.</w:t>
      </w:r>
    </w:p>
  </w:footnote>
  <w:footnote w:id="6004">
    <w:p>
      <w:pPr>
        <w:pStyle w:val="Funote"/>
        <w:rPr/>
      </w:pPr>
      <w:r>
        <w:rPr/>
        <w:footnoteRef/>
        <w:tab/>
        <w:t>Koordinierende Partizipien nach verbum finitum, indikativ. Sinn, BDR §468, Anm. 3.</w:t>
      </w:r>
    </w:p>
  </w:footnote>
  <w:footnote w:id="6005">
    <w:p>
      <w:pPr>
        <w:pStyle w:val="Funote"/>
        <w:rPr/>
      </w:pPr>
      <w:r>
        <w:rPr/>
        <w:footnoteRef/>
        <w:tab/>
        <w:t>Infinitv als Ergänzung zum Verb, BDR § 392.</w:t>
      </w:r>
    </w:p>
  </w:footnote>
  <w:footnote w:id="6006">
    <w:p>
      <w:pPr>
        <w:pStyle w:val="Funote"/>
        <w:rPr/>
      </w:pPr>
      <w:r>
        <w:rPr/>
        <w:footnoteRef/>
        <w:tab/>
        <w:t xml:space="preserve">Es legt sich nahe, hier die Liebe (Christi oder zu Christus) zu ergänzen, einen direkten Bezug dazu gibt es im Text aber nicht: Die Liebe </w:t>
      </w:r>
      <w:r>
        <w:rPr>
          <w:lang w:val="el-GR"/>
        </w:rPr>
        <w:t>ἀγαπή</w:t>
      </w:r>
      <w:r>
        <w:rPr/>
        <w:t xml:space="preserve"> ist im Griech. Femininum, die Nomina stehen im Neutrum. Schnackenburg spricht von den „kosmischen Dimensionen“ des „göttlichen Heilsmysteriums“ (S. 154).</w:t>
      </w:r>
    </w:p>
  </w:footnote>
  <w:footnote w:id="6007">
    <w:p>
      <w:pPr>
        <w:pStyle w:val="Funote"/>
        <w:rPr/>
      </w:pPr>
      <w:r>
        <w:rPr/>
        <w:footnoteRef/>
        <w:tab/>
        <w:t>Genitivus subiectivus oder obiectivus?</w:t>
      </w:r>
    </w:p>
  </w:footnote>
  <w:footnote w:id="6008">
    <w:p>
      <w:pPr>
        <w:pStyle w:val="Funote"/>
        <w:rPr/>
      </w:pPr>
      <w:r>
        <w:rPr/>
        <w:footnoteRef/>
        <w:tab/>
        <w:t>Vgl. BW Sp. 1660.</w:t>
      </w:r>
    </w:p>
  </w:footnote>
  <w:footnote w:id="6009">
    <w:p>
      <w:pPr>
        <w:pStyle w:val="Funote"/>
        <w:rPr/>
      </w:pPr>
      <w:r>
        <w:rPr/>
        <w:footnoteRef/>
        <w:tab/>
        <w:t>Wörtlich: der Ewigkeit der Ewigkeiten</w:t>
      </w:r>
    </w:p>
  </w:footnote>
  <w:footnote w:id="6010">
    <w:p>
      <w:pPr>
        <w:pStyle w:val="Funote"/>
        <w:rPr/>
      </w:pPr>
      <w:r>
        <w:rPr/>
        <w:footnoteRef/>
        <w:tab/>
        <w:t>[Status: Ungeprüft]</w:t>
      </w:r>
    </w:p>
  </w:footnote>
  <w:footnote w:id="6011">
    <w:p>
      <w:pPr>
        <w:pStyle w:val="Funote"/>
        <w:rPr/>
      </w:pPr>
      <w:r>
        <w:rPr/>
        <w:footnoteRef/>
        <w:tab/>
        <w:t>Parenthese</w:t>
      </w:r>
    </w:p>
  </w:footnote>
  <w:footnote w:id="6012">
    <w:p>
      <w:pPr>
        <w:pStyle w:val="Funote"/>
        <w:rPr/>
      </w:pPr>
      <w:r>
        <w:rPr/>
        <w:footnoteRef/>
        <w:tab/>
        <w:t xml:space="preserve">Constructio ad sensum (= formale Inkongruenz des Pronomens </w:t>
      </w:r>
      <w:r>
        <w:rPr>
          <w:lang w:val="el-GR"/>
        </w:rPr>
        <w:t>ἀυτός); ὑπ᾽ἀυτῶν</w:t>
      </w:r>
      <w:r>
        <w:rPr/>
        <w:t xml:space="preserve"> = von denen, die dem </w:t>
      </w:r>
      <w:r>
        <w:rPr>
          <w:lang w:val="el-GR"/>
        </w:rPr>
        <w:t>σκότος</w:t>
      </w:r>
      <w:r>
        <w:rPr/>
        <w:t xml:space="preserve"> angehören, BDR § 282, Anm. 3.</w:t>
      </w:r>
    </w:p>
  </w:footnote>
  <w:footnote w:id="6013">
    <w:p>
      <w:pPr>
        <w:pStyle w:val="Funote"/>
        <w:rPr/>
      </w:pPr>
      <w:r>
        <w:rPr/>
        <w:footnoteRef/>
        <w:tab/>
        <w:t>Die Herkunft des Zitats ist unbekannt.</w:t>
      </w:r>
    </w:p>
  </w:footnote>
  <w:footnote w:id="6014">
    <w:p>
      <w:pPr>
        <w:pStyle w:val="Funote"/>
        <w:rPr/>
      </w:pPr>
      <w:r>
        <w:rPr/>
        <w:footnoteRef/>
        <w:tab/>
        <w:t>Partizip, wörtl.: Schlafender.</w:t>
      </w:r>
    </w:p>
  </w:footnote>
  <w:footnote w:id="6015">
    <w:p>
      <w:pPr>
        <w:pStyle w:val="Funote"/>
        <w:rPr/>
      </w:pPr>
      <w:r>
        <w:rPr/>
        <w:footnoteRef/>
        <w:tab/>
        <w:t>Imperativ, die Endung -</w:t>
      </w:r>
      <w:r>
        <w:rPr>
          <w:lang w:val="el-GR"/>
        </w:rPr>
        <w:t>στα</w:t>
      </w:r>
      <w:r>
        <w:rPr/>
        <w:t xml:space="preserve"> in der Koine statt -</w:t>
      </w:r>
      <w:r>
        <w:rPr>
          <w:lang w:val="el-GR"/>
        </w:rPr>
        <w:t>στῆτι</w:t>
      </w:r>
      <w:r>
        <w:rPr/>
        <w:t>.</w:t>
      </w:r>
    </w:p>
  </w:footnote>
  <w:footnote w:id="6016">
    <w:p>
      <w:pPr>
        <w:pStyle w:val="Funote"/>
        <w:rPr/>
      </w:pPr>
      <w:r>
        <w:rPr/>
        <w:footnoteRef/>
        <w:tab/>
        <w:t>Modales Ptc. coni.</w:t>
      </w:r>
    </w:p>
  </w:footnote>
  <w:footnote w:id="6017">
    <w:p>
      <w:pPr>
        <w:pStyle w:val="Funote"/>
        <w:rPr/>
      </w:pPr>
      <w:r>
        <w:rPr/>
        <w:footnoteRef/>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6018">
    <w:p>
      <w:pPr>
        <w:pStyle w:val="Funote"/>
        <w:rPr/>
      </w:pPr>
      <w:r>
        <w:rPr/>
        <w:footnoteRef/>
        <w:tab/>
        <w:t>Vgl. Schnackenburg</w:t>
      </w:r>
    </w:p>
  </w:footnote>
  <w:footnote w:id="6019">
    <w:p>
      <w:pPr>
        <w:pStyle w:val="Funote"/>
        <w:rPr/>
      </w:pPr>
      <w:r>
        <w:rPr/>
        <w:footnoteRef/>
        <w:tab/>
        <w:t>Instrumentaler Dativ.</w:t>
      </w:r>
    </w:p>
  </w:footnote>
  <w:footnote w:id="6020">
    <w:p>
      <w:pPr>
        <w:pStyle w:val="Funote"/>
        <w:rPr/>
      </w:pPr>
      <w:r>
        <w:rPr/>
        <w:footnoteRef/>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6021">
    <w:p>
      <w:pPr>
        <w:pStyle w:val="Funote"/>
        <w:rPr/>
      </w:pPr>
      <w:r>
        <w:rPr/>
        <w:footnoteRef/>
        <w:tab/>
        <w:t>„</w:t>
      </w:r>
      <w:r>
        <w:rPr/>
        <w:t>Durch“ wurde aus grammatischen Gründen und im Blick auf den Gesamtkontext des Epheserbriefs der Vorzug gewährt (Genaueres s. NET Eph 5,18 Fußnote 26).</w:t>
      </w:r>
    </w:p>
  </w:footnote>
  <w:footnote w:id="6022">
    <w:p>
      <w:pPr>
        <w:pStyle w:val="Funote"/>
        <w:rPr/>
      </w:pPr>
      <w:r>
        <w:rPr/>
        <w:footnoteRef/>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6023">
    <w:p>
      <w:pPr>
        <w:pStyle w:val="Funote"/>
        <w:rPr/>
      </w:pPr>
      <w:r>
        <w:rPr/>
        <w:footnoteRef/>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6024">
    <w:p>
      <w:pPr>
        <w:pStyle w:val="Funote"/>
        <w:rPr/>
      </w:pPr>
      <w:r>
        <w:rPr/>
        <w:footnoteRef/>
        <w:tab/>
        <w:t>Fortsetzung der Apposition aus V. 19; hier mit Komma (in V. 21 mit „und“) angeschlossen.</w:t>
      </w:r>
    </w:p>
  </w:footnote>
  <w:footnote w:id="6025">
    <w:p>
      <w:pPr>
        <w:pStyle w:val="Funote"/>
        <w:rPr/>
      </w:pPr>
      <w:r>
        <w:rPr/>
        <w:footnoteRef/>
        <w:tab/>
        <w:t xml:space="preserve">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w:t>
      </w:r>
      <w:r>
        <w:rPr>
          <w:i/>
        </w:rPr>
        <w:t>Discourse Grammar</w:t>
      </w:r>
      <w:r>
        <w:rPr/>
        <w:t xml:space="preserve">, S. 289, 313 (Beispiel 168); s.a. Fußnote in V. 22. </w:t>
      </w:r>
    </w:p>
  </w:footnote>
  <w:footnote w:id="6026">
    <w:p>
      <w:pPr>
        <w:pStyle w:val="Funote"/>
        <w:rPr/>
      </w:pPr>
      <w:r>
        <w:rPr/>
        <w:footnoteRef/>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 </w:t>
      </w:r>
    </w:p>
  </w:footnote>
  <w:footnote w:id="6027">
    <w:p>
      <w:pPr>
        <w:pStyle w:val="Funote"/>
        <w:rPr/>
      </w:pPr>
      <w:r>
        <w:rPr/>
        <w:footnoteRef/>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6028">
    <w:p>
      <w:pPr>
        <w:pStyle w:val="Funote"/>
        <w:rPr/>
      </w:pPr>
      <w:r>
        <w:rPr/>
        <w:footnoteRef/>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6029">
    <w:p>
      <w:pPr>
        <w:pStyle w:val="Funote"/>
        <w:rPr/>
      </w:pPr>
      <w:r>
        <w:rPr/>
        <w:footnoteRef/>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xml:space="preserve">). Der Gedanke hier ist nun, dass Jesus sich dem freiwillig ausgesetzt, sich selbst „hingegeben“ (ältere Übersetzungen), ausgeliefert oder sein Leben gegeben hat. </w:t>
      </w:r>
    </w:p>
  </w:footnote>
  <w:footnote w:id="6030">
    <w:p>
      <w:pPr>
        <w:pStyle w:val="Funote"/>
        <w:rPr/>
      </w:pPr>
      <w:r>
        <w:rPr/>
        <w:footnoteRef/>
        <w:tab/>
        <w:t xml:space="preserve">Instr. Dativ, der anzeigt, dass die Gemeinde mit dem Wasserbad gereinigt wird, nicht mit dem Wort. S.a. nächste Fußnote. </w:t>
      </w:r>
    </w:p>
  </w:footnote>
  <w:footnote w:id="6031">
    <w:p>
      <w:pPr>
        <w:pStyle w:val="Funote"/>
        <w:rPr/>
      </w:pPr>
      <w:r>
        <w:rPr/>
        <w:footnoteRef/>
        <w:tab/>
        <w:t xml:space="preserve">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 </w:t>
      </w:r>
    </w:p>
  </w:footnote>
  <w:footnote w:id="6032">
    <w:p>
      <w:pPr>
        <w:pStyle w:val="Funote"/>
        <w:rPr/>
      </w:pPr>
      <w:r>
        <w:rPr/>
        <w:footnoteRef/>
        <w:tab/>
        <w:t>„</w:t>
      </w:r>
      <w:r>
        <w:rPr/>
        <w:t xml:space="preserve">Durch das Wort“ kann sich auch auf „heiligen“ beziehen. </w:t>
      </w:r>
    </w:p>
  </w:footnote>
  <w:footnote w:id="6033">
    <w:p>
      <w:pPr>
        <w:pStyle w:val="Funote"/>
        <w:rPr/>
      </w:pPr>
      <w:r>
        <w:rPr/>
        <w:footnoteRef/>
        <w:tab/>
        <w:t xml:space="preserve">Aufgelöstes Ptz. Aor. Die modale Deutung ist wahrscheinlich, eine temporale oder kausale möglich; die genaue Bewertung hängt von der Deutung des „Wasserbads“ ab. </w:t>
      </w:r>
    </w:p>
  </w:footnote>
  <w:footnote w:id="6034">
    <w:p>
      <w:pPr>
        <w:pStyle w:val="Funote"/>
        <w:rPr/>
      </w:pPr>
      <w:r>
        <w:rPr/>
        <w:footnoteRef/>
        <w:tab/>
        <w:t xml:space="preserve">So alle deutschen Übersetzungen. </w:t>
      </w:r>
    </w:p>
  </w:footnote>
  <w:footnote w:id="6035">
    <w:p>
      <w:pPr>
        <w:pStyle w:val="Funote"/>
        <w:rPr/>
      </w:pPr>
      <w:r>
        <w:rPr/>
        <w:footnoteRef/>
        <w:tab/>
        <w:t xml:space="preserve">So alle englischen Übersetzungen. </w:t>
      </w:r>
    </w:p>
  </w:footnote>
  <w:footnote w:id="6036">
    <w:p>
      <w:pPr>
        <w:pStyle w:val="Funote"/>
        <w:rPr/>
      </w:pPr>
      <w:r>
        <w:rPr/>
        <w:footnoteRef/>
        <w:tab/>
        <w:t xml:space="preserve">So Louw/Nida; DBL Greek. </w:t>
      </w:r>
    </w:p>
  </w:footnote>
  <w:footnote w:id="6037">
    <w:p>
      <w:pPr>
        <w:pStyle w:val="Funote"/>
        <w:rPr/>
      </w:pPr>
      <w:r>
        <w:rPr/>
        <w:footnoteRef/>
        <w:tab/>
        <w:t xml:space="preserve">Auflösung eines Ptz. Präs. als Relativsatz. Auch möglich: konsekutiv/final, modal oder durch Weglassung des Verbs mit „ohne“. </w:t>
      </w:r>
    </w:p>
  </w:footnote>
  <w:footnote w:id="6038">
    <w:p>
      <w:pPr>
        <w:pStyle w:val="Funote"/>
        <w:rPr/>
      </w:pPr>
      <w:r>
        <w:rPr/>
        <w:footnoteRef/>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6039">
    <w:p>
      <w:pPr>
        <w:pStyle w:val="Funote"/>
        <w:rPr/>
      </w:pPr>
      <w:r>
        <w:rPr/>
        <w:footnoteRef/>
        <w:tab/>
        <w:t xml:space="preserve">Oder: „Die Männer sollen... so lieben wie ihren“, </w:t>
      </w:r>
      <w:r>
        <w:rPr>
          <w:lang w:val="el-GR"/>
        </w:rPr>
        <w:t>οὕτως</w:t>
      </w:r>
      <w:r>
        <w:rPr/>
        <w:t xml:space="preserve"> (so) wird dann nicht zum Vergleich mit dem Vorhergehenden, sondern dem unmittelbar Folgenden interpretiert (Muddiman). </w:t>
      </w:r>
    </w:p>
  </w:footnote>
  <w:footnote w:id="6040">
    <w:p>
      <w:pPr>
        <w:pStyle w:val="Funote"/>
        <w:rPr/>
      </w:pPr>
      <w:r>
        <w:rPr/>
        <w:footnoteRef/>
        <w:tab/>
        <w:t>Auflösung eines subst. Ptz. Präs.</w:t>
      </w:r>
    </w:p>
  </w:footnote>
  <w:footnote w:id="6041">
    <w:p>
      <w:pPr>
        <w:pStyle w:val="Funote"/>
        <w:rPr/>
      </w:pPr>
      <w:r>
        <w:rPr/>
        <w:footnoteRef/>
        <w:tab/>
        <w:t xml:space="preserve">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 </w:t>
      </w:r>
    </w:p>
  </w:footnote>
  <w:footnote w:id="6042">
    <w:p>
      <w:pPr>
        <w:pStyle w:val="Funote"/>
        <w:rPr/>
      </w:pPr>
      <w:r>
        <w:rPr/>
        <w:footnoteRef/>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6043">
    <w:p>
      <w:pPr>
        <w:pStyle w:val="Funote"/>
        <w:rPr/>
      </w:pPr>
      <w:r>
        <w:rPr/>
        <w:footnoteRef/>
        <w:tab/>
        <w:t xml:space="preserve">Das Futur ist in diesem Vers (alle Verben) wie das zitierte hebräische Imperfekt in Gen 2,24 gnomisch zu verstehen, markiert also eine grundsätzliche Beobachtung und keine zukünftige Handlung. </w:t>
      </w:r>
    </w:p>
  </w:footnote>
  <w:footnote w:id="6044">
    <w:p>
      <w:pPr>
        <w:pStyle w:val="Funote"/>
        <w:rPr/>
      </w:pPr>
      <w:r>
        <w:rPr/>
        <w:footnoteRef/>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6045">
    <w:p>
      <w:pPr>
        <w:pStyle w:val="Funote"/>
        <w:rPr/>
      </w:pPr>
      <w:r>
        <w:rPr/>
        <w:footnoteRef/>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6046">
    <w:p>
      <w:pPr>
        <w:pStyle w:val="Funote"/>
        <w:rPr/>
      </w:pPr>
      <w:r>
        <w:rPr/>
        <w:footnoteRef/>
        <w:tab/>
        <w:t>Vgl. NSS.</w:t>
      </w:r>
    </w:p>
  </w:footnote>
  <w:footnote w:id="6047">
    <w:p>
      <w:pPr>
        <w:pStyle w:val="Funote"/>
        <w:rPr/>
      </w:pPr>
      <w:r>
        <w:rPr/>
        <w:footnoteRef/>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6048">
    <w:p>
      <w:pPr>
        <w:pStyle w:val="Funote"/>
        <w:rPr/>
      </w:pPr>
      <w:r>
        <w:rPr>
          <w:lang w:val="el-GR"/>
        </w:rPr>
        <w:footnoteRef/>
        <w:tab/>
        <w:t>ἵνα</w:t>
      </w:r>
      <w:r>
        <w:rPr/>
        <w:t xml:space="preserve">+Konj. entspricht dem Ipv. </w:t>
      </w:r>
    </w:p>
  </w:footnote>
  <w:footnote w:id="6049">
    <w:p>
      <w:pPr>
        <w:pStyle w:val="Funote"/>
        <w:rPr/>
      </w:pPr>
      <w:r>
        <w:rPr/>
        <w:footnoteRef/>
        <w:tab/>
        <w:t xml:space="preserve">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 </w:t>
      </w:r>
    </w:p>
  </w:footnote>
  <w:footnote w:id="6050">
    <w:p>
      <w:pPr>
        <w:pStyle w:val="Funote"/>
        <w:rPr/>
      </w:pPr>
      <w:r>
        <w:rPr/>
        <w:footnoteRef/>
        <w:tab/>
        <w:t>[Status: Ungeprüft]</w:t>
      </w:r>
    </w:p>
  </w:footnote>
  <w:footnote w:id="6051">
    <w:p>
      <w:pPr>
        <w:pStyle w:val="Funote"/>
        <w:rPr/>
      </w:pPr>
      <w:r>
        <w:rPr/>
        <w:footnoteRef/>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6052">
    <w:p>
      <w:pPr>
        <w:pStyle w:val="Funote"/>
        <w:rPr/>
      </w:pPr>
      <w:r>
        <w:rPr/>
        <w:footnoteRef/>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xml:space="preserve">) beschäftigt waren. Sind die Begriffe hier nach dieser Analogie zu verstehen, so hätte man also nicht an 'geistliche' Ämter in unserem Sinn zu denken …, sondern an Ämter vorwiegend ökonomischen Charakters“ (Barth, S. 3). </w:t>
      </w:r>
    </w:p>
  </w:footnote>
  <w:footnote w:id="6053">
    <w:p>
      <w:pPr>
        <w:pStyle w:val="Funote"/>
        <w:rPr/>
      </w:pPr>
      <w:r>
        <w:rPr/>
        <w:footnoteRef/>
        <w:tab/>
        <w:t xml:space="preserve">Einige abendländische Textzeugen haben statt </w:t>
      </w:r>
      <w:r>
        <w:rPr>
          <w:lang w:val="el-GR"/>
        </w:rPr>
        <w:t>τῷ θεῷ: τῷ κυρίῳ</w:t>
      </w:r>
      <w:r>
        <w:rPr/>
        <w:t xml:space="preserve"> (vgl. Barth, S. 5). </w:t>
      </w:r>
    </w:p>
  </w:footnote>
  <w:footnote w:id="6054">
    <w:p>
      <w:pPr>
        <w:pStyle w:val="Funote"/>
        <w:rPr/>
      </w:pPr>
      <w:r>
        <w:rPr/>
        <w:footnoteRef/>
        <w:tab/>
        <w:t>Im Gebet; man könnte auch übersetzen: für all euer Gedenken [an mich], doch legt die Parallele Römer 1,9 das nicht nahe (vgl. Barth, S. 6, Anm. 1).</w:t>
      </w:r>
    </w:p>
  </w:footnote>
  <w:footnote w:id="6055">
    <w:p>
      <w:pPr>
        <w:pStyle w:val="Funote"/>
        <w:rPr/>
      </w:pPr>
      <w:r>
        <w:rPr/>
        <w:footnoteRef/>
        <w:tab/>
        <w:t xml:space="preserve">Partizip Präsens Passiv modal aufgelöst. </w:t>
      </w:r>
    </w:p>
  </w:footnote>
  <w:footnote w:id="6056">
    <w:p>
      <w:pPr>
        <w:pStyle w:val="Funote"/>
        <w:rPr/>
      </w:pPr>
      <w:r>
        <w:rPr/>
        <w:footnoteRef/>
        <w:tab/>
        <w:t xml:space="preserve">Partizip Aorist Medium relativisch aufgelöst. </w:t>
      </w:r>
    </w:p>
  </w:footnote>
  <w:footnote w:id="6057">
    <w:p>
      <w:pPr>
        <w:pStyle w:val="Funote"/>
        <w:rPr/>
      </w:pPr>
      <w:r>
        <w:rPr/>
        <w:footnoteRef/>
        <w:tab/>
        <w:t>Das Neutrum bezeichnet das, was nach irgendwelchen Rechtsforderungen gebührlich oder zu leisten ist (BA Sp. 389).</w:t>
      </w:r>
    </w:p>
  </w:footnote>
  <w:footnote w:id="6058">
    <w:p>
      <w:pPr>
        <w:pStyle w:val="Funote"/>
        <w:rPr/>
      </w:pPr>
      <w:r>
        <w:rPr>
          <w:lang w:val="el-GR"/>
        </w:rPr>
        <w:footnoteRef/>
        <w:tab/>
        <w:t>διὰ τό</w:t>
      </w:r>
      <w:r>
        <w:rPr/>
        <w:t xml:space="preserve"> zur Bezeichnung des Grundes (BDR § 402,1).</w:t>
      </w:r>
    </w:p>
  </w:footnote>
  <w:footnote w:id="6059">
    <w:p>
      <w:pPr>
        <w:pStyle w:val="Funote"/>
        <w:rPr/>
      </w:pPr>
      <w:r>
        <w:rPr/>
        <w:footnoteRef/>
        <w:tab/>
        <w:t xml:space="preserve">Oder: mit, </w:t>
      </w:r>
      <w:r>
        <w:rPr>
          <w:lang w:val="el-GR"/>
        </w:rPr>
        <w:t>ἐν</w:t>
      </w:r>
      <w:r>
        <w:rPr/>
        <w:t xml:space="preserve"> instrumental gebraucht (vgl. BDR § 219).</w:t>
      </w:r>
    </w:p>
  </w:footnote>
  <w:footnote w:id="6060">
    <w:p>
      <w:pPr>
        <w:pStyle w:val="Funote"/>
        <w:rPr/>
      </w:pPr>
      <w:r>
        <w:rPr>
          <w:lang w:val="el-GR"/>
        </w:rPr>
        <w:footnoteRef/>
        <w:tab/>
        <w:t>σπλάγχνον</w:t>
      </w:r>
      <w:r>
        <w:rPr/>
        <w:t xml:space="preserve"> bezeichnet urspr. die Eingeweide, im übertragenen Sinne den Sitz der Gefühle (in unserem Sprachgebrauch: das Herz) (BA Sp. 1511).</w:t>
      </w:r>
    </w:p>
  </w:footnote>
  <w:footnote w:id="6061">
    <w:p>
      <w:pPr>
        <w:pStyle w:val="Funote"/>
        <w:rPr/>
      </w:pPr>
      <w:r>
        <w:rPr>
          <w:lang w:val="el-GR"/>
        </w:rPr>
        <w:footnoteRef/>
        <w:tab/>
        <w:t>ἐπίγνωσις</w:t>
      </w:r>
      <w:r>
        <w:rPr/>
        <w:t xml:space="preserve"> bezeichnet das intellektuelle Erkennen, </w:t>
      </w:r>
      <w:r>
        <w:rPr>
          <w:lang w:val="el-GR"/>
        </w:rPr>
        <w:t>αἴσθησις</w:t>
      </w:r>
      <w:r>
        <w:rPr/>
        <w:t xml:space="preserve"> das sittliche Verständnis, den Takt (BA Sp. 48).</w:t>
      </w:r>
    </w:p>
  </w:footnote>
  <w:footnote w:id="6062">
    <w:p>
      <w:pPr>
        <w:pStyle w:val="Funote"/>
        <w:rPr/>
      </w:pPr>
      <w:r>
        <w:rPr>
          <w:lang w:val="el-GR"/>
        </w:rPr>
        <w:footnoteRef/>
        <w:tab/>
        <w:t>ἐις τό</w:t>
      </w:r>
      <w:r>
        <w:rPr/>
        <w:t xml:space="preserve"> bezeichnet Zweck oder Folge (BDR § 402,2).</w:t>
      </w:r>
    </w:p>
  </w:footnote>
  <w:footnote w:id="6063">
    <w:p>
      <w:pPr>
        <w:pStyle w:val="Funote"/>
        <w:rPr/>
      </w:pPr>
      <w:r>
        <w:rPr/>
        <w:footnoteRef/>
        <w:tab/>
        <w:t>Tautologie (BDR § 495 Anm. 2)</w:t>
      </w:r>
    </w:p>
  </w:footnote>
  <w:footnote w:id="6064">
    <w:p>
      <w:pPr>
        <w:pStyle w:val="Funote"/>
        <w:rPr/>
      </w:pPr>
      <w:r>
        <w:rPr>
          <w:lang w:val="el-GR"/>
        </w:rPr>
        <w:footnoteRef/>
        <w:tab/>
        <w:t>ἐις</w:t>
      </w:r>
      <w:r>
        <w:rPr/>
        <w:t xml:space="preserve"> zum Ausdruck der Bestimmung (BDR § 207,3).</w:t>
      </w:r>
    </w:p>
  </w:footnote>
  <w:footnote w:id="6065">
    <w:p>
      <w:pPr>
        <w:pStyle w:val="Funote"/>
        <w:rPr/>
      </w:pPr>
      <w:r>
        <w:rPr/>
        <w:footnoteRef/>
        <w:tab/>
        <w:t>Barth, S. 5 ergänzt das Verb.</w:t>
      </w:r>
    </w:p>
  </w:footnote>
  <w:footnote w:id="6066">
    <w:p>
      <w:pPr>
        <w:pStyle w:val="Funote"/>
        <w:rPr/>
      </w:pPr>
      <w:r>
        <w:rPr/>
        <w:footnoteRef/>
        <w:tab/>
        <w:t>wörtl.: Brüder</w:t>
      </w:r>
    </w:p>
  </w:footnote>
  <w:footnote w:id="6067">
    <w:p>
      <w:pPr>
        <w:pStyle w:val="Funote"/>
        <w:rPr/>
      </w:pPr>
      <w:r>
        <w:rPr/>
        <w:footnoteRef/>
        <w:tab/>
        <w:t>adverbieller Akkusativ, BDR § 266,4: wörtl.: "das in Bezug auf mich" - Barth übersetzt: "das, was mir widerfahren ist" - damit geht er auf Fragen seiner Adressaten ein, vgl. S. 17</w:t>
      </w:r>
    </w:p>
  </w:footnote>
  <w:footnote w:id="6068">
    <w:p>
      <w:pPr>
        <w:pStyle w:val="Funote"/>
        <w:rPr/>
      </w:pPr>
      <w:r>
        <w:rPr/>
        <w:footnoteRef/>
        <w:tab/>
        <w:t xml:space="preserve">so BW Sp. 616. Die Verbform ist Aorist von </w:t>
      </w:r>
      <w:r>
        <w:rPr>
          <w:lang w:val="el-GR"/>
        </w:rPr>
        <w:t>ἕρχομαι</w:t>
      </w:r>
      <w:r>
        <w:rPr/>
        <w:t>, kommen, gelangen</w:t>
      </w:r>
    </w:p>
  </w:footnote>
  <w:footnote w:id="6069">
    <w:p>
      <w:pPr>
        <w:pStyle w:val="Funote"/>
        <w:rPr/>
      </w:pPr>
      <w:r>
        <w:rPr/>
        <w:footnoteRef/>
        <w:tab/>
        <w:t xml:space="preserve">Konsekutivsatz: </w:t>
      </w:r>
      <w:r>
        <w:rPr>
          <w:lang w:val="el-GR"/>
        </w:rPr>
        <w:t>ὥστε</w:t>
      </w:r>
      <w:r>
        <w:rPr/>
        <w:t xml:space="preserve"> + Infinitiv = gedachte/ tatsächliche Folge, BDR § 391</w:t>
      </w:r>
    </w:p>
  </w:footnote>
  <w:footnote w:id="6070">
    <w:p>
      <w:pPr>
        <w:pStyle w:val="Funote"/>
        <w:rPr/>
      </w:pPr>
      <w:r>
        <w:rPr/>
        <w:footnoteRef/>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6071">
    <w:p>
      <w:pPr>
        <w:pStyle w:val="Funote"/>
        <w:rPr/>
      </w:pPr>
      <w:r>
        <w:rPr/>
        <w:footnoteRef/>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6072">
    <w:p>
      <w:pPr>
        <w:pStyle w:val="Funote"/>
        <w:rPr/>
      </w:pPr>
      <w:r>
        <w:rPr/>
        <w:footnoteRef/>
        <w:tab/>
        <w:t>Bath schlägt als freie Übersetzung vor: "Bei den Prätorianern und der ganzen Gesellschaft ist meine Gefangenschaft an der Tagesordnung", S. 20</w:t>
      </w:r>
    </w:p>
  </w:footnote>
  <w:footnote w:id="6073">
    <w:p>
      <w:pPr>
        <w:pStyle w:val="Funote"/>
        <w:rPr/>
      </w:pPr>
      <w:r>
        <w:rPr/>
        <w:footnoteRef/>
        <w:tab/>
        <w:t>wörtl.: Brüder</w:t>
      </w:r>
    </w:p>
  </w:footnote>
  <w:footnote w:id="6074">
    <w:p>
      <w:pPr>
        <w:pStyle w:val="Funote"/>
        <w:rPr/>
      </w:pPr>
      <w:hyperlink r:id="rId617">
        <w:r>
          <w:rPr>
            <w:rStyle w:val="Internetverknpfung"/>
          </w:rPr>
          <w:footnoteRef/>
          <w:tab/>
          <w:t>Ptz. coni.</w:t>
        </w:r>
      </w:hyperlink>
      <w:r>
        <w:rPr/>
        <w:t>,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6075">
    <w:p>
      <w:pPr>
        <w:pStyle w:val="Funote"/>
        <w:rPr/>
      </w:pPr>
      <w:r>
        <w:rPr/>
        <w:footnoteRef/>
        <w:tab/>
        <w:t>Lohmeyer zieht zusammen: "kühnlicher es wagten …", vgl. S. 38</w:t>
      </w:r>
    </w:p>
  </w:footnote>
  <w:footnote w:id="6076">
    <w:p>
      <w:pPr>
        <w:pStyle w:val="Funote"/>
        <w:rPr/>
      </w:pPr>
      <w:r>
        <w:rPr/>
        <w:footnoteRef/>
        <w:tab/>
        <w:t>das Verb steht am Ende des Satzes, im Dt. muss es nach vorn gezogen werden</w:t>
      </w:r>
    </w:p>
  </w:footnote>
  <w:footnote w:id="6077">
    <w:p>
      <w:pPr>
        <w:pStyle w:val="Funote"/>
        <w:rPr/>
      </w:pPr>
      <w:r>
        <w:rPr/>
        <w:footnoteRef/>
        <w:tab/>
        <w:t>Das eigenartige "auch" will andeuten: Nicht NUR aus Neid und Streit, vgl. Barth, S. 23. Es geht jedenfalls nicht um inhaltliche Gegensätze, sondern um persönliche Gegnerschaft Paulus gegenüber (S. 24)</w:t>
      </w:r>
    </w:p>
  </w:footnote>
  <w:footnote w:id="6078">
    <w:p>
      <w:pPr>
        <w:pStyle w:val="Funote"/>
        <w:rPr/>
      </w:pPr>
      <w:hyperlink r:id="rId618">
        <w:r>
          <w:rPr>
            <w:rStyle w:val="Internetverknpfung"/>
          </w:rPr>
          <w:footnoteRef/>
          <w:tab/>
          <w:t>Ptz. coni.</w:t>
        </w:r>
      </w:hyperlink>
      <w:r>
        <w:rPr/>
        <w:t>, kausal aufgelöst</w:t>
      </w:r>
    </w:p>
  </w:footnote>
  <w:footnote w:id="6079">
    <w:p>
      <w:pPr>
        <w:pStyle w:val="Funote"/>
        <w:rPr/>
      </w:pPr>
      <w:hyperlink r:id="rId619">
        <w:r>
          <w:rPr>
            <w:rStyle w:val="Internetverknpfung"/>
          </w:rPr>
          <w:footnoteRef/>
          <w:tab/>
          <w:t>Ptz. coni.</w:t>
        </w:r>
      </w:hyperlink>
      <w:r>
        <w:rPr/>
        <w:t>, kausal aufgelöst</w:t>
      </w:r>
    </w:p>
  </w:footnote>
  <w:footnote w:id="6080">
    <w:p>
      <w:pPr>
        <w:pStyle w:val="Funote"/>
        <w:rPr/>
      </w:pPr>
      <w:r>
        <w:rPr/>
        <w:footnoteRef/>
        <w:tab/>
        <w:t>Barth: "Was ist dabei?" Lohmeyer: "Was tut's?"</w:t>
      </w:r>
    </w:p>
  </w:footnote>
  <w:footnote w:id="6081">
    <w:p>
      <w:pPr>
        <w:pStyle w:val="Funote"/>
        <w:rPr/>
      </w:pPr>
      <w:r>
        <w:rPr/>
        <w:footnoteRef/>
        <w:tab/>
        <w:t xml:space="preserve">Der Satz hat kein Verb; es ist das Hilfsverb </w:t>
      </w:r>
      <w:r>
        <w:rPr>
          <w:lang w:val="el-GR"/>
        </w:rPr>
        <w:t>ἐστίν</w:t>
      </w:r>
      <w:r>
        <w:rPr/>
        <w:t>, sein, zu ergänzen; die beiden Infinitive sind substantiviert. Man könnte auch ergänzen "heißt", "bedeutet"</w:t>
      </w:r>
    </w:p>
  </w:footnote>
  <w:footnote w:id="6082">
    <w:p>
      <w:pPr>
        <w:pStyle w:val="Funote"/>
        <w:rPr/>
      </w:pPr>
      <w:r>
        <w:rPr/>
        <w:footnoteRef/>
        <w:tab/>
        <w:t>vgl. Gal 2,20: "Ich lebe, aber nicht mehr ich, sondern es lebt in mir Christus"</w:t>
      </w:r>
    </w:p>
  </w:footnote>
  <w:footnote w:id="6083">
    <w:p>
      <w:pPr>
        <w:pStyle w:val="Funote"/>
        <w:rPr/>
      </w:pPr>
      <w:r>
        <w:rPr/>
        <w:footnoteRef/>
        <w:tab/>
        <w:t>substantivierter Infinitiv</w:t>
      </w:r>
    </w:p>
  </w:footnote>
  <w:footnote w:id="6084">
    <w:p>
      <w:pPr>
        <w:pStyle w:val="Funote"/>
        <w:rPr/>
      </w:pPr>
      <w:r>
        <w:rPr/>
        <w:footnoteRef/>
        <w:tab/>
        <w:t>"'Leben im Fleisch' heißt 'Ernten'. Das ist die Möglichkeit, die im Fall seines Sterbens wegfallen würde. Darum kann er auch das 'Leben im Fleisch', wenn es sein soll, bejahen." (Barth, S. 33)</w:t>
      </w:r>
    </w:p>
  </w:footnote>
  <w:footnote w:id="6085">
    <w:p>
      <w:pPr>
        <w:pStyle w:val="Funote"/>
        <w:rPr/>
      </w:pPr>
      <w:hyperlink r:id="rId620">
        <w:r>
          <w:rPr>
            <w:rStyle w:val="Internetverknpfung"/>
          </w:rPr>
          <w:footnoteRef/>
          <w:tab/>
          <w:t>Ptz. coni.</w:t>
        </w:r>
      </w:hyperlink>
    </w:p>
  </w:footnote>
  <w:footnote w:id="6086">
    <w:p>
      <w:pPr>
        <w:pStyle w:val="Funote"/>
        <w:rPr/>
      </w:pPr>
      <w:r>
        <w:rPr/>
        <w:footnoteRef/>
        <w:tab/>
        <w:t>Euphemismus für "sterben"</w:t>
      </w:r>
    </w:p>
  </w:footnote>
  <w:footnote w:id="6087">
    <w:p>
      <w:pPr>
        <w:pStyle w:val="Funote"/>
        <w:rPr/>
      </w:pPr>
      <w:r>
        <w:rPr/>
        <w:footnoteRef/>
        <w:tab/>
        <w:t>Die Häufung von Komparativen bildet einen Pleonasmus, der zu einer Verstärkung führt, BDR § 246,1. Lohmann übersetzt: das ist "weit, weit besser"</w:t>
      </w:r>
    </w:p>
  </w:footnote>
  <w:footnote w:id="6088">
    <w:p>
      <w:pPr>
        <w:pStyle w:val="Funote"/>
        <w:rPr/>
      </w:pPr>
      <w:hyperlink r:id="rId621">
        <w:r>
          <w:rPr>
            <w:rStyle w:val="Internetverknpfung"/>
          </w:rPr>
          <w:footnoteRef/>
          <w:tab/>
          <w:t>Ptz. coni.</w:t>
        </w:r>
      </w:hyperlink>
    </w:p>
  </w:footnote>
  <w:footnote w:id="6089">
    <w:p>
      <w:pPr>
        <w:pStyle w:val="Funote"/>
        <w:rPr/>
      </w:pPr>
      <w:hyperlink r:id="rId622">
        <w:r>
          <w:rPr>
            <w:rStyle w:val="Internetverknpfung"/>
          </w:rPr>
          <w:footnoteRef/>
          <w:tab/>
          <w:t>Ptz. coni.</w:t>
        </w:r>
      </w:hyperlink>
    </w:p>
  </w:footnote>
  <w:footnote w:id="6090">
    <w:p>
      <w:pPr>
        <w:pStyle w:val="Funote"/>
        <w:rPr/>
      </w:pPr>
      <w:hyperlink r:id="rId623">
        <w:r>
          <w:rPr>
            <w:rStyle w:val="Internetverknpfung"/>
          </w:rPr>
          <w:footnoteRef/>
          <w:tab/>
          <w:t>Ptz.</w:t>
        </w:r>
      </w:hyperlink>
    </w:p>
  </w:footnote>
  <w:footnote w:id="6091">
    <w:p>
      <w:pPr>
        <w:pStyle w:val="Funote"/>
        <w:rPr/>
      </w:pPr>
      <w:hyperlink r:id="rId624">
        <w:r>
          <w:rPr>
            <w:rStyle w:val="Internetverknpfung"/>
          </w:rPr>
          <w:footnoteRef/>
          <w:tab/>
          <w:t>Ptz.</w:t>
        </w:r>
      </w:hyperlink>
    </w:p>
  </w:footnote>
  <w:footnote w:id="6092">
    <w:p>
      <w:pPr>
        <w:pStyle w:val="Funote"/>
        <w:rPr/>
      </w:pPr>
      <w:r>
        <w:rPr/>
        <w:footnoteRef/>
        <w:tab/>
        <w:t>das Hilfsverb, das im Griech. am Anfang des Satzes steht, muss im Dt. nach hinten gezogen werden</w:t>
      </w:r>
    </w:p>
  </w:footnote>
  <w:footnote w:id="6093">
    <w:p>
      <w:pPr>
        <w:pStyle w:val="Funote"/>
        <w:rPr/>
      </w:pPr>
      <w:r>
        <w:rPr/>
        <w:footnoteRef/>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6094">
    <w:p>
      <w:pPr>
        <w:pStyle w:val="Funote"/>
        <w:rPr/>
      </w:pPr>
      <w:r>
        <w:rPr/>
        <w:footnoteRef/>
        <w:tab/>
        <w:t>[Status: Ungeprüft]</w:t>
      </w:r>
    </w:p>
  </w:footnote>
  <w:footnote w:id="6095">
    <w:p>
      <w:pPr>
        <w:pStyle w:val="Funote"/>
        <w:rPr/>
      </w:pPr>
      <w:r>
        <w:rPr>
          <w:lang w:val="el-GR"/>
        </w:rPr>
        <w:footnoteRef/>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6096">
    <w:p>
      <w:pPr>
        <w:pStyle w:val="Funote"/>
        <w:rPr/>
      </w:pPr>
      <w:r>
        <w:rPr>
          <w:lang w:val="el-GR"/>
        </w:rPr>
        <w:footnoteRef/>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6097">
    <w:p>
      <w:pPr>
        <w:pStyle w:val="Funote"/>
        <w:rPr/>
      </w:pPr>
      <w:r>
        <w:rPr/>
        <w:footnoteRef/>
        <w:tab/>
        <w:t>Ptz.</w:t>
      </w:r>
    </w:p>
  </w:footnote>
  <w:footnote w:id="6098">
    <w:p>
      <w:pPr>
        <w:pStyle w:val="Funote"/>
        <w:rPr/>
      </w:pPr>
      <w:r>
        <w:rPr/>
        <w:footnoteRef/>
        <w:tab/>
        <w:t>Ptz.</w:t>
      </w:r>
    </w:p>
  </w:footnote>
  <w:footnote w:id="6099">
    <w:p>
      <w:pPr>
        <w:pStyle w:val="Funote"/>
        <w:rPr/>
      </w:pPr>
      <w:r>
        <w:rPr/>
        <w:footnoteRef/>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6100">
    <w:p>
      <w:pPr>
        <w:pStyle w:val="Funote"/>
        <w:rPr/>
      </w:pPr>
      <w:hyperlink r:id="rId625">
        <w:r>
          <w:rPr>
            <w:rStyle w:val="Internetverknpfung"/>
          </w:rPr>
          <w:footnoteRef/>
          <w:tab/>
          <w:t>Ptz. coni.</w:t>
        </w:r>
      </w:hyperlink>
      <w:r>
        <w:rPr/>
        <w:t>, mit Nebensatz aufgelöst</w:t>
      </w:r>
    </w:p>
  </w:footnote>
  <w:footnote w:id="6101">
    <w:p>
      <w:pPr>
        <w:pStyle w:val="Funote"/>
        <w:rPr/>
      </w:pPr>
      <w:r>
        <w:rPr/>
        <w:footnoteRef/>
        <w:tab/>
        <w:t>Ptz.</w:t>
      </w:r>
    </w:p>
  </w:footnote>
  <w:footnote w:id="6102">
    <w:p>
      <w:pPr>
        <w:pStyle w:val="Funote"/>
        <w:rPr/>
      </w:pPr>
      <w:r>
        <w:rPr/>
        <w:footnoteRef/>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6103">
    <w:p>
      <w:pPr>
        <w:pStyle w:val="Funote"/>
        <w:rPr/>
      </w:pPr>
      <w:r>
        <w:rPr/>
        <w:footnoteRef/>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6104">
    <w:p>
      <w:pPr>
        <w:pStyle w:val="Funote"/>
        <w:rPr/>
      </w:pPr>
      <w:r>
        <w:rPr/>
        <w:footnoteRef/>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6105">
    <w:p>
      <w:pPr>
        <w:pStyle w:val="Funote"/>
        <w:rPr/>
      </w:pPr>
      <w:hyperlink r:id="rId626">
        <w:r>
          <w:rPr>
            <w:rStyle w:val="Internetverknpfung"/>
          </w:rPr>
          <w:footnoteRef/>
          <w:tab/>
          <w:t>Ptz. coni.</w:t>
        </w:r>
      </w:hyperlink>
      <w:r>
        <w:rPr/>
        <w:t>, konzessiv übersetzt</w:t>
      </w:r>
    </w:p>
  </w:footnote>
  <w:footnote w:id="6106">
    <w:p>
      <w:pPr>
        <w:pStyle w:val="Funote"/>
        <w:rPr/>
      </w:pPr>
      <w:r>
        <w:rPr/>
        <w:footnoteRef/>
        <w:tab/>
        <w:t xml:space="preserve">Im hellen. Griechisch ersetzt </w:t>
      </w:r>
      <w:r>
        <w:rPr>
          <w:lang w:val="el-GR"/>
        </w:rPr>
        <w:t>ὑπάρχω</w:t>
      </w:r>
      <w:r>
        <w:rPr/>
        <w:t xml:space="preserve"> das Partizip von </w:t>
      </w:r>
      <w:r>
        <w:rPr>
          <w:lang w:val="el-GR"/>
        </w:rPr>
        <w:t>εἴναι</w:t>
      </w:r>
      <w:r>
        <w:rPr/>
        <w:t>, BW Sp. 1658</w:t>
      </w:r>
    </w:p>
  </w:footnote>
  <w:footnote w:id="6107">
    <w:p>
      <w:pPr>
        <w:pStyle w:val="Funote"/>
        <w:rPr/>
      </w:pPr>
      <w:r>
        <w:rPr>
          <w:lang w:val="el-GR"/>
        </w:rPr>
        <w:footnoteRef/>
        <w:tab/>
        <w:t>ἁρπαγμός</w:t>
      </w:r>
      <w:r>
        <w:rPr/>
        <w:t xml:space="preserve"> lässt sich sowohl sensu malo fassen: Das Geraubte, die Beute, wie auch sensu bono: Das Geschenk des Zufalls, der Glücksfund, BW Sp. 215</w:t>
      </w:r>
    </w:p>
  </w:footnote>
  <w:footnote w:id="6108">
    <w:p>
      <w:pPr>
        <w:pStyle w:val="Funote"/>
        <w:rPr/>
      </w:pPr>
      <w:hyperlink r:id="rId627">
        <w:r>
          <w:rPr>
            <w:rStyle w:val="Internetverknpfung"/>
          </w:rPr>
          <w:footnoteRef/>
          <w:tab/>
          <w:t>Ptz. coni.</w:t>
        </w:r>
      </w:hyperlink>
      <w:r>
        <w:rPr/>
        <w:t>, konzessiv übersetzt</w:t>
      </w:r>
    </w:p>
  </w:footnote>
  <w:footnote w:id="6109">
    <w:p>
      <w:pPr>
        <w:pStyle w:val="Funote"/>
        <w:rPr/>
      </w:pPr>
      <w:hyperlink r:id="rId628">
        <w:r>
          <w:rPr>
            <w:rStyle w:val="Internetverknpfung"/>
          </w:rPr>
          <w:footnoteRef/>
          <w:tab/>
          <w:t>Ptz. coni.</w:t>
        </w:r>
      </w:hyperlink>
      <w:r>
        <w:rPr/>
        <w:t>, beiordnend übersetzt</w:t>
      </w:r>
    </w:p>
  </w:footnote>
  <w:footnote w:id="6110">
    <w:p>
      <w:pPr>
        <w:pStyle w:val="Funote"/>
        <w:rPr/>
      </w:pPr>
      <w:r>
        <w:rPr>
          <w:lang w:val="el-GR"/>
        </w:rPr>
        <w:footnoteRef/>
        <w:tab/>
        <w:t>εὑρίσκω</w:t>
      </w:r>
      <w:r>
        <w:rPr/>
        <w:t xml:space="preserve"> wie hebr. </w:t>
      </w:r>
      <w:r>
        <w:rPr>
          <w:rtl w:val="true"/>
          <w:lang w:bidi="he-IL"/>
        </w:rPr>
        <w:t>נִמְצָה</w:t>
      </w:r>
      <w:r>
        <w:rPr/>
        <w:t>, sich zeigen, erscheinen, sich erweisen, BW Sp. 643</w:t>
      </w:r>
    </w:p>
  </w:footnote>
  <w:footnote w:id="6111">
    <w:p>
      <w:pPr>
        <w:pStyle w:val="Funote"/>
        <w:rPr/>
      </w:pPr>
      <w:hyperlink r:id="rId629">
        <w:r>
          <w:rPr>
            <w:rStyle w:val="Internetverknpfung"/>
          </w:rPr>
          <w:footnoteRef/>
          <w:tab/>
          <w:t>Ptz. coni.</w:t>
        </w:r>
      </w:hyperlink>
      <w:r>
        <w:rPr/>
        <w:t>, beiordnend übersetzt</w:t>
      </w:r>
    </w:p>
  </w:footnote>
  <w:footnote w:id="6112">
    <w:p>
      <w:pPr>
        <w:pStyle w:val="Funote"/>
        <w:rPr/>
      </w:pPr>
      <w:r>
        <w:rPr>
          <w:lang w:val="el-GR"/>
        </w:rPr>
        <w:footnoteRef/>
        <w:tab/>
        <w:t>δέ</w:t>
      </w:r>
      <w:r>
        <w:rPr/>
        <w:t xml:space="preserve"> zur Erklärung oder Steigerung: "und zwar", BDR § 447,1c</w:t>
      </w:r>
    </w:p>
  </w:footnote>
  <w:footnote w:id="6113">
    <w:p>
      <w:pPr>
        <w:pStyle w:val="Funote"/>
        <w:rPr/>
      </w:pPr>
      <w:r>
        <w:rPr/>
        <w:footnoteRef/>
        <w:tab/>
        <w:t xml:space="preserve">BW Sp. 795 s.v. </w:t>
      </w:r>
      <w:r>
        <w:rPr>
          <w:lang w:val="el-GR"/>
        </w:rPr>
        <w:t>κάμπτω</w:t>
      </w:r>
    </w:p>
  </w:footnote>
  <w:footnote w:id="6114">
    <w:p>
      <w:pPr>
        <w:pStyle w:val="Funote"/>
        <w:rPr/>
      </w:pPr>
      <w:r>
        <w:rPr/>
        <w:footnoteRef/>
        <w:tab/>
        <w:t>Zur Bezeichnung der Götter: Theokr. 25,5, BW Sp. 605</w:t>
      </w:r>
    </w:p>
  </w:footnote>
  <w:footnote w:id="6115">
    <w:p>
      <w:pPr>
        <w:pStyle w:val="Funote"/>
        <w:rPr/>
      </w:pPr>
      <w:r>
        <w:rPr/>
        <w:footnoteRef/>
        <w:tab/>
        <w:t>Damit sind nicht nur die Menschen gemeint, sondern auch Dämonen, Götter, BW Sp. 575</w:t>
      </w:r>
    </w:p>
  </w:footnote>
  <w:footnote w:id="6116">
    <w:p>
      <w:pPr>
        <w:pStyle w:val="Funote"/>
        <w:rPr/>
      </w:pPr>
      <w:r>
        <w:rPr/>
        <w:footnoteRef/>
        <w:tab/>
        <w:t>So BW Sp. 548</w:t>
      </w:r>
    </w:p>
  </w:footnote>
  <w:footnote w:id="6117">
    <w:p>
      <w:pPr>
        <w:pStyle w:val="Funote"/>
        <w:rPr/>
      </w:pPr>
      <w:r>
        <w:rPr/>
        <w:footnoteRef/>
        <w:tab/>
        <w:t>Das Verb steht im griech. Satz am Schluss, muss im dt. aber an den Anfang gezogen werden.</w:t>
      </w:r>
    </w:p>
  </w:footnote>
  <w:footnote w:id="6118">
    <w:p>
      <w:pPr>
        <w:pStyle w:val="Funote"/>
        <w:rPr/>
      </w:pPr>
      <w:hyperlink r:id="rId630">
        <w:r>
          <w:rPr>
            <w:rStyle w:val="Internetverknpfung"/>
          </w:rPr>
          <w:footnoteRef/>
          <w:tab/>
          <w:t>Ptz. coni.</w:t>
        </w:r>
      </w:hyperlink>
      <w:r>
        <w:rPr/>
        <w:t>, relativisch aufgelöst</w:t>
      </w:r>
    </w:p>
  </w:footnote>
  <w:footnote w:id="6119">
    <w:p>
      <w:pPr>
        <w:pStyle w:val="Funote"/>
        <w:rPr/>
      </w:pPr>
      <w:r>
        <w:rPr/>
        <w:footnoteRef/>
        <w:tab/>
        <w:t xml:space="preserve">Es handelt sich beim Bewirken Gottes und beim wirksam Sein der Phillipper um dieselbe Vokabel </w:t>
      </w:r>
      <w:r>
        <w:rPr>
          <w:lang w:val="el-GR"/>
        </w:rPr>
        <w:t>ἐνεργέω</w:t>
      </w:r>
      <w:r>
        <w:rPr/>
        <w:t>, einmal als Partizip, einmal als substantivierter Infinitiv</w:t>
      </w:r>
    </w:p>
  </w:footnote>
  <w:footnote w:id="6120">
    <w:p>
      <w:pPr>
        <w:pStyle w:val="Funote"/>
        <w:rPr/>
      </w:pPr>
      <w:r>
        <w:rPr/>
        <w:footnoteRef/>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6121">
    <w:p>
      <w:pPr>
        <w:pStyle w:val="Funote"/>
        <w:rPr/>
      </w:pPr>
      <w:r>
        <w:rPr/>
        <w:footnoteRef/>
        <w:tab/>
        <w:t>Ptz.</w:t>
      </w:r>
    </w:p>
  </w:footnote>
  <w:footnote w:id="6122">
    <w:p>
      <w:pPr>
        <w:pStyle w:val="Funote"/>
        <w:rPr/>
      </w:pPr>
      <w:r>
        <w:rPr>
          <w:lang w:val="el-GR"/>
        </w:rPr>
        <w:footnoteRef/>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6123">
    <w:p>
      <w:pPr>
        <w:pStyle w:val="Funote"/>
        <w:rPr/>
      </w:pPr>
      <w:hyperlink r:id="rId631">
        <w:r>
          <w:rPr>
            <w:rStyle w:val="Internetverknpfung"/>
          </w:rPr>
          <w:footnoteRef/>
          <w:tab/>
          <w:t>Ptz. coni.</w:t>
        </w:r>
      </w:hyperlink>
      <w:r>
        <w:rPr/>
        <w:t>, konditional übersetzt</w:t>
      </w:r>
    </w:p>
  </w:footnote>
  <w:footnote w:id="6124">
    <w:p>
      <w:pPr>
        <w:pStyle w:val="Funote"/>
        <w:rPr/>
      </w:pPr>
      <w:r>
        <w:rPr/>
        <w:footnoteRef/>
        <w:tab/>
        <w:t xml:space="preserve">wörtl.: ebenso vortrefflich; hier ist </w:t>
      </w:r>
      <w:r>
        <w:rPr>
          <w:lang w:val="el-GR"/>
        </w:rPr>
        <w:t>ὑμῖν</w:t>
      </w:r>
      <w:r>
        <w:rPr/>
        <w:t xml:space="preserve"> zu ergänzen und "euch solidarisch" zu übersetzen, BW Sp. 753</w:t>
      </w:r>
    </w:p>
  </w:footnote>
  <w:footnote w:id="6125">
    <w:p>
      <w:pPr>
        <w:pStyle w:val="Funote"/>
        <w:rPr/>
      </w:pPr>
      <w:r>
        <w:rPr/>
        <w:footnoteRef/>
        <w:tab/>
        <w:t>Qualitativ-konsekutiver Relativsatz, das Verb steht im Futur, BDR § 379,1</w:t>
      </w:r>
    </w:p>
  </w:footnote>
  <w:footnote w:id="6126">
    <w:p>
      <w:pPr>
        <w:pStyle w:val="Funote"/>
        <w:rPr/>
      </w:pPr>
      <w:r>
        <w:rPr/>
        <w:footnoteRef/>
        <w:tab/>
        <w:t>Gemeint ist Timotheus</w:t>
      </w:r>
    </w:p>
  </w:footnote>
  <w:footnote w:id="6127">
    <w:p>
      <w:pPr>
        <w:pStyle w:val="Funote"/>
        <w:rPr/>
      </w:pPr>
      <w:r>
        <w:rPr/>
        <w:footnoteRef/>
        <w:tab/>
        <w:t>wörtl.: Diener meines Mangels, Übers.: BW Sp. 1750</w:t>
      </w:r>
    </w:p>
  </w:footnote>
  <w:footnote w:id="6128">
    <w:p>
      <w:pPr>
        <w:pStyle w:val="Funote"/>
        <w:rPr/>
      </w:pPr>
      <w:r>
        <w:rPr/>
        <w:footnoteRef/>
        <w:tab/>
        <w:t>konstruiert mit Ptz. und Hilfsverb: er war ein Sehnsucht Habender</w:t>
      </w:r>
    </w:p>
  </w:footnote>
  <w:footnote w:id="6129">
    <w:p>
      <w:pPr>
        <w:pStyle w:val="Funote"/>
        <w:rPr/>
      </w:pPr>
      <w:hyperlink r:id="rId632">
        <w:r>
          <w:rPr>
            <w:rStyle w:val="Internetverknpfung"/>
          </w:rPr>
          <w:footnoteRef/>
          <w:tab/>
          <w:t>Ptz. coni.</w:t>
        </w:r>
      </w:hyperlink>
      <w:r>
        <w:rPr/>
        <w:t>, kausal aufgelöst</w:t>
      </w:r>
    </w:p>
  </w:footnote>
  <w:footnote w:id="6130">
    <w:p>
      <w:pPr>
        <w:pStyle w:val="Funote"/>
        <w:rPr/>
      </w:pPr>
      <w:hyperlink r:id="rId633">
        <w:r>
          <w:rPr>
            <w:rStyle w:val="Internetverknpfung"/>
          </w:rPr>
          <w:footnoteRef/>
          <w:tab/>
          <w:t>Ptz. coni.</w:t>
        </w:r>
      </w:hyperlink>
      <w:r>
        <w:rPr/>
        <w:t>, beiordnend aufgelöst</w:t>
      </w:r>
    </w:p>
  </w:footnote>
  <w:footnote w:id="6131">
    <w:p>
      <w:pPr>
        <w:pStyle w:val="Funote"/>
        <w:rPr/>
      </w:pPr>
      <w:r>
        <w:rPr/>
        <w:footnoteRef/>
        <w:tab/>
        <w:t>[Status: Ungeprüft]</w:t>
      </w:r>
    </w:p>
  </w:footnote>
  <w:footnote w:id="6132">
    <w:p>
      <w:pPr>
        <w:pStyle w:val="Funote"/>
        <w:rPr/>
      </w:pPr>
      <w:r>
        <w:rPr/>
        <w:footnoteRef/>
        <w:tab/>
        <w:t>wörtl.: Brüder</w:t>
      </w:r>
    </w:p>
  </w:footnote>
  <w:footnote w:id="6133">
    <w:p>
      <w:pPr>
        <w:pStyle w:val="Funote"/>
        <w:rPr/>
      </w:pPr>
      <w:r>
        <w:rPr/>
        <w:footnoteRef/>
        <w:tab/>
        <w:t>"'Hund' ist ein geläufiges Wort jüdischer Verachtung für heidnische Völker und ihre Angehörigen." (Lohmeyer, S. 124) Hier wendet Paulus es aber gegen die Juden.</w:t>
      </w:r>
    </w:p>
  </w:footnote>
  <w:footnote w:id="6134">
    <w:p>
      <w:pPr>
        <w:pStyle w:val="Funote"/>
        <w:rPr/>
      </w:pPr>
      <w:hyperlink r:id="rId634">
        <w:r>
          <w:rPr>
            <w:rStyle w:val="Internetverknpfung"/>
          </w:rPr>
          <w:footnoteRef/>
          <w:tab/>
          <w:t>Ptz. coni.</w:t>
        </w:r>
      </w:hyperlink>
      <w:r>
        <w:rPr/>
        <w:t>, relativisch aufgelöst</w:t>
      </w:r>
    </w:p>
  </w:footnote>
  <w:footnote w:id="6135">
    <w:p>
      <w:pPr>
        <w:pStyle w:val="Funote"/>
        <w:rPr/>
      </w:pPr>
      <w:r>
        <w:rPr/>
        <w:footnoteRef/>
        <w:tab/>
        <w:t>Ptz.</w:t>
      </w:r>
    </w:p>
  </w:footnote>
  <w:footnote w:id="6136">
    <w:p>
      <w:pPr>
        <w:pStyle w:val="Funote"/>
        <w:rPr/>
      </w:pPr>
      <w:r>
        <w:rPr/>
        <w:footnoteRef/>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6137">
    <w:p>
      <w:pPr>
        <w:pStyle w:val="Funote"/>
        <w:rPr/>
      </w:pPr>
      <w:r>
        <w:rPr/>
        <w:footnoteRef/>
        <w:tab/>
        <w:t>Ptz.</w:t>
      </w:r>
    </w:p>
  </w:footnote>
  <w:footnote w:id="6138">
    <w:p>
      <w:pPr>
        <w:pStyle w:val="Funote"/>
        <w:rPr/>
      </w:pPr>
      <w:r>
        <w:rPr/>
        <w:footnoteRef/>
        <w:tab/>
        <w:t>Ptz.</w:t>
      </w:r>
    </w:p>
  </w:footnote>
  <w:footnote w:id="6139">
    <w:p>
      <w:pPr>
        <w:pStyle w:val="Funote"/>
        <w:rPr/>
      </w:pPr>
      <w:r>
        <w:rPr/>
        <w:footnoteRef/>
        <w:tab/>
        <w:t>Weil Paulus beschnittener Jude ist, s. im Folgenden. Deshalb ist vielleicht freier zu übersetzen: "obwohl ich Zuversicht haben könnte".</w:t>
      </w:r>
    </w:p>
  </w:footnote>
  <w:footnote w:id="6140">
    <w:p>
      <w:pPr>
        <w:pStyle w:val="Funote"/>
        <w:rPr/>
      </w:pPr>
      <w:r>
        <w:rPr/>
        <w:footnoteRef/>
        <w:tab/>
        <w:t xml:space="preserve">Wörtl.: Der Beschneidung nach achttägig, Dativ der Beziehung, BDR § 197, BW Sp. 1114 s.v. </w:t>
      </w:r>
      <w:r>
        <w:rPr>
          <w:lang w:val="el-GR"/>
        </w:rPr>
        <w:t>ὁκταήμερος</w:t>
      </w:r>
      <w:r>
        <w:rPr/>
        <w:t>.</w:t>
      </w:r>
    </w:p>
  </w:footnote>
  <w:footnote w:id="6141">
    <w:p>
      <w:pPr>
        <w:pStyle w:val="Funote"/>
        <w:rPr/>
      </w:pPr>
      <w:r>
        <w:rPr/>
        <w:footnoteRef/>
        <w:tab/>
        <w:t>Ptz.</w:t>
      </w:r>
    </w:p>
  </w:footnote>
  <w:footnote w:id="6142">
    <w:p>
      <w:pPr>
        <w:pStyle w:val="Funote"/>
        <w:rPr/>
      </w:pPr>
      <w:r>
        <w:rPr>
          <w:lang w:val="el-GR"/>
        </w:rPr>
        <w:footnoteRef/>
        <w:tab/>
        <w:t>γενόμενος</w:t>
      </w:r>
      <w:r>
        <w:rPr/>
        <w:t>, Ptz. passiv, also wörtl.: geworden ist.</w:t>
      </w:r>
    </w:p>
  </w:footnote>
  <w:footnote w:id="6143">
    <w:p>
      <w:pPr>
        <w:pStyle w:val="Funote"/>
        <w:rPr/>
      </w:pPr>
      <w:r>
        <w:rPr>
          <w:lang w:val="el-GR"/>
        </w:rPr>
        <w:footnoteRef/>
        <w:tab/>
        <w:t>ἡγέομαι</w:t>
      </w:r>
      <w:r>
        <w:rPr/>
        <w:t xml:space="preserve"> steht mit ACI, wörtl.: erscheint mir, dass alles Verlust ist</w:t>
      </w:r>
    </w:p>
  </w:footnote>
  <w:footnote w:id="6144">
    <w:p>
      <w:pPr>
        <w:pStyle w:val="Funote"/>
        <w:rPr/>
      </w:pPr>
      <w:hyperlink r:id="rId635">
        <w:r>
          <w:rPr>
            <w:rStyle w:val="Internetverknpfung"/>
          </w:rPr>
          <w:footnoteRef/>
          <w:tab/>
          <w:t>Ptz. coni.</w:t>
        </w:r>
      </w:hyperlink>
      <w:r>
        <w:rPr/>
        <w:t>, final aufgelöst</w:t>
      </w:r>
    </w:p>
  </w:footnote>
  <w:footnote w:id="6145">
    <w:p>
      <w:pPr>
        <w:pStyle w:val="Funote"/>
        <w:rPr/>
      </w:pPr>
      <w:r>
        <w:rPr/>
        <w:footnoteRef/>
        <w:tab/>
        <w:t>Substantivierter Infinitiv mit finalem Sinn, BDR § 400</w:t>
      </w:r>
    </w:p>
  </w:footnote>
  <w:footnote w:id="6146">
    <w:p>
      <w:pPr>
        <w:pStyle w:val="Funote"/>
        <w:rPr/>
      </w:pPr>
      <w:r>
        <w:rPr/>
        <w:footnoteRef/>
        <w:tab/>
        <w:t>Ptz.</w:t>
      </w:r>
    </w:p>
  </w:footnote>
  <w:footnote w:id="6147">
    <w:p>
      <w:pPr>
        <w:pStyle w:val="Funote"/>
        <w:rPr/>
      </w:pPr>
      <w:r>
        <w:rPr>
          <w:lang w:val="el-GR"/>
        </w:rPr>
        <w:footnoteRef/>
        <w:tab/>
        <w:t>εἰ</w:t>
      </w:r>
      <w:r>
        <w:rPr/>
        <w:t xml:space="preserve"> zum Ausdruck der Erwartung, BDR § 375</w:t>
      </w:r>
    </w:p>
  </w:footnote>
  <w:footnote w:id="6148">
    <w:p>
      <w:pPr>
        <w:pStyle w:val="Funote"/>
        <w:rPr/>
      </w:pPr>
      <w:r>
        <w:rPr/>
        <w:footnoteRef/>
        <w:tab/>
        <w:t>BW Sp. 919 g.: "vom mystischen Erfassen des Christus"</w:t>
      </w:r>
    </w:p>
  </w:footnote>
  <w:footnote w:id="6149">
    <w:p>
      <w:pPr>
        <w:pStyle w:val="Funote"/>
        <w:rPr/>
      </w:pPr>
      <w:r>
        <w:rPr/>
        <w:footnoteRef/>
        <w:tab/>
        <w:t xml:space="preserve">indirekte Frage, BDR § 368; </w:t>
      </w:r>
      <w:r>
        <w:rPr>
          <w:lang w:val="el-GR"/>
        </w:rPr>
        <w:t>εἰ</w:t>
      </w:r>
      <w:r>
        <w:rPr/>
        <w:t xml:space="preserve"> zum Ausdruck der Erwartung BDR § 375</w:t>
      </w:r>
    </w:p>
  </w:footnote>
  <w:footnote w:id="6150">
    <w:p>
      <w:pPr>
        <w:pStyle w:val="Funote"/>
        <w:rPr/>
      </w:pPr>
      <w:r>
        <w:rPr/>
        <w:footnoteRef/>
        <w:tab/>
        <w:t>wörtl.: Brüder</w:t>
      </w:r>
    </w:p>
  </w:footnote>
  <w:footnote w:id="6151">
    <w:p>
      <w:pPr>
        <w:pStyle w:val="Funote"/>
        <w:rPr/>
      </w:pPr>
      <w:r>
        <w:rPr/>
        <w:footnoteRef/>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6152">
    <w:p>
      <w:pPr>
        <w:pStyle w:val="Funote"/>
        <w:rPr/>
      </w:pPr>
      <w:r>
        <w:rPr/>
        <w:footnoteRef/>
        <w:tab/>
        <w:t>Ptz.</w:t>
      </w:r>
    </w:p>
  </w:footnote>
  <w:footnote w:id="6153">
    <w:p>
      <w:pPr>
        <w:pStyle w:val="Funote"/>
        <w:rPr/>
      </w:pPr>
      <w:r>
        <w:rPr/>
        <w:footnoteRef/>
        <w:tab/>
        <w:t>Ptz.</w:t>
      </w:r>
    </w:p>
  </w:footnote>
  <w:footnote w:id="6154">
    <w:p>
      <w:pPr>
        <w:pStyle w:val="Funote"/>
        <w:rPr/>
      </w:pPr>
      <w:r>
        <w:rPr>
          <w:lang w:val="el-GR"/>
        </w:rPr>
        <w:footnoteRef/>
        <w:tab/>
        <w:t>τέλειος</w:t>
      </w:r>
      <w:r>
        <w:rPr/>
        <w:t xml:space="preserve"> ist terminus technicus des Mysterienwesens und bedeutet "Eingeweihter"; zu denken wäre aber auch an die (im Glauben) Erwachsenen, denen die "Schwachen" (</w:t>
      </w:r>
      <w:r>
        <w:rPr>
          <w:lang w:val="el-GR"/>
        </w:rPr>
        <w:t>νήπιοι</w:t>
      </w:r>
      <w:r>
        <w:rPr/>
        <w:t>) gegenüberstehen, BW Sp. 1601f</w:t>
      </w:r>
    </w:p>
  </w:footnote>
  <w:footnote w:id="6155">
    <w:p>
      <w:pPr>
        <w:pStyle w:val="Funote"/>
        <w:rPr/>
      </w:pPr>
      <w:r>
        <w:rPr/>
        <w:footnoteRef/>
        <w:tab/>
        <w:t>Imperativischer Infinitiv, häufig bei Homer, im NT nur zwei Fälle: hier und Römer 12,15, BDR § 389. Ich verstehe den Satz so, dass Paulus mit den Philippern erreicht hat, dass sie das selbe Ziel verfolgen; daran festzhalten fordert er sie auf. Barth übersetzt freier: "Nur dass wir in der Richtung, in der wir kamen, weitergehen wollen" (S. 109).</w:t>
      </w:r>
    </w:p>
  </w:footnote>
  <w:footnote w:id="6156">
    <w:p>
      <w:pPr>
        <w:pStyle w:val="Funote"/>
        <w:rPr/>
      </w:pPr>
      <w:r>
        <w:rPr>
          <w:lang w:val="el-GR"/>
        </w:rPr>
        <w:footnoteRef/>
        <w:tab/>
        <w:t>συμμιμητής</w:t>
      </w:r>
      <w:r>
        <w:rPr/>
        <w:t xml:space="preserve"> ist der Mitnachahmer, der jemandem mit anderen zusammen nachahmt, BW Sp. 1542, deshalb habe ich hier Christus ergänzt, dem Paulus mit den Philippern zusammen nachahmt. - Sie sollen Paulus nicht nachahmen, sondern sich seine (und anderer Christen, s.u.) Nachahmung Christi zum Vorbild nehmen.</w:t>
      </w:r>
    </w:p>
  </w:footnote>
  <w:footnote w:id="6157">
    <w:p>
      <w:pPr>
        <w:pStyle w:val="Funote"/>
        <w:rPr/>
      </w:pPr>
      <w:r>
        <w:rPr/>
        <w:footnoteRef/>
        <w:tab/>
        <w:t>Wörtl.: Brüder</w:t>
      </w:r>
    </w:p>
  </w:footnote>
  <w:footnote w:id="6158">
    <w:p>
      <w:pPr>
        <w:pStyle w:val="Funote"/>
        <w:rPr/>
      </w:pPr>
      <w:r>
        <w:rPr/>
        <w:footnoteRef/>
        <w:tab/>
        <w:t>Ptz.</w:t>
      </w:r>
    </w:p>
  </w:footnote>
  <w:footnote w:id="6159">
    <w:p>
      <w:pPr>
        <w:pStyle w:val="Funote"/>
        <w:rPr/>
      </w:pPr>
      <w:r>
        <w:rPr>
          <w:lang w:val="el-GR"/>
        </w:rPr>
        <w:footnoteRef/>
        <w:tab/>
        <w:t>λέγειν τινά</w:t>
      </w:r>
      <w:r>
        <w:rPr/>
        <w:t xml:space="preserve"> = jemanden mit der Rede meinen, BDR § 151, Anm. 2</w:t>
      </w:r>
    </w:p>
  </w:footnote>
  <w:footnote w:id="6160">
    <w:p>
      <w:pPr>
        <w:pStyle w:val="Funote"/>
        <w:rPr/>
      </w:pPr>
      <w:r>
        <w:rPr/>
        <w:footnoteRef/>
        <w:tab/>
        <w:t>Ptz. coni. als präpositionelle Wendung, BDR § 418, Anm. 7</w:t>
      </w:r>
    </w:p>
  </w:footnote>
  <w:footnote w:id="6161">
    <w:p>
      <w:pPr>
        <w:pStyle w:val="Funote"/>
        <w:rPr/>
      </w:pPr>
      <w:r>
        <w:rPr/>
        <w:footnoteRef/>
        <w:tab/>
        <w:t>Als Strafe der Gottlosen am Tag des Jüngsten Gerichtes.</w:t>
      </w:r>
    </w:p>
  </w:footnote>
  <w:footnote w:id="6162">
    <w:p>
      <w:pPr>
        <w:pStyle w:val="Funote"/>
        <w:rPr/>
      </w:pPr>
      <w:r>
        <w:rPr/>
        <w:footnoteRef/>
        <w:tab/>
        <w:t>Hebraismus: Himmel im Pl. als der Sitz Gottes, wörtl.: in den Himmeln</w:t>
      </w:r>
    </w:p>
  </w:footnote>
  <w:footnote w:id="6163">
    <w:p>
      <w:pPr>
        <w:pStyle w:val="Funote"/>
        <w:rPr/>
      </w:pPr>
      <w:r>
        <w:rPr/>
        <w:footnoteRef/>
        <w:tab/>
        <w:t xml:space="preserve">Constructio ad sensum: an den Pl. </w:t>
      </w:r>
      <w:r>
        <w:rPr>
          <w:lang w:val="el-GR"/>
        </w:rPr>
        <w:t>οὐρανοῖς</w:t>
      </w:r>
      <w:r>
        <w:rPr/>
        <w:t xml:space="preserve"> schließt das Relativpronomen </w:t>
      </w:r>
      <w:r>
        <w:rPr>
          <w:lang w:val="el-GR"/>
        </w:rPr>
        <w:t>οὗ</w:t>
      </w:r>
      <w:r>
        <w:rPr/>
        <w:t xml:space="preserve"> im Sg. an, BDR § 269,2.</w:t>
      </w:r>
    </w:p>
  </w:footnote>
  <w:footnote w:id="6164">
    <w:p>
      <w:pPr>
        <w:pStyle w:val="Funote"/>
        <w:rPr/>
      </w:pPr>
      <w:r>
        <w:rPr/>
        <w:footnoteRef/>
        <w:tab/>
        <w:t>Wörtl.: Leib der Niedrigkeit - vom materiellen Leib im Unterschied zum Herrleichkeitsleib, BW Sp. 1593.</w:t>
      </w:r>
    </w:p>
  </w:footnote>
  <w:footnote w:id="6165">
    <w:p>
      <w:pPr>
        <w:pStyle w:val="Funote"/>
        <w:rPr/>
      </w:pPr>
      <w:r>
        <w:rPr/>
        <w:footnoteRef/>
        <w:tab/>
        <w:t>Wörtl.: Leib der Herrlichkeit</w:t>
      </w:r>
    </w:p>
  </w:footnote>
  <w:footnote w:id="6166">
    <w:p>
      <w:pPr>
        <w:pStyle w:val="Funote"/>
        <w:rPr/>
      </w:pPr>
      <w:r>
        <w:rPr/>
        <w:footnoteRef/>
        <w:tab/>
        <w:t>[Status: Ungeprüft]</w:t>
      </w:r>
    </w:p>
  </w:footnote>
  <w:footnote w:id="6167">
    <w:p>
      <w:pPr>
        <w:pStyle w:val="Funote"/>
        <w:rPr/>
      </w:pPr>
      <w:r>
        <w:rPr/>
        <w:footnoteRef/>
        <w:tab/>
        <w:t>Wörtl.: Brüder</w:t>
      </w:r>
    </w:p>
  </w:footnote>
  <w:footnote w:id="6168">
    <w:p>
      <w:pPr>
        <w:pStyle w:val="Funote"/>
        <w:rPr/>
      </w:pPr>
      <w:r>
        <w:rPr/>
        <w:footnoteRef/>
        <w:tab/>
        <w:t>Das, was jemandem zur Zierde gereicht.</w:t>
      </w:r>
    </w:p>
  </w:footnote>
  <w:footnote w:id="6169">
    <w:p>
      <w:pPr>
        <w:pStyle w:val="Funote"/>
        <w:rPr/>
      </w:pPr>
      <w:r>
        <w:rPr/>
        <w:footnoteRef/>
        <w:tab/>
        <w:t>Wen Paulus hier persönlich anspricht, weiß man nicht. Barth, S. 117 sieht in "Synzygos" einen Eigennamen.</w:t>
      </w:r>
    </w:p>
  </w:footnote>
  <w:footnote w:id="6170">
    <w:p>
      <w:pPr>
        <w:pStyle w:val="Funote"/>
        <w:rPr/>
      </w:pPr>
      <w:hyperlink r:id="rId636">
        <w:r>
          <w:rPr>
            <w:rStyle w:val="Internetverknpfung"/>
          </w:rPr>
          <w:footnoteRef/>
          <w:tab/>
          <w:t>Ptz. coni.</w:t>
        </w:r>
      </w:hyperlink>
      <w:r>
        <w:rPr/>
        <w:t>, relativisch aufgelöst</w:t>
      </w:r>
    </w:p>
  </w:footnote>
  <w:footnote w:id="6171">
    <w:p>
      <w:pPr>
        <w:pStyle w:val="Funote"/>
        <w:rPr/>
      </w:pPr>
      <w:r>
        <w:rPr/>
        <w:footnoteRef/>
        <w:tab/>
        <w:t>Wörtl.: Brüder</w:t>
      </w:r>
    </w:p>
  </w:footnote>
  <w:footnote w:id="6172">
    <w:p>
      <w:pPr>
        <w:pStyle w:val="Funote"/>
        <w:rPr/>
      </w:pPr>
      <w:r>
        <w:rPr/>
        <w:footnoteRef/>
        <w:tab/>
        <w:t xml:space="preserve">Ich fass das </w:t>
      </w:r>
      <w:r>
        <w:rPr>
          <w:lang w:val="el-GR"/>
        </w:rPr>
        <w:t>εἰ</w:t>
      </w:r>
      <w:r>
        <w:rPr/>
        <w:t xml:space="preserve"> hier als indirekte Frage (BDR § 368,2) bzw. als Ausdruck der Erwartung (BDR § 375) auf, bin mir aber unsicher. Barth übersetzt "was eine Tugend heißt und Anerkennung verdient" (S. 122), aber hier steht </w:t>
      </w:r>
      <w:r>
        <w:rPr>
          <w:lang w:val="el-GR"/>
        </w:rPr>
        <w:t>τις</w:t>
      </w:r>
      <w:r>
        <w:rPr/>
        <w:t xml:space="preserve">, nicht </w:t>
      </w:r>
      <w:r>
        <w:rPr>
          <w:lang w:val="el-GR"/>
        </w:rPr>
        <w:t>τι</w:t>
      </w:r>
      <w:r>
        <w:rPr/>
        <w:t>.</w:t>
      </w:r>
    </w:p>
  </w:footnote>
  <w:footnote w:id="6173">
    <w:p>
      <w:pPr>
        <w:pStyle w:val="Funote"/>
        <w:rPr/>
      </w:pPr>
      <w:r>
        <w:rPr/>
        <w:footnoteRef/>
        <w:tab/>
        <w:t>oder, gleichberechtigt: ihr eure Fürsorge für mich wieder aufblühen ließt, BW Sp. 107</w:t>
      </w:r>
    </w:p>
  </w:footnote>
  <w:footnote w:id="6174">
    <w:p>
      <w:pPr>
        <w:pStyle w:val="Funote"/>
        <w:rPr/>
      </w:pPr>
      <w:r>
        <w:rPr/>
        <w:footnoteRef/>
        <w:tab/>
        <w:t>Im Sinne der Fürsorge</w:t>
      </w:r>
    </w:p>
  </w:footnote>
  <w:footnote w:id="6175">
    <w:p>
      <w:pPr>
        <w:pStyle w:val="Funote"/>
        <w:rPr/>
      </w:pPr>
      <w:r>
        <w:rPr/>
        <w:footnoteRef/>
        <w:tab/>
        <w:t>Paulus etwas Gutes zu tun</w:t>
      </w:r>
    </w:p>
  </w:footnote>
  <w:footnote w:id="6176">
    <w:p>
      <w:pPr>
        <w:pStyle w:val="Funote"/>
        <w:rPr/>
      </w:pPr>
      <w:r>
        <w:rPr/>
        <w:footnoteRef/>
        <w:tab/>
        <w:t xml:space="preserve">Wörtl.: "Nicht, dass ich aus Bedürftigkeit rede". Hinter dieser Formulierung steht eine Redewendung: </w:t>
      </w:r>
      <w:r>
        <w:rPr>
          <w:lang w:val="el-GR"/>
        </w:rPr>
        <w:t>οὐχ ὅτι</w:t>
      </w:r>
      <w:r>
        <w:rPr/>
        <w:t xml:space="preserve"> steht kurz für </w:t>
      </w:r>
      <w:r>
        <w:rPr>
          <w:lang w:val="el-GR"/>
        </w:rPr>
        <w:t>οὐ λέγω ὅτι</w:t>
      </w:r>
      <w:r>
        <w:rPr/>
        <w:t xml:space="preserve"> und bedeutet "nicht, dass". Der Ursprung ist aber so verdunkelt, dass Paulus die Kurzform mit der Langform mischt, s. BDR § 405, Anm. 6. Deshalb wird </w:t>
      </w:r>
      <w:r>
        <w:rPr>
          <w:lang w:val="el-GR"/>
        </w:rPr>
        <w:t>λέγω</w:t>
      </w:r>
      <w:r>
        <w:rPr/>
        <w:t xml:space="preserve"> hier nicht übersetzt. In Vers 17 macht Paulus es dann "richtig", s. Anm. dort.</w:t>
      </w:r>
    </w:p>
  </w:footnote>
  <w:footnote w:id="6177">
    <w:p>
      <w:pPr>
        <w:pStyle w:val="Funote"/>
        <w:rPr/>
      </w:pPr>
      <w:r>
        <w:rPr>
          <w:lang w:val="el-GR"/>
        </w:rPr>
        <w:footnoteRef/>
        <w:tab/>
        <w:t>καί … καί</w:t>
      </w:r>
      <w:r>
        <w:rPr/>
        <w:t xml:space="preserve"> hier: einerseits … andererseits. Möglich ist aber auch, dass es nur aus rhythmischen Gründen eingefügt wurde, oder dass man das erste </w:t>
      </w:r>
      <w:r>
        <w:rPr>
          <w:lang w:val="el-GR"/>
        </w:rPr>
        <w:t>καί</w:t>
      </w:r>
      <w:r>
        <w:rPr/>
        <w:t xml:space="preserve"> mit "auch" übersetzt, BDR § 444,3</w:t>
      </w:r>
    </w:p>
  </w:footnote>
  <w:footnote w:id="6178">
    <w:p>
      <w:pPr>
        <w:pStyle w:val="Funote"/>
        <w:rPr/>
      </w:pPr>
      <w:r>
        <w:rPr>
          <w:lang w:val="el-GR"/>
        </w:rPr>
        <w:footnoteRef/>
        <w:tab/>
        <w:t>καί</w:t>
      </w:r>
      <w:r>
        <w:rPr/>
        <w:t xml:space="preserve"> steht hier vier Mal. Ich habe es zweimal als "sowohl … als auch" übersetzt, weil es sich durch die beiden Gegensatzpaare anbietet. Man könnte aber auch die Begriffe einfach asyndetisch aneinanderreihen.</w:t>
      </w:r>
    </w:p>
  </w:footnote>
  <w:footnote w:id="6179">
    <w:p>
      <w:pPr>
        <w:pStyle w:val="Funote"/>
        <w:rPr/>
      </w:pPr>
      <w:hyperlink r:id="rId637">
        <w:r>
          <w:rPr>
            <w:rStyle w:val="Internetverknpfung"/>
          </w:rPr>
          <w:footnoteRef/>
          <w:tab/>
          <w:t>Ptz. coni.</w:t>
        </w:r>
      </w:hyperlink>
      <w:r>
        <w:rPr/>
        <w:t>, relativisch aufgelöst</w:t>
      </w:r>
    </w:p>
  </w:footnote>
  <w:footnote w:id="6180">
    <w:p>
      <w:pPr>
        <w:pStyle w:val="Funote"/>
        <w:rPr/>
      </w:pPr>
      <w:r>
        <w:rPr/>
        <w:footnoteRef/>
        <w:tab/>
        <w:t>Ergänzendes Partizipium, BDR § 414, Anm. 11, wörtl.: zusammen Anteil haben, sich zugleich beteiligen an etwas, im Sinne von "mithelfend Anteil nehmen", BW Sp. 1533.</w:t>
      </w:r>
    </w:p>
  </w:footnote>
  <w:footnote w:id="6181">
    <w:p>
      <w:pPr>
        <w:pStyle w:val="Funote"/>
        <w:rPr/>
      </w:pPr>
      <w:r>
        <w:rPr/>
        <w:footnoteRef/>
        <w:tab/>
        <w:t xml:space="preserve">Paulus verwendet hier den lateinischen Stadtnamen, den er ins Griechische überträgt, ein Latinismus. Im Griech. heißen die Einwohner Philippis </w:t>
      </w:r>
      <w:r>
        <w:rPr>
          <w:lang w:val="el-GR"/>
        </w:rPr>
        <w:t>Φιλιππεῖς</w:t>
      </w:r>
      <w:r>
        <w:rPr/>
        <w:t>.</w:t>
      </w:r>
    </w:p>
  </w:footnote>
  <w:footnote w:id="6182">
    <w:p>
      <w:pPr>
        <w:pStyle w:val="Funote"/>
        <w:rPr/>
      </w:pPr>
      <w:r>
        <w:rPr/>
        <w:footnoteRef/>
        <w:tab/>
        <w:t>Es handelt sich hier um einen terminus technicus der Buchhaltung, BW Sp. 946, 2b.</w:t>
      </w:r>
    </w:p>
  </w:footnote>
  <w:footnote w:id="6183">
    <w:p>
      <w:pPr>
        <w:pStyle w:val="Funote"/>
        <w:rPr/>
      </w:pPr>
      <w:r>
        <w:rPr/>
        <w:footnoteRef/>
        <w:tab/>
        <w:t>Vgl. Anm. zu Vers 11</w:t>
      </w:r>
    </w:p>
  </w:footnote>
  <w:footnote w:id="6184">
    <w:p>
      <w:pPr>
        <w:pStyle w:val="Funote"/>
        <w:rPr/>
      </w:pPr>
      <w:r>
        <w:rPr/>
        <w:footnoteRef/>
        <w:tab/>
        <w:t>Auch in diesem und im folgenden Vers finden sich t.t. der Geschäftssprache, vgl. Vers 15</w:t>
      </w:r>
    </w:p>
  </w:footnote>
  <w:footnote w:id="6185">
    <w:p>
      <w:pPr>
        <w:pStyle w:val="Funote"/>
        <w:rPr/>
      </w:pPr>
      <w:r>
        <w:rPr/>
        <w:footnoteRef/>
        <w:tab/>
        <w:t>Paulus "quittiert" mit einem t.t. der Geschäftssprache die erhaltene Summe</w:t>
      </w:r>
    </w:p>
  </w:footnote>
  <w:footnote w:id="6186">
    <w:p>
      <w:pPr>
        <w:pStyle w:val="Funote"/>
        <w:rPr/>
      </w:pPr>
      <w:hyperlink r:id="rId638">
        <w:r>
          <w:rPr>
            <w:rStyle w:val="Internetverknpfung"/>
          </w:rPr>
          <w:footnoteRef/>
          <w:tab/>
          <w:t>Ptz. coni.</w:t>
        </w:r>
      </w:hyperlink>
      <w:r>
        <w:rPr/>
        <w:t>, temporal aufgelöst</w:t>
      </w:r>
    </w:p>
  </w:footnote>
  <w:footnote w:id="6187">
    <w:p>
      <w:pPr>
        <w:pStyle w:val="Funote"/>
        <w:rPr/>
      </w:pPr>
      <w:r>
        <w:rPr/>
        <w:footnoteRef/>
        <w:tab/>
        <w:t>Bildlich in Bezug auf das Geschenk der Philipper, BW Sp. 1161, vgl. 2. Korinther 2,14f</w:t>
      </w:r>
    </w:p>
  </w:footnote>
  <w:footnote w:id="6188">
    <w:p>
      <w:pPr>
        <w:pStyle w:val="Funote"/>
        <w:rPr/>
      </w:pPr>
      <w:r>
        <w:rPr/>
        <w:footnoteRef/>
        <w:tab/>
        <w:t>Sg! Paulus verwendet sonst immer den Pl.</w:t>
      </w:r>
    </w:p>
  </w:footnote>
  <w:footnote w:id="6189">
    <w:p>
      <w:pPr>
        <w:pStyle w:val="Funote"/>
        <w:rPr/>
      </w:pPr>
      <w:r>
        <w:rPr/>
        <w:footnoteRef/>
        <w:tab/>
        <w:t>Wörtl.: Brüder</w:t>
      </w:r>
    </w:p>
  </w:footnote>
  <w:footnote w:id="6190">
    <w:p>
      <w:pPr>
        <w:pStyle w:val="Funote"/>
        <w:rPr/>
      </w:pPr>
      <w:r>
        <w:rPr/>
        <w:footnoteRef/>
        <w:tab/>
        <w:t>Die Genannten sind, „ob man nun übersetzt 'die aus dem Hause' oder: 'die von der Hausgenossenschaft des Kaisers', jedenfalls nach herrschendem Gebrauch nicht Anverwandte des Kaisers, sondern zur kaiserlichen Hofdienerschaft gehörige Personen, in älterer Zeit durchweg Sklaven und Freigelassene“, BW Sp. 1104.</w:t>
      </w:r>
    </w:p>
  </w:footnote>
  <w:footnote w:id="6191">
    <w:p>
      <w:pPr>
        <w:pStyle w:val="Funote"/>
        <w:rPr/>
      </w:pPr>
      <w:r>
        <w:rPr/>
        <w:footnoteRef/>
        <w:tab/>
        <w:t>[Status: Zuverlässig]</w:t>
      </w:r>
    </w:p>
  </w:footnote>
  <w:footnote w:id="6192">
    <w:p>
      <w:pPr>
        <w:pStyle w:val="Funote"/>
        <w:rPr/>
      </w:pPr>
      <w:r>
        <w:rPr/>
        <w:footnoteRef/>
        <w:tab/>
        <w:t xml:space="preserve">Timotheus war ein enger Mitarbeiter des Apostels Paulus, der auch in </w:t>
      </w:r>
      <w:r>
        <w:fldChar w:fldCharType="begin"/>
      </w:r>
      <w:r>
        <w:instrText> HYPERLINK "file:///wiki/2_Korinther_1" \l "s1"</w:instrText>
      </w:r>
      <w:r>
        <w:fldChar w:fldCharType="separate"/>
      </w:r>
      <w:r>
        <w:rPr>
          <w:rStyle w:val="Internetverknpfung"/>
        </w:rPr>
        <w:t>2Kor 1,1</w:t>
      </w:r>
      <w:r>
        <w:fldChar w:fldCharType="end"/>
      </w:r>
      <w:r>
        <w:rPr/>
        <w:t xml:space="preserve">; </w:t>
      </w:r>
      <w:r>
        <w:fldChar w:fldCharType="begin"/>
      </w:r>
      <w:r>
        <w:instrText> HYPERLINK "file:///wiki/Philipper_1" \l "s1"</w:instrText>
      </w:r>
      <w:r>
        <w:fldChar w:fldCharType="separate"/>
      </w:r>
      <w:r>
        <w:rPr>
          <w:rStyle w:val="Internetverknpfung"/>
        </w:rPr>
        <w:t>Phil 1,1</w:t>
      </w:r>
      <w:r>
        <w:fldChar w:fldCharType="end"/>
      </w:r>
      <w:r>
        <w:rPr/>
        <w:t xml:space="preserve">; </w:t>
      </w:r>
      <w:r>
        <w:fldChar w:fldCharType="begin"/>
      </w:r>
      <w:r>
        <w:instrText> HYPERLINK "file:///wiki/Philemon" \l "s1"</w:instrText>
      </w:r>
      <w:r>
        <w:fldChar w:fldCharType="separate"/>
      </w:r>
      <w:r>
        <w:rPr>
          <w:rStyle w:val="Internetverknpfung"/>
        </w:rPr>
        <w:t>Phlm 1</w:t>
      </w:r>
      <w:r>
        <w:fldChar w:fldCharType="end"/>
      </w:r>
      <w:r>
        <w:rPr/>
        <w:t xml:space="preserve"> als Mitverfasser erwähnt wird; zusammen mit Silvanus auch in </w:t>
      </w:r>
      <w:hyperlink r:id="rId639">
        <w:r>
          <w:rPr>
            <w:rStyle w:val="Internetverknpfung"/>
          </w:rPr>
          <w:t>1Thess 1,1</w:t>
        </w:r>
      </w:hyperlink>
      <w:r>
        <w:rPr/>
        <w:t xml:space="preserve">; </w:t>
      </w:r>
      <w:hyperlink r:id="rId640">
        <w:r>
          <w:rPr>
            <w:rStyle w:val="Internetverknpfung"/>
          </w:rPr>
          <w:t>2Thess 1,1</w:t>
        </w:r>
      </w:hyperlink>
      <w:r>
        <w:rPr/>
        <w:t>. Nach den Angaben der Apostelgeschichte nahm Paulus ihn aufgrund seines guten Rufs unter den Gläubigen während seiner zweiten Missionsreise in Derbe in sein Mitarbeiterteam auf (</w:t>
      </w:r>
      <w:hyperlink r:id="rId641">
        <w:r>
          <w:rPr>
            <w:rStyle w:val="Internetverknpfung"/>
          </w:rPr>
          <w:t>Apg 16,1-3</w:t>
        </w:r>
      </w:hyperlink>
      <w:r>
        <w:rPr/>
        <w:t xml:space="preserve">).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 </w:t>
      </w:r>
    </w:p>
  </w:footnote>
  <w:footnote w:id="6193">
    <w:p>
      <w:pPr>
        <w:pStyle w:val="Funote"/>
        <w:rPr/>
      </w:pPr>
      <w:r>
        <w:rPr/>
        <w:footnoteRef/>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6194">
    <w:p>
      <w:pPr>
        <w:pStyle w:val="Funote"/>
        <w:rPr/>
      </w:pPr>
      <w:r>
        <w:rPr/>
        <w:footnoteRef/>
        <w:tab/>
        <w:t xml:space="preserve">Vgl. die entsprechende Fußnote zu Eph 1,1. </w:t>
      </w:r>
    </w:p>
  </w:footnote>
  <w:footnote w:id="6195">
    <w:p>
      <w:pPr>
        <w:pStyle w:val="Funote"/>
        <w:rPr/>
      </w:pPr>
      <w:hyperlink r:id="rId642">
        <w:r>
          <w:rPr>
            <w:rStyle w:val="Internetverknpfung"/>
          </w:rPr>
          <w:footnoteRef/>
          <w:tab/>
          <w:t>Generisches Maskulinum</w:t>
        </w:r>
      </w:hyperlink>
      <w:r>
        <w:rPr/>
        <w:t xml:space="preserve">. </w:t>
      </w:r>
    </w:p>
  </w:footnote>
  <w:footnote w:id="6196">
    <w:p>
      <w:pPr>
        <w:pStyle w:val="Funote"/>
        <w:rPr/>
      </w:pPr>
      <w:r>
        <w:rPr>
          <w:i/>
        </w:rPr>
        <w:footnoteRef/>
        <w:tab/>
        <w:t>in Christus</w:t>
      </w:r>
      <w:r>
        <w:rPr/>
        <w:t xml:space="preserve"> (sowie das ausführlichere „in Christus Jesus“, </w:t>
      </w:r>
      <w:r>
        <w:fldChar w:fldCharType="begin"/>
      </w:r>
      <w:r>
        <w:instrText> HYPERLINK "file:///wiki/Kolosser_1" \l "s4"</w:instrText>
      </w:r>
      <w:r>
        <w:fldChar w:fldCharType="separate"/>
      </w:r>
      <w:r>
        <w:rPr>
          <w:rStyle w:val="Internetverknpfung"/>
        </w:rPr>
        <w:t>Kol 1,4</w:t>
      </w:r>
      <w:r>
        <w:fldChar w:fldCharType="end"/>
      </w:r>
      <w:r>
        <w:rPr/>
        <w:t xml:space="preserve">) ist bei Paulus ein Lieblingsattribut, das häufig und in den verschiedensten Kontexten Anwendung findet (vgl. etwa analog </w:t>
      </w:r>
      <w:r>
        <w:fldChar w:fldCharType="begin"/>
      </w:r>
      <w:r>
        <w:instrText> HYPERLINK "file:///wiki/Epheser_1" \l "s1"</w:instrText>
      </w:r>
      <w:r>
        <w:fldChar w:fldCharType="separate"/>
      </w:r>
      <w:r>
        <w:rPr>
          <w:rStyle w:val="Internetverknpfung"/>
        </w:rPr>
        <w:t>Eph 1,1</w:t>
      </w:r>
      <w:r>
        <w:fldChar w:fldCharType="end"/>
      </w:r>
      <w:r>
        <w:rPr/>
        <w:t xml:space="preserve">). In Kol kommt es sonst nur noch in </w:t>
      </w:r>
      <w:r>
        <w:fldChar w:fldCharType="begin"/>
      </w:r>
      <w:r>
        <w:instrText> HYPERLINK "file:///wiki/Kolosser_1" \l "s28"</w:instrText>
      </w:r>
      <w:r>
        <w:fldChar w:fldCharType="separate"/>
      </w:r>
      <w:r>
        <w:rPr>
          <w:rStyle w:val="Internetverknpfung"/>
        </w:rPr>
        <w:t>1,28</w:t>
      </w:r>
      <w:r>
        <w:fldChar w:fldCharType="end"/>
      </w:r>
      <w:r>
        <w:rPr/>
        <w:t xml:space="preserve">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w:t>
      </w:r>
      <w:r>
        <w:fldChar w:fldCharType="begin"/>
      </w:r>
      <w:r>
        <w:instrText> HYPERLINK "file:///wiki/1_Korinther_15" \l "s22"</w:instrText>
      </w:r>
      <w:r>
        <w:fldChar w:fldCharType="separate"/>
      </w:r>
      <w:r>
        <w:rPr>
          <w:rStyle w:val="Internetverknpfung"/>
        </w:rPr>
        <w:t>1Kor 15,22</w:t>
      </w:r>
      <w:r>
        <w:fldChar w:fldCharType="end"/>
      </w:r>
      <w:r>
        <w:rPr/>
        <w:t xml:space="preserve">; </w:t>
      </w:r>
      <w:r>
        <w:fldChar w:fldCharType="begin"/>
      </w:r>
      <w:r>
        <w:instrText> HYPERLINK "file:///wiki/2_Korinther_5" \l "s14"</w:instrText>
      </w:r>
      <w:r>
        <w:fldChar w:fldCharType="separate"/>
      </w:r>
      <w:r>
        <w:rPr>
          <w:rStyle w:val="Internetverknpfung"/>
        </w:rPr>
        <w:t>2Kor 5,14-17</w:t>
      </w:r>
      <w:r>
        <w:fldChar w:fldCharType="end"/>
      </w:r>
      <w:r>
        <w:rPr/>
        <w:t xml:space="preserve">; </w:t>
      </w:r>
      <w:r>
        <w:fldChar w:fldCharType="begin"/>
      </w:r>
      <w:r>
        <w:instrText> HYPERLINK "file:///wiki/Römer_5" \l "s12"</w:instrText>
      </w:r>
      <w:r>
        <w:fldChar w:fldCharType="separate"/>
      </w:r>
      <w:r>
        <w:rPr>
          <w:rStyle w:val="Internetverknpfung"/>
        </w:rPr>
        <w:t>Röm 5,12-21</w:t>
      </w:r>
      <w:r>
        <w:fldChar w:fldCharType="end"/>
      </w:r>
      <w:r>
        <w:rPr/>
        <w:t xml:space="preserve">) (Moo 2008, 77, vgl. O'Brien 1982, 4). </w:t>
      </w:r>
    </w:p>
  </w:footnote>
  <w:footnote w:id="6197">
    <w:p>
      <w:pPr>
        <w:pStyle w:val="Funote"/>
        <w:rPr/>
      </w:pPr>
      <w:r>
        <w:rPr/>
        <w:footnoteRef/>
        <w:tab/>
        <w:t xml:space="preserve">Einige Handschriften (u.a. die wichtigen alexandrinischen </w:t>
      </w:r>
      <w:r>
        <w:rPr>
          <w:rtl w:val="true"/>
          <w:lang w:bidi="he-IL"/>
        </w:rPr>
        <w:t>א</w:t>
      </w:r>
      <w:r>
        <w:rPr/>
        <w:t xml:space="preserve">, A sowie der Mehrheitstext) ergänzen „und des Herrn Jesus Christus“, vielleicht in direkter Anlehnung an </w:t>
      </w:r>
      <w:r>
        <w:fldChar w:fldCharType="begin"/>
      </w:r>
      <w:r>
        <w:instrText> HYPERLINK "file:///wiki/Epheser_2" \l "s2"</w:instrText>
      </w:r>
      <w:r>
        <w:fldChar w:fldCharType="separate"/>
      </w:r>
      <w:r>
        <w:rPr>
          <w:rStyle w:val="Internetverknpfung"/>
        </w:rPr>
        <w:t>Eph 2,2</w:t>
      </w:r>
      <w:r>
        <w:fldChar w:fldCharType="end"/>
      </w:r>
      <w:r>
        <w:rPr/>
        <w:t xml:space="preserve">, weswegen er in NA27 wohl als sekundär eingestuft wird. Der Teil fehlt u.a. in B, D, 33, 1739. </w:t>
      </w:r>
    </w:p>
  </w:footnote>
  <w:footnote w:id="6198">
    <w:p>
      <w:pPr>
        <w:pStyle w:val="Funote"/>
        <w:rPr/>
      </w:pPr>
      <w:r>
        <w:rPr/>
        <w:footnoteRef/>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6199">
    <w:p>
      <w:pPr>
        <w:pStyle w:val="Funote"/>
        <w:rPr/>
      </w:pPr>
      <w:r>
        <w:rPr/>
        <w:footnoteRef/>
        <w:tab/>
        <w:t xml:space="preserve">Vgl. die Fußnote in V. 2 bei „in Christus“. </w:t>
      </w:r>
    </w:p>
  </w:footnote>
  <w:footnote w:id="6200">
    <w:p>
      <w:pPr>
        <w:pStyle w:val="Funote"/>
        <w:rPr/>
      </w:pPr>
      <w:r>
        <w:rPr/>
        <w:footnoteRef/>
        <w:tab/>
        <w:t>Kausal aufgelöstes Ptz. coni. (vgl. Moo 2008, 84). Möglich theoretisch auch temporal: „seit“</w:t>
      </w:r>
    </w:p>
  </w:footnote>
  <w:footnote w:id="6201">
    <w:p>
      <w:pPr>
        <w:pStyle w:val="Funote"/>
        <w:rPr/>
      </w:pPr>
      <w:r>
        <w:rPr/>
        <w:footnoteRef/>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 </w:t>
      </w:r>
    </w:p>
  </w:footnote>
  <w:footnote w:id="6202">
    <w:p>
      <w:pPr>
        <w:pStyle w:val="Funote"/>
        <w:rPr/>
      </w:pPr>
      <w:r>
        <w:rPr/>
        <w:footnoteRef/>
        <w:tab/>
        <w:t xml:space="preserve">Wörtlich ein Plural. </w:t>
      </w:r>
    </w:p>
  </w:footnote>
  <w:footnote w:id="6203">
    <w:p>
      <w:pPr>
        <w:pStyle w:val="Funote"/>
        <w:rPr/>
      </w:pPr>
      <w:r>
        <w:rPr/>
        <w:footnoteRef/>
        <w:tab/>
        <w:t xml:space="preserve">Wenn eine gezielte Betonung des „vorher“ (im Gegensatz zu „schon“) intendiert ist, dann bezieht sich das vielleicht auf die Zeit, wo Epaphras in Kolossä evangelisierte, vor dem Aufkommen der Irrlehre, die mit dem Brief bekämpft wird (so seit Moule 1898, 67; vgl. Moo 2008, 86). </w:t>
      </w:r>
    </w:p>
  </w:footnote>
  <w:footnote w:id="6204">
    <w:p>
      <w:pPr>
        <w:pStyle w:val="Funote"/>
        <w:rPr/>
      </w:pPr>
      <w:r>
        <w:rPr/>
        <w:footnoteRef/>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6205">
    <w:p>
      <w:pPr>
        <w:pStyle w:val="Funote"/>
        <w:rPr/>
      </w:pPr>
      <w:r>
        <w:rPr/>
        <w:footnoteRef/>
        <w:tab/>
        <w:t xml:space="preserve">Attributives Ptz. Aor., als Relativsatz aufgelöst. </w:t>
      </w:r>
    </w:p>
  </w:footnote>
  <w:footnote w:id="6206">
    <w:p>
      <w:pPr>
        <w:pStyle w:val="Funote"/>
        <w:rPr/>
      </w:pPr>
      <w:r>
        <w:rPr/>
        <w:footnoteRef/>
        <w:tab/>
        <w:t xml:space="preserve">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 </w:t>
      </w:r>
    </w:p>
  </w:footnote>
  <w:footnote w:id="6207">
    <w:p>
      <w:pPr>
        <w:pStyle w:val="Funote"/>
        <w:rPr/>
      </w:pPr>
      <w:r>
        <w:rPr/>
        <w:footnoteRef/>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6208">
    <w:p>
      <w:pPr>
        <w:pStyle w:val="Funote"/>
        <w:rPr/>
      </w:pPr>
      <w:r>
        <w:rPr/>
        <w:footnoteRef/>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6209">
    <w:p>
      <w:pPr>
        <w:pStyle w:val="Funote"/>
        <w:rPr/>
      </w:pPr>
      <w:r>
        <w:rPr/>
        <w:footnoteRef/>
        <w:tab/>
        <w:t>„</w:t>
      </w:r>
      <w:r>
        <w:rPr/>
        <w:t xml:space="preserve">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 </w:t>
      </w:r>
    </w:p>
  </w:footnote>
  <w:footnote w:id="6210">
    <w:p>
      <w:pPr>
        <w:pStyle w:val="Funote"/>
        <w:rPr/>
      </w:pPr>
      <w:r>
        <w:rPr>
          <w:lang w:val="el-GR"/>
        </w:rPr>
        <w:footnoteRef/>
        <w:tab/>
        <w:t>καθώς</w:t>
      </w:r>
      <w:r>
        <w:rPr/>
        <w:t xml:space="preserve"> („(genau) wie“) scheint hier die beiden Sätze auf sehr allgemeine Weise zu verbinden (Moo 2008, 89), viele Übersetzungen lassen es weg. Hier wurde analog zu 6b übersetzt, um die parallele Struktur zu unterstreichen. </w:t>
      </w:r>
    </w:p>
  </w:footnote>
  <w:footnote w:id="6211">
    <w:p>
      <w:pPr>
        <w:pStyle w:val="Funote"/>
        <w:rPr/>
      </w:pPr>
      <w:r>
        <w:rPr/>
        <w:footnoteRef/>
        <w:tab/>
        <w:t xml:space="preserve">Epaphras wird sonst nur in </w:t>
      </w:r>
      <w:hyperlink r:id="rId643">
        <w:r>
          <w:rPr>
            <w:rStyle w:val="Internetverknpfung"/>
          </w:rPr>
          <w:t>Kol 4,12f.</w:t>
        </w:r>
      </w:hyperlink>
      <w:r>
        <w:rPr/>
        <w:t xml:space="preserve"> und </w:t>
      </w:r>
      <w:r>
        <w:fldChar w:fldCharType="begin"/>
      </w:r>
      <w:r>
        <w:instrText> HYPERLINK "file:///wiki/Philemon" \l "s23"</w:instrText>
      </w:r>
      <w:r>
        <w:fldChar w:fldCharType="separate"/>
      </w:r>
      <w:r>
        <w:rPr>
          <w:rStyle w:val="Internetverknpfung"/>
        </w:rPr>
        <w:t>Phlm 23</w:t>
      </w:r>
      <w:r>
        <w:fldChar w:fldCharType="end"/>
      </w:r>
      <w:r>
        <w:rPr/>
        <w:t xml:space="preserve">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w:t>
      </w:r>
      <w:r>
        <w:fldChar w:fldCharType="begin"/>
      </w:r>
      <w:r>
        <w:instrText> HYPERLINK "file:///wiki/Philipper_2" \l "s25"</w:instrText>
      </w:r>
      <w:r>
        <w:fldChar w:fldCharType="separate"/>
      </w:r>
      <w:r>
        <w:rPr>
          <w:rStyle w:val="Internetverknpfung"/>
        </w:rPr>
        <w:t>Phil 2,25</w:t>
      </w:r>
      <w:r>
        <w:fldChar w:fldCharType="end"/>
      </w:r>
      <w:r>
        <w:rPr/>
        <w:t xml:space="preserve">; </w:t>
      </w:r>
      <w:r>
        <w:fldChar w:fldCharType="begin"/>
      </w:r>
      <w:r>
        <w:instrText> HYPERLINK "file:///wiki/Philipper_4" \l "s18"</w:instrText>
      </w:r>
      <w:r>
        <w:fldChar w:fldCharType="separate"/>
      </w:r>
      <w:r>
        <w:rPr>
          <w:rStyle w:val="Internetverknpfung"/>
        </w:rPr>
        <w:t>4,18</w:t>
      </w:r>
      <w:r>
        <w:fldChar w:fldCharType="end"/>
      </w:r>
      <w:r>
        <w:rPr/>
        <w:t xml:space="preserve"> genannten Paulus-Mitarbeiter identisch (Moo 2008, 90). </w:t>
      </w:r>
    </w:p>
  </w:footnote>
  <w:footnote w:id="6212">
    <w:p>
      <w:pPr>
        <w:pStyle w:val="Funote"/>
        <w:rPr/>
      </w:pPr>
      <w:r>
        <w:rPr/>
        <w:footnoteRef/>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(𝔓46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6213">
    <w:p>
      <w:pPr>
        <w:pStyle w:val="Funote"/>
        <w:rPr/>
      </w:pPr>
      <w:r>
        <w:rPr>
          <w:lang w:val="el-GR"/>
        </w:rPr>
        <w:footnoteRef/>
        <w:tab/>
        <w:t>ἐν</w:t>
      </w:r>
      <w:r>
        <w:rPr/>
        <w:t xml:space="preserve"> („in“ (örtl.), „durch“ (instr.)) ist hier wohl instrumental gemeint. Die demonstrierte Liebe wird also durch den Heiligen Geist verursacht (Moo 2008, 91f., vgl. EÜ, NGÜ, Menge).</w:t>
      </w:r>
    </w:p>
  </w:footnote>
  <w:footnote w:id="6214">
    <w:p>
      <w:pPr>
        <w:pStyle w:val="Funote"/>
        <w:rPr/>
      </w:pPr>
      <w:r>
        <w:rPr/>
        <w:footnoteRef/>
        <w:tab/>
        <w:t xml:space="preserve">Auflösung eines attributiven Ptz. Aor. als Relativsatz. Möglich wäre auch eine „und“-Kombination. </w:t>
      </w:r>
    </w:p>
  </w:footnote>
  <w:footnote w:id="6215">
    <w:p>
      <w:pPr>
        <w:pStyle w:val="Funote"/>
        <w:rPr/>
      </w:pPr>
      <w:r>
        <w:rPr/>
        <w:footnoteRef/>
        <w:tab/>
        <w:t>[Status: Zuverlässig]</w:t>
      </w:r>
    </w:p>
  </w:footnote>
  <w:footnote w:id="6216">
    <w:p>
      <w:pPr>
        <w:pStyle w:val="Funote"/>
        <w:rPr/>
      </w:pPr>
      <w:r>
        <w:rPr/>
        <w:footnoteRef/>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6217">
    <w:p>
      <w:pPr>
        <w:pStyle w:val="Funote"/>
        <w:rPr/>
      </w:pPr>
      <w:r>
        <w:rPr>
          <w:i/>
        </w:rPr>
        <w:footnoteRef/>
        <w:tab/>
        <w:t>Fremde</w:t>
      </w:r>
      <w:r>
        <w:rPr/>
        <w:t xml:space="preserve"> Als Substantiv gebrauchtes Ptz. Pf. Pass., w. also „entfremdet“. Im NT nur 3x und nur im Ptz. Pf. Pass., immer resultativ und im Zusammenhang mit der Bundesgemeinschaft bzw. Beziehung mit Gott gebraucht (</w:t>
      </w:r>
      <w:r>
        <w:fldChar w:fldCharType="begin"/>
      </w:r>
      <w:r>
        <w:instrText> HYPERLINK "file:///wiki/Epheser_2" \l "s12"</w:instrText>
      </w:r>
      <w:r>
        <w:fldChar w:fldCharType="separate"/>
      </w:r>
      <w:r>
        <w:rPr>
          <w:rStyle w:val="Internetverknpfung"/>
        </w:rPr>
        <w:t>Eph 2,12</w:t>
      </w:r>
      <w:r>
        <w:fldChar w:fldCharType="end"/>
      </w:r>
      <w:r>
        <w:rPr/>
        <w:t xml:space="preserve">; </w:t>
      </w:r>
      <w:hyperlink r:id="rId644">
        <w:r>
          <w:rPr>
            <w:rStyle w:val="Internetverknpfung"/>
          </w:rPr>
          <w:t>4,18</w:t>
        </w:r>
      </w:hyperlink>
      <w:r>
        <w:rPr/>
        <w:t xml:space="preserve">, vgl. TWNT, </w:t>
      </w:r>
      <w:r>
        <w:rPr>
          <w:lang w:val="el-GR"/>
        </w:rPr>
        <w:t>ἀπαλλοτριόω</w:t>
      </w:r>
      <w:r>
        <w:rPr/>
        <w:t xml:space="preserve">). Auffällig ist, dass hier das erwartete Lokal-Objekt fehlt: wir also nicht erfahren, wovon die Adressaten einmal entfremdet waren. </w:t>
      </w:r>
    </w:p>
  </w:footnote>
  <w:footnote w:id="6218">
    <w:p>
      <w:pPr>
        <w:pStyle w:val="Funote"/>
        <w:rPr/>
      </w:pPr>
      <w:r>
        <w:rPr/>
        <w:footnoteRef/>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6219">
    <w:p>
      <w:pPr>
        <w:pStyle w:val="Funote"/>
        <w:rPr/>
      </w:pPr>
      <w:r>
        <w:rPr/>
        <w:footnoteRef/>
        <w:tab/>
        <w:t>aufgrund (in) Kausale Interpretation von „in“, vgl. EÜ. Nicht klar ist, ob das böse Verhalten Grundlage oder Zeugnis der feindlichen Geisteshaltung ist. Darum alternativ: „[wie es] in [eurem] bösen Verhalten [zum Ausdruck kommt]“.</w:t>
      </w:r>
    </w:p>
  </w:footnote>
  <w:footnote w:id="6220">
    <w:p>
      <w:pPr>
        <w:pStyle w:val="Funote"/>
        <w:rPr/>
      </w:pPr>
      <w:r>
        <w:rPr/>
        <w:footnoteRef/>
        <w:tab/>
        <w:t xml:space="preserve">Als konzessiv verbundener Hauptsatz aufgelöstes Participium coniunctum (Ptz. Präs. Akk.). Möglich wäre auch eine Auflösung als Relativsatz, eine stärkere konzessive („obwohl“) oder temporale Deutung („während, als“). S.a. </w:t>
      </w:r>
      <w:r>
        <w:fldChar w:fldCharType="begin"/>
      </w:r>
      <w:r>
        <w:instrText> HYPERLINK "file:///wiki/Kolosser_1" \l "note_x"</w:instrText>
      </w:r>
      <w:r>
        <w:fldChar w:fldCharType="separate"/>
      </w:r>
      <w:r>
        <w:rPr>
          <w:rStyle w:val="Internetverknpfung"/>
        </w:rPr>
        <w:t>V. 21, Fußnote 1</w:t>
      </w:r>
      <w:r>
        <w:fldChar w:fldCharType="end"/>
      </w:r>
      <w:r>
        <w:rPr/>
        <w:t xml:space="preserve">. </w:t>
      </w:r>
    </w:p>
  </w:footnote>
  <w:footnote w:id="6221">
    <w:p>
      <w:pPr>
        <w:pStyle w:val="Funote"/>
        <w:rPr/>
      </w:pPr>
      <w:r>
        <w:rPr/>
        <w:footnoteRef/>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6222">
    <w:p>
      <w:pPr>
        <w:pStyle w:val="Funote"/>
        <w:rPr/>
      </w:pPr>
      <w:r>
        <w:rPr/>
        <w:footnoteRef/>
        <w:tab/>
        <w:t xml:space="preserve">W: „seinen Körper des Fleisches“. Der attr. Genitiv drückt die Beschaffenheit des Bezugsworts aus. Gemeint ist mit dem „fleischlichen Körper“ wohl ein „sterblicher“ (Moo 2008, 142), der gedanklich klar von der Gemeinde als „Körper Christi“ abgegrenzt werden soll (Schweizer </w:t>
      </w:r>
      <w:r>
        <w:rPr>
          <w:position w:val="7"/>
          <w:sz w:val="16"/>
        </w:rPr>
        <w:t>2</w:t>
      </w:r>
      <w:r>
        <w:rPr/>
        <w:t xml:space="preserve">1980, 76). </w:t>
      </w:r>
    </w:p>
  </w:footnote>
  <w:footnote w:id="6223">
    <w:p>
      <w:pPr>
        <w:pStyle w:val="Funote"/>
        <w:rPr/>
      </w:pPr>
      <w:r>
        <w:rPr/>
        <w:footnoteRef/>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6224">
    <w:p>
      <w:pPr>
        <w:pStyle w:val="Funote"/>
        <w:rPr/>
      </w:pPr>
      <w:r>
        <w:rPr/>
        <w:footnoteRef/>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6225">
    <w:p>
      <w:pPr>
        <w:pStyle w:val="Funote"/>
        <w:rPr/>
      </w:pPr>
      <w:r>
        <w:rPr/>
        <w:footnoteRef/>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6226">
    <w:p>
      <w:pPr>
        <w:pStyle w:val="Funote"/>
        <w:rPr/>
      </w:pPr>
      <w:r>
        <w:rPr/>
        <w:footnoteRef/>
        <w:tab/>
        <w:t>Adv. Ptz. Pf. Pass., zeigt die Art und Weise (modal) oder die Ursache (kausal) des Verweilens „im Glauben“ an. Hier (modal) direkt als Artangabe aufgelöst; denkbar wären auch ein verdeutlichendes „[und zwar]“ oder „[indem]“</w:t>
      </w:r>
    </w:p>
  </w:footnote>
  <w:footnote w:id="6227">
    <w:p>
      <w:pPr>
        <w:pStyle w:val="Funote"/>
        <w:rPr/>
      </w:pPr>
      <w:r>
        <w:rPr/>
        <w:footnoteRef/>
        <w:tab/>
        <w:t xml:space="preserve">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 </w:t>
      </w:r>
    </w:p>
  </w:footnote>
  <w:footnote w:id="6228">
    <w:p>
      <w:pPr>
        <w:pStyle w:val="Funote"/>
        <w:rPr/>
      </w:pPr>
      <w:r>
        <w:rPr/>
        <w:footnoteRef/>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6229">
    <w:p>
      <w:pPr>
        <w:pStyle w:val="Funote"/>
        <w:rPr/>
      </w:pPr>
      <w:r>
        <w:rPr/>
        <w:footnoteRef/>
        <w:tab/>
        <w:t xml:space="preserve">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w:t>
      </w:r>
      <w:r>
        <w:fldChar w:fldCharType="begin"/>
      </w:r>
      <w:r>
        <w:instrText> HYPERLINK "file:///wiki/Kolosser_1" \l "note_o"</w:instrText>
      </w:r>
      <w:r>
        <w:fldChar w:fldCharType="separate"/>
      </w:r>
      <w:r>
        <w:rPr>
          <w:rStyle w:val="Internetverknpfung"/>
        </w:rPr>
        <w:t>V. 6, Fußnote o</w:t>
      </w:r>
      <w:r>
        <w:fldChar w:fldCharType="end"/>
      </w:r>
      <w:r>
        <w:rPr/>
        <w:t xml:space="preserve">, dann als Entsprechung zu Versöhnung aller Dinge in V. 20 (Moo 2008, 147). </w:t>
      </w:r>
    </w:p>
  </w:footnote>
  <w:footnote w:id="6230">
    <w:p>
      <w:pPr>
        <w:pStyle w:val="Funote"/>
        <w:rPr/>
      </w:pPr>
      <w:r>
        <w:rPr/>
        <w:footnoteRef/>
        <w:tab/>
        <w:t>[Status: Ungeprüft]</w:t>
      </w:r>
    </w:p>
  </w:footnote>
  <w:footnote w:id="6231">
    <w:p>
      <w:pPr>
        <w:pStyle w:val="Funote"/>
        <w:rPr/>
      </w:pPr>
      <w:r>
        <w:rPr/>
        <w:footnoteRef/>
        <w:tab/>
        <w:t>Vers 24 bis 29 sind im griechischen Original ein Satz.</w:t>
      </w:r>
    </w:p>
  </w:footnote>
  <w:footnote w:id="6232">
    <w:p>
      <w:pPr>
        <w:pStyle w:val="Funote"/>
        <w:rPr/>
      </w:pPr>
      <w:r>
        <w:rPr/>
        <w:footnoteRef/>
        <w:tab/>
        <w:t>„</w:t>
      </w:r>
      <w:r>
        <w:rPr/>
        <w:t>Das wunderliche 'chaíro' könnte man ... interpretieren als 'ich bin stolz, zu solchem Opfer gewürdigt zu sein'“ - Hans-Joachim Uhde in: GPM 54/1, S. 91.</w:t>
      </w:r>
    </w:p>
  </w:footnote>
  <w:footnote w:id="6233">
    <w:p>
      <w:pPr>
        <w:pStyle w:val="Funote"/>
        <w:rPr/>
      </w:pPr>
      <w:r>
        <w:rPr/>
        <w:footnoteRef/>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6234">
    <w:p>
      <w:pPr>
        <w:pStyle w:val="Funote"/>
        <w:rPr/>
      </w:pPr>
      <w:r>
        <w:rPr/>
        <w:footnoteRef/>
        <w:tab/>
        <w:t>Es handelt sich bei oikonomía um einen umfassenden Plan; im Griech. wurden Dekrete der Behörde so bezeichnet.</w:t>
      </w:r>
    </w:p>
  </w:footnote>
  <w:footnote w:id="6235">
    <w:p>
      <w:pPr>
        <w:pStyle w:val="Funote"/>
        <w:rPr/>
      </w:pPr>
      <w:r>
        <w:rPr/>
        <w:footnoteRef/>
        <w:tab/>
        <w:t xml:space="preserve">Dahinter steht die Vorstellung </w:t>
      </w:r>
      <w:r>
        <w:fldChar w:fldCharType="begin"/>
      </w:r>
      <w:r>
        <w:instrText> HYPERLINK "file:///wiki/Römer_15" \l "s19"</w:instrText>
      </w:r>
      <w:r>
        <w:fldChar w:fldCharType="separate"/>
      </w:r>
      <w:r>
        <w:rPr>
          <w:rStyle w:val="Internetverknpfung"/>
        </w:rPr>
        <w:t>Röm 15,19</w:t>
      </w:r>
      <w:r>
        <w:fldChar w:fldCharType="end"/>
      </w:r>
      <w:r>
        <w:rPr/>
        <w:t>.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6236">
    <w:p>
      <w:pPr>
        <w:pStyle w:val="Funote"/>
        <w:rPr/>
      </w:pPr>
      <w:r>
        <w:rPr/>
        <w:footnoteRef/>
        <w:tab/>
        <w:t>Perf. pass.</w:t>
      </w:r>
    </w:p>
  </w:footnote>
  <w:footnote w:id="6237">
    <w:p>
      <w:pPr>
        <w:pStyle w:val="Funote"/>
        <w:rPr/>
      </w:pPr>
      <w:r>
        <w:rPr/>
        <w:footnoteRef/>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6238">
    <w:p>
      <w:pPr>
        <w:pStyle w:val="Funote"/>
        <w:rPr/>
      </w:pPr>
      <w:r>
        <w:rPr/>
        <w:footnoteRef/>
        <w:tab/>
        <w:t>dóxa ist aus dem säkularen Griech. nur i.S. von „Meinung“, „Ansehen“ bekannt. Vom atl. 'kabod' bzw. von der späteren Vorstellung der 'schekina' Gottes gewinnt es im NT einen neuen Sinn, vgl. Schweizer, EKK XII, S. 88, Anm. 262.</w:t>
      </w:r>
    </w:p>
  </w:footnote>
  <w:footnote w:id="6239">
    <w:p>
      <w:pPr>
        <w:pStyle w:val="Funote"/>
        <w:rPr/>
      </w:pPr>
      <w:r>
        <w:rPr/>
        <w:footnoteRef/>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6240">
    <w:p>
      <w:pPr>
        <w:pStyle w:val="Funote"/>
        <w:rPr/>
      </w:pPr>
      <w:r>
        <w:rPr/>
        <w:footnoteRef/>
        <w:tab/>
        <w:t>Schweizer, EKK XII, S.81 und 89, schlägt vor, hier „Vorgabe“ zu übersetzen, weil „Hoffnung“ hier das schon im Himmel Bereitliegende bezeichnet. „Aus der 'Hoffnung, in der gehofft wird' ist die 'Hoffnung, die gehofft wird' geworden“ (a.a.O., S., 35)</w:t>
      </w:r>
    </w:p>
  </w:footnote>
  <w:footnote w:id="6241">
    <w:p>
      <w:pPr>
        <w:pStyle w:val="Funote"/>
        <w:rPr/>
      </w:pPr>
      <w:r>
        <w:rPr/>
        <w:footnoteRef/>
        <w:tab/>
        <w:t>Adverbiales Partizip modal aufgelöst.</w:t>
      </w:r>
    </w:p>
  </w:footnote>
  <w:footnote w:id="6242">
    <w:p>
      <w:pPr>
        <w:pStyle w:val="Funote"/>
        <w:rPr/>
      </w:pPr>
      <w:r>
        <w:rPr/>
        <w:footnoteRef/>
        <w:tab/>
        <w:t>Adverbiales Partizip modal durch „und“-Kombination aufgelöst.</w:t>
      </w:r>
    </w:p>
  </w:footnote>
  <w:footnote w:id="6243">
    <w:p>
      <w:pPr>
        <w:pStyle w:val="Funote"/>
        <w:rPr/>
      </w:pPr>
      <w:r>
        <w:rPr/>
        <w:footnoteRef/>
        <w:tab/>
        <w:t>agón bezeichnet den Wettkampf, nicht den Krieg.</w:t>
      </w:r>
    </w:p>
  </w:footnote>
  <w:footnote w:id="6244">
    <w:p>
      <w:pPr>
        <w:pStyle w:val="Funote"/>
        <w:rPr/>
      </w:pPr>
      <w:r>
        <w:rPr/>
        <w:footnoteRef/>
        <w:tab/>
        <w:t>Wörtl. Präposition katá mit Akk. „längs-hin, durch-hin, gemäß, nach“, eigentl.: „von oben bis unten über etwas hin“</w:t>
      </w:r>
    </w:p>
  </w:footnote>
  <w:footnote w:id="6245">
    <w:p>
      <w:pPr>
        <w:pStyle w:val="Funote"/>
        <w:rPr/>
      </w:pPr>
      <w:r>
        <w:rPr/>
        <w:footnoteRef/>
        <w:tab/>
        <w:t>D.h. Christi.</w:t>
      </w:r>
    </w:p>
  </w:footnote>
  <w:footnote w:id="6246">
    <w:p>
      <w:pPr>
        <w:pStyle w:val="Funote"/>
        <w:rPr/>
      </w:pPr>
      <w:r>
        <w:rPr/>
        <w:footnoteRef/>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6247">
    <w:p>
      <w:pPr>
        <w:pStyle w:val="Funote"/>
        <w:rPr/>
      </w:pPr>
      <w:r>
        <w:rPr/>
        <w:footnoteRef/>
        <w:tab/>
        <w:t>Vgl. Gemoll</w:t>
      </w:r>
    </w:p>
  </w:footnote>
  <w:footnote w:id="6248">
    <w:p>
      <w:pPr>
        <w:pStyle w:val="Funote"/>
        <w:rPr/>
      </w:pPr>
      <w:r>
        <w:rPr/>
        <w:footnoteRef/>
        <w:tab/>
        <w:t xml:space="preserve">Einige Textzeugen lassen dieses erste </w:t>
      </w:r>
      <w:r>
        <w:rPr>
          <w:lang w:val="el-GR"/>
        </w:rPr>
        <w:t>καί</w:t>
      </w:r>
      <w:r>
        <w:rPr/>
        <w:t xml:space="preserve"> (und, auch) weg. Die Qualität und Menge der Zeugen spricht aber für die Beibehaltung des ersten </w:t>
      </w:r>
      <w:r>
        <w:rPr>
          <w:lang w:val="el-GR"/>
        </w:rPr>
        <w:t>καί</w:t>
      </w:r>
      <w:r>
        <w:rPr/>
        <w:t xml:space="preserve">. (vgl. z.B. Hoppe, Rudolf: Der erste Thessalonikerbrief. Kommentar, Freiburg 2016. </w:t>
      </w:r>
    </w:p>
  </w:footnote>
  <w:footnote w:id="6249">
    <w:p>
      <w:pPr>
        <w:pStyle w:val="Funote"/>
        <w:rPr/>
      </w:pPr>
      <w:r>
        <w:rPr/>
        <w:footnoteRef/>
        <w:tab/>
        <w:t xml:space="preserve">Für eine Übersetzung von </w:t>
      </w:r>
      <w:r>
        <w:rPr>
          <w:lang w:val="el-GR"/>
        </w:rPr>
        <w:t>γάρ</w:t>
      </w:r>
      <w:r>
        <w:rPr/>
        <w:t xml:space="preserve"> mit 'denn' spricht, dass es hier offensichtlich um die Ausführung des vorherigen Verses geht. Das Wirksamwerden des Wortes wird durch die Nachahmung der Thessalonicher im Leiden offenbar</w:t>
      </w:r>
    </w:p>
  </w:footnote>
  <w:footnote w:id="6250">
    <w:p>
      <w:pPr>
        <w:pStyle w:val="Funote"/>
        <w:rPr/>
      </w:pPr>
      <w:r>
        <w:rPr/>
        <w:footnoteRef/>
        <w:tab/>
        <w:t>NA27 fügt dieses Amen in Klammern an. Der Text ohne das Amen ist breiter belegt. Es findet sich aber z.B. in ‭</w:t>
      </w:r>
      <w:r>
        <w:rPr>
          <w:lang w:bidi="he-IL"/>
        </w:rPr>
        <w:t>א</w:t>
      </w:r>
      <w:r>
        <w:rPr>
          <w:lang w:val="he-IL"/>
        </w:rPr>
        <w:t>*, ‭</w:t>
      </w:r>
      <w:r>
        <w:rPr>
          <w:lang w:bidi="he-IL"/>
        </w:rPr>
        <w:t>א</w:t>
      </w:r>
      <w:r>
        <w:rPr/>
        <w:t>2, A, D*.</w:t>
      </w:r>
    </w:p>
  </w:footnote>
  <w:footnote w:id="6251">
    <w:p>
      <w:pPr>
        <w:pStyle w:val="Funote"/>
        <w:rPr/>
      </w:pPr>
      <w:r>
        <w:rPr/>
        <w:footnoteRef/>
        <w:tab/>
        <w:t>Finalsatz</w:t>
      </w:r>
    </w:p>
  </w:footnote>
  <w:footnote w:id="6252">
    <w:p>
      <w:pPr>
        <w:pStyle w:val="Funote"/>
        <w:rPr/>
      </w:pPr>
      <w:r>
        <w:rPr/>
        <w:footnoteRef/>
        <w:tab/>
        <w:t>Wörtl.: "laufen" im übertragenen Sinne, wie wir z.B. sagen "läuft gut"</w:t>
      </w:r>
    </w:p>
  </w:footnote>
  <w:footnote w:id="6253">
    <w:p>
      <w:pPr>
        <w:pStyle w:val="Funote"/>
        <w:rPr/>
      </w:pPr>
      <w:r>
        <w:rPr/>
        <w:footnoteRef/>
        <w:tab/>
        <w:t>vllt trifft es "Bewunderung findet" besser. Warum wird Gottes Wort gepriesen? Weil es im Hörer etwas "bewirkt" bzw. weil es eine unerhörte, gute Neuigkeit ist</w:t>
      </w:r>
    </w:p>
  </w:footnote>
  <w:footnote w:id="6254">
    <w:p>
      <w:pPr>
        <w:pStyle w:val="Funote"/>
        <w:rPr/>
      </w:pPr>
      <w:r>
        <w:rPr/>
        <w:footnoteRef/>
        <w:tab/>
        <w:t>Finalsatz</w:t>
      </w:r>
    </w:p>
  </w:footnote>
  <w:footnote w:id="6255">
    <w:p>
      <w:pPr>
        <w:pStyle w:val="Funote"/>
        <w:rPr/>
      </w:pPr>
      <w:r>
        <w:rPr/>
        <w:footnoteRef/>
        <w:tab/>
        <w:t>Wörtl.: nicht am Platze =&gt; sittl./ moral. schlecht</w:t>
      </w:r>
    </w:p>
  </w:footnote>
  <w:footnote w:id="6256">
    <w:p>
      <w:pPr>
        <w:pStyle w:val="Funote"/>
        <w:rPr/>
      </w:pPr>
      <w:r>
        <w:rPr/>
        <w:footnoteRef/>
        <w:tab/>
        <w:t>Ellipse.</w:t>
      </w:r>
    </w:p>
  </w:footnote>
  <w:footnote w:id="6257">
    <w:p>
      <w:pPr>
        <w:pStyle w:val="Funote"/>
        <w:rPr/>
      </w:pPr>
      <w:r>
        <w:rPr/>
        <w:footnoteRef/>
        <w:tab/>
        <w:t xml:space="preserve">Wortspiel mit </w:t>
      </w:r>
      <w:r>
        <w:rPr>
          <w:lang w:val="el-GR"/>
        </w:rPr>
        <w:t>πίστις</w:t>
      </w:r>
      <w:r>
        <w:rPr/>
        <w:t xml:space="preserve"> Vers 2 und </w:t>
      </w:r>
      <w:r>
        <w:rPr>
          <w:lang w:val="el-GR"/>
        </w:rPr>
        <w:t>πιστός</w:t>
      </w:r>
      <w:r>
        <w:rPr/>
        <w:t>, im dt. nicht wiederzugeben</w:t>
      </w:r>
    </w:p>
  </w:footnote>
  <w:footnote w:id="6258">
    <w:p>
      <w:pPr>
        <w:pStyle w:val="Funote"/>
        <w:rPr/>
      </w:pPr>
      <w:r>
        <w:rPr/>
        <w:footnoteRef/>
        <w:tab/>
        <w:t>Gemeint sein kann, wie im Vaterunser (vgl. Mt 6,13) der Böse i.S. des Teufels und allgemein das Böse</w:t>
      </w:r>
    </w:p>
  </w:footnote>
  <w:footnote w:id="6259">
    <w:p>
      <w:pPr>
        <w:pStyle w:val="Funote"/>
        <w:rPr/>
      </w:pPr>
      <w:r>
        <w:rPr/>
        <w:footnoteRef/>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6260">
    <w:p>
      <w:pPr>
        <w:pStyle w:val="Funote"/>
        <w:rPr/>
      </w:pPr>
      <w:r>
        <w:rPr/>
        <w:footnoteRef/>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6261">
    <w:p>
      <w:pPr>
        <w:pStyle w:val="Funote"/>
        <w:rPr/>
      </w:pPr>
      <w:r>
        <w:rPr/>
        <w:footnoteRef/>
        <w:tab/>
        <w:t xml:space="preserve">Latinismus, lat. </w:t>
      </w:r>
      <w:r>
        <w:rPr>
          <w:i/>
        </w:rPr>
        <w:t>gratiam habeo</w:t>
      </w:r>
      <w:r>
        <w:rPr/>
        <w:t>.</w:t>
      </w:r>
    </w:p>
  </w:footnote>
  <w:footnote w:id="6262">
    <w:p>
      <w:pPr>
        <w:pStyle w:val="Funote"/>
        <w:rPr/>
      </w:pPr>
      <w:hyperlink r:id="rId645">
        <w:r>
          <w:rPr>
            <w:rStyle w:val="Internetverknpfung"/>
          </w:rPr>
          <w:footnoteRef/>
          <w:tab/>
          <w:t>Ptz. coni.</w:t>
        </w:r>
      </w:hyperlink>
      <w:r>
        <w:rPr/>
        <w:t>, relativisch aufgelöst. Während das Partizip in Phil 4,13 (der Vorlage?) im Präsens steht, weil dort an die immer wieder neu geschenkte Befähigung zu Askese und Bewährung gedacht ist, steht es hier im Aorist, weil an das einmalige Handeln des Erhöhten an Paulus vor Damaskus gedacht ist (Roloff, EKK XV, S. 92).</w:t>
      </w:r>
    </w:p>
  </w:footnote>
  <w:footnote w:id="6263">
    <w:p>
      <w:pPr>
        <w:pStyle w:val="Funote"/>
        <w:rPr/>
      </w:pPr>
      <w:hyperlink r:id="rId646">
        <w:r>
          <w:rPr>
            <w:rStyle w:val="Internetverknpfung"/>
          </w:rPr>
          <w:footnoteRef/>
          <w:tab/>
          <w:t>Ptz. coni.</w:t>
        </w:r>
      </w:hyperlink>
      <w:r>
        <w:rPr/>
        <w:t>, beiordnend aufgelöst.</w:t>
      </w:r>
    </w:p>
  </w:footnote>
  <w:footnote w:id="6264">
    <w:p>
      <w:pPr>
        <w:pStyle w:val="Funote"/>
        <w:rPr/>
      </w:pPr>
      <w:r>
        <w:rPr/>
        <w:footnoteRef/>
        <w:tab/>
        <w:t xml:space="preserve">Ptz. coni., relativisch aufgelöst. Das Partizip bezieht sich zurück auf das </w:t>
      </w:r>
      <w:r>
        <w:rPr>
          <w:lang w:val="el-GR"/>
        </w:rPr>
        <w:t>με</w:t>
      </w:r>
      <w:r>
        <w:rPr/>
        <w:t xml:space="preserve"> in Vers 12. Grammatikalisch richtig müsste es </w:t>
      </w:r>
      <w:r>
        <w:rPr>
          <w:lang w:val="el-GR"/>
        </w:rPr>
        <w:t>με … τὸν πρότερον ὄντα βλάσφημιον</w:t>
      </w:r>
      <w:r>
        <w:rPr/>
        <w:t xml:space="preserve"> heißen: „mich …, der ich früher ein Lästerer war“, BDR § 413, Anm. 10.</w:t>
      </w:r>
    </w:p>
  </w:footnote>
  <w:footnote w:id="6265">
    <w:p>
      <w:pPr>
        <w:pStyle w:val="Funote"/>
        <w:rPr/>
      </w:pPr>
      <w:r>
        <w:rPr/>
        <w:footnoteRef/>
        <w:tab/>
        <w:t>Die beiden Begriffe stammen aus der Terminologie der Lasterkataloge: Paulus soll als Typus des gottlosen Menschen schlechthin dargestellt werden, Roloff, EKK XV, S. 93.</w:t>
      </w:r>
    </w:p>
  </w:footnote>
  <w:footnote w:id="6266">
    <w:p>
      <w:pPr>
        <w:pStyle w:val="Funote"/>
        <w:rPr/>
      </w:pPr>
      <w:r>
        <w:rPr/>
        <w:footnoteRef/>
        <w:tab/>
        <w:t>Vgl. EG 355.</w:t>
      </w:r>
    </w:p>
  </w:footnote>
  <w:footnote w:id="6267">
    <w:p>
      <w:pPr>
        <w:pStyle w:val="Funote"/>
        <w:rPr/>
      </w:pPr>
      <w:r>
        <w:rPr/>
        <w:footnoteRef/>
        <w:tab/>
        <w:t>Unwissenheit ist ein Charakteristikum der Heidenwelt, vgl. aber Röm 1,18ff.</w:t>
      </w:r>
    </w:p>
  </w:footnote>
  <w:footnote w:id="6268">
    <w:p>
      <w:pPr>
        <w:pStyle w:val="Funote"/>
        <w:rPr/>
      </w:pPr>
      <w:r>
        <w:rPr/>
        <w:footnoteRef/>
        <w:tab/>
        <w:t>Paulus „hätte sein früheres Verhalten niemals als ‚Unglaube‘ beschreiben können“; er selbst stellt seine Lebenswende „als Widerlegung einer in sich makellosen pharisäischen Gesetzesfrömmigkeit“ dar. Für die Pastoralbriefe dagegen „ist ‚Glaube‘ übergreifende Kennzeichnung christlicher und damit wahrhaft religiöser Lebenshaltung“. Der „Unglaube“ des Paulus besagt also, dass er dem „falschen“ Glauben anhing (Roloff, EKK XV, S. 93).</w:t>
      </w:r>
    </w:p>
  </w:footnote>
  <w:footnote w:id="6269">
    <w:p>
      <w:pPr>
        <w:pStyle w:val="Funote"/>
        <w:rPr/>
      </w:pPr>
      <w:r>
        <w:rPr/>
        <w:footnoteRef/>
        <w:tab/>
        <w:t>Bei einem Gefäß bedeutet das Verb ‘überfließen‘ oder ‘überlaufen.</w:t>
      </w:r>
    </w:p>
  </w:footnote>
  <w:footnote w:id="6270">
    <w:p>
      <w:pPr>
        <w:pStyle w:val="Funote"/>
        <w:rPr/>
      </w:pPr>
      <w:r>
        <w:rPr/>
        <w:footnoteRef/>
        <w:tab/>
        <w:t>Glaube und Liebe sind Wirkungen der Gnade, also Charismen, vgl. Roloff, EKK XV, S. 95.</w:t>
      </w:r>
    </w:p>
  </w:footnote>
  <w:footnote w:id="6271">
    <w:p>
      <w:pPr>
        <w:pStyle w:val="Funote"/>
        <w:rPr/>
      </w:pPr>
      <w:r>
        <w:rPr/>
        <w:footnoteRef/>
        <w:tab/>
        <w:t>Diese Formel wurde von Theologen eingehend untersucht, weil sie sich an fünf Stellen in den Pastoralbriefen findet (1Tim 1,15; 3,1; 4,9; 2Tim 2,11; Tit 3,8). Man kann sie als Beteurungs- oder Bekräftigungsformel bezeichnen. „Die Formel verweist auf in der Tradition verwurzelte Aussagen …, die sich als Grundlage gemeinschaftlichen Glaubens und Handelns der Christen bewährt haben“. Sie erscheint „durchweg an Stellen, wo thematische Übergänge vorliegen oder - wie an unserer Stelle - neue Gedanken einzuführen sind“ (Roloff, EKK XV, S. 90).</w:t>
      </w:r>
    </w:p>
  </w:footnote>
  <w:footnote w:id="6272">
    <w:p>
      <w:pPr>
        <w:pStyle w:val="Funote"/>
        <w:rPr/>
      </w:pPr>
      <w:r>
        <w:rPr/>
        <w:footnoteRef/>
        <w:tab/>
        <w:t xml:space="preserve">Ich fasse das </w:t>
      </w:r>
      <w:r>
        <w:rPr>
          <w:lang w:val="el-GR"/>
        </w:rPr>
        <w:t>ὅτι</w:t>
      </w:r>
      <w:r>
        <w:rPr/>
        <w:t xml:space="preserve"> („dass“) als </w:t>
      </w:r>
      <w:hyperlink r:id="rId647">
        <w:r>
          <w:rPr>
            <w:rStyle w:val="Internetverknpfung"/>
          </w:rPr>
          <w:t>Ὅτι citativum (Seite nicht vorhanden)"&gt;</w:t>
        </w:r>
        <w:r>
          <w:rPr>
            <w:rStyle w:val="Internetverknpfung"/>
            <w:lang w:val="el-GR"/>
          </w:rPr>
          <w:t>ὅτι</w:t>
        </w:r>
        <w:r>
          <w:rPr>
            <w:rStyle w:val="Internetverknpfung"/>
          </w:rPr>
          <w:t xml:space="preserve"> citativum</w:t>
        </w:r>
      </w:hyperlink>
      <w:r>
        <w:rPr/>
        <w:t xml:space="preserve"> auf, das eine wörtliche Rede oder ein Zitat einleitet.</w:t>
      </w:r>
    </w:p>
  </w:footnote>
  <w:footnote w:id="6273">
    <w:p>
      <w:pPr>
        <w:pStyle w:val="Funote"/>
        <w:rPr/>
      </w:pPr>
      <w:r>
        <w:rPr>
          <w:lang w:val="el-GR"/>
        </w:rPr>
        <w:footnoteRef/>
        <w:tab/>
        <w:t>ὑπότυπος</w:t>
      </w:r>
      <w:r>
        <w:rPr/>
        <w:t xml:space="preserve"> ist die </w:t>
      </w:r>
      <w:r>
        <w:rPr>
          <w:i/>
        </w:rPr>
        <w:t>Skizze</w:t>
      </w:r>
      <w:r>
        <w:rPr/>
        <w:t xml:space="preserve">, das </w:t>
      </w:r>
      <w:r>
        <w:rPr>
          <w:i/>
        </w:rPr>
        <w:t>Muster</w:t>
      </w:r>
      <w:r>
        <w:rPr/>
        <w:t>, mehr als das stark aufs Moralische eingeengte „Vorbild“, Roloff, EKK XV, S. 97.</w:t>
      </w:r>
    </w:p>
  </w:footnote>
  <w:footnote w:id="6274">
    <w:p>
      <w:pPr>
        <w:pStyle w:val="Funote"/>
        <w:rPr/>
      </w:pPr>
      <w:hyperlink r:id="rId648">
        <w:r>
          <w:rPr>
            <w:rStyle w:val="Internetverknpfung"/>
          </w:rPr>
          <w:footnoteRef/>
          <w:tab/>
          <w:t>Ptz. coni.</w:t>
        </w:r>
      </w:hyperlink>
      <w:r>
        <w:rPr/>
        <w:t>, relativisch aufgelöst.</w:t>
      </w:r>
    </w:p>
  </w:footnote>
  <w:footnote w:id="6275">
    <w:p>
      <w:pPr>
        <w:pStyle w:val="Funote"/>
        <w:rPr/>
      </w:pPr>
      <w:r>
        <w:rPr>
          <w:lang w:val="el-GR"/>
        </w:rPr>
        <w:footnoteRef/>
        <w:tab/>
        <w:t>πρῶτον πάντων</w:t>
      </w:r>
      <w:r>
        <w:rPr/>
        <w:t xml:space="preserve"> kann auch zeitlich verstanden werden; hier bezeichnet es eine Reihenfolge: das wichtigste zuerst</w:t>
      </w:r>
    </w:p>
  </w:footnote>
  <w:footnote w:id="6276">
    <w:p>
      <w:pPr>
        <w:pStyle w:val="Funote"/>
        <w:rPr/>
      </w:pPr>
      <w:r>
        <w:rPr/>
        <w:footnoteRef/>
        <w:tab/>
        <w:t xml:space="preserve">Wörtlich: Ich ermahne, hier ohne Anrede. "Im übrigen aber hat das Verb </w:t>
      </w:r>
      <w:r>
        <w:rPr>
          <w:lang w:val="el-GR"/>
        </w:rPr>
        <w:t>παρακαλεῖν</w:t>
      </w:r>
      <w:r>
        <w:rPr/>
        <w:t xml:space="preserve"> auch in den Past[oralbriefen] den Beiklang des dringenden und beschwörenden, auf persönliche Zustimmung und Aneignung zielenden Bittens beibehalten (vgl. 2Tim 4,3; Tit 1,9)" (Roloff, EKK XV, S. 113).</w:t>
      </w:r>
    </w:p>
  </w:footnote>
  <w:footnote w:id="6277">
    <w:p>
      <w:pPr>
        <w:pStyle w:val="Funote"/>
        <w:rPr/>
      </w:pPr>
      <w:r>
        <w:rPr/>
        <w:footnoteRef/>
        <w:tab/>
        <w:t xml:space="preserve">Die vier Begriffe stehen asyndetisch nebeneinander. Sie sind in ihrem Bedeutungsgehalt nicht klar voneinander unterschieden (vgl. Roloff, ebd.). </w:t>
      </w:r>
      <w:r>
        <w:rPr>
          <w:lang w:val="el-GR"/>
        </w:rPr>
        <w:t>δέησις</w:t>
      </w:r>
      <w:r>
        <w:rPr/>
        <w:t xml:space="preserve"> bezeichnet auch in der Profangräzität die Bitte an Gott = das Gebet, während </w:t>
      </w:r>
      <w:r>
        <w:rPr>
          <w:lang w:val="el-GR"/>
        </w:rPr>
        <w:t>προσευχή</w:t>
      </w:r>
      <w:r>
        <w:rPr/>
        <w:t xml:space="preserve"> das gottesdienstliche Gebet v.a. im hellenist. Judentum meint. </w:t>
      </w:r>
      <w:r>
        <w:rPr>
          <w:lang w:val="el-GR"/>
        </w:rPr>
        <w:t>Ἔντευξις</w:t>
      </w:r>
      <w:r>
        <w:rPr/>
        <w:t xml:space="preserve"> ist im Profanbereich die Eingabe oder Bittschrift, daher: Bittgebet, Fürbitte. </w:t>
      </w:r>
      <w:r>
        <w:rPr>
          <w:lang w:val="el-GR"/>
        </w:rPr>
        <w:t>Εὐχαριστία</w:t>
      </w:r>
      <w:r>
        <w:rPr/>
        <w:t xml:space="preserve"> ist die Dankbarkeit, die Danksagung, daher: das Dankgebet; später auch die Eucharistie. Vgl. auch die Diskussionsseite</w:t>
      </w:r>
    </w:p>
  </w:footnote>
  <w:footnote w:id="6278">
    <w:p>
      <w:pPr>
        <w:pStyle w:val="Funote"/>
        <w:rPr/>
      </w:pPr>
      <w:hyperlink r:id="rId649">
        <w:r>
          <w:rPr>
            <w:rStyle w:val="Internetverknpfung"/>
          </w:rPr>
          <w:footnoteRef/>
          <w:tab/>
          <w:t>Gen. abs.</w:t>
        </w:r>
      </w:hyperlink>
      <w:r>
        <w:rPr/>
        <w:t>, relativisch aufgelöst.</w:t>
      </w:r>
    </w:p>
  </w:footnote>
  <w:footnote w:id="6279">
    <w:p>
      <w:pPr>
        <w:pStyle w:val="Funote"/>
        <w:rPr/>
      </w:pPr>
      <w:r>
        <w:rPr/>
        <w:footnoteRef/>
        <w:tab/>
        <w:t xml:space="preserve">Im Text steht die Partikel </w:t>
      </w:r>
      <w:r>
        <w:rPr>
          <w:lang w:val="el-GR"/>
        </w:rPr>
        <w:t>γάρ</w:t>
      </w:r>
      <w:r>
        <w:rPr/>
        <w:t>, denn, nämlich. Das Zitat gibt an, was die in Vers 4 genannte "Wahrheit" ist.</w:t>
      </w:r>
    </w:p>
  </w:footnote>
  <w:footnote w:id="6280">
    <w:p>
      <w:pPr>
        <w:pStyle w:val="Funote"/>
        <w:rPr/>
      </w:pPr>
      <w:r>
        <w:rPr>
          <w:lang w:val="el-GR"/>
        </w:rPr>
        <w:footnoteRef/>
        <w:tab/>
        <w:t>καί</w:t>
      </w:r>
      <w:r>
        <w:rPr/>
        <w:t xml:space="preserve"> hier entweder anschließend "und" oder fortführend "auch".</w:t>
      </w:r>
    </w:p>
  </w:footnote>
  <w:footnote w:id="6281">
    <w:p>
      <w:pPr>
        <w:pStyle w:val="Funote"/>
        <w:rPr/>
      </w:pPr>
      <w:r>
        <w:rPr/>
        <w:footnoteRef/>
        <w:tab/>
        <w:t>Partizip. Da es sich auf eine Handlung in der Vergangenheit = den Kreuzestod Jesu bezieht, hier als Perfekt übersetzt.</w:t>
      </w:r>
    </w:p>
  </w:footnote>
  <w:footnote w:id="6282">
    <w:p>
      <w:pPr>
        <w:pStyle w:val="Funote"/>
        <w:rPr/>
      </w:pPr>
      <w:r>
        <w:rPr/>
        <w:footnoteRef/>
        <w:tab/>
        <w:t>Dativ, hier instrumental aufgefasst.</w:t>
      </w:r>
    </w:p>
  </w:footnote>
  <w:footnote w:id="6283">
    <w:p>
      <w:pPr>
        <w:pStyle w:val="Funote"/>
        <w:rPr/>
      </w:pPr>
      <w:r>
        <w:rPr>
          <w:lang w:val="el-GR"/>
        </w:rPr>
        <w:footnoteRef/>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6284">
    <w:p>
      <w:pPr>
        <w:pStyle w:val="Funote"/>
        <w:rPr/>
      </w:pPr>
      <w:r>
        <w:rPr/>
        <w:footnoteRef/>
        <w:tab/>
        <w:t>für die Lesefassung wäre „Glaube“ der Verständlichkeit halber vorzuziehen.</w:t>
      </w:r>
    </w:p>
  </w:footnote>
  <w:footnote w:id="6285">
    <w:p>
      <w:pPr>
        <w:pStyle w:val="Funote"/>
        <w:rPr/>
      </w:pPr>
      <w:r>
        <w:rPr/>
        <w:footnoteRef/>
        <w:tab/>
        <w:t>[Status: Ungeprüft]</w:t>
      </w:r>
    </w:p>
  </w:footnote>
  <w:footnote w:id="6286">
    <w:p>
      <w:pPr>
        <w:pStyle w:val="Funote"/>
        <w:rPr/>
      </w:pPr>
      <w:r>
        <w:rPr/>
        <w:footnoteRef/>
        <w:tab/>
        <w:t>[Status: Ungeprüft]</w:t>
      </w:r>
    </w:p>
  </w:footnote>
  <w:footnote w:id="6287">
    <w:p>
      <w:pPr>
        <w:pStyle w:val="Funote"/>
        <w:rPr/>
      </w:pPr>
      <w:r>
        <w:rPr/>
        <w:footnoteRef/>
        <w:tab/>
        <w:t>[Status: Ungeprüft]</w:t>
      </w:r>
    </w:p>
  </w:footnote>
  <w:footnote w:id="6288">
    <w:p>
      <w:pPr>
        <w:pStyle w:val="Funote"/>
        <w:rPr/>
      </w:pPr>
      <w:r>
        <w:rPr>
          <w:lang w:val="el-GR"/>
        </w:rPr>
        <w:footnoteRef/>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6289">
    <w:p>
      <w:pPr>
        <w:pStyle w:val="Funote"/>
        <w:rPr/>
      </w:pPr>
      <w:r>
        <w:rPr>
          <w:lang w:val="el-GR"/>
        </w:rPr>
        <w:footnoteRef/>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6290">
    <w:p>
      <w:pPr>
        <w:pStyle w:val="Funote"/>
        <w:rPr/>
      </w:pPr>
      <w:r>
        <w:rPr>
          <w:lang w:val="el-GR"/>
        </w:rPr>
        <w:footnoteRef/>
        <w:tab/>
        <w:t>πατρασιν</w:t>
      </w:r>
      <w:r>
        <w:rPr/>
        <w:t xml:space="preserve"> (</w:t>
      </w:r>
      <w:r>
        <w:rPr>
          <w:lang w:val="el-GR"/>
        </w:rPr>
        <w:t>πατηρ</w:t>
      </w:r>
      <w:r>
        <w:rPr/>
        <w:t>) Subst.Pl.Dat.</w:t>
      </w:r>
    </w:p>
  </w:footnote>
  <w:footnote w:id="6291">
    <w:p>
      <w:pPr>
        <w:pStyle w:val="Funote"/>
        <w:rPr/>
      </w:pPr>
      <w:r>
        <w:rPr>
          <w:lang w:val="el-GR"/>
        </w:rPr>
        <w:footnoteRef/>
        <w:tab/>
        <w:t>εν</w:t>
      </w:r>
      <w:r>
        <w:rPr/>
        <w:t xml:space="preserve"> (in (Dativ))</w:t>
      </w:r>
    </w:p>
  </w:footnote>
  <w:footnote w:id="6292">
    <w:p>
      <w:pPr>
        <w:pStyle w:val="Funote"/>
        <w:rPr/>
      </w:pPr>
      <w:r>
        <w:rPr/>
        <w:footnoteRef/>
        <w:tab/>
        <w:t>hat ... geredet, (Part.Pl.Akk.)</w:t>
      </w:r>
    </w:p>
  </w:footnote>
  <w:footnote w:id="6293">
    <w:p>
      <w:pPr>
        <w:pStyle w:val="Funote"/>
        <w:rPr/>
      </w:pPr>
      <w:r>
        <w:rPr/>
        <w:footnoteRef/>
        <w:tab/>
        <w:t xml:space="preserve">eschatwn </w:t>
      </w:r>
    </w:p>
  </w:footnote>
  <w:footnote w:id="6294">
    <w:p>
      <w:pPr>
        <w:pStyle w:val="Funote"/>
        <w:rPr/>
      </w:pPr>
      <w:r>
        <w:rPr>
          <w:lang w:val="el-GR"/>
        </w:rPr>
        <w:footnoteRef/>
        <w:tab/>
        <w:t>εν</w:t>
      </w:r>
      <w:r>
        <w:rPr/>
        <w:t xml:space="preserve"> (in (Dativ))</w:t>
      </w:r>
    </w:p>
  </w:footnote>
  <w:footnote w:id="6295">
    <w:p>
      <w:pPr>
        <w:pStyle w:val="Funote"/>
        <w:rPr/>
      </w:pPr>
      <w:r>
        <w:rPr/>
        <w:footnoteRef/>
        <w:tab/>
        <w:t>als Erbe von allem</w:t>
      </w:r>
    </w:p>
  </w:footnote>
  <w:footnote w:id="6296">
    <w:p>
      <w:pPr>
        <w:pStyle w:val="Funote"/>
        <w:rPr/>
      </w:pPr>
      <w:r>
        <w:rPr/>
        <w:footnoteRef/>
        <w:tab/>
        <w:t>Oder: „und das Geschöpf ist nicht verborgen vor ihm…“</w:t>
      </w:r>
    </w:p>
  </w:footnote>
  <w:footnote w:id="6297">
    <w:p>
      <w:pPr>
        <w:pStyle w:val="Funote"/>
        <w:rPr/>
      </w:pPr>
      <w:r>
        <w:rPr/>
        <w:footnoteRef/>
        <w:tab/>
        <w:t>Part. pl. n. pass. Perf.</w:t>
      </w:r>
    </w:p>
  </w:footnote>
  <w:footnote w:id="6298">
    <w:p>
      <w:pPr>
        <w:pStyle w:val="Funote"/>
        <w:rPr/>
      </w:pPr>
      <w:r>
        <w:rPr/>
        <w:footnoteRef/>
        <w:tab/>
        <w:t>D.h. in seiner Eigenschaft als Richter.</w:t>
      </w:r>
    </w:p>
  </w:footnote>
  <w:footnote w:id="6299">
    <w:p>
      <w:pPr>
        <w:pStyle w:val="Funote"/>
        <w:rPr/>
      </w:pPr>
      <w:r>
        <w:rPr/>
        <w:footnoteRef/>
        <w:tab/>
        <w:t>Statt „Erbarmen“ kann auch „Mitleid“ übersetzt werden.</w:t>
      </w:r>
    </w:p>
  </w:footnote>
  <w:footnote w:id="6300">
    <w:p>
      <w:pPr>
        <w:pStyle w:val="Funote"/>
        <w:rPr/>
      </w:pPr>
      <w:r>
        <w:rPr/>
        <w:footnoteRef/>
        <w:tab/>
        <w:t>[Status: Ungeprüft]</w:t>
      </w:r>
    </w:p>
  </w:footnote>
  <w:footnote w:id="6301">
    <w:p>
      <w:pPr>
        <w:pStyle w:val="Funote"/>
        <w:rPr/>
      </w:pPr>
      <w:r>
        <w:rPr/>
        <w:footnoteRef/>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6302">
    <w:p>
      <w:pPr>
        <w:pStyle w:val="Funote"/>
        <w:rPr/>
      </w:pPr>
      <w:r>
        <w:rPr/>
        <w:footnoteRef/>
        <w:tab/>
        <w:t xml:space="preserve">Griech.: </w:t>
      </w:r>
      <w:r>
        <w:rPr>
          <w:lang w:val="el-GR"/>
        </w:rPr>
        <w:t>υπόστασις</w:t>
      </w:r>
    </w:p>
  </w:footnote>
  <w:footnote w:id="6303">
    <w:p>
      <w:pPr>
        <w:pStyle w:val="Funote"/>
        <w:rPr/>
      </w:pPr>
      <w:r>
        <w:rPr/>
        <w:footnoteRef/>
        <w:tab/>
        <w:t>Wörtliche Beibehaltung der Wortstellung: „Jesus Christus gestern und heute, derselbe auch in alle Ewigkeit.“</w:t>
      </w:r>
    </w:p>
  </w:footnote>
  <w:footnote w:id="6304">
    <w:p>
      <w:pPr>
        <w:pStyle w:val="Funote"/>
        <w:rPr/>
      </w:pPr>
      <w:r>
        <w:rPr/>
        <w:footnoteRef/>
        <w:tab/>
        <w:t>[Status: Zuverlässig]</w:t>
      </w:r>
    </w:p>
  </w:footnote>
  <w:footnote w:id="6305">
    <w:p>
      <w:pPr>
        <w:pStyle w:val="Funote"/>
        <w:spacing w:before="0" w:after="283"/>
        <w:rPr/>
      </w:pPr>
      <w:r>
        <w:rPr>
          <w:i/>
        </w:rPr>
        <w:footnoteRef/>
        <w:tab/>
        <w:t>die zwölf Stämme in der Zerstreuung (Diaspora)</w:t>
      </w:r>
      <w:r>
        <w:rPr/>
        <w:t xml:space="preserve">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w:t>
      </w:r>
    </w:p>
    <w:p>
      <w:pPr>
        <w:pStyle w:val="Textkrper"/>
        <w:rPr/>
      </w:pPr>
      <w:r>
        <w:rPr/>
        <w:tab/>
        <w:t xml:space="preserve">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w:t>
      </w:r>
      <w:hyperlink r:id="rId650">
        <w:r>
          <w:rPr>
            <w:rStyle w:val="Internetverknpfung"/>
          </w:rPr>
          <w:t>Ps 147,2</w:t>
        </w:r>
      </w:hyperlink>
      <w:r>
        <w:rPr/>
        <w:t xml:space="preserve">; </w:t>
      </w:r>
      <w:r>
        <w:fldChar w:fldCharType="begin"/>
      </w:r>
      <w:r>
        <w:instrText> HYPERLINK "file:///wiki/Jesaja_11" \l "s12"</w:instrText>
      </w:r>
      <w:r>
        <w:fldChar w:fldCharType="separate"/>
      </w:r>
      <w:r>
        <w:rPr>
          <w:rStyle w:val="Internetverknpfung"/>
        </w:rPr>
        <w:t>Jes 11,12</w:t>
      </w:r>
      <w:r>
        <w:fldChar w:fldCharType="end"/>
      </w:r>
      <w:r>
        <w:rPr/>
        <w:t xml:space="preserve">; </w:t>
      </w:r>
      <w:r>
        <w:fldChar w:fldCharType="begin"/>
      </w:r>
      <w:r>
        <w:instrText> HYPERLINK "file:///wiki/Jesaja_14" \l "s1"</w:instrText>
      </w:r>
      <w:r>
        <w:fldChar w:fldCharType="separate"/>
      </w:r>
      <w:r>
        <w:rPr>
          <w:rStyle w:val="Internetverknpfung"/>
        </w:rPr>
        <w:t>14,1</w:t>
      </w:r>
      <w:r>
        <w:fldChar w:fldCharType="end"/>
      </w:r>
      <w:r>
        <w:rPr/>
        <w:t xml:space="preserve">; </w:t>
      </w:r>
      <w:r>
        <w:fldChar w:fldCharType="begin"/>
      </w:r>
      <w:r>
        <w:instrText> HYPERLINK "file:///wiki/Jesaja_43" \l "s5"</w:instrText>
      </w:r>
      <w:r>
        <w:fldChar w:fldCharType="separate"/>
      </w:r>
      <w:r>
        <w:rPr>
          <w:rStyle w:val="Internetverknpfung"/>
        </w:rPr>
        <w:t>54,5f</w:t>
      </w:r>
      <w:r>
        <w:fldChar w:fldCharType="end"/>
      </w:r>
      <w:r>
        <w:rPr/>
        <w:t xml:space="preserve">; </w:t>
      </w:r>
      <w:hyperlink r:id="rId651">
        <w:r>
          <w:rPr>
            <w:rStyle w:val="Internetverknpfung"/>
          </w:rPr>
          <w:t>Jer 31,10</w:t>
        </w:r>
      </w:hyperlink>
      <w:r>
        <w:rPr/>
        <w:t xml:space="preserve">; </w:t>
      </w:r>
      <w:hyperlink r:id="rId652">
        <w:r>
          <w:rPr>
            <w:rStyle w:val="Internetverknpfung"/>
          </w:rPr>
          <w:t>Ez 28,25</w:t>
        </w:r>
      </w:hyperlink>
      <w:r>
        <w:rPr/>
        <w:t xml:space="preserve"> u.ö.). Diese Vorstellung wurde im Laufe der Zeit erweitert: (a) Der Zustand der Zerstreuung wurde als Strafe Gottes für die Sündhaftigkeit Israels verstanden (s. z.B. </w:t>
      </w:r>
      <w:hyperlink r:id="rId653">
        <w:r>
          <w:rPr>
            <w:rStyle w:val="Internetverknpfung"/>
          </w:rPr>
          <w:t>Neh 1,8f</w:t>
        </w:r>
      </w:hyperlink>
      <w:r>
        <w:rPr/>
        <w:t>), (b) Jesus bringt die Sammlung des zerstreuten Israels mit seiner - des Menschensohns - Wiederkunft am Ende der Zeiten in Zusammenhang.</w:t>
        <w:br/>
        <w:t>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w:t>
      </w:r>
    </w:p>
    <w:p>
      <w:pPr>
        <w:pStyle w:val="Textkrper"/>
        <w:spacing w:before="0" w:after="283"/>
        <w:rPr/>
      </w:pPr>
      <w:r>
        <w:rPr/>
        <w:tab/>
        <w:t xml:space="preserve">Unsicher allerdings ist, ob der Brief sich dann allgemein an </w:t>
      </w:r>
      <w:r>
        <w:rPr>
          <w:i/>
        </w:rPr>
        <w:t>alle Angehörigen der zwölf Stämme</w:t>
      </w:r>
      <w:r>
        <w:rPr/>
        <w:t xml:space="preserve"> richtet, oder ob diese Vorstellung von der Sammlung der zwölf Stämme im Jakobusbrief auf die </w:t>
      </w:r>
      <w:r>
        <w:rPr>
          <w:i/>
        </w:rPr>
        <w:t>Christusgläubigen</w:t>
      </w:r>
      <w:r>
        <w:rPr/>
        <w:t xml:space="preserve"> übertragen wird.</w:t>
      </w:r>
    </w:p>
  </w:footnote>
  <w:footnote w:id="6306">
    <w:p>
      <w:pPr>
        <w:pStyle w:val="Funote"/>
        <w:rPr/>
      </w:pPr>
      <w:r>
        <w:rPr/>
        <w:footnoteRef/>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6307">
    <w:p>
      <w:pPr>
        <w:pStyle w:val="Funote"/>
        <w:rPr/>
      </w:pPr>
      <w:r>
        <w:rPr/>
        <w:footnoteRef/>
        <w:tab/>
        <w:t>Entsprechend dem Stil seiner Zeit spricht Jakobus hier nur die männlichen „Brüder“ an; die weiblichen „Schwestern“ sind aber sehr sicher mitgemeint (-&gt; Generisches Maskulinum).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6308">
    <w:p>
      <w:pPr>
        <w:pStyle w:val="Funote"/>
        <w:rPr/>
      </w:pPr>
      <w:r>
        <w:rPr/>
        <w:footnoteRef/>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6309">
    <w:p>
      <w:pPr>
        <w:pStyle w:val="Funote"/>
        <w:rPr/>
      </w:pPr>
      <w:r>
        <w:fldChar w:fldCharType="begin"/>
      </w:r>
      <w:r>
        <w:instrText> HYPERLINK "http://www.offene-bibel.de/wiki/index.php5?title=Partizip" \l "Die_Sinnrichtungen"</w:instrText>
      </w:r>
      <w:r>
        <w:fldChar w:fldCharType="separate"/>
      </w:r>
      <w:r>
        <w:rPr>
          <w:rStyle w:val="Internetverknpfung"/>
        </w:rPr>
        <w:footnoteRef/>
        <w:tab/>
        <w:t>Ptz. coni.</w:t>
      </w:r>
      <w:r>
        <w:fldChar w:fldCharType="end"/>
      </w:r>
      <w:r>
        <w:rPr/>
        <w:t xml:space="preserve">, hier als kausaler Nebensatz aufgelöst (oder als Präpositionalphrase, so Klammer). Einige Ausleger verstehen das Partizip auch imperativisches Partizip („wisst“). </w:t>
      </w:r>
    </w:p>
  </w:footnote>
  <w:footnote w:id="6310">
    <w:p>
      <w:pPr>
        <w:pStyle w:val="Funote"/>
        <w:rPr/>
      </w:pPr>
      <w:r>
        <w:rPr/>
        <w:footnoteRef/>
        <w:tab/>
        <w:t>Der Begriff hat eine sehr aktive Bedeutung – es wird nicht nur abgewartet, sondern auch entsprechend gehandelt (Dibelius 1964, 101; Blomberg 2008, 49; Mußner 1964, 65f.).</w:t>
      </w:r>
    </w:p>
  </w:footnote>
  <w:footnote w:id="6311">
    <w:p>
      <w:pPr>
        <w:pStyle w:val="Funote"/>
        <w:rPr/>
      </w:pPr>
      <w:r>
        <w:rPr>
          <w:lang w:val="el-GR"/>
        </w:rPr>
        <w:footnoteRef/>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6312">
    <w:p>
      <w:pPr>
        <w:pStyle w:val="Funote"/>
        <w:rPr/>
      </w:pPr>
      <w:r>
        <w:rPr/>
        <w:footnoteRef/>
        <w:tab/>
        <w:t>Oder sinngemäßer: „Ausgang“ (cf. Johnson 1995, 178).</w:t>
      </w:r>
    </w:p>
  </w:footnote>
  <w:footnote w:id="6313">
    <w:p>
      <w:pPr>
        <w:pStyle w:val="Funote"/>
        <w:rPr/>
      </w:pPr>
      <w:r>
        <w:rPr/>
        <w:footnoteRef/>
        <w:tab/>
        <w:t xml:space="preserve">Der Imperativ Präsens markiert hier, dass nicht </w:t>
      </w:r>
      <w:r>
        <w:rPr>
          <w:i/>
        </w:rPr>
        <w:t>ein Mal ein</w:t>
      </w:r>
      <w:r>
        <w:rPr/>
        <w:t xml:space="preserve"> vollkommenes Werk Folge der Standhaftigkeit sein soll, sondern dass vollkommene Werke </w:t>
      </w:r>
      <w:r>
        <w:rPr>
          <w:i/>
        </w:rPr>
        <w:t>prinzipiell</w:t>
      </w:r>
      <w:r>
        <w:rPr/>
        <w:t xml:space="preserve"> die Folge der Standhaftigkeit sein sollen.</w:t>
      </w:r>
    </w:p>
  </w:footnote>
  <w:footnote w:id="6314">
    <w:p>
      <w:pPr>
        <w:pStyle w:val="Funote"/>
        <w:rPr/>
      </w:pPr>
      <w:r>
        <w:rPr>
          <w:lang w:val="el-GR"/>
        </w:rPr>
        <w:footnoteRef/>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6315">
    <w:p>
      <w:pPr>
        <w:pStyle w:val="Funote"/>
        <w:rPr/>
      </w:pPr>
      <w:r>
        <w:rPr/>
        <w:footnoteRef/>
        <w:tab/>
        <w:t xml:space="preserve">Auflösung eines </w:t>
      </w:r>
      <w:r>
        <w:fldChar w:fldCharType="begin"/>
      </w:r>
      <w:r>
        <w:instrText> HYPERLINK "http://www.offene-bibel.de/wiki/index.php5?title=Partizip" \l "Die_Sinnrichtungen"</w:instrText>
      </w:r>
      <w:r>
        <w:fldChar w:fldCharType="separate"/>
      </w:r>
      <w:r>
        <w:rPr>
          <w:rStyle w:val="Internetverknpfung"/>
        </w:rPr>
        <w:t>Ptz. coni.</w:t>
      </w:r>
      <w:r>
        <w:fldChar w:fldCharType="end"/>
      </w:r>
      <w:r>
        <w:rPr/>
        <w:t xml:space="preserve"> durch </w:t>
      </w:r>
      <w:r>
        <w:rPr>
          <w:i/>
        </w:rPr>
        <w:t>und</w:t>
      </w:r>
      <w:r>
        <w:rPr/>
        <w:t>-Koordination. Möglich auch modal, temporal, kausal (so Klammer).</w:t>
      </w:r>
    </w:p>
  </w:footnote>
  <w:footnote w:id="6316">
    <w:p>
      <w:pPr>
        <w:pStyle w:val="Funote"/>
        <w:rPr/>
      </w:pPr>
      <w:r>
        <w:rPr/>
        <w:footnoteRef/>
        <w:tab/>
        <w:t>S. vorige FN.</w:t>
      </w:r>
    </w:p>
  </w:footnote>
  <w:footnote w:id="6317">
    <w:p>
      <w:pPr>
        <w:pStyle w:val="Funote"/>
        <w:rPr/>
      </w:pPr>
      <w:r>
        <w:rPr/>
        <w:footnoteRef/>
        <w:tab/>
        <w:t xml:space="preserve">Wieder spricht Jakobus einzig männliche Leser an, meint aber auch die weiblichen Leser mit (-&gt; </w:t>
      </w:r>
      <w:hyperlink r:id="rId654">
        <w:r>
          <w:rPr>
            <w:rStyle w:val="Internetverknpfung"/>
          </w:rPr>
          <w:t>Generisches Maskulinum</w:t>
        </w:r>
      </w:hyperlink>
      <w:r>
        <w:rPr/>
        <w:t>). Für die LF sei jeweils - falls vorhanden - die Übersetzungsalternative in der Klammer empfohlen.</w:t>
      </w:r>
    </w:p>
  </w:footnote>
  <w:footnote w:id="6318">
    <w:p>
      <w:pPr>
        <w:pStyle w:val="Funote"/>
        <w:spacing w:before="0" w:after="283"/>
        <w:rPr/>
      </w:pPr>
      <w:r>
        <w:rPr>
          <w:i/>
        </w:rPr>
        <w:footnoteRef/>
        <w:tab/>
        <w:t>Weisheit</w:t>
      </w:r>
      <w:r>
        <w:rPr/>
        <w:t xml:space="preserve"> - Jakobus' Verständnis von „Weisheit“ entspricht v.a. dem Weisheitskonzept der frühjüdischen Schriften: (1) Weisheit ist nicht etwas, das man von selbst erlangen könnte, sondern zunächst eine </w:t>
      </w:r>
      <w:r>
        <w:rPr>
          <w:i/>
        </w:rPr>
        <w:t>Gabe Gottes</w:t>
      </w:r>
      <w:r>
        <w:rPr/>
        <w:t xml:space="preserve"> (s. Vv. 5.17; vgl. z.B. </w:t>
      </w:r>
      <w:r>
        <w:fldChar w:fldCharType="begin"/>
      </w:r>
      <w:r>
        <w:instrText> HYPERLINK "file:///wiki/Jesaja_11" \l "s2"</w:instrText>
      </w:r>
      <w:r>
        <w:fldChar w:fldCharType="separate"/>
      </w:r>
      <w:r>
        <w:rPr>
          <w:rStyle w:val="Internetverknpfung"/>
        </w:rPr>
        <w:t>Jes 11,2</w:t>
      </w:r>
      <w:r>
        <w:fldChar w:fldCharType="end"/>
      </w:r>
      <w:r>
        <w:rPr/>
        <w:t xml:space="preserve">; </w:t>
      </w:r>
      <w:hyperlink r:id="rId655">
        <w:r>
          <w:rPr>
            <w:rStyle w:val="Internetverknpfung"/>
          </w:rPr>
          <w:t>Spr 1,7</w:t>
        </w:r>
      </w:hyperlink>
      <w:r>
        <w:rPr/>
        <w:t xml:space="preserve">; </w:t>
      </w:r>
      <w:r>
        <w:fldChar w:fldCharType="begin"/>
      </w:r>
      <w:r>
        <w:instrText> HYPERLINK "file:///wiki/Sprichwörter_2" \l "s6"</w:instrText>
      </w:r>
      <w:r>
        <w:fldChar w:fldCharType="separate"/>
      </w:r>
      <w:r>
        <w:rPr>
          <w:rStyle w:val="Internetverknpfung"/>
        </w:rPr>
        <w:t>2,6</w:t>
      </w:r>
      <w:r>
        <w:fldChar w:fldCharType="end"/>
      </w:r>
      <w:r>
        <w:rPr/>
        <w:t xml:space="preserve">; </w:t>
      </w:r>
      <w:hyperlink r:id="rId656">
        <w:r>
          <w:rPr>
            <w:rStyle w:val="Internetverknpfung"/>
          </w:rPr>
          <w:t>Sir 39,5</w:t>
        </w:r>
      </w:hyperlink>
      <w:r>
        <w:rPr/>
        <w:t xml:space="preserve">; </w:t>
      </w:r>
      <w:hyperlink r:id="rId657">
        <w:r>
          <w:rPr>
            <w:rStyle w:val="Internetverknpfung"/>
          </w:rPr>
          <w:t>Weish 7,7</w:t>
        </w:r>
      </w:hyperlink>
      <w:r>
        <w:rPr/>
        <w:t>.</w:t>
      </w:r>
      <w:hyperlink r:id="rId658">
        <w:r>
          <w:rPr>
            <w:rStyle w:val="Internetverknpfung"/>
          </w:rPr>
          <w:t>15</w:t>
        </w:r>
      </w:hyperlink>
      <w:r>
        <w:rPr/>
        <w:t>.</w:t>
      </w:r>
      <w:hyperlink r:id="rId659">
        <w:r>
          <w:rPr>
            <w:rStyle w:val="Internetverknpfung"/>
          </w:rPr>
          <w:t>25f</w:t>
        </w:r>
      </w:hyperlink>
      <w:r>
        <w:rPr/>
        <w:t xml:space="preserve">; </w:t>
      </w:r>
      <w:hyperlink r:id="rId660">
        <w:r>
          <w:rPr>
            <w:rStyle w:val="Internetverknpfung"/>
          </w:rPr>
          <w:t>1Kor 2,13</w:t>
        </w:r>
      </w:hyperlink>
      <w:r>
        <w:rPr/>
        <w:t xml:space="preserve">; </w:t>
      </w:r>
      <w:hyperlink r:id="rId661">
        <w:r>
          <w:rPr>
            <w:rStyle w:val="Internetverknpfung"/>
          </w:rPr>
          <w:t>12,8</w:t>
        </w:r>
      </w:hyperlink>
      <w:r>
        <w:rPr/>
        <w:t xml:space="preserve">; </w:t>
      </w:r>
      <w:r>
        <w:fldChar w:fldCharType="begin"/>
      </w:r>
      <w:r>
        <w:instrText> HYPERLINK "file:///wiki/Epheser_1" \l "s17"</w:instrText>
      </w:r>
      <w:r>
        <w:fldChar w:fldCharType="separate"/>
      </w:r>
      <w:r>
        <w:rPr>
          <w:rStyle w:val="Internetverknpfung"/>
        </w:rPr>
        <w:t>Eph 1,17</w:t>
      </w:r>
      <w:r>
        <w:fldChar w:fldCharType="end"/>
      </w:r>
      <w:r>
        <w:rPr/>
        <w:t xml:space="preserve"> u.ö.). Und (2) führt sie anders als die „irdische Weisheit“ (i.S.v. „Wissenschaft“, vgl. z.B. </w:t>
      </w:r>
      <w:hyperlink r:id="rId662">
        <w:r>
          <w:rPr>
            <w:rStyle w:val="Internetverknpfung"/>
          </w:rPr>
          <w:t>1Kor 1,19-22</w:t>
        </w:r>
      </w:hyperlink>
      <w:r>
        <w:rPr/>
        <w:t xml:space="preserve">; </w:t>
      </w:r>
      <w:hyperlink r:id="rId663">
        <w:r>
          <w:rPr>
            <w:rStyle w:val="Internetverknpfung"/>
          </w:rPr>
          <w:t>2,6f</w:t>
        </w:r>
      </w:hyperlink>
      <w:r>
        <w:rPr/>
        <w:t xml:space="preserve">) nicht zunächst zu Erkenntnis und Wissen, sondern befähigt zu </w:t>
      </w:r>
      <w:r>
        <w:rPr>
          <w:i/>
        </w:rPr>
        <w:t>gottgefälligem Handeln</w:t>
      </w:r>
      <w:r>
        <w:rPr/>
        <w:t xml:space="preserve"> (s. </w:t>
      </w:r>
      <w:r>
        <w:fldChar w:fldCharType="begin"/>
      </w:r>
      <w:r>
        <w:instrText> HYPERLINK "file:///wiki/Jakobus_3" \l "s17"</w:instrText>
      </w:r>
      <w:r>
        <w:fldChar w:fldCharType="separate"/>
      </w:r>
      <w:r>
        <w:rPr>
          <w:rStyle w:val="Internetverknpfung"/>
        </w:rPr>
        <w:t>Jak 3,17</w:t>
      </w:r>
      <w:r>
        <w:fldChar w:fldCharType="end"/>
      </w:r>
      <w:r>
        <w:rPr/>
        <w:t xml:space="preserve">; vgl. </w:t>
      </w:r>
      <w:hyperlink r:id="rId664">
        <w:r>
          <w:rPr>
            <w:rStyle w:val="Internetverknpfung"/>
          </w:rPr>
          <w:t>Weish 7,22f</w:t>
        </w:r>
      </w:hyperlink>
      <w:r>
        <w:rPr/>
        <w:t xml:space="preserve">; </w:t>
      </w:r>
      <w:hyperlink r:id="rId665">
        <w:r>
          <w:rPr>
            <w:rStyle w:val="Internetverknpfung"/>
          </w:rPr>
          <w:t>Weish 8,6-8</w:t>
        </w:r>
      </w:hyperlink>
      <w:r>
        <w:rPr/>
        <w:t xml:space="preserve">; </w:t>
      </w:r>
      <w:hyperlink r:id="rId666">
        <w:r>
          <w:rPr>
            <w:rStyle w:val="Internetverknpfung"/>
          </w:rPr>
          <w:t>9,1-4</w:t>
        </w:r>
      </w:hyperlink>
      <w:r>
        <w:rPr/>
        <w:t>.</w:t>
      </w:r>
      <w:hyperlink r:id="rId667">
        <w:r>
          <w:rPr>
            <w:rStyle w:val="Internetverknpfung"/>
          </w:rPr>
          <w:t>9-12</w:t>
        </w:r>
      </w:hyperlink>
      <w:r>
        <w:rPr/>
        <w:t>.</w:t>
      </w:r>
      <w:hyperlink r:id="rId668">
        <w:r>
          <w:rPr>
            <w:rStyle w:val="Internetverknpfung"/>
          </w:rPr>
          <w:t>17f</w:t>
        </w:r>
      </w:hyperlink>
      <w:r>
        <w:rPr/>
        <w:t xml:space="preserve">; </w:t>
      </w:r>
      <w:hyperlink r:id="rId669">
        <w:r>
          <w:rPr>
            <w:rStyle w:val="Internetverknpfung"/>
          </w:rPr>
          <w:t>4Makk 1,18-35</w:t>
        </w:r>
      </w:hyperlink>
      <w:r>
        <w:rPr/>
        <w:t xml:space="preserve">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w:t>
      </w:r>
      <w:r>
        <w:fldChar w:fldCharType="begin"/>
      </w:r>
      <w:r>
        <w:instrText> HYPERLINK "http://www.offene-bibel.de/wiki/index.php5?title=Jakobus_1" \l "note_e"</w:instrText>
      </w:r>
      <w:r>
        <w:fldChar w:fldCharType="separate"/>
      </w:r>
      <w:r>
        <w:rPr>
          <w:rStyle w:val="Internetverknpfung"/>
        </w:rPr>
        <w:t>FN e</w:t>
      </w:r>
      <w:r>
        <w:fldChar w:fldCharType="end"/>
      </w:r>
      <w:r>
        <w:rPr/>
        <w:t xml:space="preserve">) - und hierfür ist nach dem Verständnis des altjüdischen Schrifttums </w:t>
      </w:r>
      <w:r>
        <w:rPr>
          <w:i/>
        </w:rPr>
        <w:t>Weisheit</w:t>
      </w:r>
      <w:r>
        <w:rPr/>
        <w:t xml:space="preserve"> vonnöten, s. die obigen Stellen; besonders eindrücklich 4Makk 1,18f.28-30: </w:t>
      </w:r>
    </w:p>
    <w:p>
      <w:pPr>
        <w:pStyle w:val="Listeninhalt"/>
        <w:rPr/>
      </w:pPr>
      <w:r>
        <w:rPr/>
        <w:tab/>
        <w:t>„</w:t>
      </w:r>
      <w:r>
        <w:rPr/>
        <w:t xml:space="preserve">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w:t>
      </w:r>
      <w:hyperlink r:id="rId670">
        <w:r>
          <w:rPr>
            <w:rStyle w:val="Internetverknpfung"/>
          </w:rPr>
          <w:t>Rießler 1928</w:t>
        </w:r>
      </w:hyperlink>
      <w:r>
        <w:rPr/>
        <w:t>)</w:t>
      </w:r>
    </w:p>
  </w:footnote>
  <w:footnote w:id="6319">
    <w:p>
      <w:pPr>
        <w:pStyle w:val="Funote"/>
        <w:rPr/>
      </w:pPr>
      <w:r>
        <w:rPr>
          <w:i/>
        </w:rPr>
        <w:footnoteRef/>
        <w:tab/>
        <w:t>großzügig (vorbehaltlos)</w:t>
      </w:r>
      <w:r>
        <w:rPr/>
        <w:t xml:space="preserve"> - Beide Deutungen des Wortes sind möglich; Gott ist also je nach Verständnis entweder lediglich ein vorbehaltloser Geber (der also bedingungslos gibt) oder sogar ein großzügiger Geber. Die Deutung mit „großzügig“ könnte an die aus </w:t>
      </w:r>
      <w:r>
        <w:fldChar w:fldCharType="begin"/>
      </w:r>
      <w:r>
        <w:instrText> HYPERLINK "file:///wiki/Lukas_11" \l "s9"</w:instrText>
      </w:r>
      <w:r>
        <w:fldChar w:fldCharType="separate"/>
      </w:r>
      <w:r>
        <w:rPr>
          <w:rStyle w:val="Internetverknpfung"/>
        </w:rPr>
        <w:t>Lk 11,9-13</w:t>
      </w:r>
      <w:r>
        <w:fldChar w:fldCharType="end"/>
      </w:r>
      <w:r>
        <w:rPr/>
        <w:t xml:space="preserve"> par </w:t>
      </w:r>
      <w:r>
        <w:fldChar w:fldCharType="begin"/>
      </w:r>
      <w:r>
        <w:instrText> HYPERLINK "file:///wiki/Matthäus_7" \l "s7"</w:instrText>
      </w:r>
      <w:r>
        <w:fldChar w:fldCharType="separate"/>
      </w:r>
      <w:r>
        <w:rPr>
          <w:rStyle w:val="Internetverknpfung"/>
        </w:rPr>
        <w:t>Mt 7,7-11</w:t>
      </w:r>
      <w:r>
        <w:fldChar w:fldCharType="end"/>
      </w:r>
      <w:r>
        <w:rPr/>
        <w:t xml:space="preserve"> bekannte Jesustradition anknüpfen und scheint außerdem besser in den Kontext zu passen.</w:t>
      </w:r>
    </w:p>
  </w:footnote>
  <w:footnote w:id="6320">
    <w:p>
      <w:pPr>
        <w:pStyle w:val="Funote"/>
        <w:rPr/>
      </w:pPr>
      <w:r>
        <w:rPr/>
        <w:footnoteRef/>
        <w:tab/>
        <w:t>Auflösung eines adv. Ptz. durch Substantivierung und Koordination „und“. Das Wort heißt meistens eher „(be)schimpfen“. Es bezieht sich hier vermutlich darauf, dass Gott sich nicht darüber beklagt, dass er Weisheit geben „muss“ (BA).</w:t>
      </w:r>
    </w:p>
  </w:footnote>
  <w:footnote w:id="6321">
    <w:p>
      <w:pPr>
        <w:pStyle w:val="Funote"/>
        <w:rPr/>
      </w:pPr>
      <w:r>
        <w:rPr/>
        <w:footnoteRef/>
        <w:tab/>
        <w:t>Auflösung eines attributiven Ptz. als Relativsatz.</w:t>
      </w:r>
    </w:p>
  </w:footnote>
  <w:footnote w:id="6322">
    <w:p>
      <w:pPr>
        <w:pStyle w:val="Funote"/>
        <w:rPr/>
      </w:pPr>
      <w:r>
        <w:rPr/>
        <w:footnoteRef/>
        <w:tab/>
        <w:t xml:space="preserve">Der Imperativ Präsens (statt Aorist) markiert hier, dass nicht </w:t>
      </w:r>
      <w:r>
        <w:rPr>
          <w:i/>
        </w:rPr>
        <w:t>ein Mal</w:t>
      </w:r>
      <w:r>
        <w:rPr/>
        <w:t xml:space="preserve">, sondern entweder </w:t>
      </w:r>
      <w:r>
        <w:rPr>
          <w:i/>
        </w:rPr>
        <w:t>prinzipiell</w:t>
      </w:r>
      <w:r>
        <w:rPr/>
        <w:t xml:space="preserve"> oder </w:t>
      </w:r>
      <w:r>
        <w:rPr>
          <w:i/>
        </w:rPr>
        <w:t>immer wieder</w:t>
      </w:r>
      <w:r>
        <w:rPr/>
        <w:t xml:space="preserve"> gebeten werden soll.</w:t>
      </w:r>
    </w:p>
  </w:footnote>
  <w:footnote w:id="6323">
    <w:p>
      <w:pPr>
        <w:pStyle w:val="Funote"/>
        <w:rPr/>
      </w:pPr>
      <w:r>
        <w:rPr/>
        <w:footnoteRef/>
        <w:tab/>
        <w:t xml:space="preserve">Modales </w:t>
      </w:r>
      <w:r>
        <w:fldChar w:fldCharType="begin"/>
      </w:r>
      <w:r>
        <w:instrText> HYPERLINK "http://www.offene-bibel.de/wiki/index.php5?title=Partizip" \l "Die_Sinnrichtungen"</w:instrText>
      </w:r>
      <w:r>
        <w:fldChar w:fldCharType="separate"/>
      </w:r>
      <w:r>
        <w:rPr>
          <w:rStyle w:val="Internetverknpfung"/>
        </w:rPr>
        <w:t>adv. Ptz.</w:t>
      </w:r>
      <w:r>
        <w:fldChar w:fldCharType="end"/>
      </w:r>
      <w:r>
        <w:rPr/>
        <w:t>, mit „und“-Konstruktion aufgelöst. Es sollen also keine Bedenken gegen die Bereitwilligkeit Gottes zu geben bestehen (Blomberg 2008, 52).</w:t>
      </w:r>
    </w:p>
  </w:footnote>
  <w:footnote w:id="6324">
    <w:p>
      <w:pPr>
        <w:pStyle w:val="Funote"/>
        <w:rPr/>
      </w:pPr>
      <w:r>
        <w:rPr/>
        <w:footnoteRef/>
        <w:tab/>
        <w:t>Subst. Ptz. aufgelöst.</w:t>
      </w:r>
    </w:p>
  </w:footnote>
  <w:footnote w:id="6325">
    <w:p>
      <w:pPr>
        <w:pStyle w:val="Funote"/>
        <w:rPr/>
      </w:pPr>
      <w:r>
        <w:rPr/>
        <w:footnoteRef/>
        <w:tab/>
        <w:t>Der letzte Nebensatz ersetzt im Deutschen zwei attributive Ptz., die sich wie Adjektive direkt auf die Meereswoge beziehen.</w:t>
      </w:r>
    </w:p>
  </w:footnote>
  <w:footnote w:id="6326">
    <w:p>
      <w:pPr>
        <w:pStyle w:val="Funote"/>
        <w:rPr/>
      </w:pPr>
      <w:r>
        <w:rPr>
          <w:lang w:val="el-GR"/>
        </w:rPr>
        <w:footnoteRef/>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6327">
    <w:p>
      <w:pPr>
        <w:pStyle w:val="Funote"/>
        <w:rPr/>
      </w:pPr>
      <w:r>
        <w:rPr/>
        <w:footnoteRef/>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6328">
    <w:p>
      <w:pPr>
        <w:pStyle w:val="Funote"/>
        <w:rPr/>
      </w:pPr>
      <w:r>
        <w:rPr/>
        <w:footnoteRef/>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6329">
    <w:p>
      <w:pPr>
        <w:pStyle w:val="Funote"/>
        <w:rPr/>
      </w:pPr>
      <w:r>
        <w:rPr/>
        <w:footnoteRef/>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6330">
    <w:p>
      <w:pPr>
        <w:pStyle w:val="Funote"/>
        <w:rPr/>
      </w:pPr>
      <w:r>
        <w:rPr/>
        <w:footnoteRef/>
        <w:tab/>
        <w:t xml:space="preserve">zu „Bruder“ s. </w:t>
      </w:r>
      <w:r>
        <w:fldChar w:fldCharType="begin"/>
      </w:r>
      <w:r>
        <w:instrText> HYPERLINK "http://www.offene-bibel.de/wiki/index.php5?title=Jakobus_1" \l "note_d"</w:instrText>
      </w:r>
      <w:r>
        <w:fldChar w:fldCharType="separate"/>
      </w:r>
      <w:r>
        <w:rPr>
          <w:rStyle w:val="Internetverknpfung"/>
        </w:rPr>
        <w:t>FN d</w:t>
      </w:r>
      <w:r>
        <w:fldChar w:fldCharType="end"/>
      </w:r>
    </w:p>
  </w:footnote>
  <w:footnote w:id="6331">
    <w:p>
      <w:pPr>
        <w:pStyle w:val="Funote"/>
        <w:rPr/>
      </w:pPr>
      <w:r>
        <w:rPr/>
        <w:footnoteRef/>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6332">
    <w:p>
      <w:pPr>
        <w:pStyle w:val="Funote"/>
        <w:rPr/>
      </w:pPr>
      <w:r>
        <w:rPr/>
        <w:footnoteRef/>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6333">
    <w:p>
      <w:pPr>
        <w:pStyle w:val="Funote"/>
        <w:rPr/>
      </w:pPr>
      <w:r>
        <w:rPr/>
        <w:footnoteRef/>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6334">
    <w:p>
      <w:pPr>
        <w:pStyle w:val="Funote"/>
        <w:rPr/>
      </w:pPr>
      <w:r>
        <w:rPr/>
        <w:footnoteRef/>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6335">
    <w:p>
      <w:pPr>
        <w:pStyle w:val="Funote"/>
        <w:rPr/>
      </w:pPr>
      <w:r>
        <w:rPr/>
        <w:footnoteRef/>
        <w:tab/>
        <w:t>Alle präsentisch übersetzten Verben in diesem Vers stehen im Urtext im gnomischen Aorist.</w:t>
      </w:r>
    </w:p>
  </w:footnote>
  <w:footnote w:id="6336">
    <w:p>
      <w:pPr>
        <w:pStyle w:val="Funote"/>
        <w:rPr/>
      </w:pPr>
      <w:r>
        <w:rPr/>
        <w:footnoteRef/>
        <w:tab/>
        <w:t xml:space="preserve">Die meisten Handschriften lesen hier „Mann“, jedoch mit klar </w:t>
      </w:r>
      <w:hyperlink r:id="rId671">
        <w:r>
          <w:rPr>
            <w:rStyle w:val="Internetverknpfung"/>
          </w:rPr>
          <w:t>generischer Bedeutung</w:t>
        </w:r>
      </w:hyperlink>
      <w:r>
        <w:rPr/>
        <w:t xml:space="preserve"> (Blomberg 2008, 69).</w:t>
      </w:r>
    </w:p>
  </w:footnote>
  <w:footnote w:id="6337">
    <w:p>
      <w:pPr>
        <w:pStyle w:val="Funote"/>
        <w:rPr/>
      </w:pPr>
      <w:r>
        <w:rPr/>
        <w:footnoteRef/>
        <w:tab/>
        <w:t xml:space="preserve">Gemeint ist, wie oben, keine geistliche Versuchung, sondern allgemein eine Schwierigkeit, eine „Prüfung“ im Leben. S. </w:t>
      </w:r>
      <w:r>
        <w:fldChar w:fldCharType="begin"/>
      </w:r>
      <w:r>
        <w:instrText> HYPERLINK "file:///wiki/Jakobus_1" \l "s2"</w:instrText>
      </w:r>
      <w:r>
        <w:fldChar w:fldCharType="separate"/>
      </w:r>
      <w:r>
        <w:rPr>
          <w:rStyle w:val="Internetverknpfung"/>
        </w:rPr>
        <w:t>Vv. 2-4</w:t>
      </w:r>
      <w:r>
        <w:fldChar w:fldCharType="end"/>
      </w:r>
      <w:r>
        <w:rPr/>
        <w:t xml:space="preserve"> (Blomberg 2008, 69).</w:t>
      </w:r>
    </w:p>
  </w:footnote>
  <w:footnote w:id="6338">
    <w:p>
      <w:pPr>
        <w:pStyle w:val="Funote"/>
        <w:rPr/>
      </w:pPr>
      <w:r>
        <w:rPr/>
        <w:footnoteRef/>
        <w:tab/>
        <w:t>Die Einfügung soll der Bedeutung des Verbs näher kommen.</w:t>
      </w:r>
    </w:p>
  </w:footnote>
  <w:footnote w:id="6339">
    <w:p>
      <w:pPr>
        <w:pStyle w:val="Funote"/>
        <w:rPr/>
      </w:pPr>
      <w:r>
        <w:rPr/>
        <w:footnoteRef/>
        <w:tab/>
        <w:t>Adv. Ptz. Aor., temporal aufgelöst; alternativ auch kausal, modal. Wörtlich: „als ein erprobt (bewährt, tüchtig, angesehen) Gewordenener“.</w:t>
      </w:r>
    </w:p>
  </w:footnote>
  <w:footnote w:id="6340">
    <w:p>
      <w:pPr>
        <w:pStyle w:val="Funote"/>
        <w:rPr/>
      </w:pPr>
      <w:r>
        <w:rPr/>
        <w:footnoteRef/>
        <w:tab/>
        <w:t>Gen. epexegeticus (NSS). „Siegeskranz, welcher das Leben ist“ (Blomberg 2008, 69).</w:t>
      </w:r>
    </w:p>
  </w:footnote>
  <w:footnote w:id="6341">
    <w:p>
      <w:pPr>
        <w:pStyle w:val="Funote"/>
        <w:rPr/>
      </w:pPr>
      <w:r>
        <w:rPr/>
        <w:footnoteRef/>
        <w:tab/>
        <w:t>Viele Handschriften ergänzen an dieser Stelle zusätzlich als Subjekt „der Herr“ oder „Gott“; die schwierigere und kürzere (und damit wohl ursprüngliche) Lesart ist jedoch diejenige ohne explizites Subjekt (Johnson 1995, 188).</w:t>
      </w:r>
    </w:p>
  </w:footnote>
  <w:footnote w:id="6342">
    <w:p>
      <w:pPr>
        <w:pStyle w:val="Funote"/>
        <w:rPr/>
      </w:pPr>
      <w:r>
        <w:rPr/>
        <w:footnoteRef/>
        <w:tab/>
        <w:t xml:space="preserve">Subst. </w:t>
      </w:r>
      <w:hyperlink r:id="rId672">
        <w:r>
          <w:rPr>
            <w:rStyle w:val="Internetverknpfung"/>
          </w:rPr>
          <w:t>Ptz.</w:t>
        </w:r>
      </w:hyperlink>
      <w:r>
        <w:rPr/>
        <w:t>, hier aufgelöst.</w:t>
      </w:r>
    </w:p>
  </w:footnote>
  <w:footnote w:id="6343">
    <w:p>
      <w:pPr>
        <w:pStyle w:val="Funote"/>
        <w:rPr/>
      </w:pPr>
      <w:r>
        <w:rPr/>
        <w:footnoteRef/>
        <w:tab/>
        <w:t>Wörtlich: „Kein Versuchter (Geprüfter, Auf-die-Probe-Gestellter)“ (Attr. Ptz. Präs.)</w:t>
      </w:r>
    </w:p>
  </w:footnote>
  <w:footnote w:id="6344">
    <w:p>
      <w:pPr>
        <w:pStyle w:val="Funote"/>
        <w:rPr/>
      </w:pPr>
      <w:r>
        <w:rPr/>
        <w:footnoteRef/>
        <w:tab/>
        <w:t>3. Sg. Imp.</w:t>
      </w:r>
    </w:p>
  </w:footnote>
  <w:footnote w:id="6345">
    <w:p>
      <w:pPr>
        <w:pStyle w:val="Funote"/>
        <w:rPr/>
      </w:pPr>
      <w:r>
        <w:rPr>
          <w:lang w:val="el-GR"/>
        </w:rPr>
        <w:footnoteRef/>
        <w:tab/>
        <w:t>ὅτι</w:t>
      </w:r>
      <w:r>
        <w:rPr/>
        <w:t xml:space="preserve"> recitativum.</w:t>
      </w:r>
    </w:p>
  </w:footnote>
  <w:footnote w:id="6346">
    <w:p>
      <w:pPr>
        <w:pStyle w:val="Funote"/>
        <w:rPr/>
      </w:pPr>
      <w:r>
        <w:rPr/>
        <w:footnoteRef/>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6347">
    <w:p>
      <w:pPr>
        <w:pStyle w:val="Funote"/>
        <w:rPr/>
      </w:pPr>
      <w:r>
        <w:rPr/>
        <w:footnoteRef/>
        <w:tab/>
        <w:t xml:space="preserve">Diese Übersetzung von </w:t>
      </w:r>
      <w:r>
        <w:rPr>
          <w:lang w:val="el-GR"/>
        </w:rPr>
        <w:t>δὲ</w:t>
      </w:r>
      <w:r>
        <w:rPr/>
        <w:t xml:space="preserve"> wurde gewählt, um den Argumentationsgang wie im Urtext aufrecht zu erhalten.</w:t>
      </w:r>
    </w:p>
  </w:footnote>
  <w:footnote w:id="6348">
    <w:p>
      <w:pPr>
        <w:pStyle w:val="Funote"/>
        <w:rPr/>
      </w:pPr>
      <w:r>
        <w:rPr/>
        <w:footnoteRef/>
        <w:tab/>
        <w:t>Modale Auflösung zweier adv. Ptz. Alternativ kausal, temporal, konditional.</w:t>
      </w:r>
    </w:p>
  </w:footnote>
  <w:footnote w:id="6349">
    <w:p>
      <w:pPr>
        <w:pStyle w:val="Funote"/>
        <w:rPr/>
      </w:pPr>
      <w:r>
        <w:rPr/>
        <w:footnoteRef/>
        <w:tab/>
        <w:t>Ptc. coni. Aor.; temporal aufgelöst.</w:t>
      </w:r>
    </w:p>
  </w:footnote>
  <w:footnote w:id="6350">
    <w:p>
      <w:pPr>
        <w:pStyle w:val="Funote"/>
        <w:rPr/>
      </w:pPr>
      <w:r>
        <w:rPr/>
        <w:footnoteRef/>
        <w:tab/>
        <w:t>Eig. Futur. Die Alternative „erwachsen geworden“ passt in den Sinn der Metapher von der Begierde, dem Gebären und Erwachsenwerden der Sünde (Blomberg 2008, 72).</w:t>
      </w:r>
    </w:p>
  </w:footnote>
  <w:footnote w:id="6351">
    <w:p>
      <w:pPr>
        <w:pStyle w:val="Funote"/>
        <w:rPr/>
      </w:pPr>
      <w:r>
        <w:rPr/>
        <w:footnoteRef/>
        <w:tab/>
        <w:t>Wörtlich: „Werdet nicht getäuscht“. Alternativ auch aktiv: „Täuscht euch nicht“.</w:t>
      </w:r>
    </w:p>
  </w:footnote>
  <w:footnote w:id="6352">
    <w:p>
      <w:pPr>
        <w:pStyle w:val="Funote"/>
        <w:rPr/>
      </w:pPr>
      <w:r>
        <w:rPr/>
        <w:footnoteRef/>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6353">
    <w:p>
      <w:pPr>
        <w:pStyle w:val="Funote"/>
        <w:rPr/>
      </w:pPr>
      <w:r>
        <w:rPr/>
        <w:footnoteRef/>
        <w:tab/>
        <w:t>Gemeint sind wohl die Himmelskörper als natürliche Lichtquellen (vgl. Johnson 1995, 196).</w:t>
      </w:r>
    </w:p>
  </w:footnote>
  <w:footnote w:id="6354">
    <w:p>
      <w:pPr>
        <w:pStyle w:val="Funote"/>
        <w:rPr/>
      </w:pPr>
      <w:r>
        <w:rPr/>
        <w:footnoteRef/>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6355">
    <w:p>
      <w:pPr>
        <w:pStyle w:val="Funote"/>
        <w:rPr/>
      </w:pPr>
      <w:r>
        <w:rPr/>
        <w:footnoteRef/>
        <w:tab/>
        <w:t>Substantivische Auflösung eines kausalen oder modalen Ptz. Aor. Pass. (wörtlich „gewillt habend“).</w:t>
      </w:r>
    </w:p>
  </w:footnote>
  <w:footnote w:id="6356">
    <w:p>
      <w:pPr>
        <w:pStyle w:val="Funote"/>
        <w:rPr/>
      </w:pPr>
      <w:r>
        <w:rPr/>
        <w:footnoteRef/>
        <w:tab/>
        <w:t>Dat. instrumentalis.</w:t>
      </w:r>
    </w:p>
  </w:footnote>
  <w:footnote w:id="6357">
    <w:p>
      <w:pPr>
        <w:pStyle w:val="Funote"/>
        <w:rPr/>
      </w:pPr>
      <w:r>
        <w:rPr/>
        <w:footnoteRef/>
        <w:tab/>
        <w:t>So NSS. Wörtlich „Wisst“ (Imp.) oder „Ihr wisst“ (Ind., so Johnson 1995, 198). Hier als Imperativ gedeutet. Alternativ „Wisst dies:“ (Blomberg 2008, 85; Mußner 1964, 99).</w:t>
      </w:r>
    </w:p>
  </w:footnote>
  <w:footnote w:id="6358">
    <w:p>
      <w:pPr>
        <w:pStyle w:val="Funote"/>
        <w:rPr/>
      </w:pPr>
      <w:r>
        <w:rPr/>
        <w:footnoteRef/>
        <w:tab/>
        <w:t>Hier verwendet der Autor „Mann“ wieder im generischen Sinne als Synomym für „Mensch“ (Blomberg/Kamell).</w:t>
      </w:r>
    </w:p>
  </w:footnote>
  <w:footnote w:id="6359">
    <w:p>
      <w:pPr>
        <w:pStyle w:val="Funote"/>
        <w:rPr/>
      </w:pPr>
      <w:r>
        <w:rPr/>
        <w:footnoteRef/>
        <w:tab/>
        <w:t>Gen. subi.: also die Gerechtigkeit vor Gott/nach der Gott urteilt. Kann umschrieben werden: „was vor Gott gerecht ist“ (So Lut, EU, NGÜ). Wörtlich „Gerechtigkeit Gottes“ (so bei RevElb, SLT).</w:t>
      </w:r>
    </w:p>
  </w:footnote>
  <w:footnote w:id="6360">
    <w:p>
      <w:pPr>
        <w:pStyle w:val="Funote"/>
        <w:rPr/>
      </w:pPr>
      <w:r>
        <w:rPr/>
        <w:footnoteRef/>
        <w:tab/>
        <w:t>Alternativ nach NSS: „erfüllt nicht die von Gott gesetzte Gerechtigkeit.“</w:t>
      </w:r>
    </w:p>
  </w:footnote>
  <w:footnote w:id="6361">
    <w:p>
      <w:pPr>
        <w:pStyle w:val="Funote"/>
        <w:rPr/>
      </w:pPr>
      <w:r>
        <w:rPr/>
        <w:footnoteRef/>
        <w:tab/>
        <w:t>Wörtlich: „[alles] Übermaß der Schlechtigkeit“. Die Bedeutung ist eindeutig nicht „alle Schlechtigkeit, die ihr übrig habt“, sondern „von der es so viel gibt“.</w:t>
      </w:r>
    </w:p>
  </w:footnote>
  <w:footnote w:id="6362">
    <w:p>
      <w:pPr>
        <w:pStyle w:val="Funote"/>
        <w:rPr/>
      </w:pPr>
      <w:r>
        <w:rPr/>
        <w:footnoteRef/>
        <w:tab/>
        <w:t>Das Verb des ersten Satzteils ist ein Ptz. Aor., das sowohl vorzeitig, als auch gleichzeitig gedeutet werden kann. Deshalb alternativ: „Nachdem/Wenn/Weil ihr ...abgelegt habt“.</w:t>
      </w:r>
    </w:p>
  </w:footnote>
  <w:footnote w:id="6363">
    <w:p>
      <w:pPr>
        <w:pStyle w:val="Funote"/>
        <w:rPr/>
      </w:pPr>
      <w:r>
        <w:rPr/>
        <w:footnoteRef/>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6364">
    <w:p>
      <w:pPr>
        <w:pStyle w:val="Funote"/>
        <w:rPr/>
      </w:pPr>
      <w:r>
        <w:rPr/>
        <w:footnoteRef/>
        <w:tab/>
        <w:t>Attr. od. adv. (modales) Ptz.</w:t>
      </w:r>
    </w:p>
  </w:footnote>
  <w:footnote w:id="6365">
    <w:p>
      <w:pPr>
        <w:pStyle w:val="Funote"/>
        <w:rPr/>
      </w:pPr>
      <w:r>
        <w:rPr/>
        <w:footnoteRef/>
        <w:tab/>
        <w:t xml:space="preserve">Adversatives </w:t>
      </w:r>
      <w:r>
        <w:rPr>
          <w:lang w:val="el-GR"/>
        </w:rPr>
        <w:t>καί</w:t>
      </w:r>
      <w:r>
        <w:rPr/>
        <w:t>, das entsprechend wiedergegeben wurde.</w:t>
      </w:r>
    </w:p>
  </w:footnote>
  <w:footnote w:id="6366">
    <w:p>
      <w:pPr>
        <w:pStyle w:val="Funote"/>
        <w:rPr/>
      </w:pPr>
      <w:r>
        <w:rPr/>
        <w:footnoteRef/>
        <w:tab/>
        <w:t>Oder: „natürliches Aussehen“ (So NSS). Wörtlich: „Aussehen/Gesicht der Schöpfung“. Dabei handelt es sich um einen Semitismus, der auch einfach mit „Gesicht“ übersetzt werden kann.</w:t>
      </w:r>
    </w:p>
  </w:footnote>
  <w:footnote w:id="6367">
    <w:p>
      <w:pPr>
        <w:pStyle w:val="Funote"/>
        <w:rPr/>
      </w:pPr>
      <w:r>
        <w:rPr/>
        <w:footnoteRef/>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6368">
    <w:p>
      <w:pPr>
        <w:pStyle w:val="Funote"/>
        <w:rPr/>
      </w:pPr>
      <w:r>
        <w:rPr/>
        <w:footnoteRef/>
        <w:tab/>
        <w:t>Indefiniter Konditionalsatz.</w:t>
      </w:r>
    </w:p>
  </w:footnote>
  <w:footnote w:id="6369">
    <w:p>
      <w:pPr>
        <w:pStyle w:val="Funote"/>
        <w:rPr/>
      </w:pPr>
      <w:r>
        <w:rPr/>
        <w:footnoteRef/>
        <w:tab/>
        <w:t>Die ersten drei Verben dieses Satzes stehen eigentlich im gnomischen Aorist/Perfekt.</w:t>
      </w:r>
    </w:p>
  </w:footnote>
  <w:footnote w:id="6370">
    <w:p>
      <w:pPr>
        <w:pStyle w:val="Funote"/>
        <w:rPr/>
      </w:pPr>
      <w:r>
        <w:rPr/>
        <w:footnoteRef/>
        <w:tab/>
        <w:t>Wörtlich: „wie er beschaffen war“</w:t>
      </w:r>
    </w:p>
  </w:footnote>
  <w:footnote w:id="6371">
    <w:p>
      <w:pPr>
        <w:pStyle w:val="Funote"/>
        <w:rPr/>
      </w:pPr>
      <w:r>
        <w:rPr/>
        <w:footnoteRef/>
        <w:tab/>
        <w:t>Wörtlich: „vorbeugt“. Alternativ vorzeitig: „vertieft hat“. Hier wieder gnomisch gedeutet.</w:t>
      </w:r>
    </w:p>
  </w:footnote>
  <w:footnote w:id="6372">
    <w:p>
      <w:pPr>
        <w:pStyle w:val="Funote"/>
        <w:rPr/>
      </w:pPr>
      <w:r>
        <w:rPr/>
        <w:footnoteRef/>
        <w:tab/>
        <w:t>Oder vorzeitig: „geblieben ist“</w:t>
      </w:r>
    </w:p>
  </w:footnote>
  <w:footnote w:id="6373">
    <w:p>
      <w:pPr>
        <w:pStyle w:val="Funote"/>
        <w:rPr/>
      </w:pPr>
      <w:r>
        <w:rPr/>
        <w:footnoteRef/>
        <w:tab/>
        <w:t>Gen. qualitatis. Wörtlich: „Hörer der Vergesslichkeit“</w:t>
      </w:r>
    </w:p>
  </w:footnote>
  <w:footnote w:id="6374">
    <w:p>
      <w:pPr>
        <w:pStyle w:val="Funote"/>
        <w:rPr/>
      </w:pPr>
      <w:r>
        <w:rPr/>
        <w:footnoteRef/>
        <w:tab/>
        <w:t>Oder vorzeitig: „geworden ist“. Das modale Ptz. Aor. Pass. lässt sich analog zu den vorhergehenden Verben verschieden auflösen.</w:t>
      </w:r>
    </w:p>
  </w:footnote>
  <w:footnote w:id="6375">
    <w:p>
      <w:pPr>
        <w:pStyle w:val="Funote"/>
        <w:rPr/>
      </w:pPr>
      <w:r>
        <w:rPr/>
        <w:footnoteRef/>
        <w:tab/>
        <w:t>Eingefügt, um die durativ-iterative Bedeutung des aufgelösten attr. Ptz. Präs. besser zu erfassen.</w:t>
      </w:r>
    </w:p>
  </w:footnote>
  <w:footnote w:id="6376">
    <w:p>
      <w:pPr>
        <w:pStyle w:val="Funote"/>
        <w:rPr/>
      </w:pPr>
      <w:r>
        <w:rPr/>
        <w:footnoteRef/>
        <w:tab/>
        <w:t>Attr. Ptz. Präs.</w:t>
      </w:r>
    </w:p>
  </w:footnote>
  <w:footnote w:id="6377">
    <w:p>
      <w:pPr>
        <w:pStyle w:val="Funote"/>
        <w:rPr/>
      </w:pPr>
      <w:r>
        <w:rPr/>
        <w:footnoteRef/>
        <w:tab/>
        <w:t>Indefiniter Konditionalsatz.</w:t>
      </w:r>
    </w:p>
  </w:footnote>
  <w:footnote w:id="6378">
    <w:p>
      <w:pPr>
        <w:pStyle w:val="Funote"/>
        <w:rPr/>
      </w:pPr>
      <w:r>
        <w:rPr/>
        <w:footnoteRef/>
        <w:tab/>
        <w:t>Wörtlich: „ist dies“</w:t>
      </w:r>
    </w:p>
  </w:footnote>
  <w:footnote w:id="6379">
    <w:p>
      <w:pPr>
        <w:pStyle w:val="Funote"/>
        <w:rPr/>
      </w:pPr>
      <w:r>
        <w:rPr/>
        <w:footnoteRef/>
        <w:tab/>
        <w:t>[Status: Zuverlässig]</w:t>
      </w:r>
    </w:p>
  </w:footnote>
  <w:footnote w:id="6380">
    <w:p>
      <w:pPr>
        <w:pStyle w:val="Funote"/>
        <w:rPr/>
      </w:pPr>
      <w:r>
        <w:rPr/>
        <w:footnoteRef/>
        <w:tab/>
        <w:t>Wörtlich: „Glauben unseres Herrn“. Gen. subi.</w:t>
      </w:r>
    </w:p>
  </w:footnote>
  <w:footnote w:id="6381">
    <w:p>
      <w:pPr>
        <w:pStyle w:val="Funote"/>
        <w:rPr/>
      </w:pPr>
      <w:r>
        <w:rPr/>
        <w:footnoteRef/>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6382">
    <w:p>
      <w:pPr>
        <w:pStyle w:val="Funote"/>
        <w:rPr/>
      </w:pPr>
      <w:r>
        <w:rPr/>
        <w:footnoteRef/>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w:t>
      </w:r>
      <w:r>
        <w:fldChar w:fldCharType="begin"/>
      </w:r>
      <w:r>
        <w:instrText> HYPERLINK "file:///wiki/Jakobus_5" \l "s14"</w:instrText>
      </w:r>
      <w:r>
        <w:fldChar w:fldCharType="separate"/>
      </w:r>
      <w:r>
        <w:rPr>
          <w:rStyle w:val="Internetverknpfung"/>
        </w:rPr>
        <w:t>5,14</w:t>
      </w:r>
      <w:r>
        <w:fldChar w:fldCharType="end"/>
      </w:r>
      <w:r>
        <w:rPr/>
        <w:t xml:space="preserve">) – das wäre der einzige Fall im NT, wo das Wort einen christlichen Gottesdienst meint. Auch könne der Autor auf </w:t>
      </w:r>
      <w:r>
        <w:fldChar w:fldCharType="begin"/>
      </w:r>
      <w:r>
        <w:instrText> HYPERLINK "file:///wiki/Levitikus_19" \l "s15"</w:instrText>
      </w:r>
      <w:r>
        <w:fldChar w:fldCharType="separate"/>
      </w:r>
      <w:r>
        <w:rPr>
          <w:rStyle w:val="Internetverknpfung"/>
        </w:rPr>
        <w:t>3. Mose 19,15</w:t>
      </w:r>
      <w:r>
        <w:fldChar w:fldCharType="end"/>
      </w:r>
      <w:r>
        <w:rPr/>
        <w:t xml:space="preserve">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6383">
    <w:p>
      <w:pPr>
        <w:pStyle w:val="Funote"/>
        <w:rPr/>
      </w:pPr>
      <w:r>
        <w:rPr/>
        <w:footnoteRef/>
        <w:tab/>
        <w:t>Auf Griechisch ein einziges Adjektiv, „goldfingrig“.</w:t>
      </w:r>
    </w:p>
  </w:footnote>
  <w:footnote w:id="6384">
    <w:p>
      <w:pPr>
        <w:pStyle w:val="Funote"/>
        <w:rPr/>
      </w:pPr>
      <w:r>
        <w:rPr/>
        <w:footnoteRef/>
        <w:tab/>
        <w:t>Wörtlich: „strahlender“, „glänzender“</w:t>
      </w:r>
    </w:p>
  </w:footnote>
  <w:footnote w:id="6385">
    <w:p>
      <w:pPr>
        <w:pStyle w:val="Funote"/>
        <w:rPr/>
      </w:pPr>
      <w:r>
        <w:rPr/>
        <w:footnoteRef/>
        <w:tab/>
        <w:t xml:space="preserve">Subst. </w:t>
      </w:r>
      <w:hyperlink r:id="rId673">
        <w:r>
          <w:rPr>
            <w:rStyle w:val="Internetverknpfung"/>
          </w:rPr>
          <w:t>Ptz</w:t>
        </w:r>
      </w:hyperlink>
      <w:r>
        <w:rPr/>
        <w:t>.</w:t>
      </w:r>
    </w:p>
  </w:footnote>
  <w:footnote w:id="6386">
    <w:p>
      <w:pPr>
        <w:pStyle w:val="Funote"/>
        <w:rPr/>
      </w:pPr>
      <w:r>
        <w:rPr/>
        <w:footnoteRef/>
        <w:tab/>
        <w:t>Wörtlich: „hierher [auf diesen] gut[en Platz]“</w:t>
      </w:r>
    </w:p>
  </w:footnote>
  <w:footnote w:id="6387">
    <w:p>
      <w:pPr>
        <w:pStyle w:val="Funote"/>
        <w:rPr/>
      </w:pPr>
      <w:r>
        <w:rPr/>
        <w:footnoteRef/>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6388">
    <w:p>
      <w:pPr>
        <w:pStyle w:val="Funote"/>
        <w:rPr/>
      </w:pPr>
      <w:r>
        <w:rPr/>
        <w:footnoteRef/>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6389">
    <w:p>
      <w:pPr>
        <w:pStyle w:val="Funote"/>
        <w:rPr/>
      </w:pPr>
      <w:r>
        <w:rPr/>
        <w:footnoteRef/>
        <w:tab/>
        <w:t>Dasselbe Wort wird weiter oben für „zweifeln, Bedenken haben“ verwendet, kommt hier aber in seiner Grundbedeutung vor.</w:t>
      </w:r>
    </w:p>
  </w:footnote>
  <w:footnote w:id="6390">
    <w:p>
      <w:pPr>
        <w:pStyle w:val="Funote"/>
        <w:rPr/>
      </w:pPr>
      <w:r>
        <w:rPr/>
        <w:footnoteRef/>
        <w:tab/>
        <w:t>Wörtlich „Richter schlechter Gedanken“. Kann auch als „eine schlechte Entscheidungen fällen“ interpretiert und frei übersetzt werden (NSS). Die „Gesinnung“ kann sowohl für „leise“ wie „laute“ Gedanken stehen (Blomberg/Kamell).</w:t>
      </w:r>
    </w:p>
  </w:footnote>
  <w:footnote w:id="6391">
    <w:p>
      <w:pPr>
        <w:pStyle w:val="Funote"/>
        <w:rPr/>
      </w:pPr>
      <w:r>
        <w:rPr/>
        <w:footnoteRef/>
        <w:tab/>
        <w:t>Vv. 2-4 sind ein gewöhnlicher, prospektiver Konditionalsatz.</w:t>
      </w:r>
    </w:p>
  </w:footnote>
  <w:footnote w:id="6392">
    <w:p>
      <w:pPr>
        <w:pStyle w:val="Funote"/>
        <w:rPr/>
      </w:pPr>
      <w:r>
        <w:rPr/>
        <w:footnoteRef/>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6393">
    <w:p>
      <w:pPr>
        <w:pStyle w:val="Funote"/>
        <w:rPr/>
      </w:pPr>
      <w:r>
        <w:rPr/>
        <w:footnoteRef/>
        <w:tab/>
        <w:t>Der Aorist könnte gnomisch sein. Dann: „Erwählt Gott nicht...?“ (Blomberg/Kamell).</w:t>
      </w:r>
    </w:p>
  </w:footnote>
  <w:footnote w:id="6394">
    <w:p>
      <w:pPr>
        <w:pStyle w:val="Funote"/>
        <w:rPr/>
      </w:pPr>
      <w:r>
        <w:rPr/>
        <w:footnoteRef/>
        <w:tab/>
        <w:t>Alternativ: „als Reiche...“. LUT bezieht „erwählt“ auch auf die „Reichen“ und „Erben“.</w:t>
      </w:r>
    </w:p>
  </w:footnote>
  <w:footnote w:id="6395">
    <w:p>
      <w:pPr>
        <w:pStyle w:val="Funote"/>
        <w:rPr/>
      </w:pPr>
      <w:r>
        <w:rPr/>
        <w:footnoteRef/>
        <w:tab/>
        <w:t xml:space="preserve">Das </w:t>
      </w:r>
      <w:r>
        <w:rPr>
          <w:lang w:val="el-GR"/>
        </w:rPr>
        <w:t>οὐχ</w:t>
      </w:r>
      <w:r>
        <w:rPr/>
        <w:t xml:space="preserve"> am Satzanfang bezieht sich auch auf dieses Verb.</w:t>
      </w:r>
    </w:p>
  </w:footnote>
  <w:footnote w:id="6396">
    <w:p>
      <w:pPr>
        <w:pStyle w:val="Funote"/>
        <w:rPr/>
      </w:pPr>
      <w:r>
        <w:rPr/>
        <w:footnoteRef/>
        <w:tab/>
        <w:t>Eigentlich ein Futur; drückt ein besonders starkes Gebot aus.</w:t>
      </w:r>
    </w:p>
  </w:footnote>
  <w:footnote w:id="6397">
    <w:p>
      <w:pPr>
        <w:pStyle w:val="Funote"/>
        <w:rPr/>
      </w:pPr>
      <w:r>
        <w:rPr/>
        <w:footnoteRef/>
        <w:tab/>
        <w:t xml:space="preserve">Das Adverb </w:t>
      </w:r>
      <w:r>
        <w:rPr>
          <w:lang w:val="el-GR"/>
        </w:rPr>
        <w:t>καλῶς</w:t>
      </w:r>
      <w:r>
        <w:rPr/>
        <w:t xml:space="preserve"> bezeichnet hier das moralisch Richtige. In V. 3 bezeichnet es dagegen einen angemessenen, bequemen Sitzplatz... </w:t>
      </w:r>
    </w:p>
  </w:footnote>
  <w:footnote w:id="6398">
    <w:p>
      <w:pPr>
        <w:pStyle w:val="Funote"/>
        <w:rPr/>
      </w:pPr>
      <w:r>
        <w:rPr/>
        <w:footnoteRef/>
        <w:tab/>
        <w:t>Indefiniter Konditionalsatz.</w:t>
      </w:r>
    </w:p>
  </w:footnote>
  <w:footnote w:id="6399">
    <w:p>
      <w:pPr>
        <w:pStyle w:val="Funote"/>
        <w:rPr/>
      </w:pPr>
      <w:r>
        <w:rPr/>
        <w:footnoteRef/>
        <w:tab/>
        <w:t>so NSS</w:t>
      </w:r>
    </w:p>
  </w:footnote>
  <w:footnote w:id="6400">
    <w:p>
      <w:pPr>
        <w:pStyle w:val="Funote"/>
        <w:rPr/>
      </w:pPr>
      <w:r>
        <w:rPr/>
        <w:footnoteRef/>
        <w:tab/>
        <w:t>So wörtlich. Lt. B/A hier auch „Sünder“.</w:t>
      </w:r>
    </w:p>
  </w:footnote>
  <w:footnote w:id="6401">
    <w:p>
      <w:pPr>
        <w:pStyle w:val="Funote"/>
        <w:rPr/>
      </w:pPr>
      <w:r>
        <w:rPr/>
        <w:footnoteRef/>
        <w:tab/>
        <w:t>Modale Auflösung des Ptc. coni. Möglicherweise auch kausal („weil … ihr überführt werdet“) bzw. einfach mit „und“</w:t>
      </w:r>
    </w:p>
  </w:footnote>
  <w:footnote w:id="6402">
    <w:p>
      <w:pPr>
        <w:pStyle w:val="Funote"/>
        <w:rPr/>
      </w:pPr>
      <w:r>
        <w:rPr/>
        <w:footnoteRef/>
        <w:tab/>
        <w:t>Indefiniter Konditionalsatz.</w:t>
      </w:r>
    </w:p>
  </w:footnote>
  <w:footnote w:id="6403">
    <w:p>
      <w:pPr>
        <w:pStyle w:val="Funote"/>
        <w:rPr/>
      </w:pPr>
      <w:r>
        <w:rPr/>
        <w:footnoteRef/>
        <w:tab/>
        <w:t xml:space="preserve">Bedeutung: „auch nur gegen ein Gebot verstößt“ </w:t>
      </w:r>
    </w:p>
  </w:footnote>
  <w:footnote w:id="6404">
    <w:p>
      <w:pPr>
        <w:pStyle w:val="Funote"/>
        <w:rPr/>
      </w:pPr>
      <w:r>
        <w:rPr/>
        <w:footnoteRef/>
        <w:tab/>
        <w:t xml:space="preserve">Hier steht im Urtext ein Pf., das das Resultat einer Handlung betont; daher die Einfügung „[dadurch]“.Es ist unklar, ob mit „in Einem“ – „in Allen“ einzelne Gebote oder ähnliche Bereiche gemeint sind. </w:t>
      </w:r>
    </w:p>
  </w:footnote>
  <w:footnote w:id="6405">
    <w:p>
      <w:pPr>
        <w:pStyle w:val="Funote"/>
        <w:rPr/>
      </w:pPr>
      <w:r>
        <w:rPr/>
        <w:footnoteRef/>
        <w:tab/>
        <w:t>Aus 2. Mose 20,14.13. Beide Gebote stehen hier im prohibitiver Konjunktiv, während sie in der LXX – analog zum Hebräischen – im verneinten Futur stehen, was eine ähnlich starke Verneinung ist. Hier also etwas sinngemäßer wiedergegeben.</w:t>
      </w:r>
    </w:p>
  </w:footnote>
  <w:footnote w:id="6406">
    <w:p>
      <w:pPr>
        <w:pStyle w:val="Funote"/>
        <w:rPr/>
      </w:pPr>
      <w:r>
        <w:rPr/>
        <w:footnoteRef/>
        <w:tab/>
        <w:t xml:space="preserve">Hier steht im Urtext ein Pf., das das Resultat einer Handlung betont; daher die Einfügung „[dadurch]“. </w:t>
      </w:r>
    </w:p>
  </w:footnote>
  <w:footnote w:id="6407">
    <w:p>
      <w:pPr>
        <w:pStyle w:val="Funote"/>
        <w:rPr/>
      </w:pPr>
      <w:r>
        <w:rPr/>
        <w:footnoteRef/>
        <w:tab/>
        <w:t>Indefiniter Konditionalsatz.</w:t>
      </w:r>
    </w:p>
  </w:footnote>
  <w:footnote w:id="6408">
    <w:p>
      <w:pPr>
        <w:pStyle w:val="Funote"/>
        <w:rPr/>
      </w:pPr>
      <w:r>
        <w:rPr/>
        <w:footnoteRef/>
        <w:tab/>
        <w:t>Wörtlich „durch“. Alternativ „anhand“, „auf Grundlage“.</w:t>
      </w:r>
    </w:p>
  </w:footnote>
  <w:footnote w:id="6409">
    <w:p>
      <w:pPr>
        <w:pStyle w:val="Funote"/>
        <w:rPr/>
      </w:pPr>
      <w:r>
        <w:rPr/>
        <w:footnoteRef/>
        <w:tab/>
        <w:t>Attr. Ptz.</w:t>
      </w:r>
    </w:p>
  </w:footnote>
  <w:footnote w:id="6410">
    <w:p>
      <w:pPr>
        <w:pStyle w:val="Funote"/>
        <w:rPr/>
      </w:pPr>
      <w:r>
        <w:rPr/>
        <w:footnoteRef/>
        <w:tab/>
        <w:t>Wörtlich: „Was [ist] der Nutzen“.</w:t>
      </w:r>
    </w:p>
  </w:footnote>
  <w:footnote w:id="6411">
    <w:p>
      <w:pPr>
        <w:pStyle w:val="Funote"/>
        <w:rPr/>
      </w:pPr>
      <w:r>
        <w:rPr/>
        <w:footnoteRef/>
        <w:tab/>
        <w:t>Prospektiver Konditionalsatz.</w:t>
      </w:r>
    </w:p>
  </w:footnote>
  <w:footnote w:id="6412">
    <w:p>
      <w:pPr>
        <w:pStyle w:val="Funote"/>
        <w:rPr/>
      </w:pPr>
      <w:r>
        <w:rPr/>
        <w:footnoteRef/>
        <w:tab/>
        <w:t>Griechischer Abschiedsgruß. Lt. B/A entspricht das etwa dem Dt. „Bleiben Sie gesund!“. Alternativ sicher auch „Leb wohl!“ o. ä.</w:t>
      </w:r>
    </w:p>
  </w:footnote>
  <w:footnote w:id="6413">
    <w:p>
      <w:pPr>
        <w:pStyle w:val="Funote"/>
        <w:rPr/>
      </w:pPr>
      <w:r>
        <w:rPr/>
        <w:footnoteRef/>
        <w:tab/>
        <w:t>Vulgo: „was sie zum Leben brauchen“, „das Lebensnotwendige“</w:t>
      </w:r>
    </w:p>
  </w:footnote>
  <w:footnote w:id="6414">
    <w:p>
      <w:pPr>
        <w:pStyle w:val="Funote"/>
        <w:rPr/>
      </w:pPr>
      <w:r>
        <w:rPr/>
        <w:footnoteRef/>
        <w:tab/>
        <w:t>Wörtlich: „Was [ist] der Nutzen“ (cf. 14).</w:t>
      </w:r>
    </w:p>
  </w:footnote>
  <w:footnote w:id="6415">
    <w:p>
      <w:pPr>
        <w:pStyle w:val="Funote"/>
        <w:rPr/>
      </w:pPr>
      <w:r>
        <w:rPr/>
        <w:footnoteRef/>
        <w:tab/>
        <w:t>Vv. 15-16: Wieder ein prospektiver Konditionalsatz.</w:t>
      </w:r>
    </w:p>
  </w:footnote>
  <w:footnote w:id="6416">
    <w:p>
      <w:pPr>
        <w:pStyle w:val="Funote"/>
        <w:rPr/>
      </w:pPr>
      <w:r>
        <w:rPr/>
        <w:footnoteRef/>
        <w:tab/>
        <w:t>Prospektiver Konditionalsatz.</w:t>
      </w:r>
    </w:p>
  </w:footnote>
  <w:footnote w:id="6417">
    <w:p>
      <w:pPr>
        <w:pStyle w:val="Funote"/>
        <w:rPr/>
      </w:pPr>
      <w:r>
        <w:rPr/>
        <w:footnoteRef/>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6418">
    <w:p>
      <w:pPr>
        <w:pStyle w:val="Funote"/>
        <w:rPr/>
      </w:pPr>
      <w:r>
        <w:rPr/>
        <w:footnoteRef/>
        <w:tab/>
        <w:t>Wörtlich „dass nur [einer] Gott ist?“. Alternativ als Frage: „Glaubst du, dass es nur einen Gott gibt?“</w:t>
      </w:r>
    </w:p>
  </w:footnote>
  <w:footnote w:id="6419">
    <w:p>
      <w:pPr>
        <w:pStyle w:val="Funote"/>
        <w:rPr/>
      </w:pPr>
      <w:r>
        <w:rPr/>
        <w:footnoteRef/>
        <w:tab/>
        <w:t>Wörtlich: „Du handelst gut/richtig!“</w:t>
      </w:r>
    </w:p>
  </w:footnote>
  <w:footnote w:id="6420">
    <w:p>
      <w:pPr>
        <w:pStyle w:val="Funote"/>
        <w:rPr/>
      </w:pPr>
      <w:r>
        <w:rPr/>
        <w:footnoteRef/>
        <w:tab/>
        <w:t>Oder in Form einer echten Frage: „Willst du wissen/einsehen...“ (so bei Blomberg/Kamell).</w:t>
      </w:r>
    </w:p>
  </w:footnote>
  <w:footnote w:id="6421">
    <w:p>
      <w:pPr>
        <w:pStyle w:val="Funote"/>
        <w:rPr/>
      </w:pPr>
      <w:r>
        <w:rPr/>
        <w:footnoteRef/>
        <w:tab/>
        <w:t>Von B/A präferiert.</w:t>
      </w:r>
    </w:p>
  </w:footnote>
  <w:footnote w:id="6422">
    <w:p>
      <w:pPr>
        <w:pStyle w:val="Funote"/>
        <w:rPr/>
      </w:pPr>
      <w:r>
        <w:rPr/>
        <w:footnoteRef/>
        <w:tab/>
        <w:t>Hier temporale Auflösung des attributiven Ptz. Alternativ modal „indem er … darbrachte“, möglicherweise auch kausal „weil/da“. Neben der gleichzeitigen Übersetzung kann das Ptz. Aor. auch vorzeitig übersetzt werden.</w:t>
      </w:r>
    </w:p>
  </w:footnote>
  <w:footnote w:id="6423">
    <w:p>
      <w:pPr>
        <w:pStyle w:val="Funote"/>
        <w:rPr/>
      </w:pPr>
      <w:r>
        <w:rPr/>
        <w:footnoteRef/>
        <w:tab/>
        <w:t>I.e. Abrahams.</w:t>
      </w:r>
    </w:p>
  </w:footnote>
  <w:footnote w:id="6424">
    <w:p>
      <w:pPr>
        <w:pStyle w:val="Funote"/>
        <w:rPr/>
      </w:pPr>
      <w:r>
        <w:rPr/>
        <w:footnoteRef/>
        <w:tab/>
        <w:t>Imperfekt; mit durativer/iterativer Bedeutung; hier vielleicht als schrittweise Prozess zu deuten.</w:t>
      </w:r>
    </w:p>
  </w:footnote>
  <w:footnote w:id="6425">
    <w:p>
      <w:pPr>
        <w:pStyle w:val="Funote"/>
        <w:rPr/>
      </w:pPr>
      <w:r>
        <w:rPr/>
        <w:footnoteRef/>
        <w:tab/>
        <w:t>Oder dem Kontext nach „[seine]“.</w:t>
      </w:r>
    </w:p>
  </w:footnote>
  <w:footnote w:id="6426">
    <w:p>
      <w:pPr>
        <w:pStyle w:val="Funote"/>
        <w:rPr/>
      </w:pPr>
      <w:r>
        <w:rPr/>
        <w:footnoteRef/>
        <w:tab/>
        <w:t>Attr. Ptz.</w:t>
      </w:r>
    </w:p>
  </w:footnote>
  <w:footnote w:id="6427">
    <w:p>
      <w:pPr>
        <w:pStyle w:val="Funote"/>
        <w:rPr/>
      </w:pPr>
      <w:r>
        <w:rPr/>
        <w:footnoteRef/>
        <w:tab/>
        <w:t>So B/A.</w:t>
      </w:r>
    </w:p>
  </w:footnote>
  <w:footnote w:id="6428">
    <w:p>
      <w:pPr>
        <w:pStyle w:val="Funote"/>
        <w:rPr/>
      </w:pPr>
      <w:r>
        <w:rPr/>
        <w:footnoteRef/>
        <w:tab/>
        <w:t>So B/A.</w:t>
      </w:r>
    </w:p>
  </w:footnote>
  <w:footnote w:id="6429">
    <w:p>
      <w:pPr>
        <w:pStyle w:val="Funote"/>
        <w:rPr/>
      </w:pPr>
      <w:r>
        <w:rPr/>
        <w:footnoteRef/>
        <w:tab/>
        <w:t>Dat. modi.</w:t>
      </w:r>
    </w:p>
  </w:footnote>
  <w:footnote w:id="6430">
    <w:p>
      <w:pPr>
        <w:pStyle w:val="Funote"/>
        <w:rPr/>
      </w:pPr>
      <w:r>
        <w:rPr/>
        <w:footnoteRef/>
        <w:tab/>
        <w:t>Hier temporale Auflösung zweier Ptc. coni. Alternativ auch modal: „indem“ oder kausal: „weil“</w:t>
      </w:r>
    </w:p>
  </w:footnote>
  <w:footnote w:id="6431">
    <w:p>
      <w:pPr>
        <w:pStyle w:val="Funote"/>
        <w:rPr/>
      </w:pPr>
      <w:r>
        <w:rPr/>
        <w:footnoteRef/>
        <w:tab/>
        <w:t>[Status: Zuverlässig]</w:t>
      </w:r>
    </w:p>
  </w:footnote>
  <w:footnote w:id="6432">
    <w:p>
      <w:pPr>
        <w:pStyle w:val="Funote"/>
        <w:rPr/>
      </w:pPr>
      <w:r>
        <w:rPr/>
        <w:footnoteRef/>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6433">
    <w:p>
      <w:pPr>
        <w:pStyle w:val="Funote"/>
        <w:rPr/>
      </w:pPr>
      <w:r>
        <w:rPr/>
        <w:footnoteRef/>
        <w:tab/>
        <w:t>Kausal aufgelöstes attributives Ptz. Hier bieten sich wohl keine alternativen Sinnrichtungen zur Auflösung an.</w:t>
      </w:r>
    </w:p>
  </w:footnote>
  <w:footnote w:id="6434">
    <w:p>
      <w:pPr>
        <w:pStyle w:val="Funote"/>
        <w:rPr/>
      </w:pPr>
      <w:r>
        <w:rPr/>
        <w:footnoteRef/>
        <w:tab/>
        <w:t>Im geistlichen Sinn auch als „fehlen“, „sündigen“. Vorgeschlagene Bedeutung hier: „wir alle begehen viele Sünden“ (B/A, NSS).</w:t>
      </w:r>
    </w:p>
  </w:footnote>
  <w:footnote w:id="6435">
    <w:p>
      <w:pPr>
        <w:pStyle w:val="Funote"/>
        <w:rPr/>
      </w:pPr>
      <w:r>
        <w:rPr/>
        <w:footnoteRef/>
        <w:tab/>
        <w:t>Wörtlich: „im Wort“</w:t>
      </w:r>
    </w:p>
  </w:footnote>
  <w:footnote w:id="6436">
    <w:p>
      <w:pPr>
        <w:pStyle w:val="Funote"/>
        <w:rPr/>
      </w:pPr>
      <w:hyperlink r:id="rId674">
        <w:r>
          <w:rPr>
            <w:rStyle w:val="Internetverknpfung"/>
          </w:rPr>
          <w:footnoteRef/>
          <w:tab/>
          <w:t>Generisches Maskulinum</w:t>
        </w:r>
      </w:hyperlink>
      <w:r>
        <w:rPr/>
        <w:t>.</w:t>
      </w:r>
    </w:p>
  </w:footnote>
  <w:footnote w:id="6437">
    <w:p>
      <w:pPr>
        <w:pStyle w:val="Funote"/>
        <w:rPr/>
      </w:pPr>
      <w:r>
        <w:rPr/>
        <w:footnoteRef/>
        <w:tab/>
        <w:t>Indefiniter Konditionalsatz.</w:t>
      </w:r>
    </w:p>
  </w:footnote>
  <w:footnote w:id="6438">
    <w:p>
      <w:pPr>
        <w:pStyle w:val="Funote"/>
        <w:rPr/>
      </w:pPr>
      <w:r>
        <w:rPr/>
        <w:footnoteRef/>
        <w:tab/>
        <w:t>Ursprünglich ein Genitiv.</w:t>
      </w:r>
    </w:p>
  </w:footnote>
  <w:footnote w:id="6439">
    <w:p>
      <w:pPr>
        <w:pStyle w:val="Funote"/>
        <w:rPr/>
      </w:pPr>
      <w:r>
        <w:rPr/>
        <w:footnoteRef/>
        <w:tab/>
        <w:t>Ursprünglich im Plural.</w:t>
      </w:r>
    </w:p>
  </w:footnote>
  <w:footnote w:id="6440">
    <w:p>
      <w:pPr>
        <w:pStyle w:val="Funote"/>
        <w:rPr/>
      </w:pPr>
      <w:r>
        <w:rPr/>
        <w:footnoteRef/>
        <w:tab/>
        <w:t>Auflösung eines „</w:t>
      </w:r>
      <w:r>
        <w:rPr>
          <w:lang w:val="el-GR"/>
        </w:rPr>
        <w:t>εἰς τὸ</w:t>
      </w:r>
      <w:r>
        <w:rPr/>
        <w:t>“ + Inf.</w:t>
      </w:r>
    </w:p>
  </w:footnote>
  <w:footnote w:id="6441">
    <w:p>
      <w:pPr>
        <w:pStyle w:val="Funote"/>
        <w:rPr/>
      </w:pPr>
      <w:r>
        <w:rPr/>
        <w:footnoteRef/>
        <w:tab/>
        <w:t xml:space="preserve">Konsekutives </w:t>
      </w:r>
      <w:r>
        <w:rPr>
          <w:lang w:val="el-GR"/>
        </w:rPr>
        <w:t>καί</w:t>
      </w:r>
      <w:r>
        <w:rPr/>
        <w:t>.</w:t>
      </w:r>
    </w:p>
  </w:footnote>
  <w:footnote w:id="6442">
    <w:p>
      <w:pPr>
        <w:pStyle w:val="Funote"/>
        <w:rPr/>
      </w:pPr>
      <w:r>
        <w:rPr/>
        <w:footnoteRef/>
        <w:tab/>
        <w:t>Indefiniter Konditionalsatz.</w:t>
      </w:r>
    </w:p>
  </w:footnote>
  <w:footnote w:id="6443">
    <w:p>
      <w:pPr>
        <w:pStyle w:val="Funote"/>
        <w:rPr/>
      </w:pPr>
      <w:r>
        <w:rPr/>
        <w:footnoteRef/>
        <w:tab/>
        <w:t>Im Urtext zwei Ptc. coni., hier konzessiv aufgelöst.</w:t>
      </w:r>
    </w:p>
  </w:footnote>
  <w:footnote w:id="6444">
    <w:p>
      <w:pPr>
        <w:pStyle w:val="Funote"/>
        <w:rPr/>
      </w:pPr>
      <w:r>
        <w:rPr/>
        <w:footnoteRef/>
        <w:tab/>
        <w:t>Wörtlich „von [dem] kleinsten“. Muss hier elativisch verstanden werden: „sehr klein“, „winzig“</w:t>
      </w:r>
    </w:p>
  </w:footnote>
  <w:footnote w:id="6445">
    <w:p>
      <w:pPr>
        <w:pStyle w:val="Funote"/>
        <w:rPr/>
      </w:pPr>
      <w:r>
        <w:rPr/>
        <w:footnoteRef/>
        <w:tab/>
        <w:t>Eine gute kommunikative Übersetzung könnte „Belieben“ sein.</w:t>
      </w:r>
    </w:p>
  </w:footnote>
  <w:footnote w:id="6446">
    <w:p>
      <w:pPr>
        <w:pStyle w:val="Funote"/>
        <w:rPr/>
      </w:pPr>
      <w:r>
        <w:rPr/>
        <w:footnoteRef/>
        <w:tab/>
        <w:t>Gen. qualitatis. Kommunikativ kann „Welt voller Unrecht“, „von Unrecht beherrschte Welt“, etc. übersetzt werden.</w:t>
      </w:r>
    </w:p>
  </w:footnote>
  <w:footnote w:id="6447">
    <w:p>
      <w:pPr>
        <w:pStyle w:val="Funote"/>
        <w:rPr/>
      </w:pPr>
      <w:r>
        <w:rPr/>
        <w:footnoteRef/>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6448">
    <w:p>
      <w:pPr>
        <w:pStyle w:val="Funote"/>
        <w:rPr/>
      </w:pPr>
      <w:r>
        <w:rPr/>
        <w:footnoteRef/>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6449">
    <w:p>
      <w:pPr>
        <w:pStyle w:val="Funote"/>
        <w:rPr/>
      </w:pPr>
      <w:r>
        <w:rPr/>
        <w:footnoteRef/>
        <w:tab/>
        <w:t>Je nach Akzentsetzung entweder „Rad“ oder „Bahn/Kurs“; bezeichnet allgemein etwas Rundes (Johnson; dort auf Englisch „course“; von mir entsprechend übersetzt).</w:t>
      </w:r>
    </w:p>
  </w:footnote>
  <w:footnote w:id="6450">
    <w:p>
      <w:pPr>
        <w:pStyle w:val="Funote"/>
        <w:rPr/>
      </w:pPr>
      <w:r>
        <w:rPr/>
        <w:footnoteRef/>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6451">
    <w:p>
      <w:pPr>
        <w:pStyle w:val="Funote"/>
        <w:rPr/>
      </w:pPr>
      <w:r>
        <w:rPr/>
        <w:footnoteRef/>
        <w:tab/>
        <w:t>Auflösung zweier attributiver Partizipien als Relativsatz.</w:t>
      </w:r>
    </w:p>
  </w:footnote>
  <w:footnote w:id="6452">
    <w:p>
      <w:pPr>
        <w:pStyle w:val="Funote"/>
        <w:rPr/>
      </w:pPr>
      <w:r>
        <w:rPr/>
        <w:footnoteRef/>
        <w:tab/>
        <w:t>Oder „Gehenna“. Hier werden die sehr semitischen Wurzeln des Schreibens offensichtlich.</w:t>
      </w:r>
    </w:p>
  </w:footnote>
  <w:footnote w:id="6453">
    <w:p>
      <w:pPr>
        <w:pStyle w:val="Funote"/>
        <w:rPr/>
      </w:pPr>
      <w:r>
        <w:rPr/>
        <w:footnoteRef/>
        <w:tab/>
        <w:t>Das dritte attr. Ptz. Präs., hier im Pass., scheint semantisch von den übrigen getrennt zu sein. Alternativ: „sie beschmutzt ... und ... setzt ... in Brand und wird...“. Wörtlich: „die ... beschmutzende ... und ... in Brand setzende ... und ... in Brand gesetzt werdende.“</w:t>
      </w:r>
    </w:p>
  </w:footnote>
  <w:footnote w:id="6454">
    <w:p>
      <w:pPr>
        <w:pStyle w:val="Funote"/>
        <w:rPr/>
      </w:pPr>
      <w:r>
        <w:rPr/>
        <w:footnoteRef/>
        <w:tab/>
        <w:t>Dieses unbestimmte „</w:t>
      </w:r>
      <w:r>
        <w:rPr>
          <w:lang w:val="el-GR"/>
        </w:rPr>
        <w:t>πασα</w:t>
      </w:r>
      <w:r>
        <w:rPr/>
        <w:t>“ kann auch allgemeiner als „alle möglichen...“ übersetzt werden.</w:t>
      </w:r>
    </w:p>
  </w:footnote>
  <w:footnote w:id="6455">
    <w:p>
      <w:pPr>
        <w:pStyle w:val="Funote"/>
        <w:rPr/>
      </w:pPr>
      <w:r>
        <w:rPr/>
        <w:footnoteRef/>
        <w:tab/>
        <w:t>Eigentlich nur „Tiere“; im Kontrast zu den anderen Tierarten im Kontext muss hier jedoch genauer übersetzt werden. Möglich: „Vierfüßler“ (B/A), „Säugetiere“, „Landtiere“, „vierfüßige Tiere“ (NSS).</w:t>
      </w:r>
    </w:p>
  </w:footnote>
  <w:footnote w:id="6456">
    <w:p>
      <w:pPr>
        <w:pStyle w:val="Funote"/>
        <w:rPr/>
      </w:pPr>
      <w:r>
        <w:rPr/>
        <w:footnoteRef/>
        <w:tab/>
        <w:t>Dat. auctoris.</w:t>
      </w:r>
    </w:p>
  </w:footnote>
  <w:footnote w:id="6457">
    <w:p>
      <w:pPr>
        <w:pStyle w:val="Funote"/>
        <w:rPr/>
      </w:pPr>
      <w:r>
        <w:rPr/>
        <w:footnoteRef/>
        <w:tab/>
        <w:t>Hier steht im Urtext ein Pf., das „worden“ tritt also hinter das Resultat des „ist“ zurück.</w:t>
      </w:r>
    </w:p>
  </w:footnote>
  <w:footnote w:id="6458">
    <w:p>
      <w:pPr>
        <w:pStyle w:val="Funote"/>
        <w:rPr/>
      </w:pPr>
      <w:r>
        <w:rPr/>
        <w:footnoteRef/>
        <w:tab/>
        <w:t>Gen. partitivus. Wörtlich: „keiner/niemand [der] Menschen“</w:t>
      </w:r>
    </w:p>
  </w:footnote>
  <w:footnote w:id="6459">
    <w:p>
      <w:pPr>
        <w:pStyle w:val="Funote"/>
        <w:rPr/>
      </w:pPr>
      <w:r>
        <w:rPr/>
        <w:footnoteRef/>
        <w:tab/>
        <w:t>Alternativ: „[sie ist] ein“</w:t>
      </w:r>
    </w:p>
  </w:footnote>
  <w:footnote w:id="6460">
    <w:p>
      <w:pPr>
        <w:pStyle w:val="Funote"/>
        <w:rPr/>
      </w:pPr>
      <w:r>
        <w:rPr/>
        <w:footnoteRef/>
        <w:tab/>
        <w:t>B/A</w:t>
      </w:r>
    </w:p>
  </w:footnote>
  <w:footnote w:id="6461">
    <w:p>
      <w:pPr>
        <w:pStyle w:val="Funote"/>
        <w:rPr/>
      </w:pPr>
      <w:r>
        <w:rPr/>
        <w:footnoteRef/>
        <w:tab/>
        <w:t>Blomberg/Kamell.</w:t>
      </w:r>
    </w:p>
  </w:footnote>
  <w:footnote w:id="6462">
    <w:p>
      <w:pPr>
        <w:pStyle w:val="Funote"/>
        <w:rPr/>
      </w:pPr>
      <w:r>
        <w:rPr/>
        <w:footnoteRef/>
        <w:tab/>
        <w:t>Cf. 1,8</w:t>
      </w:r>
    </w:p>
  </w:footnote>
  <w:footnote w:id="6463">
    <w:p>
      <w:pPr>
        <w:pStyle w:val="Funote"/>
        <w:rPr/>
      </w:pPr>
      <w:r>
        <w:rPr/>
        <w:footnoteRef/>
        <w:tab/>
        <w:t>Instrumental (NSS). Wörtlich: „Durch sie“. Analog später im Vers.</w:t>
      </w:r>
    </w:p>
  </w:footnote>
  <w:footnote w:id="6464">
    <w:p>
      <w:pPr>
        <w:pStyle w:val="Funote"/>
        <w:rPr/>
      </w:pPr>
      <w:r>
        <w:rPr/>
        <w:footnoteRef/>
        <w:tab/>
        <w:t>Attr. Ptz. Pf. Pass. Das griechische Pf. wurde hier, wie es seiner Bedeutung am ehesten entspricht, als Zustandsperfekt übersetzt.</w:t>
      </w:r>
    </w:p>
  </w:footnote>
  <w:footnote w:id="6465">
    <w:p>
      <w:pPr>
        <w:pStyle w:val="Funote"/>
        <w:rPr/>
      </w:pPr>
      <w:r>
        <w:rPr/>
        <w:footnoteRef/>
        <w:tab/>
        <w:t>Frei zitiert nach 1 Mose 1,26f.</w:t>
      </w:r>
    </w:p>
  </w:footnote>
  <w:footnote w:id="6466">
    <w:p>
      <w:pPr>
        <w:pStyle w:val="Funote"/>
        <w:rPr/>
      </w:pPr>
      <w:r>
        <w:rPr/>
        <w:footnoteRef/>
        <w:tab/>
        <w:t>Auflösung eines AcI.</w:t>
      </w:r>
    </w:p>
  </w:footnote>
  <w:footnote w:id="6467">
    <w:p>
      <w:pPr>
        <w:pStyle w:val="Funote"/>
        <w:rPr/>
      </w:pPr>
      <w:r>
        <w:rPr/>
        <w:footnoteRef/>
        <w:tab/>
        <w:t>Wörtlich: „das Süße und das Bittere“</w:t>
      </w:r>
    </w:p>
  </w:footnote>
  <w:footnote w:id="6468">
    <w:p>
      <w:pPr>
        <w:pStyle w:val="Funote"/>
        <w:rPr/>
      </w:pPr>
      <w:r>
        <w:rPr/>
        <w:footnoteRef/>
        <w:tab/>
        <w:t>Wörtlich: „das Salzige“</w:t>
      </w:r>
    </w:p>
  </w:footnote>
  <w:footnote w:id="6469">
    <w:p>
      <w:pPr>
        <w:pStyle w:val="Funote"/>
        <w:rPr/>
      </w:pPr>
      <w:r>
        <w:rPr/>
        <w:footnoteRef/>
        <w:tab/>
        <w:t>Wörtlich: „süßes Wasser“</w:t>
      </w:r>
    </w:p>
  </w:footnote>
  <w:footnote w:id="6470">
    <w:p>
      <w:pPr>
        <w:pStyle w:val="Funote"/>
        <w:rPr/>
      </w:pPr>
      <w:r>
        <w:rPr/>
        <w:footnoteRef/>
        <w:tab/>
        <w:t>Die Bedeutung des Wortes ist die von anwendbarer Kundigkeit (Blomberg/Kamell). Kommunikativ vielleicht „erfahren“.</w:t>
      </w:r>
    </w:p>
  </w:footnote>
  <w:footnote w:id="6471">
    <w:p>
      <w:pPr>
        <w:pStyle w:val="Funote"/>
        <w:rPr/>
      </w:pPr>
      <w:r>
        <w:rPr/>
        <w:footnoteRef/>
        <w:tab/>
        <w:t>Wörtlich: „aus“</w:t>
      </w:r>
    </w:p>
  </w:footnote>
  <w:footnote w:id="6472">
    <w:p>
      <w:pPr>
        <w:pStyle w:val="Funote"/>
        <w:rPr/>
      </w:pPr>
      <w:r>
        <w:rPr/>
        <w:footnoteRef/>
        <w:tab/>
        <w:t>ie eigentliche Bedeutung ist wohl die eines „sanften Charakters“ im Gegensatz einem aufbrausenden Charakter (cf. Louw/Nida).</w:t>
      </w:r>
    </w:p>
  </w:footnote>
  <w:footnote w:id="6473">
    <w:p>
      <w:pPr>
        <w:pStyle w:val="Funote"/>
        <w:rPr/>
      </w:pPr>
      <w:r>
        <w:rPr/>
        <w:footnoteRef/>
        <w:tab/>
        <w:t>Wörtlich „Bescheidenheit [der] Weisheit“; Gen. pertinentiae, also „Bescheidenheit, die von Weisheit kommt“.</w:t>
      </w:r>
    </w:p>
  </w:footnote>
  <w:footnote w:id="6474">
    <w:p>
      <w:pPr>
        <w:pStyle w:val="Funote"/>
        <w:rPr/>
      </w:pPr>
      <w:r>
        <w:rPr/>
        <w:footnoteRef/>
        <w:tab/>
        <w:t>Blomberg/Kamell.</w:t>
      </w:r>
    </w:p>
  </w:footnote>
  <w:footnote w:id="6475">
    <w:p>
      <w:pPr>
        <w:pStyle w:val="Funote"/>
        <w:rPr/>
      </w:pPr>
      <w:r>
        <w:rPr/>
        <w:footnoteRef/>
        <w:tab/>
        <w:t>Da der deutsche Imperativ in der 3. Person nicht vorkommt, muss mit „soll“ oder „muss“ umschrieben werden.</w:t>
      </w:r>
    </w:p>
  </w:footnote>
  <w:footnote w:id="6476">
    <w:p>
      <w:pPr>
        <w:pStyle w:val="Funote"/>
        <w:rPr/>
      </w:pPr>
      <w:r>
        <w:rPr/>
        <w:footnoteRef/>
        <w:tab/>
        <w:t>Dies ist ein Imperativ Präsens. Im Gegensatz zum unmarkierten Imp. Aor. kann dieser auch die Bedeutung „hört auf, … zu tun“ haben. Blomberg merkt hier an, dass diese Bedeutungsnuance nicht unbedingt vorkommen muss.</w:t>
      </w:r>
    </w:p>
  </w:footnote>
  <w:footnote w:id="6477">
    <w:p>
      <w:pPr>
        <w:pStyle w:val="Funote"/>
        <w:rPr/>
      </w:pPr>
      <w:r>
        <w:rPr/>
        <w:footnoteRef/>
        <w:tab/>
        <w:t>Indefiniter Konditionalsatz.</w:t>
      </w:r>
    </w:p>
  </w:footnote>
  <w:footnote w:id="6478">
    <w:p>
      <w:pPr>
        <w:pStyle w:val="Funote"/>
        <w:rPr/>
      </w:pPr>
      <w:r>
        <w:rPr/>
        <w:footnoteRef/>
        <w:tab/>
        <w:t>Attributive Auflösung. Wörtlich „ist … herabkommend“. Alternativ periphrastisch: „Diese Weisheit kommt nicht von oben herab...“</w:t>
      </w:r>
    </w:p>
  </w:footnote>
  <w:footnote w:id="6479">
    <w:p>
      <w:pPr>
        <w:pStyle w:val="Funote"/>
        <w:rPr/>
      </w:pPr>
      <w:r>
        <w:rPr/>
        <w:footnoteRef/>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6480">
    <w:p>
      <w:pPr>
        <w:pStyle w:val="Funote"/>
        <w:rPr/>
      </w:pPr>
      <w:r>
        <w:rPr/>
        <w:footnoteRef/>
        <w:tab/>
        <w:t>Nach der Bedeutung dieses unbestimmten „</w:t>
      </w:r>
      <w:r>
        <w:rPr>
          <w:lang w:val="el-GR"/>
        </w:rPr>
        <w:t>πάν</w:t>
      </w:r>
      <w:r>
        <w:rPr/>
        <w:t>“ eingefügt (Johnson).</w:t>
      </w:r>
    </w:p>
  </w:footnote>
  <w:footnote w:id="6481">
    <w:p>
      <w:pPr>
        <w:pStyle w:val="Funote"/>
        <w:rPr/>
      </w:pPr>
      <w:r>
        <w:rPr/>
        <w:footnoteRef/>
        <w:tab/>
        <w:t>Der Begriff drückt Niedrigkeit, Gemeinheit, Gewöhnlichkeit in einem sehr negativen Sinn aus (Johnson).</w:t>
      </w:r>
    </w:p>
  </w:footnote>
  <w:footnote w:id="6482">
    <w:p>
      <w:pPr>
        <w:pStyle w:val="Funote"/>
        <w:rPr/>
      </w:pPr>
      <w:r>
        <w:rPr/>
        <w:footnoteRef/>
        <w:tab/>
        <w:t>Johnson</w:t>
      </w:r>
    </w:p>
  </w:footnote>
  <w:footnote w:id="6483">
    <w:p>
      <w:pPr>
        <w:pStyle w:val="Funote"/>
        <w:rPr/>
      </w:pPr>
      <w:r>
        <w:rPr/>
        <w:footnoteRef/>
        <w:tab/>
        <w:t>LUT u.a. (SLT, NGÜ): „lässt sich etwas sagen“</w:t>
      </w:r>
    </w:p>
  </w:footnote>
  <w:footnote w:id="6484">
    <w:p>
      <w:pPr>
        <w:pStyle w:val="Funote"/>
        <w:rPr/>
      </w:pPr>
      <w:r>
        <w:rPr/>
        <w:footnoteRef/>
        <w:tab/>
        <w:t>Hier als koordinierender Textkonnektor (Blomberg/Kamell). Alternativ adversativ. Könnte auch einen leichten Kontrast als Aufruf zum Handeln darstellen (Johnson).</w:t>
      </w:r>
    </w:p>
  </w:footnote>
  <w:footnote w:id="6485">
    <w:p>
      <w:pPr>
        <w:pStyle w:val="Funote"/>
        <w:rPr/>
      </w:pPr>
      <w:r>
        <w:rPr/>
        <w:footnoteRef/>
        <w:tab/>
        <w:t>So Blomberg/Kamell. Wörtlich „Frucht“.</w:t>
      </w:r>
    </w:p>
  </w:footnote>
  <w:footnote w:id="6486">
    <w:p>
      <w:pPr>
        <w:pStyle w:val="Funote"/>
        <w:rPr/>
      </w:pPr>
      <w:r>
        <w:rPr/>
        <w:footnoteRef/>
        <w:tab/>
        <w:t xml:space="preserve">Wohl ein Gen. subiectivus: die Frucht </w:t>
      </w:r>
      <w:r>
        <w:rPr>
          <w:i/>
        </w:rPr>
        <w:t>ist</w:t>
      </w:r>
      <w:r>
        <w:rPr/>
        <w:t xml:space="preserve"> Gerechtigkeit.</w:t>
      </w:r>
    </w:p>
  </w:footnote>
  <w:footnote w:id="6487">
    <w:p>
      <w:pPr>
        <w:pStyle w:val="Funote"/>
        <w:rPr/>
      </w:pPr>
      <w:r>
        <w:rPr/>
        <w:footnoteRef/>
        <w:tab/>
        <w:t>Hier als Dat. commodi verstanden (Dibelius, Johnson, Blomberg/Kamell). Alternativ als Dat. auctoris: „von jenen, die...“. Dann käme aber der Frieden doppelt vor (Dibelius).</w:t>
      </w:r>
    </w:p>
  </w:footnote>
  <w:footnote w:id="6488">
    <w:p>
      <w:pPr>
        <w:pStyle w:val="Funote"/>
        <w:rPr/>
      </w:pPr>
      <w:r>
        <w:rPr/>
        <w:footnoteRef/>
        <w:tab/>
        <w:t>Attributives/substantiviertes Ptz.</w:t>
      </w:r>
    </w:p>
  </w:footnote>
  <w:footnote w:id="6489">
    <w:p>
      <w:pPr>
        <w:pStyle w:val="Funote"/>
        <w:rPr/>
      </w:pPr>
      <w:r>
        <w:rPr/>
        <w:footnoteRef/>
        <w:tab/>
        <w:t>[Status: Zuverlässig]</w:t>
      </w:r>
    </w:p>
  </w:footnote>
  <w:footnote w:id="6490">
    <w:p>
      <w:pPr>
        <w:pStyle w:val="Funote"/>
        <w:rPr/>
      </w:pPr>
      <w:r>
        <w:rPr/>
        <w:footnoteRef/>
        <w:tab/>
        <w:t>Wörtlich: „die Streite“</w:t>
      </w:r>
    </w:p>
  </w:footnote>
  <w:footnote w:id="6491">
    <w:p>
      <w:pPr>
        <w:pStyle w:val="Funote"/>
        <w:rPr/>
      </w:pPr>
      <w:r>
        <w:rPr/>
        <w:footnoteRef/>
        <w:tab/>
        <w:t>Wörtlich: „[Kommen sie] nicht daher: aus euren...“. Alternativ: „[Kommen sie] nicht daher, dass eure Gelüste...“</w:t>
      </w:r>
    </w:p>
  </w:footnote>
  <w:footnote w:id="6492">
    <w:p>
      <w:pPr>
        <w:pStyle w:val="Funote"/>
        <w:rPr/>
      </w:pPr>
      <w:r>
        <w:rPr/>
        <w:footnoteRef/>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6493">
    <w:p>
      <w:pPr>
        <w:pStyle w:val="Funote"/>
        <w:rPr/>
      </w:pPr>
      <w:r>
        <w:rPr/>
        <w:footnoteRef/>
        <w:tab/>
        <w:t>Hier (wie weiter unten im Vers) wurde das „doch“ eingefügt, um den adversativen Charakter der Konjunktion zu unterstreichen.</w:t>
      </w:r>
    </w:p>
  </w:footnote>
  <w:footnote w:id="6494">
    <w:p>
      <w:pPr>
        <w:pStyle w:val="Funote"/>
        <w:rPr/>
      </w:pPr>
      <w:r>
        <w:rPr/>
        <w:footnoteRef/>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6495">
    <w:p>
      <w:pPr>
        <w:pStyle w:val="Funote"/>
        <w:rPr/>
      </w:pPr>
      <w:r>
        <w:rPr/>
        <w:footnoteRef/>
        <w:tab/>
        <w:t>Wörtlich „nicht“. Bei allen Erwähnungen von „nicht“ in Vv. 2f. bleibt das Objekt im Text unerwähnt. Das macht beim Übersetzen manchmal das Einsetzen von „nichts“ erforderlich.</w:t>
      </w:r>
    </w:p>
  </w:footnote>
  <w:footnote w:id="6496">
    <w:p>
      <w:pPr>
        <w:pStyle w:val="Funote"/>
        <w:rPr/>
      </w:pPr>
      <w:r>
        <w:rPr/>
        <w:footnoteRef/>
        <w:tab/>
        <w:t>Das Wort steht im Medium; alternativ könnte es auch als „weil ihr selbst nicht bittet“ verstanden werden (Blomberg/Kamell). Dibelius ignoriert das Medium ganz, Mußner lässt offen. Selbiges gilt für 3b.</w:t>
      </w:r>
    </w:p>
  </w:footnote>
  <w:footnote w:id="6497">
    <w:p>
      <w:pPr>
        <w:pStyle w:val="Funote"/>
        <w:rPr/>
      </w:pPr>
      <w:r>
        <w:rPr/>
        <w:footnoteRef/>
        <w:tab/>
        <w:t>Alle Verben der 2. Ps. Pl. im Vers stehen im Präsens. Der Text deutet damit an, dass dies ein Vorgang ist, der unablässig bzw. immer wieder zu beobachten ist.</w:t>
      </w:r>
    </w:p>
  </w:footnote>
  <w:footnote w:id="6498">
    <w:p>
      <w:pPr>
        <w:pStyle w:val="Funote"/>
        <w:rPr/>
      </w:pPr>
      <w:r>
        <w:rPr/>
        <w:footnoteRef/>
        <w:tab/>
        <w:t xml:space="preserve">Wörtlich „nicht“. Vgl. dritte Fußnote in V. 2. </w:t>
      </w:r>
    </w:p>
  </w:footnote>
  <w:footnote w:id="6499">
    <w:p>
      <w:pPr>
        <w:pStyle w:val="Funote"/>
        <w:rPr/>
      </w:pPr>
      <w:r>
        <w:rPr/>
        <w:footnoteRef/>
        <w:tab/>
        <w:t>Wörtlich „böse“, „schlecht“ (Adverb). Im Deutschen muss umschrieben werden; der letzte Satzteil macht klar, dass das Adverb sich auf böse Hintergedanken bezieht. Denkbar auch „[mit] bösen [Hintergedanken]“ u.ä. oder schlicht „falsch“ (so Blomberg/Kamell).</w:t>
      </w:r>
    </w:p>
  </w:footnote>
  <w:footnote w:id="6500">
    <w:p>
      <w:pPr>
        <w:pStyle w:val="Funote"/>
        <w:rPr/>
      </w:pPr>
      <w:r>
        <w:rPr/>
        <w:footnoteRef/>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6501">
    <w:p>
      <w:pPr>
        <w:pStyle w:val="Funote"/>
        <w:rPr/>
      </w:pPr>
      <w:r>
        <w:rPr/>
        <w:footnoteRef/>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6502">
    <w:p>
      <w:pPr>
        <w:pStyle w:val="Funote"/>
        <w:rPr/>
      </w:pPr>
      <w:r>
        <w:rPr/>
        <w:footnoteRef/>
        <w:tab/>
        <w:t>Oder: „Wer immer also ... sein will, erweist...“</w:t>
      </w:r>
    </w:p>
  </w:footnote>
  <w:footnote w:id="6503">
    <w:p>
      <w:pPr>
        <w:pStyle w:val="Funote"/>
        <w:rPr/>
      </w:pPr>
      <w:r>
        <w:rPr/>
        <w:footnoteRef/>
        <w:tab/>
        <w:t>Wörtlich: „Zur Eifersucht“ = „eifersüchtig“ (nach NSS).</w:t>
      </w:r>
    </w:p>
  </w:footnote>
  <w:footnote w:id="6504">
    <w:p>
      <w:pPr>
        <w:pStyle w:val="Funote"/>
        <w:rPr/>
      </w:pPr>
      <w:r>
        <w:rPr/>
        <w:footnoteRef/>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6505">
    <w:p>
      <w:pPr>
        <w:pStyle w:val="Funote"/>
        <w:rPr/>
      </w:pPr>
      <w:r>
        <w:rPr/>
        <w:footnoteRef/>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6506">
    <w:p>
      <w:pPr>
        <w:pStyle w:val="Funote"/>
        <w:rPr/>
      </w:pPr>
      <w:r>
        <w:rPr/>
        <w:footnoteRef/>
        <w:tab/>
        <w:t xml:space="preserve">Die Zuordnung des Zitats ist kaum möglich. Mußner vermutet ein Zitat aus einem unbekannten Apokryphon. Es gibt Anleihen an </w:t>
      </w:r>
      <w:r>
        <w:fldChar w:fldCharType="begin"/>
      </w:r>
      <w:r>
        <w:instrText> HYPERLINK "file:///wiki/Exodus_20" \l "s5"</w:instrText>
      </w:r>
      <w:r>
        <w:fldChar w:fldCharType="separate"/>
      </w:r>
      <w:r>
        <w:rPr>
          <w:rStyle w:val="Internetverknpfung"/>
        </w:rPr>
        <w:t>2Mose 20,5</w:t>
      </w:r>
      <w:r>
        <w:fldChar w:fldCharType="end"/>
      </w:r>
      <w:r>
        <w:rPr/>
        <w:t>,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6507">
    <w:p>
      <w:pPr>
        <w:pStyle w:val="Funote"/>
        <w:rPr/>
      </w:pPr>
      <w:r>
        <w:rPr/>
        <w:footnoteRef/>
        <w:tab/>
        <w:t>Dann im Gegensatz zu den „Hochmütigen“</w:t>
      </w:r>
    </w:p>
  </w:footnote>
  <w:footnote w:id="6508">
    <w:p>
      <w:pPr>
        <w:pStyle w:val="Funote"/>
        <w:rPr/>
      </w:pPr>
      <w:hyperlink r:id="rId675">
        <w:r>
          <w:rPr>
            <w:rStyle w:val="Internetverknpfung"/>
          </w:rPr>
          <w:footnoteRef/>
          <w:tab/>
          <w:t>Sprichwörter 3,34</w:t>
        </w:r>
      </w:hyperlink>
      <w:r>
        <w:rPr/>
        <w:t xml:space="preserve"> nach der Septuaginta.</w:t>
      </w:r>
    </w:p>
  </w:footnote>
  <w:footnote w:id="6509">
    <w:p>
      <w:pPr>
        <w:pStyle w:val="Funote"/>
        <w:rPr/>
      </w:pPr>
      <w:r>
        <w:rPr/>
        <w:footnoteRef/>
        <w:tab/>
        <w:t>Hier medial, was sich aber nicht ohne Weiteres ins Deutsche übertragen lässt.</w:t>
      </w:r>
    </w:p>
  </w:footnote>
  <w:footnote w:id="6510">
    <w:p>
      <w:pPr>
        <w:pStyle w:val="Funote"/>
        <w:rPr/>
      </w:pPr>
      <w:r>
        <w:rPr/>
        <w:footnoteRef/>
        <w:tab/>
        <w:t>B/A: „tretet vor Gott“. Mit dieser Übersetzung würde aber die parallele Übersetzung des zweiten Satzteils nicht funktionieren.</w:t>
      </w:r>
    </w:p>
  </w:footnote>
  <w:footnote w:id="6511">
    <w:p>
      <w:pPr>
        <w:pStyle w:val="Funote"/>
        <w:rPr/>
      </w:pPr>
      <w:r>
        <w:rPr/>
        <w:footnoteRef/>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6512">
    <w:p>
      <w:pPr>
        <w:pStyle w:val="Funote"/>
        <w:rPr/>
      </w:pPr>
      <w:r>
        <w:rPr/>
        <w:footnoteRef/>
        <w:tab/>
        <w:t>3. Sg. Imp.</w:t>
      </w:r>
    </w:p>
  </w:footnote>
  <w:footnote w:id="6513">
    <w:p>
      <w:pPr>
        <w:pStyle w:val="Funote"/>
        <w:rPr/>
      </w:pPr>
      <w:r>
        <w:rPr/>
        <w:footnoteRef/>
        <w:tab/>
        <w:t>Wörtlich „Werdet erniedrigt“.</w:t>
      </w:r>
    </w:p>
  </w:footnote>
  <w:footnote w:id="6514">
    <w:p>
      <w:pPr>
        <w:pStyle w:val="Funote"/>
        <w:rPr/>
      </w:pPr>
      <w:r>
        <w:rPr/>
        <w:footnoteRef/>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6515">
    <w:p>
      <w:pPr>
        <w:pStyle w:val="Funote"/>
        <w:rPr/>
      </w:pPr>
      <w:r>
        <w:rPr/>
        <w:footnoteRef/>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6516">
    <w:p>
      <w:pPr>
        <w:pStyle w:val="Funote"/>
        <w:rPr/>
      </w:pPr>
      <w:r>
        <w:rPr/>
        <w:footnoteRef/>
        <w:tab/>
        <w:t>Hier Auflösung zweier attributiver Partizipien. Alternativ kann substantiviert aufgelöst werden: „Der Verleumdende … der Richtende“ (wörtlich).</w:t>
      </w:r>
    </w:p>
  </w:footnote>
  <w:footnote w:id="6517">
    <w:p>
      <w:pPr>
        <w:pStyle w:val="Funote"/>
        <w:rPr/>
      </w:pPr>
      <w:r>
        <w:rPr/>
        <w:footnoteRef/>
        <w:tab/>
        <w:t>Indefiniter Konditionalsatz.</w:t>
      </w:r>
    </w:p>
  </w:footnote>
  <w:footnote w:id="6518">
    <w:p>
      <w:pPr>
        <w:pStyle w:val="Funote"/>
        <w:rPr/>
      </w:pPr>
      <w:r>
        <w:rPr/>
        <w:footnoteRef/>
        <w:tab/>
        <w:t>Oder: „Es gibt einen...“</w:t>
      </w:r>
    </w:p>
  </w:footnote>
  <w:footnote w:id="6519">
    <w:p>
      <w:pPr>
        <w:pStyle w:val="Funote"/>
        <w:rPr/>
      </w:pPr>
      <w:r>
        <w:rPr/>
        <w:footnoteRef/>
        <w:tab/>
        <w:t>Attr. Ptz.</w:t>
      </w:r>
    </w:p>
  </w:footnote>
  <w:footnote w:id="6520">
    <w:p>
      <w:pPr>
        <w:pStyle w:val="Funote"/>
        <w:rPr/>
      </w:pPr>
      <w:r>
        <w:rPr/>
        <w:footnoteRef/>
        <w:tab/>
        <w:t>Wörtlicher: „Wohlan nun“ (B/A, NSS)</w:t>
      </w:r>
    </w:p>
  </w:footnote>
  <w:footnote w:id="6521">
    <w:p>
      <w:pPr>
        <w:pStyle w:val="Funote"/>
        <w:rPr/>
      </w:pPr>
      <w:r>
        <w:rPr/>
        <w:footnoteRef/>
        <w:tab/>
        <w:t>Attr. Ptz.</w:t>
      </w:r>
    </w:p>
  </w:footnote>
  <w:footnote w:id="6522">
    <w:p>
      <w:pPr>
        <w:pStyle w:val="Funote"/>
        <w:rPr/>
      </w:pPr>
      <w:r>
        <w:rPr/>
        <w:footnoteRef/>
        <w:tab/>
        <w:t>Alle folgenden Verben modales Futur: Eine Absichtserklärung (NSS).</w:t>
      </w:r>
    </w:p>
  </w:footnote>
  <w:footnote w:id="6523">
    <w:p>
      <w:pPr>
        <w:pStyle w:val="Funote"/>
        <w:rPr/>
      </w:pPr>
      <w:r>
        <w:rPr/>
        <w:footnoteRef/>
        <w:tab/>
        <w:t>Mit kausalem Nebensinn: „da ihr nicht wisst...“ (NSS)</w:t>
      </w:r>
    </w:p>
  </w:footnote>
  <w:footnote w:id="6524">
    <w:p>
      <w:pPr>
        <w:pStyle w:val="Funote"/>
        <w:rPr/>
      </w:pPr>
      <w:r>
        <w:rPr/>
        <w:footnoteRef/>
        <w:tab/>
        <w:t xml:space="preserve">Wörtlich „...wisst die [Dinge] des morgigen [Tages] wie {beschaffen} [ist] euer Leben“. Alternativ (unter Vernachlässigung der im NA27 gesetzten Interpunktion): „...wisst, [was] morgen [sein wird]. Was ist euer Leben?“ </w:t>
      </w:r>
    </w:p>
  </w:footnote>
  <w:footnote w:id="6525">
    <w:p>
      <w:pPr>
        <w:pStyle w:val="Funote"/>
        <w:rPr/>
      </w:pPr>
      <w:r>
        <w:rPr/>
        <w:footnoteRef/>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6526">
    <w:p>
      <w:pPr>
        <w:pStyle w:val="Funote"/>
        <w:rPr/>
      </w:pPr>
      <w:r>
        <w:rPr/>
        <w:footnoteRef/>
        <w:tab/>
        <w:t>B/A, NSS.</w:t>
      </w:r>
    </w:p>
  </w:footnote>
  <w:footnote w:id="6527">
    <w:p>
      <w:pPr>
        <w:pStyle w:val="Funote"/>
        <w:rPr/>
      </w:pPr>
      <w:r>
        <w:rPr/>
        <w:footnoteRef/>
        <w:tab/>
        <w:t>Attr. Ptz.</w:t>
      </w:r>
    </w:p>
  </w:footnote>
  <w:footnote w:id="6528">
    <w:p>
      <w:pPr>
        <w:pStyle w:val="Funote"/>
        <w:rPr/>
      </w:pPr>
      <w:r>
        <w:rPr/>
        <w:footnoteRef/>
        <w:tab/>
        <w:t>Wörtlich: „wird er unsichtbar gemacht“</w:t>
      </w:r>
    </w:p>
  </w:footnote>
  <w:footnote w:id="6529">
    <w:p>
      <w:pPr>
        <w:pStyle w:val="Funote"/>
        <w:rPr/>
      </w:pPr>
      <w:r>
        <w:rPr/>
        <w:footnoteRef/>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6530">
    <w:p>
      <w:pPr>
        <w:pStyle w:val="Funote"/>
        <w:rPr/>
      </w:pPr>
      <w:r>
        <w:rPr/>
        <w:footnoteRef/>
        <w:tab/>
        <w:t>Spezieller (im Gegensatz zum generellen) prospektiver Konditionalsatz: Versuch der Berechnung der Folgen einer zukünftigen Handlung.</w:t>
      </w:r>
    </w:p>
  </w:footnote>
  <w:footnote w:id="6531">
    <w:p>
      <w:pPr>
        <w:pStyle w:val="Funote"/>
        <w:rPr/>
      </w:pPr>
      <w:r>
        <w:rPr/>
        <w:footnoteRef/>
        <w:tab/>
        <w:t>Vielleicht „mit“ (cf. NSS).</w:t>
      </w:r>
    </w:p>
  </w:footnote>
  <w:footnote w:id="6532">
    <w:p>
      <w:pPr>
        <w:pStyle w:val="Funote"/>
        <w:rPr/>
      </w:pPr>
      <w:r>
        <w:rPr/>
        <w:footnoteRef/>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6533">
    <w:p>
      <w:pPr>
        <w:pStyle w:val="Funote"/>
        <w:rPr/>
      </w:pPr>
      <w:r>
        <w:rPr/>
        <w:footnoteRef/>
        <w:tab/>
        <w:t>Johnson.</w:t>
      </w:r>
    </w:p>
  </w:footnote>
  <w:footnote w:id="6534">
    <w:p>
      <w:pPr>
        <w:pStyle w:val="Funote"/>
        <w:rPr/>
      </w:pPr>
      <w:r>
        <w:rPr/>
        <w:footnoteRef/>
        <w:tab/>
        <w:t>Beide Verben der 3. Ps. sind subst. Ptz.</w:t>
      </w:r>
    </w:p>
  </w:footnote>
  <w:footnote w:id="6535">
    <w:p>
      <w:pPr>
        <w:pStyle w:val="Funote"/>
        <w:rPr/>
      </w:pPr>
      <w:r>
        <w:rPr/>
        <w:footnoteRef/>
        <w:tab/>
        <w:t>[Status: Zuverlässig]</w:t>
      </w:r>
    </w:p>
  </w:footnote>
  <w:footnote w:id="6536">
    <w:p>
      <w:pPr>
        <w:pStyle w:val="Funote"/>
        <w:rPr/>
      </w:pPr>
      <w:r>
        <w:rPr/>
        <w:footnoteRef/>
        <w:tab/>
        <w:t>Modal aufgelöstes Ptc. coni.</w:t>
      </w:r>
    </w:p>
  </w:footnote>
  <w:footnote w:id="6537">
    <w:p>
      <w:pPr>
        <w:pStyle w:val="Funote"/>
        <w:rPr/>
      </w:pPr>
      <w:r>
        <w:rPr/>
        <w:footnoteRef/>
        <w:tab/>
        <w:t>Das hier gebrauchte Ptz. Präsens hat normalerweise eine durative/iterative Aspektbedeutung, die hier vermutlich aber in den Hintergrund tritt.</w:t>
      </w:r>
    </w:p>
  </w:footnote>
  <w:footnote w:id="6538">
    <w:p>
      <w:pPr>
        <w:pStyle w:val="Funote"/>
        <w:rPr/>
      </w:pPr>
      <w:r>
        <w:rPr/>
        <w:footnoteRef/>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6539">
    <w:p>
      <w:pPr>
        <w:pStyle w:val="Funote"/>
        <w:rPr/>
      </w:pPr>
      <w:r>
        <w:rPr/>
        <w:footnoteRef/>
        <w:tab/>
        <w:t>Wörtlich: „mottenzerfressen geworden“</w:t>
      </w:r>
    </w:p>
  </w:footnote>
  <w:footnote w:id="6540">
    <w:p>
      <w:pPr>
        <w:pStyle w:val="Funote"/>
        <w:rPr/>
      </w:pPr>
      <w:r>
        <w:rPr/>
        <w:footnoteRef/>
        <w:tab/>
        <w:t>Da Gold weder rostet noch anläuft, ist dies entweder eine stilistische Übertreibung oder es müsste alternativ etwa „angelaufen“ oder „matt/stumpf geworden“ heißen (Blomberg/Kamell).</w:t>
      </w:r>
    </w:p>
  </w:footnote>
  <w:footnote w:id="6541">
    <w:p>
      <w:pPr>
        <w:pStyle w:val="Funote"/>
        <w:rPr/>
      </w:pPr>
      <w:r>
        <w:rPr/>
        <w:footnoteRef/>
        <w:tab/>
        <w:t>Kommunikativ: „dienen“</w:t>
      </w:r>
    </w:p>
  </w:footnote>
  <w:footnote w:id="6542">
    <w:p>
      <w:pPr>
        <w:pStyle w:val="Funote"/>
        <w:rPr/>
      </w:pPr>
      <w:r>
        <w:rPr/>
        <w:footnoteRef/>
        <w:tab/>
        <w:t>Im Original im Plural.</w:t>
      </w:r>
    </w:p>
  </w:footnote>
  <w:footnote w:id="6543">
    <w:p>
      <w:pPr>
        <w:pStyle w:val="Funote"/>
        <w:rPr/>
      </w:pPr>
      <w:r>
        <w:rPr/>
        <w:footnoteRef/>
        <w:tab/>
        <w:t>Durch das Verb impliziert (cf. B/A, NSS).</w:t>
      </w:r>
    </w:p>
  </w:footnote>
  <w:footnote w:id="6544">
    <w:p>
      <w:pPr>
        <w:pStyle w:val="Funote"/>
        <w:rPr/>
      </w:pPr>
      <w:r>
        <w:rPr/>
        <w:footnoteRef/>
        <w:tab/>
        <w:t>Attr. Ptz.</w:t>
      </w:r>
    </w:p>
  </w:footnote>
  <w:footnote w:id="6545">
    <w:p>
      <w:pPr>
        <w:pStyle w:val="Funote"/>
        <w:rPr/>
      </w:pPr>
      <w:r>
        <w:rPr/>
        <w:footnoteRef/>
        <w:tab/>
        <w:t>Ptz. Pf. Pass.; attributives Ptz.</w:t>
      </w:r>
    </w:p>
  </w:footnote>
  <w:footnote w:id="6546">
    <w:p>
      <w:pPr>
        <w:pStyle w:val="Funote"/>
        <w:rPr/>
      </w:pPr>
      <w:r>
        <w:rPr/>
        <w:footnoteRef/>
        <w:tab/>
        <w:t>Alternativ: „der [ihnen] vorenthalten wurde, schreit von euch...“</w:t>
      </w:r>
    </w:p>
  </w:footnote>
  <w:footnote w:id="6547">
    <w:p>
      <w:pPr>
        <w:pStyle w:val="Funote"/>
        <w:rPr/>
      </w:pPr>
      <w:r>
        <w:rPr/>
        <w:footnoteRef/>
        <w:tab/>
        <w:t>Transkribiert „Sabaoth“. Alternativ auch mit Übersetzung des hebräischen Worts: „Herr der Heerscharen“</w:t>
      </w:r>
    </w:p>
  </w:footnote>
  <w:footnote w:id="6548">
    <w:p>
      <w:pPr>
        <w:pStyle w:val="Funote"/>
        <w:rPr/>
      </w:pPr>
      <w:r>
        <w:rPr/>
        <w:footnoteRef/>
        <w:tab/>
        <w:t>Oder kommunikativer: „habt ein üppiges Leben geführt“ (NSS)</w:t>
      </w:r>
    </w:p>
  </w:footnote>
  <w:footnote w:id="6549">
    <w:p>
      <w:pPr>
        <w:pStyle w:val="Funote"/>
        <w:rPr/>
      </w:pPr>
      <w:r>
        <w:rPr/>
        <w:footnoteRef/>
        <w:tab/>
        <w:t>Oder kommunikativer: „habt euch dem Vergnügen hingegeben“ (NSS)</w:t>
      </w:r>
    </w:p>
  </w:footnote>
  <w:footnote w:id="6550">
    <w:p>
      <w:pPr>
        <w:pStyle w:val="Funote"/>
        <w:rPr/>
      </w:pPr>
      <w:r>
        <w:rPr/>
        <w:footnoteRef/>
        <w:tab/>
        <w:t>Wörtlich: „an [einem]“</w:t>
      </w:r>
    </w:p>
  </w:footnote>
  <w:footnote w:id="6551">
    <w:p>
      <w:pPr>
        <w:pStyle w:val="Funote"/>
        <w:rPr/>
      </w:pPr>
      <w:r>
        <w:rPr/>
        <w:footnoteRef/>
        <w:tab/>
        <w:t>Wörtlich „Tag der Schlachtung“. Dies kann sich konkret auf einen gewöhnlichen Schlachttag beziehen, der im Leben der Reichen sicherlich regelmäßig vorkam, spielt aber auf den Tag von Gottes Gericht an.</w:t>
      </w:r>
    </w:p>
  </w:footnote>
  <w:footnote w:id="6552">
    <w:p>
      <w:pPr>
        <w:pStyle w:val="Funote"/>
        <w:rPr/>
      </w:pPr>
      <w:r>
        <w:rPr/>
        <w:footnoteRef/>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6553">
    <w:p>
      <w:pPr>
        <w:pStyle w:val="Funote"/>
        <w:rPr/>
      </w:pPr>
      <w:r>
        <w:rPr/>
        <w:footnoteRef/>
        <w:tab/>
        <w:t>Oder „ihr habt verurteilt, ihr habt den Gerechten ermordet“ (so die wortlautgetreue REB).</w:t>
      </w:r>
    </w:p>
  </w:footnote>
  <w:footnote w:id="6554">
    <w:p>
      <w:pPr>
        <w:pStyle w:val="Funote"/>
        <w:rPr/>
      </w:pPr>
      <w:r>
        <w:rPr/>
        <w:footnoteRef/>
        <w:tab/>
        <w:t>Der letzte Satzteil ist vom vorherigen eigentümlich abgetrennt. Manche Exegeten sehen das als Grund, ein „obwohl“ zu ergänzen.</w:t>
      </w:r>
    </w:p>
  </w:footnote>
  <w:footnote w:id="6555">
    <w:p>
      <w:pPr>
        <w:pStyle w:val="Funote"/>
        <w:rPr/>
      </w:pPr>
      <w:r>
        <w:rPr/>
        <w:footnoteRef/>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6556">
    <w:p>
      <w:pPr>
        <w:pStyle w:val="Funote"/>
        <w:rPr/>
      </w:pPr>
      <w:r>
        <w:rPr/>
        <w:footnoteRef/>
        <w:tab/>
        <w:t>Auflösung eines modalen Ptc. coni., alternativ temp. Oder „und geduldig auf sie wartet“.</w:t>
      </w:r>
    </w:p>
  </w:footnote>
  <w:footnote w:id="6557">
    <w:p>
      <w:pPr>
        <w:pStyle w:val="Funote"/>
        <w:rPr/>
      </w:pPr>
      <w:r>
        <w:rPr/>
        <w:footnoteRef/>
        <w:tab/>
        <w:t>Anspielung auf Hos 6,4 (Bauckham).</w:t>
      </w:r>
    </w:p>
  </w:footnote>
  <w:footnote w:id="6558">
    <w:p>
      <w:pPr>
        <w:pStyle w:val="Funote"/>
        <w:rPr/>
      </w:pPr>
      <w:r>
        <w:rPr/>
        <w:footnoteRef/>
        <w:tab/>
        <w:t>Das hier verwendete griechische Perfekt betont das Resultat eines Vorgangs, weswegen hier mit Zustandspassiv übersetzt wurde.</w:t>
      </w:r>
    </w:p>
  </w:footnote>
  <w:footnote w:id="6559">
    <w:p>
      <w:pPr>
        <w:pStyle w:val="Funote"/>
        <w:rPr/>
      </w:pPr>
      <w:r>
        <w:rPr/>
        <w:footnoteRef/>
        <w:tab/>
        <w:t>Imperativ Präsens. Oder: „Hört auf, …“ Im Gegensatz zum unmarkierten Imp. Aor. hat dieser häufig negativ die Bedeutung „hör(t) auf, … zu tun“ bzw. positiv „Tu(t) … weiterhin/immer wieder“ haben.</w:t>
      </w:r>
    </w:p>
  </w:footnote>
  <w:footnote w:id="6560">
    <w:p>
      <w:pPr>
        <w:pStyle w:val="Funote"/>
        <w:rPr/>
      </w:pPr>
      <w:r>
        <w:rPr/>
        <w:footnoteRef/>
        <w:tab/>
        <w:t>Auflösung eines subst. Ptz. Aor. Kann ein Rückbezug auf die Propheten sein, ist aber offen formuliert.</w:t>
      </w:r>
    </w:p>
  </w:footnote>
  <w:footnote w:id="6561">
    <w:p>
      <w:pPr>
        <w:pStyle w:val="Funote"/>
        <w:rPr/>
      </w:pPr>
      <w:r>
        <w:rPr/>
        <w:footnoteRef/>
        <w:tab/>
        <w:t>Cf. 1,3</w:t>
      </w:r>
    </w:p>
  </w:footnote>
  <w:footnote w:id="6562">
    <w:p>
      <w:pPr>
        <w:pStyle w:val="Funote"/>
        <w:rPr/>
      </w:pPr>
      <w:r>
        <w:rPr/>
        <w:footnoteRef/>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6563">
    <w:p>
      <w:pPr>
        <w:pStyle w:val="Funote"/>
        <w:rPr/>
      </w:pPr>
      <w:r>
        <w:rPr/>
        <w:footnoteRef/>
        <w:tab/>
        <w:t>Imp. Präs. Dieser markiert gelegentlich die Aufforderung, etwas weiterhin/immer wieder zu tun bzw.(endgültig) mit etwas aufzuhören.</w:t>
      </w:r>
    </w:p>
  </w:footnote>
  <w:footnote w:id="6564">
    <w:p>
      <w:pPr>
        <w:pStyle w:val="Funote"/>
        <w:rPr/>
      </w:pPr>
      <w:r>
        <w:rPr/>
        <w:footnoteRef/>
        <w:tab/>
        <w:t>3. Sg. Imp. Präs.; s. o.</w:t>
      </w:r>
    </w:p>
  </w:footnote>
  <w:footnote w:id="6565">
    <w:p>
      <w:pPr>
        <w:pStyle w:val="Funote"/>
        <w:rPr/>
      </w:pPr>
      <w:r>
        <w:rPr/>
        <w:footnoteRef/>
        <w:tab/>
        <w:t>Wörtlich: „damit ihr nicht unter das Gericht fallt“</w:t>
      </w:r>
    </w:p>
  </w:footnote>
  <w:footnote w:id="6566">
    <w:p>
      <w:pPr>
        <w:pStyle w:val="Funote"/>
        <w:rPr/>
      </w:pPr>
      <w:r>
        <w:rPr/>
        <w:footnoteRef/>
        <w:tab/>
        <w:t>3. Sg. Imp. Präs.; s. o.</w:t>
      </w:r>
    </w:p>
  </w:footnote>
  <w:footnote w:id="6567">
    <w:p>
      <w:pPr>
        <w:pStyle w:val="Funote"/>
        <w:rPr/>
      </w:pPr>
      <w:r>
        <w:rPr/>
        <w:footnoteRef/>
        <w:tab/>
        <w:t>3. Sg. Imp. Präs.; s. o.</w:t>
      </w:r>
    </w:p>
  </w:footnote>
  <w:footnote w:id="6568">
    <w:p>
      <w:pPr>
        <w:pStyle w:val="Funote"/>
        <w:rPr/>
      </w:pPr>
      <w:r>
        <w:rPr/>
        <w:footnoteRef/>
        <w:tab/>
        <w:t>Die drei Bedingungssätze in diesem und dem folgenden Vers können auch als direkte Fragen verstanden werden. Meine Übesetzung folgt der Zeichensetzung im NA27.</w:t>
      </w:r>
    </w:p>
  </w:footnote>
  <w:footnote w:id="6569">
    <w:p>
      <w:pPr>
        <w:pStyle w:val="Funote"/>
        <w:rPr/>
      </w:pPr>
      <w:r>
        <w:rPr/>
        <w:footnoteRef/>
        <w:tab/>
        <w:t>Die Definition des Wortes wäre wohl „durch Krankheit geschwächt“ (Cf. B/A)</w:t>
      </w:r>
    </w:p>
  </w:footnote>
  <w:footnote w:id="6570">
    <w:p>
      <w:pPr>
        <w:pStyle w:val="Funote"/>
        <w:rPr/>
      </w:pPr>
      <w:r>
        <w:rPr/>
        <w:footnoteRef/>
        <w:tab/>
        <w:t>3. Sg. Imp. Präs.; s. o.</w:t>
      </w:r>
    </w:p>
  </w:footnote>
  <w:footnote w:id="6571">
    <w:p>
      <w:pPr>
        <w:pStyle w:val="Funote"/>
        <w:rPr/>
      </w:pPr>
      <w:r>
        <w:rPr/>
        <w:footnoteRef/>
        <w:tab/>
        <w:t>3. Pl. Imp. Aor. Med.</w:t>
      </w:r>
    </w:p>
  </w:footnote>
  <w:footnote w:id="6572">
    <w:p>
      <w:pPr>
        <w:pStyle w:val="Funote"/>
        <w:rPr/>
      </w:pPr>
      <w:r>
        <w:rPr/>
        <w:footnoteRef/>
        <w:tab/>
        <w:t>Instrumentaler Dativ.</w:t>
      </w:r>
    </w:p>
  </w:footnote>
  <w:footnote w:id="6573">
    <w:p>
      <w:pPr>
        <w:pStyle w:val="Funote"/>
        <w:rPr/>
      </w:pPr>
      <w:r>
        <w:rPr/>
        <w:footnoteRef/>
        <w:tab/>
        <w:t>Adv. Ptz. Aor., das vorzeitig oder gleichzeitig übersetzt werden kann; hier modal interpretiert und mit „und + Verb“ übersetzt. Oder „indem sie ihn ... salben“. Alternativ temporal: „nachdem sie ihn … gesalbt haben“, „während sie ihn … salben“.</w:t>
      </w:r>
    </w:p>
  </w:footnote>
  <w:footnote w:id="6574">
    <w:p>
      <w:pPr>
        <w:pStyle w:val="Funote"/>
        <w:rPr/>
      </w:pPr>
      <w:r>
        <w:rPr/>
        <w:footnoteRef/>
        <w:tab/>
        <w:t>Wörtlich: „des Glaubens“; Gen. pertinentiae (Das Gebet geschieht im Glauben.; NSS).</w:t>
      </w:r>
    </w:p>
  </w:footnote>
  <w:footnote w:id="6575">
    <w:p>
      <w:pPr>
        <w:pStyle w:val="Funote"/>
        <w:rPr/>
      </w:pPr>
      <w:r>
        <w:rPr/>
        <w:footnoteRef/>
        <w:tab/>
        <w:t>Wörtlich: „wenn er ein Sünden begangen habender ist“ (Ptz. Pf.); periphrastisch (umschreibend; NSS).</w:t>
      </w:r>
    </w:p>
  </w:footnote>
  <w:footnote w:id="6576">
    <w:p>
      <w:pPr>
        <w:pStyle w:val="Funote"/>
        <w:rPr/>
      </w:pPr>
      <w:r>
        <w:rPr/>
        <w:footnoteRef/>
        <w:tab/>
        <w:t>Prospektiver Konditionalsatz (Eventualis). Der Vers sieht Krankheit also nicht im Zusammenhang mit Sünde.</w:t>
      </w:r>
    </w:p>
  </w:footnote>
  <w:footnote w:id="6577">
    <w:p>
      <w:pPr>
        <w:pStyle w:val="Funote"/>
        <w:rPr/>
      </w:pPr>
      <w:r>
        <w:rPr/>
        <w:footnoteRef/>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6578">
    <w:p>
      <w:pPr>
        <w:pStyle w:val="Funote"/>
        <w:rPr/>
      </w:pPr>
      <w:r>
        <w:rPr/>
        <w:footnoteRef/>
        <w:tab/>
        <w:t>Wörtlich: „er betete [dem] Gebet“; dies ist ein Dat. modi, also „er betete mit einem Gebet“ (Semitismus). Übersetzung nach Blomberg, NSS.</w:t>
      </w:r>
    </w:p>
  </w:footnote>
  <w:footnote w:id="6579">
    <w:p>
      <w:pPr>
        <w:pStyle w:val="Funote"/>
        <w:rPr/>
      </w:pPr>
      <w:r>
        <w:rPr/>
        <w:footnoteRef/>
        <w:tab/>
        <w:t>Hier offenbar eine „Nachbildung des hebr. infinitivus absolutus“ (NSS).</w:t>
      </w:r>
    </w:p>
  </w:footnote>
  <w:footnote w:id="6580">
    <w:p>
      <w:pPr>
        <w:pStyle w:val="Funote"/>
        <w:rPr/>
      </w:pPr>
      <w:r>
        <w:rPr/>
        <w:footnoteRef/>
        <w:tab/>
        <w:t>Wörtlich: „gab Regen“</w:t>
      </w:r>
    </w:p>
  </w:footnote>
  <w:footnote w:id="6581">
    <w:p>
      <w:pPr>
        <w:pStyle w:val="Funote"/>
        <w:rPr/>
      </w:pPr>
      <w:r>
        <w:rPr/>
        <w:footnoteRef/>
        <w:tab/>
        <w:t xml:space="preserve">3. Sg. Imp. </w:t>
      </w:r>
    </w:p>
  </w:footnote>
  <w:footnote w:id="6582">
    <w:p>
      <w:pPr>
        <w:pStyle w:val="Funote"/>
        <w:rPr/>
      </w:pPr>
      <w:r>
        <w:rPr/>
        <w:footnoteRef/>
        <w:tab/>
        <w:t>Wörtlich: „von [der] Verirrung/vom Irrtum seines Weges“</w:t>
      </w:r>
    </w:p>
  </w:footnote>
  <w:footnote w:id="6583">
    <w:p>
      <w:pPr>
        <w:pStyle w:val="Funote"/>
        <w:rPr/>
      </w:pPr>
      <w:r>
        <w:rPr/>
        <w:footnoteRef/>
        <w:tab/>
        <w:t>Auflösung eines subst. Ptz.</w:t>
      </w:r>
    </w:p>
  </w:footnote>
  <w:footnote w:id="6584">
    <w:p>
      <w:pPr>
        <w:pStyle w:val="Funote"/>
        <w:rPr/>
      </w:pPr>
      <w:r>
        <w:rPr/>
        <w:footnoteRef/>
        <w:tab/>
        <w:t>Vv. 19-20: Gewöhnlicher, prospektiver Konditionalsatz.</w:t>
      </w:r>
    </w:p>
  </w:footnote>
  <w:footnote w:id="6585">
    <w:p>
      <w:pPr>
        <w:pStyle w:val="Funote"/>
        <w:rPr/>
      </w:pPr>
      <w:hyperlink r:id="rId676">
        <w:r>
          <w:rPr>
            <w:rStyle w:val="Internetverknpfung"/>
          </w:rPr>
          <w:footnoteRef/>
          <w:tab/>
          <w:t>Ptz. coni.</w:t>
        </w:r>
      </w:hyperlink>
      <w:r>
        <w:rPr/>
        <w:t>, konzessiv aufgelöst.</w:t>
      </w:r>
    </w:p>
  </w:footnote>
  <w:footnote w:id="6586">
    <w:p>
      <w:pPr>
        <w:pStyle w:val="Funote"/>
        <w:rPr/>
      </w:pPr>
      <w:r>
        <w:rPr/>
        <w:footnoteRef/>
        <w:tab/>
        <w:t>Zwei Partizipen im Nominativ, hier mit Finalsatz wiedergegeben.</w:t>
      </w:r>
    </w:p>
  </w:footnote>
  <w:footnote w:id="6587">
    <w:p>
      <w:pPr>
        <w:pStyle w:val="Funote"/>
        <w:rPr/>
      </w:pPr>
      <w:hyperlink r:id="rId677">
        <w:r>
          <w:rPr>
            <w:rStyle w:val="Internetverknpfung"/>
          </w:rPr>
          <w:footnoteRef/>
          <w:tab/>
          <w:t>Ptz. coni.</w:t>
        </w:r>
      </w:hyperlink>
      <w:r>
        <w:rPr/>
        <w:t>, kausal aufgelöst.</w:t>
      </w:r>
    </w:p>
  </w:footnote>
  <w:footnote w:id="6588">
    <w:p>
      <w:pPr>
        <w:pStyle w:val="Funote"/>
        <w:rPr/>
      </w:pPr>
      <w:r>
        <w:rPr/>
        <w:footnoteRef/>
        <w:tab/>
        <w:t xml:space="preserve">Das griech. </w:t>
      </w:r>
      <w:r>
        <w:rPr>
          <w:lang w:val="el-GR"/>
        </w:rPr>
        <w:t>ψυχή</w:t>
      </w:r>
      <w:r>
        <w:rPr/>
        <w:t xml:space="preserve"> hat hier noch nicht unsere moderne Bedeutung „Seele“ (vgl. Psychologie), sondern meint hier das Leben, das einen Menschen erfüllt, oder die Person selbst</w:t>
      </w:r>
    </w:p>
  </w:footnote>
  <w:footnote w:id="6589">
    <w:p>
      <w:pPr>
        <w:pStyle w:val="Funote"/>
        <w:rPr/>
      </w:pPr>
      <w:r>
        <w:rPr/>
        <w:footnoteRef/>
        <w:tab/>
        <w:t>Partizip, ist, "wie andere Partizipien im 1Petr, als Aufforderung zu übersetzen" (Brox, EKK XXI, S. 96)</w:t>
      </w:r>
    </w:p>
  </w:footnote>
  <w:footnote w:id="6590">
    <w:p>
      <w:pPr>
        <w:pStyle w:val="Funote"/>
        <w:rPr/>
      </w:pPr>
      <w:r>
        <w:rPr/>
        <w:footnoteRef/>
        <w:tab/>
        <w:t>Pl. = Sg.</w:t>
      </w:r>
    </w:p>
  </w:footnote>
  <w:footnote w:id="6591">
    <w:p>
      <w:pPr>
        <w:pStyle w:val="Funote"/>
        <w:rPr/>
      </w:pPr>
      <w:r>
        <w:rPr/>
        <w:footnoteRef/>
        <w:tab/>
        <w:t>BDR §275,1 Anm. 3</w:t>
      </w:r>
    </w:p>
  </w:footnote>
  <w:footnote w:id="6592">
    <w:p>
      <w:pPr>
        <w:pStyle w:val="Funote"/>
        <w:rPr/>
      </w:pPr>
      <w:r>
        <w:rPr/>
        <w:footnoteRef/>
        <w:tab/>
        <w:t>nicht: "als": der Skopos des Textes ist das Verlangen =&gt; Christen werden mit Säuglingen verglichen, nicht identifiziert wie 1.Korinther 3, Brox, EKK XXI, S. 91f</w:t>
      </w:r>
    </w:p>
  </w:footnote>
  <w:footnote w:id="6593">
    <w:p>
      <w:pPr>
        <w:pStyle w:val="Funote"/>
        <w:rPr/>
      </w:pPr>
      <w:r>
        <w:rPr/>
        <w:footnoteRef/>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6594">
    <w:p>
      <w:pPr>
        <w:pStyle w:val="Funote"/>
        <w:rPr/>
      </w:pPr>
      <w:r>
        <w:rPr/>
        <w:footnoteRef/>
        <w:tab/>
        <w:t>Finalsatz</w:t>
      </w:r>
    </w:p>
  </w:footnote>
  <w:footnote w:id="6595">
    <w:p>
      <w:pPr>
        <w:pStyle w:val="Funote"/>
        <w:rPr/>
      </w:pPr>
      <w:r>
        <w:rPr/>
        <w:footnoteRef/>
        <w:tab/>
        <w:t>nicht konditional; es umschreibt eine Tatsache (Brox, EKK XXI, S. 93)</w:t>
      </w:r>
    </w:p>
  </w:footnote>
  <w:footnote w:id="6596">
    <w:p>
      <w:pPr>
        <w:pStyle w:val="Funote"/>
        <w:rPr/>
      </w:pPr>
      <w:r>
        <w:rPr/>
        <w:footnoteRef/>
        <w:tab/>
        <w:t>Partizip, als Aufforderung zu übersetzen, s.o.</w:t>
      </w:r>
    </w:p>
  </w:footnote>
  <w:footnote w:id="6597">
    <w:p>
      <w:pPr>
        <w:pStyle w:val="Funote"/>
        <w:rPr/>
      </w:pPr>
      <w:r>
        <w:rPr>
          <w:lang w:val="el-GR"/>
        </w:rPr>
        <w:footnoteRef/>
        <w:tab/>
        <w:t>πνευματικός</w:t>
      </w:r>
      <w:r>
        <w:rPr/>
        <w:t xml:space="preserve"> = den Geist betreffend</w:t>
      </w:r>
    </w:p>
  </w:footnote>
  <w:footnote w:id="6598">
    <w:p>
      <w:pPr>
        <w:pStyle w:val="Funote"/>
        <w:rPr/>
      </w:pPr>
      <w:r>
        <w:rPr/>
        <w:footnoteRef/>
        <w:tab/>
        <w:t>Partizip, relativisch aufgelöst</w:t>
      </w:r>
    </w:p>
  </w:footnote>
  <w:footnote w:id="6599">
    <w:p>
      <w:pPr>
        <w:pStyle w:val="Funote"/>
        <w:rPr/>
      </w:pPr>
      <w:r>
        <w:rPr/>
        <w:footnoteRef/>
        <w:tab/>
        <w:t>Partizip</w:t>
      </w:r>
    </w:p>
  </w:footnote>
  <w:footnote w:id="6600">
    <w:p>
      <w:pPr>
        <w:pStyle w:val="Funote"/>
        <w:rPr/>
      </w:pPr>
      <w:r>
        <w:rPr/>
        <w:footnoteRef/>
        <w:tab/>
        <w:t>Partizip</w:t>
      </w:r>
    </w:p>
  </w:footnote>
  <w:footnote w:id="6601">
    <w:p>
      <w:pPr>
        <w:pStyle w:val="Funote"/>
        <w:rPr/>
      </w:pPr>
      <w:r>
        <w:rPr/>
        <w:footnoteRef/>
        <w:tab/>
        <w:t>Wörtl.: das Anstößige, der Gegenstand der Entrüstung, der Anlass zur Sünde</w:t>
      </w:r>
    </w:p>
  </w:footnote>
  <w:footnote w:id="6602">
    <w:p>
      <w:pPr>
        <w:pStyle w:val="Funote"/>
        <w:rPr/>
      </w:pPr>
      <w:r>
        <w:rPr/>
        <w:footnoteRef/>
        <w:tab/>
        <w:t>Partizip, kausal aufgelöst</w:t>
      </w:r>
    </w:p>
  </w:footnote>
  <w:footnote w:id="6603">
    <w:p>
      <w:pPr>
        <w:pStyle w:val="Funote"/>
        <w:rPr/>
      </w:pPr>
      <w:r>
        <w:rPr>
          <w:lang w:val="el-GR"/>
        </w:rPr>
        <w:footnoteRef/>
        <w:tab/>
        <w:t>βασίλειον</w:t>
      </w:r>
      <w:r>
        <w:rPr/>
        <w:t xml:space="preserve"> ist aus dem Kontext von Exodus 19,6 in nominalem Sinn, also als Substantiv, zu verstehen (Brox, EKK XXI, S. 103, vgl. S. 98, Anm. 326)</w:t>
      </w:r>
    </w:p>
  </w:footnote>
  <w:footnote w:id="6604">
    <w:p>
      <w:pPr>
        <w:pStyle w:val="Funote"/>
        <w:rPr/>
      </w:pPr>
      <w:r>
        <w:rPr/>
        <w:footnoteRef/>
        <w:tab/>
        <w:t>Finalsatz</w:t>
      </w:r>
    </w:p>
  </w:footnote>
  <w:footnote w:id="6605">
    <w:p>
      <w:pPr>
        <w:pStyle w:val="Funote"/>
        <w:rPr/>
      </w:pPr>
      <w:r>
        <w:rPr/>
        <w:footnoteRef/>
        <w:tab/>
        <w:t>Partizip</w:t>
      </w:r>
    </w:p>
  </w:footnote>
  <w:footnote w:id="6606">
    <w:p>
      <w:pPr>
        <w:pStyle w:val="Funote"/>
        <w:rPr/>
      </w:pPr>
      <w:r>
        <w:rPr/>
        <w:footnoteRef/>
        <w:tab/>
        <w:t>Partizip</w:t>
      </w:r>
    </w:p>
  </w:footnote>
  <w:footnote w:id="6607">
    <w:p>
      <w:pPr>
        <w:pStyle w:val="Funote"/>
        <w:rPr/>
      </w:pPr>
      <w:r>
        <w:rPr/>
        <w:footnoteRef/>
        <w:tab/>
        <w:t>Es handelt sich hier um eine sog. Haustafel, in der einzelne Gruppen der Gemeinde angeredet werden.</w:t>
      </w:r>
    </w:p>
  </w:footnote>
  <w:footnote w:id="6608">
    <w:p>
      <w:pPr>
        <w:pStyle w:val="Funote"/>
        <w:rPr/>
      </w:pPr>
      <w:r>
        <w:rPr/>
        <w:footnoteRef/>
        <w:tab/>
        <w:t>Das Partizip ist hier im imperativischen Sinn gebraucht, s. BDR § 468.2.</w:t>
      </w:r>
    </w:p>
  </w:footnote>
  <w:footnote w:id="6609">
    <w:p>
      <w:pPr>
        <w:pStyle w:val="Funote"/>
        <w:rPr/>
      </w:pPr>
      <w:hyperlink r:id="rId678">
        <w:r>
          <w:rPr>
            <w:rStyle w:val="Internetverknpfung"/>
          </w:rPr>
          <w:footnoteRef/>
          <w:tab/>
          <w:t>Ptz. coni.</w:t>
        </w:r>
      </w:hyperlink>
      <w:r>
        <w:rPr/>
        <w:t>, konditional aufgelöst.</w:t>
      </w:r>
    </w:p>
  </w:footnote>
  <w:footnote w:id="6610">
    <w:p>
      <w:pPr>
        <w:pStyle w:val="Funote"/>
        <w:rPr/>
      </w:pPr>
      <w:r>
        <w:rPr>
          <w:lang w:val="el-GR"/>
        </w:rPr>
        <w:footnoteRef/>
        <w:tab/>
        <w:t>εἰ</w:t>
      </w:r>
      <w:r>
        <w:rPr/>
        <w:t xml:space="preserve"> mit Ind. hat keinen kausalen oder beschränkenden Nebenbegriff (BDR § 372,2), deshalb hier die Übersetzung „dass“.</w:t>
      </w:r>
    </w:p>
  </w:footnote>
  <w:footnote w:id="6611">
    <w:p>
      <w:pPr>
        <w:pStyle w:val="Funote"/>
        <w:rPr/>
      </w:pPr>
      <w:r>
        <w:rPr/>
        <w:footnoteRef/>
        <w:tab/>
        <w:t>Zwei Partizipien, wörtl.: dass ihr ertragt, als sich Verfehlende auch misshandelt Werdende zu sein.</w:t>
      </w:r>
    </w:p>
  </w:footnote>
  <w:footnote w:id="6612">
    <w:p>
      <w:pPr>
        <w:pStyle w:val="Funote"/>
        <w:rPr/>
      </w:pPr>
      <w:r>
        <w:rPr/>
        <w:footnoteRef/>
        <w:tab/>
        <w:t>Wieder mit zwei Partizipien konstruiert, wörtl.: dass ihr ertragt, als Rechtschaffene auch Leidende zu sein.</w:t>
      </w:r>
    </w:p>
  </w:footnote>
  <w:footnote w:id="6613">
    <w:p>
      <w:pPr>
        <w:pStyle w:val="Funote"/>
        <w:rPr/>
      </w:pPr>
      <w:hyperlink r:id="rId679">
        <w:r>
          <w:rPr>
            <w:rStyle w:val="Internetverknpfung"/>
          </w:rPr>
          <w:footnoteRef/>
          <w:tab/>
          <w:t>Ptz. coni.</w:t>
        </w:r>
      </w:hyperlink>
      <w:r>
        <w:rPr/>
        <w:t xml:space="preserve"> beiordnend aufgelöst.</w:t>
      </w:r>
    </w:p>
  </w:footnote>
  <w:footnote w:id="6614">
    <w:p>
      <w:pPr>
        <w:pStyle w:val="Funote"/>
        <w:rPr/>
      </w:pPr>
      <w:r>
        <w:rPr/>
        <w:footnoteRef/>
        <w:tab/>
        <w:t>Wörtl.: ein Schreibmuster, eine Vor-Schrift.</w:t>
      </w:r>
    </w:p>
  </w:footnote>
  <w:footnote w:id="6615">
    <w:p>
      <w:pPr>
        <w:pStyle w:val="Funote"/>
        <w:rPr/>
      </w:pPr>
      <w:hyperlink r:id="rId680">
        <w:r>
          <w:rPr>
            <w:rStyle w:val="Internetverknpfung"/>
          </w:rPr>
          <w:footnoteRef/>
          <w:tab/>
          <w:t>Ptz. coni.</w:t>
        </w:r>
      </w:hyperlink>
      <w:r>
        <w:rPr/>
        <w:t>, konzessiv aufgelöst.</w:t>
      </w:r>
    </w:p>
  </w:footnote>
  <w:footnote w:id="6616">
    <w:p>
      <w:pPr>
        <w:pStyle w:val="Funote"/>
        <w:rPr/>
      </w:pPr>
      <w:hyperlink r:id="rId681">
        <w:r>
          <w:rPr>
            <w:rStyle w:val="Internetverknpfung"/>
          </w:rPr>
          <w:footnoteRef/>
          <w:tab/>
          <w:t>Ptz. coni.</w:t>
        </w:r>
      </w:hyperlink>
      <w:r>
        <w:rPr/>
        <w:t>, konzessiv aufgelöst.</w:t>
      </w:r>
    </w:p>
  </w:footnote>
  <w:footnote w:id="6617">
    <w:p>
      <w:pPr>
        <w:pStyle w:val="Funote"/>
        <w:rPr/>
      </w:pPr>
      <w:hyperlink r:id="rId682">
        <w:r>
          <w:rPr>
            <w:rStyle w:val="Internetverknpfung"/>
          </w:rPr>
          <w:footnoteRef/>
          <w:tab/>
          <w:t>Ptz. coni.</w:t>
        </w:r>
      </w:hyperlink>
      <w:r>
        <w:rPr/>
        <w:t>, relativisch aufgelöst, oder: dem gerechten Richter.</w:t>
      </w:r>
    </w:p>
  </w:footnote>
  <w:footnote w:id="6618">
    <w:p>
      <w:pPr>
        <w:pStyle w:val="Funote"/>
        <w:rPr/>
      </w:pPr>
      <w:hyperlink r:id="rId683">
        <w:r>
          <w:rPr>
            <w:rStyle w:val="Internetverknpfung"/>
          </w:rPr>
          <w:footnoteRef/>
          <w:tab/>
          <w:t>Ptz. coni.</w:t>
        </w:r>
      </w:hyperlink>
      <w:r>
        <w:rPr/>
        <w:t>, kausal aufgelöst.</w:t>
      </w:r>
    </w:p>
  </w:footnote>
  <w:footnote w:id="6619">
    <w:p>
      <w:pPr>
        <w:pStyle w:val="Funote"/>
        <w:rPr/>
      </w:pPr>
      <w:r>
        <w:rPr/>
        <w:footnoteRef/>
        <w:tab/>
        <w:t>Wörtl.: Denn ihr wart wie Schafe Herumirrende.</w:t>
      </w:r>
    </w:p>
  </w:footnote>
  <w:footnote w:id="6620">
    <w:p>
      <w:pPr>
        <w:pStyle w:val="Funote"/>
        <w:rPr/>
      </w:pPr>
      <w:r>
        <w:rPr/>
        <w:footnoteRef/>
        <w:tab/>
        <w:t>Das „im Gegenteil“ ist nicht im Sinne eines Ausgleichs zu verstehen, sondern als Gegensatz.</w:t>
      </w:r>
    </w:p>
  </w:footnote>
  <w:footnote w:id="6621">
    <w:p>
      <w:pPr>
        <w:pStyle w:val="Funote"/>
        <w:rPr/>
      </w:pPr>
      <w:r>
        <w:rPr>
          <w:lang w:val="el-GR"/>
        </w:rPr>
        <w:footnoteRef/>
        <w:tab/>
        <w:t>ἐν ὧ</w:t>
      </w:r>
      <w:r>
        <w:rPr/>
        <w:t xml:space="preserve"> bezieht sich nicht auf </w:t>
      </w:r>
      <w:r>
        <w:rPr>
          <w:lang w:val="el-GR"/>
        </w:rPr>
        <w:t>πνεύματι</w:t>
      </w:r>
      <w:r>
        <w:rPr/>
        <w:t>, sondern ist eine relative temporale Konjunktion (wie 1,6 und 4,4), Brox, EKK XXI, S. 170.</w:t>
      </w:r>
    </w:p>
  </w:footnote>
  <w:footnote w:id="6622">
    <w:p>
      <w:pPr>
        <w:pStyle w:val="Funote"/>
        <w:rPr/>
      </w:pPr>
      <w:r>
        <w:rPr/>
        <w:footnoteRef/>
        <w:tab/>
        <w:t>Wer die "Geister" sind, was das "Gefängnis" ist und was Jesus ihnen verkündigte, ist unklar. "Der 1Petr verkürzt für den heutigen Leser immer wieder bis zur Unverständlichkeit", Brox, a.a.O., S. 180. Möglicherweise bietet das Henochbuch einen Schlüssel zum Verständnis: den "Gottessöhnen" aus Gen 6,1-6 wird die Schuld an der Sintflut gegeben; sie sind sozusagen gefallene Engel. Sie werden zur Strafe an einem Ort der Gefangenschaft gefangen gehalten. Der Patriarch Henoch erhält den Auftrag, zu ihnen zu gehen und ihnen zu verkündigen, dass sie keine Vergebung erwarten können. "Damit ist in einer frühjüdischen Tradition, die nachweislich auf die christliche Literatur eingewirkt hat, ein Konnex von Vorstellungen gegeben, der im Hinblick auf 1Petr 3,19f überraschend und aufschlussreich ist: Es 'geht' jemand zu 'Geistern', die mit 'Gefängnis' bestraft werden, und 'verkündet' ihnen … Immerhin nämlich ist jetzt die Motiv-Folge des gesamten Prosastücks der VV 19-21 erklärbar …: die frühjüdische Vorstellung von den Geistern im Gefängnis brachte, wie gesagt, von Haus aus die Flutgeschichte mit; die Flutgeschichte ist aber christlich sehr früh schon regelmäßig zur Tauftypologie verlängert gewesen" (a.a.O., S. 172f).</w:t>
      </w:r>
    </w:p>
  </w:footnote>
  <w:footnote w:id="6623">
    <w:p>
      <w:pPr>
        <w:pStyle w:val="Funote"/>
        <w:rPr/>
      </w:pPr>
      <w:r>
        <w:rPr/>
        <w:footnoteRef/>
        <w:tab/>
        <w:t>Das Wasser der Sintflut</w:t>
      </w:r>
    </w:p>
  </w:footnote>
  <w:footnote w:id="6624">
    <w:p>
      <w:pPr>
        <w:pStyle w:val="Funote"/>
        <w:rPr/>
      </w:pPr>
      <w:r>
        <w:rPr/>
        <w:footnoteRef/>
        <w:tab/>
        <w:t xml:space="preserve">"Verbreitet ist das Verständnis von </w:t>
      </w:r>
      <w:r>
        <w:rPr>
          <w:lang w:val="el-GR"/>
        </w:rPr>
        <w:t>ἐπερώτημα</w:t>
      </w:r>
      <w:r>
        <w:rPr/>
        <w:t xml:space="preserve"> als 'Bitte bzw. Gebet an Gott um ein gutes Gewissen' oder ähnlich, aber als 'Definition' der Taufe kann damit niemand recht glücklich sein … In der oben vorgeschlagenen Übersetzung ist von der Entsprechung zwischen </w:t>
      </w:r>
      <w:r>
        <w:rPr>
          <w:lang w:val="el-GR"/>
        </w:rPr>
        <w:t>ἐπερώτημα</w:t>
      </w:r>
      <w:r>
        <w:rPr/>
        <w:t xml:space="preserve"> und </w:t>
      </w:r>
      <w:r>
        <w:rPr>
          <w:i/>
        </w:rPr>
        <w:t>stipulatio</w:t>
      </w:r>
      <w:r>
        <w:rPr/>
        <w:t xml:space="preserve"> ausgegangen …, so dass nicht die Bitte oder Anfrage gemeint sein muss, sondern ebenso gut die Zusage bzw. eine vertragliche Verpflichtung in Frage kommt" (Brox, EKK, S. 178).</w:t>
      </w:r>
    </w:p>
  </w:footnote>
  <w:footnote w:id="6625">
    <w:p>
      <w:pPr>
        <w:pStyle w:val="Funote"/>
        <w:rPr/>
      </w:pPr>
      <w:hyperlink r:id="rId684">
        <w:r>
          <w:rPr>
            <w:rStyle w:val="Internetverknpfung"/>
          </w:rPr>
          <w:footnoteRef/>
          <w:tab/>
          <w:t>Ptz. coni.</w:t>
        </w:r>
      </w:hyperlink>
      <w:r>
        <w:rPr/>
        <w:t>, temporal aufgelöst</w:t>
      </w:r>
    </w:p>
  </w:footnote>
  <w:footnote w:id="6626">
    <w:p>
      <w:pPr>
        <w:pStyle w:val="Funote"/>
        <w:rPr/>
      </w:pPr>
      <w:r>
        <w:rPr/>
        <w:footnoteRef/>
        <w:tab/>
        <w:t>Ptz. coni., beiordnend aufgelöst</w:t>
      </w:r>
    </w:p>
  </w:footnote>
  <w:footnote w:id="6627">
    <w:p>
      <w:pPr>
        <w:pStyle w:val="Funote"/>
        <w:rPr/>
      </w:pPr>
      <w:r>
        <w:rPr/>
        <w:footnoteRef/>
        <w:tab/>
        <w:t xml:space="preserve">Amtsbezeichnung: Mitglied des Synagogenvorstandes, wie heutige Kirchenälteste/ -vorsteher. Hier gibt es zwei Möglichkeiten der Übersetzung: a) terminus technicus im Bereich der </w:t>
      </w:r>
      <w:r>
        <w:rPr>
          <w:lang w:val="el-GR"/>
        </w:rPr>
        <w:t>ἔθνη</w:t>
      </w:r>
      <w:r>
        <w:rPr/>
        <w:t>, bei den Vereinen der ‘Alten’ und zur Bezeichnung bürgerlicher wie sakraler Beamter, den die Christen übernahmen, oder b) das Alter im Ggs. zur jüngeren Generation, vgl. Vers 5.</w:t>
      </w:r>
    </w:p>
  </w:footnote>
  <w:footnote w:id="6628">
    <w:p>
      <w:pPr>
        <w:pStyle w:val="Funote"/>
        <w:rPr/>
      </w:pPr>
      <w:r>
        <w:rPr>
          <w:lang w:val="el-GR"/>
        </w:rPr>
        <w:footnoteRef/>
        <w:tab/>
        <w:t>οὖν</w:t>
      </w:r>
      <w:r>
        <w:rPr/>
        <w:t xml:space="preserve"> ist eine konsekutive koordinierende Konjugation (BDR § 451,1), die mir aber im 1.Petr eher die Funktion zu haben scheint, Abschnitte voneinander zu trennen, so 2,1.7; 4,1; 5,1.6.</w:t>
      </w:r>
    </w:p>
  </w:footnote>
  <w:footnote w:id="6629">
    <w:p>
      <w:pPr>
        <w:pStyle w:val="Funote"/>
        <w:rPr/>
      </w:pPr>
      <w:hyperlink r:id="rId685">
        <w:r>
          <w:rPr>
            <w:rStyle w:val="Internetverknpfung"/>
          </w:rPr>
          <w:footnoteRef/>
          <w:tab/>
          <w:t>Ptz. coni.</w:t>
        </w:r>
      </w:hyperlink>
    </w:p>
  </w:footnote>
  <w:footnote w:id="6630">
    <w:p>
      <w:pPr>
        <w:pStyle w:val="Funote"/>
        <w:rPr/>
      </w:pPr>
      <w:hyperlink r:id="rId686">
        <w:r>
          <w:rPr>
            <w:rStyle w:val="Internetverknpfung"/>
          </w:rPr>
          <w:footnoteRef/>
          <w:tab/>
          <w:t>Gen. abs.</w:t>
        </w:r>
      </w:hyperlink>
    </w:p>
  </w:footnote>
  <w:footnote w:id="6631">
    <w:p>
      <w:pPr>
        <w:pStyle w:val="Funote"/>
        <w:rPr/>
      </w:pPr>
      <w:hyperlink r:id="rId687">
        <w:r>
          <w:rPr>
            <w:rStyle w:val="Internetverknpfung"/>
          </w:rPr>
          <w:footnoteRef/>
          <w:tab/>
          <w:t>Ptz. coni.</w:t>
        </w:r>
      </w:hyperlink>
    </w:p>
  </w:footnote>
  <w:footnote w:id="6632">
    <w:p>
      <w:pPr>
        <w:pStyle w:val="Funote"/>
        <w:rPr/>
      </w:pPr>
      <w:hyperlink r:id="rId688">
        <w:r>
          <w:rPr>
            <w:rStyle w:val="Internetverknpfung"/>
          </w:rPr>
          <w:footnoteRef/>
          <w:tab/>
          <w:t>Ptz. coni.</w:t>
        </w:r>
      </w:hyperlink>
    </w:p>
  </w:footnote>
  <w:footnote w:id="6633">
    <w:p>
      <w:pPr>
        <w:pStyle w:val="Funote"/>
        <w:rPr/>
      </w:pPr>
      <w:hyperlink r:id="rId689">
        <w:r>
          <w:rPr>
            <w:rStyle w:val="Internetverknpfung"/>
          </w:rPr>
          <w:footnoteRef/>
          <w:tab/>
          <w:t>Ptz. coni.</w:t>
        </w:r>
      </w:hyperlink>
    </w:p>
  </w:footnote>
  <w:footnote w:id="6634">
    <w:p>
      <w:pPr>
        <w:pStyle w:val="Funote"/>
        <w:rPr/>
      </w:pPr>
      <w:hyperlink r:id="rId690">
        <w:r>
          <w:rPr>
            <w:rStyle w:val="Internetverknpfung"/>
          </w:rPr>
          <w:footnoteRef/>
          <w:tab/>
          <w:t>Ptz. coni.</w:t>
        </w:r>
      </w:hyperlink>
    </w:p>
  </w:footnote>
  <w:footnote w:id="6635">
    <w:p>
      <w:pPr>
        <w:pStyle w:val="Funote"/>
        <w:rPr/>
      </w:pPr>
      <w:hyperlink r:id="rId691">
        <w:r>
          <w:rPr>
            <w:rStyle w:val="Internetverknpfung"/>
          </w:rPr>
          <w:footnoteRef/>
          <w:tab/>
          <w:t>Ptz. coni.</w:t>
        </w:r>
      </w:hyperlink>
    </w:p>
  </w:footnote>
  <w:footnote w:id="6636">
    <w:p>
      <w:pPr>
        <w:pStyle w:val="Funote"/>
        <w:rPr/>
      </w:pPr>
      <w:r>
        <w:rPr>
          <w:lang w:val="el-GR"/>
        </w:rPr>
        <w:footnoteRef/>
        <w:tab/>
        <w:t>εἰς = ἐν</w:t>
      </w:r>
      <w:r>
        <w:rPr/>
        <w:t>, BDR § 205.</w:t>
      </w:r>
    </w:p>
  </w:footnote>
  <w:footnote w:id="6637">
    <w:p>
      <w:pPr>
        <w:pStyle w:val="Funote"/>
        <w:rPr/>
      </w:pPr>
      <w:r>
        <w:rPr/>
        <w:footnoteRef/>
        <w:tab/>
        <w:t xml:space="preserve">Hier keine konkrete Ortsangabe, sondern die gottfeindliche Weltmacht Rom, vgl. die Lesart </w:t>
      </w:r>
      <w:r>
        <w:rPr>
          <w:lang w:val="el-GR"/>
        </w:rPr>
        <w:t>Ρωμη</w:t>
      </w:r>
      <w:r>
        <w:rPr/>
        <w:t xml:space="preserve"> bei einigen Minuskeln, BW Sp. 261. Es handelt sich um ein „Kryptogramm …, d.h. eine chiffrierte Auskunft, die aus der Sprache der frühjüdischen Apokalyptik nach dem Jahre 70 n. Chr. stammt und zweifellos Rom meint“ (Brox, S. 247)</w:t>
      </w:r>
    </w:p>
  </w:footnote>
  <w:footnote w:id="6638">
    <w:p>
      <w:pPr>
        <w:pStyle w:val="Funote"/>
        <w:rPr/>
      </w:pPr>
      <w:r>
        <w:rPr/>
        <w:footnoteRef/>
        <w:tab/>
        <w:t>Gemeint ist nicht Petrus’ Ehefrau, sondern die Gemeinde, bei der er sich aufhält, BW Sp. 1570.</w:t>
      </w:r>
    </w:p>
  </w:footnote>
  <w:footnote w:id="6639">
    <w:p>
      <w:pPr>
        <w:pStyle w:val="Funote"/>
        <w:rPr/>
      </w:pPr>
      <w:r>
        <w:rPr/>
        <w:footnoteRef/>
        <w:tab/>
        <w:t>Semitisierende Namensform für den griechischen Namen Simon.</w:t>
      </w:r>
    </w:p>
  </w:footnote>
  <w:footnote w:id="6640">
    <w:p>
      <w:pPr>
        <w:pStyle w:val="Funote"/>
        <w:rPr/>
      </w:pPr>
      <w:r>
        <w:rPr/>
        <w:footnoteRef/>
        <w:tab/>
        <w:t>Antikes Briefformular: Der Absender</w:t>
      </w:r>
    </w:p>
  </w:footnote>
  <w:footnote w:id="6641">
    <w:p>
      <w:pPr>
        <w:pStyle w:val="Funote"/>
        <w:rPr/>
      </w:pPr>
      <w:hyperlink r:id="rId692">
        <w:r>
          <w:rPr>
            <w:rStyle w:val="Internetverknpfung"/>
          </w:rPr>
          <w:footnoteRef/>
          <w:tab/>
          <w:t>Ptz. coni.</w:t>
        </w:r>
      </w:hyperlink>
      <w:r>
        <w:rPr/>
        <w:t>, relativisch aufgelöst</w:t>
      </w:r>
    </w:p>
  </w:footnote>
  <w:footnote w:id="6642">
    <w:p>
      <w:pPr>
        <w:pStyle w:val="Funote"/>
        <w:rPr/>
      </w:pPr>
      <w:r>
        <w:rPr/>
        <w:footnoteRef/>
        <w:tab/>
        <w:t>Antikes Briefformular: Der Empfänger</w:t>
      </w:r>
    </w:p>
  </w:footnote>
  <w:footnote w:id="6643">
    <w:p>
      <w:pPr>
        <w:pStyle w:val="Funote"/>
        <w:rPr/>
      </w:pPr>
      <w:r>
        <w:rPr/>
        <w:footnoteRef/>
        <w:tab/>
        <w:t>Antikes Briefformular: Der Eingangsgruß</w:t>
      </w:r>
    </w:p>
  </w:footnote>
  <w:footnote w:id="6644">
    <w:p>
      <w:pPr>
        <w:pStyle w:val="Funote"/>
        <w:rPr/>
      </w:pPr>
      <w:hyperlink r:id="rId693">
        <w:r>
          <w:rPr>
            <w:rStyle w:val="Internetverknpfung"/>
          </w:rPr>
          <w:footnoteRef/>
          <w:tab/>
          <w:t>Ptz. coni.</w:t>
        </w:r>
      </w:hyperlink>
      <w:r>
        <w:rPr/>
        <w:t>, relativisch aufgelöst</w:t>
      </w:r>
    </w:p>
  </w:footnote>
  <w:footnote w:id="6645">
    <w:p>
      <w:pPr>
        <w:pStyle w:val="Funote"/>
        <w:rPr/>
      </w:pPr>
      <w:r>
        <w:rPr/>
        <w:footnoteRef/>
        <w:tab/>
        <w:t>Gemeint ist an dieser Stelle: die Bekehrung zum christlichen Glauben</w:t>
      </w:r>
    </w:p>
  </w:footnote>
  <w:footnote w:id="6646">
    <w:p>
      <w:pPr>
        <w:pStyle w:val="Funote"/>
        <w:rPr/>
      </w:pPr>
      <w:hyperlink r:id="rId694">
        <w:r>
          <w:rPr>
            <w:rStyle w:val="Internetverknpfung"/>
          </w:rPr>
          <w:footnoteRef/>
          <w:tab/>
          <w:t>Ptz. coni.</w:t>
        </w:r>
      </w:hyperlink>
      <w:r>
        <w:rPr/>
        <w:t>, relativisch aufgelöst</w:t>
      </w:r>
    </w:p>
  </w:footnote>
  <w:footnote w:id="6647">
    <w:p>
      <w:pPr>
        <w:pStyle w:val="Funote"/>
        <w:rPr/>
      </w:pPr>
      <w:r>
        <w:rPr/>
        <w:footnoteRef/>
        <w:tab/>
        <w:t>Superlativ, einzige Stelle, an der er im NT vorkommt, als Elativ übersetzt</w:t>
      </w:r>
    </w:p>
  </w:footnote>
  <w:footnote w:id="6648">
    <w:p>
      <w:pPr>
        <w:pStyle w:val="Funote"/>
        <w:rPr/>
      </w:pPr>
      <w:hyperlink r:id="rId695">
        <w:r>
          <w:rPr>
            <w:rStyle w:val="Internetverknpfung"/>
          </w:rPr>
          <w:footnoteRef/>
          <w:tab/>
          <w:t>Ptz. coni.</w:t>
        </w:r>
      </w:hyperlink>
      <w:r>
        <w:rPr/>
        <w:t>, modal aufgelöst</w:t>
      </w:r>
    </w:p>
  </w:footnote>
  <w:footnote w:id="6649">
    <w:p>
      <w:pPr>
        <w:pStyle w:val="Funote"/>
        <w:rPr/>
      </w:pPr>
      <w:r>
        <w:rPr/>
        <w:footnoteRef/>
        <w:tab/>
        <w:t>Die folgenden Begriffe haben im Griech. alle einen Artikel; im Deutschen kann man die Klimax mit und ohne Artikel wiedergeben.</w:t>
      </w:r>
    </w:p>
  </w:footnote>
  <w:footnote w:id="6650">
    <w:p>
      <w:pPr>
        <w:pStyle w:val="Funote"/>
        <w:rPr/>
      </w:pPr>
      <w:hyperlink r:id="rId696">
        <w:r>
          <w:rPr>
            <w:rStyle w:val="Internetverknpfung"/>
          </w:rPr>
          <w:footnoteRef/>
          <w:tab/>
          <w:t>Ptz. coni.</w:t>
        </w:r>
      </w:hyperlink>
      <w:r>
        <w:rPr/>
        <w:t>, kausal aufgelöst</w:t>
      </w:r>
    </w:p>
  </w:footnote>
  <w:footnote w:id="6651">
    <w:p>
      <w:pPr>
        <w:pStyle w:val="Funote"/>
        <w:rPr/>
      </w:pPr>
      <w:r>
        <w:rPr/>
        <w:footnoteRef/>
        <w:tab/>
        <w:t>Gemeint ist: die Liebe (Agape).</w:t>
      </w:r>
    </w:p>
  </w:footnote>
  <w:footnote w:id="6652">
    <w:p>
      <w:pPr>
        <w:pStyle w:val="Funote"/>
        <w:rPr/>
      </w:pPr>
      <w:r>
        <w:rPr/>
        <w:footnoteRef/>
        <w:tab/>
        <w:t>BW, Sp. 1050. Wörtl.: Ist blind, kurzsichtig seiend. Hier liegt ein Wortspiel ähnlich unseres "Den Wald vor lauter Bäumen nicht sehen" vor.</w:t>
      </w:r>
    </w:p>
  </w:footnote>
  <w:footnote w:id="6653">
    <w:p>
      <w:pPr>
        <w:pStyle w:val="Funote"/>
        <w:rPr/>
      </w:pPr>
      <w:r>
        <w:rPr/>
        <w:footnoteRef/>
        <w:tab/>
        <w:t>Wörtl.: Brüder</w:t>
      </w:r>
    </w:p>
  </w:footnote>
  <w:footnote w:id="6654">
    <w:p>
      <w:pPr>
        <w:pStyle w:val="Funote"/>
        <w:rPr/>
      </w:pPr>
      <w:r>
        <w:rPr/>
        <w:footnoteRef/>
        <w:tab/>
        <w:t>Ptz. coni., konditional aufgelöst</w:t>
      </w:r>
    </w:p>
  </w:footnote>
  <w:footnote w:id="6655">
    <w:p>
      <w:pPr>
        <w:pStyle w:val="Funote"/>
        <w:rPr>
          <w:lang w:val="el-GR"/>
        </w:rPr>
      </w:pPr>
      <w:r>
        <w:rPr>
          <w:lang w:val="el-GR"/>
        </w:rPr>
        <w:footnoteRef/>
        <w:tab/>
        <w:t>ἀγαπητοί</w:t>
      </w:r>
    </w:p>
  </w:footnote>
  <w:footnote w:id="6656">
    <w:p>
      <w:pPr>
        <w:pStyle w:val="Funote"/>
        <w:rPr/>
      </w:pPr>
      <w:r>
        <w:rPr>
          <w:lang w:val="el-GR"/>
        </w:rPr>
        <w:footnoteRef/>
        <w:tab/>
        <w:t>ῥοιζηδὸν</w:t>
      </w:r>
      <w:r>
        <w:rPr/>
        <w:t xml:space="preserve"> (adv.): „mit lautem Geräusch“, </w:t>
      </w:r>
      <w:hyperlink r:id="rId697">
        <w:r>
          <w:rPr>
            <w:rStyle w:val="Internetverknpfung"/>
          </w:rPr>
          <w:t>hapax legomenon</w:t>
        </w:r>
      </w:hyperlink>
    </w:p>
  </w:footnote>
  <w:footnote w:id="6657">
    <w:p>
      <w:pPr>
        <w:pStyle w:val="Funote"/>
        <w:rPr/>
      </w:pPr>
      <w:r>
        <w:rPr/>
        <w:footnoteRef/>
        <w:tab/>
        <w:t xml:space="preserve">unklar: „werden </w:t>
      </w:r>
      <w:r>
        <w:rPr>
          <w:i/>
        </w:rPr>
        <w:t>nicht</w:t>
      </w:r>
      <w:r>
        <w:rPr/>
        <w:t xml:space="preserve"> gefunden“ oder „werden vom Urteil gefunden“ bzw. freier: „werden ihr Urteil finden“?</w:t>
      </w:r>
    </w:p>
  </w:footnote>
  <w:footnote w:id="6658">
    <w:p>
      <w:pPr>
        <w:pStyle w:val="Funote"/>
        <w:rPr/>
      </w:pPr>
      <w:r>
        <w:rPr/>
        <w:footnoteRef/>
        <w:tab/>
        <w:t>Part. conj.</w:t>
      </w:r>
    </w:p>
  </w:footnote>
  <w:footnote w:id="6659">
    <w:p>
      <w:pPr>
        <w:pStyle w:val="Funote"/>
        <w:rPr/>
      </w:pPr>
      <w:r>
        <w:rPr/>
        <w:footnoteRef/>
        <w:tab/>
        <w:t>[Status: Ungeprüft]</w:t>
      </w:r>
    </w:p>
  </w:footnote>
  <w:footnote w:id="6660">
    <w:p>
      <w:pPr>
        <w:pStyle w:val="Funote"/>
        <w:rPr/>
      </w:pPr>
      <w:r>
        <w:rPr/>
        <w:footnoteRef/>
        <w:tab/>
        <w:t>[Status: Ungeprüft]</w:t>
      </w:r>
    </w:p>
  </w:footnote>
  <w:footnote w:id="6661">
    <w:p>
      <w:pPr>
        <w:pStyle w:val="Funote"/>
        <w:rPr/>
      </w:pPr>
      <w:r>
        <w:rPr/>
        <w:footnoteRef/>
        <w:tab/>
        <w:t>Kann gen. subi. (die Liebe aus Gott, von Gott) oder gen. obi. (die Liebe zu Gott) sein. (Haubeck/Siebenthal nennt außerdem gen. qualitates, "die göttliche(Art der) Liebe")</w:t>
      </w:r>
    </w:p>
  </w:footnote>
  <w:footnote w:id="6662">
    <w:p>
      <w:pPr>
        <w:pStyle w:val="Funote"/>
        <w:rPr/>
      </w:pPr>
      <w:r>
        <w:rPr/>
        <w:footnoteRef/>
        <w:tab/>
        <w:t xml:space="preserve">NA28 fügt nach </w:t>
      </w:r>
      <w:r>
        <w:rPr>
          <w:lang w:val="el-GR"/>
        </w:rPr>
        <w:t>αὐτὸς</w:t>
      </w:r>
      <w:r>
        <w:rPr/>
        <w:t xml:space="preserve"> noch </w:t>
      </w:r>
      <w:r>
        <w:rPr>
          <w:lang w:val="el-GR"/>
        </w:rPr>
        <w:t>οὕτως</w:t>
      </w:r>
      <w:r>
        <w:rPr/>
        <w:t xml:space="preserve"> (so) als unsicher in eckigen Klammern an.</w:t>
      </w:r>
    </w:p>
  </w:footnote>
  <w:footnote w:id="6663">
    <w:p>
      <w:pPr>
        <w:pStyle w:val="Funote"/>
        <w:rPr/>
      </w:pPr>
      <w:r>
        <w:rPr/>
        <w:footnoteRef/>
        <w:tab/>
        <w:t>D.h. „in dem Liebenden“ oder möglicherweise auch „im Licht“.</w:t>
      </w:r>
    </w:p>
  </w:footnote>
  <w:footnote w:id="6664">
    <w:p>
      <w:pPr>
        <w:pStyle w:val="Funote"/>
        <w:rPr/>
      </w:pPr>
      <w:r>
        <w:rPr/>
        <w:footnoteRef/>
        <w:tab/>
        <w:t>Meint wohl den Heiligen Geist.</w:t>
      </w:r>
    </w:p>
  </w:footnote>
  <w:footnote w:id="6665">
    <w:p>
      <w:pPr>
        <w:pStyle w:val="Funote"/>
        <w:rPr/>
      </w:pPr>
      <w:r>
        <w:rPr/>
        <w:footnoteRef/>
        <w:tab/>
        <w:t xml:space="preserve">NA28, SBL und die hier vorgeschlagenen Übersetzungen lesen </w:t>
      </w:r>
      <w:r>
        <w:rPr>
          <w:lang w:val="el-GR"/>
        </w:rPr>
        <w:t>οἴδατε πάντες</w:t>
      </w:r>
      <w:r>
        <w:rPr/>
        <w:t xml:space="preserve"> d.h. „ihr alle wißt“. Das Problem dieser – schwierigeren –Lesart ist das Fehlen eine Objekts des Wissens. Eine Erklärung dafür könnte sein, daß tatsächlich objektlos und emphatisch einfach der Status von Wissenden gemeint ist, womit auch keine Angabe eines Objekts notwendig wäre. Alternativ könnte ein Objekt des Wissens ergänzt werden, naheliegenderweise das im ersten Satzteil Affirmierte. Der folgende Vers spricht für die erste Alternative. Die einfachere Lesart </w:t>
      </w:r>
      <w:r>
        <w:rPr>
          <w:lang w:val="el-GR"/>
        </w:rPr>
        <w:t>οἴδατε πάντα</w:t>
      </w:r>
      <w:r>
        <w:rPr/>
        <w:t>, die sich ebenfalls in vielen Handschriften findet, umgeht zwar das Problem des fehlenden Objekts, im folgenden Vers wird die Idee eines Allwissens allerdings nicht aufgegriffen. Vgl. Rudolf Schnackenburg, Die Johannesbriefe, Freiburg, Basel, Wien 1984, S. 154 und zu den Gründen für die von NA27 gewählte Lesart auch Metzger, Bruce M., United Bible Societies (1994). A Textual Commentary on the Greek New Testament.</w:t>
      </w:r>
    </w:p>
  </w:footnote>
  <w:footnote w:id="6666">
    <w:p>
      <w:pPr>
        <w:pStyle w:val="Funote"/>
        <w:rPr/>
      </w:pPr>
      <w:r>
        <w:rPr/>
        <w:footnoteRef/>
        <w:tab/>
        <w:t xml:space="preserve">Die Übersetzung folgt SBL. NA28 fügt nach </w:t>
      </w:r>
      <w:r>
        <w:rPr>
          <w:lang w:val="el-GR"/>
        </w:rPr>
        <w:t>ὅτι</w:t>
      </w:r>
      <w:r>
        <w:rPr/>
        <w:t xml:space="preserve"> (dass) </w:t>
      </w:r>
      <w:r>
        <w:rPr>
          <w:lang w:val="el-GR"/>
        </w:rPr>
        <w:t>καὶ</w:t>
      </w:r>
      <w:r>
        <w:rPr/>
        <w:t xml:space="preserve"> (auch) an.</w:t>
      </w:r>
    </w:p>
  </w:footnote>
  <w:footnote w:id="6667">
    <w:p>
      <w:pPr>
        <w:pStyle w:val="Funote"/>
        <w:rPr/>
      </w:pPr>
      <w:r>
        <w:rPr/>
        <w:footnoteRef/>
        <w:tab/>
        <w:t>[Status: Ungeprüft]</w:t>
      </w:r>
    </w:p>
  </w:footnote>
  <w:footnote w:id="6668">
    <w:p>
      <w:pPr>
        <w:pStyle w:val="Funote"/>
        <w:rPr/>
      </w:pPr>
      <w:r>
        <w:rPr/>
        <w:footnoteRef/>
        <w:tab/>
        <w:t>D.h. Gottes.</w:t>
      </w:r>
    </w:p>
  </w:footnote>
  <w:footnote w:id="6669">
    <w:p>
      <w:pPr>
        <w:pStyle w:val="Funote"/>
        <w:rPr/>
      </w:pPr>
      <w:r>
        <w:rPr/>
        <w:footnoteRef/>
        <w:tab/>
        <w:t xml:space="preserve">Die Übersetzung folgt SBL. NA27 beginnt den Satz mit </w:t>
      </w:r>
      <w:r>
        <w:rPr>
          <w:lang w:val="el-GR"/>
        </w:rPr>
        <w:t>καὶ</w:t>
      </w:r>
      <w:r>
        <w:rPr/>
        <w:t xml:space="preserve"> (Und) in eckigen Klammern, die „considerable doubt that it belongs there“ andeuten. Cf. Metzger, Bruce M., United Bible Societies (1994). A Textual Commentary on the Greek New Testament.</w:t>
      </w:r>
    </w:p>
  </w:footnote>
  <w:footnote w:id="6670">
    <w:p>
      <w:pPr>
        <w:pStyle w:val="Funote"/>
        <w:rPr/>
      </w:pPr>
      <w:r>
        <w:rPr/>
        <w:footnoteRef/>
        <w:tab/>
        <w:t xml:space="preserve">Die Übersetzung folgt SBL. Ähnlich wie in Vers 13 beginnt NA27 den Satz mit </w:t>
      </w:r>
      <w:r>
        <w:rPr>
          <w:lang w:val="el-GR"/>
        </w:rPr>
        <w:t>καὶ</w:t>
      </w:r>
      <w:r>
        <w:rPr/>
        <w:t xml:space="preserve"> in eckigen Klammern.</w:t>
      </w:r>
    </w:p>
  </w:footnote>
  <w:footnote w:id="6671">
    <w:p>
      <w:pPr>
        <w:pStyle w:val="Funote"/>
        <w:rPr/>
      </w:pPr>
      <w:r>
        <w:rPr/>
        <w:footnoteRef/>
        <w:tab/>
        <w:t xml:space="preserve">Die hier als erste Alternative vorgeschlagene Übersetzung deutet </w:t>
      </w:r>
      <w:r>
        <w:rPr>
          <w:lang w:val="el-GR"/>
        </w:rPr>
        <w:t>πείσομεν</w:t>
      </w:r>
      <w:r>
        <w:rPr/>
        <w:t xml:space="preserve"> in V. 19 als „wir überzeugen“ und versteht das zweite </w:t>
      </w:r>
      <w:r>
        <w:rPr>
          <w:lang w:val="el-GR"/>
        </w:rPr>
        <w:t>ὅτι</w:t>
      </w:r>
      <w:r>
        <w:rPr/>
        <w:t xml:space="preserve"> (dass) als redundante (deswegen in geschweiften Klammern ausgelassene) Wiederholung des ersten </w:t>
      </w:r>
      <w:r>
        <w:rPr>
          <w:lang w:val="el-GR"/>
        </w:rPr>
        <w:t>ὅτι</w:t>
      </w:r>
      <w:r>
        <w:rPr/>
        <w:t xml:space="preserve"> am Anfang des Verses. Allerdings gibt es eine solche Konstruktion an keiner anderen Stelle im johanneischen Schrifttum. (Vgl. Rudolf Schnackenburg, Die Johannesbriefe, Freiburg, Basel, Wien 1984, S. 202.) Alternativ kann die Konstruktion so verstanden werden, daß mit </w:t>
      </w:r>
      <w:r>
        <w:rPr>
          <w:lang w:val="el-GR"/>
        </w:rPr>
        <w:t>ὅτι ἐὰν</w:t>
      </w:r>
      <w:r>
        <w:rPr/>
        <w:t xml:space="preserve"> „ein verallgemeinernder Relativsatz mit konditionalem Charakter“ beginnt, und mit dem zweiten </w:t>
      </w:r>
      <w:r>
        <w:rPr>
          <w:lang w:val="el-GR"/>
        </w:rPr>
        <w:t>ὅτι</w:t>
      </w:r>
      <w:r>
        <w:rPr/>
        <w:t xml:space="preserve"> (weil, denn) ein „regulärer Kausalsatz“. (Ebd.) Diesem Vorschlag entspricht die zweite Übersetzungsvariante, die </w:t>
      </w:r>
      <w:r>
        <w:rPr>
          <w:lang w:val="el-GR"/>
        </w:rPr>
        <w:t>πείσομεν</w:t>
      </w:r>
      <w:r>
        <w:rPr/>
        <w:t xml:space="preserve"> in V. 19 als „wir beruhigen“ versteht.</w:t>
      </w:r>
    </w:p>
  </w:footnote>
  <w:footnote w:id="6672">
    <w:p>
      <w:pPr>
        <w:pStyle w:val="Funote"/>
        <w:rPr/>
      </w:pPr>
      <w:r>
        <w:rPr/>
        <w:footnoteRef/>
        <w:tab/>
        <w:t>Die Übersetzung ist sowohl mit NA28 (</w:t>
      </w:r>
      <w:r>
        <w:rPr>
          <w:lang w:val="el-GR"/>
        </w:rPr>
        <w:t>ἡ καρδία [ἡμῶν] μὴ καταγινώσκῃ</w:t>
      </w:r>
      <w:r>
        <w:rPr/>
        <w:t xml:space="preserve"> {C}) wie mit SBL (</w:t>
      </w:r>
      <w:r>
        <w:rPr>
          <w:lang w:val="el-GR"/>
        </w:rPr>
        <w:t>ἡ καρδία μὴ καταγινώσκῃ ἡμῶν</w:t>
      </w:r>
      <w:r>
        <w:rPr/>
        <w:t>⸃) vereinbar. NA28 könnte auch übersetzt werden: „wenn unser Herz nicht verurteilt“. Sachlich ist in jedem Fall gemeint „wenn unser Herz uns nicht verurteilt“ (</w:t>
      </w:r>
      <w:r>
        <w:rPr>
          <w:lang w:val="el-GR"/>
        </w:rPr>
        <w:t>ἡ καρδία ἡμῶν μὴ καταγινώσκῃ ἡμῶν</w:t>
      </w:r>
      <w:r>
        <w:rPr/>
        <w:t>), was sich in der Mehrheit der Manuskripte findet.</w:t>
      </w:r>
    </w:p>
  </w:footnote>
  <w:footnote w:id="6673">
    <w:p>
      <w:pPr>
        <w:pStyle w:val="Funote"/>
        <w:rPr/>
      </w:pPr>
      <w:r>
        <w:rPr/>
        <w:footnoteRef/>
        <w:tab/>
        <w:t>[Status: Ungeprüft]</w:t>
      </w:r>
    </w:p>
  </w:footnote>
  <w:footnote w:id="6674">
    <w:p>
      <w:pPr>
        <w:pStyle w:val="Funote"/>
        <w:rPr/>
      </w:pPr>
      <w:r>
        <w:rPr/>
        <w:footnoteRef/>
        <w:tab/>
        <w:t xml:space="preserve">Oder „dass Jesus Christus im Fleisch gekommen ist“. Attr. </w:t>
      </w:r>
      <w:hyperlink r:id="rId698">
        <w:r>
          <w:rPr>
            <w:rStyle w:val="Internetverknpfung"/>
          </w:rPr>
          <w:t>Partizip</w:t>
        </w:r>
      </w:hyperlink>
      <w:r>
        <w:rPr/>
        <w:t xml:space="preserve"> Pf. </w:t>
      </w:r>
    </w:p>
  </w:footnote>
  <w:footnote w:id="6675">
    <w:p>
      <w:pPr>
        <w:pStyle w:val="Funote"/>
        <w:rPr/>
      </w:pPr>
      <w:r>
        <w:rPr/>
        <w:footnoteRef/>
        <w:tab/>
        <w:t>W. „dieser“</w:t>
      </w:r>
    </w:p>
  </w:footnote>
  <w:footnote w:id="6676">
    <w:p>
      <w:pPr>
        <w:pStyle w:val="Funote"/>
        <w:rPr/>
      </w:pPr>
      <w:r>
        <w:rPr/>
        <w:footnoteRef/>
        <w:tab/>
        <w:t xml:space="preserve">W. „der Gott Kennende“. Subst. </w:t>
      </w:r>
      <w:hyperlink r:id="rId699">
        <w:r>
          <w:rPr>
            <w:rStyle w:val="Internetverknpfung"/>
          </w:rPr>
          <w:t>Partizip</w:t>
        </w:r>
      </w:hyperlink>
      <w:r>
        <w:rPr/>
        <w:t xml:space="preserve">, mit Relativsatz aufgelöst. </w:t>
      </w:r>
    </w:p>
  </w:footnote>
  <w:footnote w:id="6677">
    <w:p>
      <w:pPr>
        <w:pStyle w:val="Funote"/>
        <w:rPr/>
      </w:pPr>
      <w:r>
        <w:rPr/>
        <w:footnoteRef/>
        <w:tab/>
        <w:t xml:space="preserve">Kohortativer </w:t>
      </w:r>
      <w:hyperlink r:id="rId700">
        <w:r>
          <w:rPr>
            <w:rStyle w:val="Internetverknpfung"/>
          </w:rPr>
          <w:t>Konjunktiv</w:t>
        </w:r>
      </w:hyperlink>
    </w:p>
  </w:footnote>
  <w:footnote w:id="6678">
    <w:p>
      <w:pPr>
        <w:pStyle w:val="Funote"/>
        <w:rPr/>
      </w:pPr>
      <w:r>
        <w:rPr/>
        <w:footnoteRef/>
        <w:tab/>
        <w:t xml:space="preserve">W. „jeder {der} Liebende“. Subst. </w:t>
      </w:r>
      <w:hyperlink r:id="rId701">
        <w:r>
          <w:rPr>
            <w:rStyle w:val="Internetverknpfung"/>
          </w:rPr>
          <w:t>Partizip</w:t>
        </w:r>
      </w:hyperlink>
      <w:r>
        <w:rPr/>
        <w:t xml:space="preserve">, mit Relativsatz aufgelöst. Anders als in V. 6 steht hier ausdrücklich „jeder“. </w:t>
      </w:r>
    </w:p>
  </w:footnote>
  <w:footnote w:id="6679">
    <w:p>
      <w:pPr>
        <w:pStyle w:val="Funote"/>
        <w:rPr/>
      </w:pPr>
      <w:r>
        <w:rPr/>
        <w:footnoteRef/>
        <w:tab/>
        <w:t xml:space="preserve">Beim gr. </w:t>
      </w:r>
      <w:hyperlink r:id="rId702">
        <w:r>
          <w:rPr>
            <w:rStyle w:val="Internetverknpfung"/>
          </w:rPr>
          <w:t>Perfekt</w:t>
        </w:r>
      </w:hyperlink>
      <w:r>
        <w:rPr/>
        <w:t xml:space="preserve"> steht das gegenwärtige Ergebnis einer vergangenen Handlung im Vordergrund. </w:t>
      </w:r>
    </w:p>
  </w:footnote>
  <w:footnote w:id="6680">
    <w:p>
      <w:pPr>
        <w:pStyle w:val="Funote"/>
        <w:rPr/>
      </w:pPr>
      <w:r>
        <w:rPr/>
        <w:footnoteRef/>
        <w:tab/>
        <w:t xml:space="preserve">W. „der nicht Liebende“. Subst. </w:t>
      </w:r>
      <w:hyperlink r:id="rId703">
        <w:r>
          <w:rPr>
            <w:rStyle w:val="Internetverknpfung"/>
          </w:rPr>
          <w:t>Partizip</w:t>
        </w:r>
      </w:hyperlink>
      <w:r>
        <w:rPr/>
        <w:t xml:space="preserve">, mit Relativsatz aufgelöst (vgl. V. 6). </w:t>
      </w:r>
    </w:p>
  </w:footnote>
  <w:footnote w:id="6681">
    <w:p>
      <w:pPr>
        <w:pStyle w:val="Funote"/>
        <w:rPr/>
      </w:pPr>
      <w:r>
        <w:rPr/>
        <w:footnoteRef/>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6682">
    <w:p>
      <w:pPr>
        <w:pStyle w:val="Funote"/>
        <w:rPr/>
      </w:pPr>
      <w:r>
        <w:rPr/>
        <w:footnoteRef/>
        <w:tab/>
        <w:t>Mittel zur Vergebung So LN 40.12. Sühneopfer So NGÜ, NeÜ. Sühne so weitere Übersetzungen (z.B. Zür).</w:t>
      </w:r>
    </w:p>
  </w:footnote>
  <w:footnote w:id="6683">
    <w:p>
      <w:pPr>
        <w:pStyle w:val="Funote"/>
        <w:rPr/>
      </w:pPr>
      <w:r>
        <w:rPr/>
        <w:footnoteRef/>
        <w:tab/>
        <w:t>W. "[einen Teil] von seinem Geist"</w:t>
      </w:r>
    </w:p>
  </w:footnote>
  <w:footnote w:id="6684">
    <w:p>
      <w:pPr>
        <w:pStyle w:val="Funote"/>
        <w:rPr/>
      </w:pPr>
      <w:r>
        <w:rPr/>
        <w:footnoteRef/>
        <w:tab/>
        <w:t xml:space="preserve">W. „der in der Liebe Lebende“. Subst. </w:t>
      </w:r>
      <w:hyperlink r:id="rId704">
        <w:r>
          <w:rPr>
            <w:rStyle w:val="Internetverknpfung"/>
          </w:rPr>
          <w:t>Partizip</w:t>
        </w:r>
      </w:hyperlink>
      <w:r>
        <w:rPr/>
        <w:t xml:space="preserve">, mit Relativsatz aufgelöst. </w:t>
      </w:r>
    </w:p>
  </w:footnote>
  <w:footnote w:id="6685">
    <w:p>
      <w:pPr>
        <w:pStyle w:val="Funote"/>
        <w:rPr/>
      </w:pPr>
      <w:r>
        <w:rPr/>
        <w:footnoteRef/>
        <w:tab/>
        <w:t xml:space="preserve">W. „der sich Fürchtende“. Subst. </w:t>
      </w:r>
      <w:hyperlink r:id="rId705">
        <w:r>
          <w:rPr>
            <w:rStyle w:val="Internetverknpfung"/>
          </w:rPr>
          <w:t>Partizip</w:t>
        </w:r>
      </w:hyperlink>
      <w:r>
        <w:rPr/>
        <w:t xml:space="preserve">, mit Relativsatz aufgelöst. </w:t>
      </w:r>
    </w:p>
  </w:footnote>
  <w:footnote w:id="6686">
    <w:p>
      <w:pPr>
        <w:pStyle w:val="Funote"/>
        <w:rPr/>
      </w:pPr>
      <w:r>
        <w:rPr/>
        <w:footnoteRef/>
        <w:tab/>
        <w:t>[Status: Ungeprüft]</w:t>
      </w:r>
    </w:p>
  </w:footnote>
  <w:footnote w:id="6687">
    <w:p>
      <w:pPr>
        <w:pStyle w:val="Funote"/>
        <w:rPr/>
      </w:pPr>
      <w:r>
        <w:rPr/>
        <w:footnoteRef/>
        <w:tab/>
        <w:t>Das kann sich auf Jesus oder den Glaubensbruder beziehen (Haubeck, Wilfried/von Siebenthal, Heinrich, Neuer sprachlicher Schlüssel zum griechischen Neuen Testament)</w:t>
      </w:r>
    </w:p>
  </w:footnote>
  <w:footnote w:id="6688">
    <w:p>
      <w:pPr>
        <w:pStyle w:val="Funote"/>
        <w:rPr/>
      </w:pPr>
      <w:r>
        <w:rPr/>
        <w:footnoteRef/>
        <w:tab/>
        <w:t xml:space="preserve">w. Liebe des Gottes. Es handelt sich um einen Genetiv des Objektes, also "Liebe zu Gott". </w:t>
      </w:r>
    </w:p>
  </w:footnote>
  <w:footnote w:id="6689">
    <w:p>
      <w:pPr>
        <w:pStyle w:val="Funote"/>
        <w:rPr/>
      </w:pPr>
      <w:r>
        <w:rPr/>
        <w:footnoteRef/>
        <w:tab/>
        <w:t>Das hier in nur wenigen griechischen und ansonsten nur lateinischen Manuskripten eingefügte sogenannte Comma Johanneum ("...") ist mit Sicherheit als sekundär und nicht zum originalen Text gehörig zu betrachten. Cf. Metzger, Bruce M., United Bible Societies (1994). A Textual Commentary on the Greek New Testament.</w:t>
      </w:r>
    </w:p>
  </w:footnote>
  <w:footnote w:id="6690">
    <w:p>
      <w:pPr>
        <w:pStyle w:val="Funote"/>
        <w:rPr/>
      </w:pPr>
      <w:r>
        <w:rPr/>
        <w:footnoteRef/>
        <w:tab/>
        <w:t>D.h. die Zeugnisse stimmen überein, vgl. Dtn 19,15</w:t>
      </w:r>
    </w:p>
  </w:footnote>
  <w:footnote w:id="6691">
    <w:p>
      <w:pPr>
        <w:pStyle w:val="Funote"/>
        <w:rPr/>
      </w:pPr>
      <w:r>
        <w:rPr/>
        <w:footnoteRef/>
        <w:tab/>
        <w:t>Im Griechischen steht „</w:t>
      </w:r>
      <w:r>
        <w:rPr>
          <w:lang w:val="el-GR"/>
        </w:rPr>
        <w:t>μαρτυρία</w:t>
      </w:r>
      <w:r>
        <w:rPr/>
        <w:t xml:space="preserve">“: das, was (von Gott, V.9) bezeugt wurde. (Wird hier näher bestimmt, </w:t>
      </w:r>
      <w:r>
        <w:rPr>
          <w:i/>
        </w:rPr>
        <w:t>was</w:t>
      </w:r>
      <w:r>
        <w:rPr/>
        <w:t xml:space="preserve"> Gott bezeugt, oder </w:t>
      </w:r>
      <w:r>
        <w:rPr>
          <w:i/>
        </w:rPr>
        <w:t>wie</w:t>
      </w:r>
      <w:r>
        <w:rPr/>
        <w:t xml:space="preserve"> er es bezeugt hat?)</w:t>
      </w:r>
    </w:p>
  </w:footnote>
  <w:footnote w:id="6692">
    <w:p>
      <w:pPr>
        <w:pStyle w:val="Funote"/>
        <w:rPr/>
      </w:pPr>
      <w:r>
        <w:rPr/>
        <w:footnoteRef/>
        <w:tab/>
        <w:t>D.h. Gott. Vgl. Rudolf Schnackenburg, Die Johannesbriefe, Freiburg, Basel, Wien 1984, S. 280 f.</w:t>
      </w:r>
    </w:p>
  </w:footnote>
  <w:footnote w:id="6693">
    <w:p>
      <w:pPr>
        <w:pStyle w:val="Funote"/>
        <w:rPr/>
      </w:pPr>
      <w:r>
        <w:rPr/>
        <w:footnoteRef/>
        <w:tab/>
        <w:t>So NA28 im Unterschied zu NA27. Gibt es schon Kommentare, die diese Variante auslegen? Die Frage "wie bewahrt man sich" wird hier nicht gestellt. Sondern vielleicht: Weil ich Kind Gottes bin, werde ich automatisch mich von Sünde fernhalten (wollen, versuchen).</w:t>
      </w:r>
    </w:p>
  </w:footnote>
  <w:footnote w:id="6694">
    <w:p>
      <w:pPr>
        <w:pStyle w:val="Funote"/>
        <w:rPr/>
      </w:pPr>
      <w:r>
        <w:rPr/>
        <w:footnoteRef/>
        <w:tab/>
        <w:t>d.i. Gott, der Vater (denn danach ist von "seinem" Sohn die Rede)</w:t>
      </w:r>
    </w:p>
  </w:footnote>
  <w:footnote w:id="6695">
    <w:p>
      <w:pPr>
        <w:pStyle w:val="Funote"/>
        <w:rPr/>
      </w:pPr>
      <w:r>
        <w:rPr/>
        <w:footnoteRef/>
        <w:tab/>
        <w:t>Diminutiv von Kinder.</w:t>
      </w:r>
    </w:p>
  </w:footnote>
  <w:footnote w:id="6696">
    <w:p>
      <w:pPr>
        <w:pStyle w:val="Funote"/>
        <w:rPr/>
      </w:pPr>
      <w:r>
        <w:rPr/>
        <w:footnoteRef/>
        <w:tab/>
        <w:t>[Status: Ungeprüft]</w:t>
      </w:r>
    </w:p>
  </w:footnote>
  <w:footnote w:id="6697">
    <w:p>
      <w:pPr>
        <w:pStyle w:val="Funote"/>
        <w:rPr/>
      </w:pPr>
      <w:r>
        <w:rPr>
          <w:i/>
        </w:rPr>
        <w:footnoteRef/>
        <w:tab/>
        <w:t>Offenbarung Jesu Christi</w:t>
      </w:r>
      <w:r>
        <w:rPr/>
        <w:t xml:space="preserve"> Dem Kontext nach ein subjektiver Genitiv auctoris („Offenbarung durch Jesus Christus“), nicht ein objektiver („Offenbarung über Jesus Christus“)(Osborne 2002, 52). </w:t>
        <w:br/>
        <w:t xml:space="preserve">Die </w:t>
      </w:r>
      <w:r>
        <w:rPr>
          <w:i/>
        </w:rPr>
        <w:t>Offenbarung</w:t>
      </w:r>
      <w:r>
        <w:rPr/>
        <w:t xml:space="preserve"> bezeichnet hier die Enthüllung von Unbekanntem, nämlich der unmittelbar bevorstehenden Zukunft (</w:t>
      </w:r>
      <w:r>
        <w:rPr>
          <w:i/>
        </w:rPr>
        <w:t>was in Kürze geschehen muss</w:t>
      </w:r>
      <w:r>
        <w:rPr/>
        <w:t xml:space="preserve">; ebd. 52f.). Dabei nimmt Johannes sprachliche und strukturelle Anleihen an </w:t>
      </w:r>
      <w:r>
        <w:fldChar w:fldCharType="begin"/>
      </w:r>
      <w:r>
        <w:instrText> HYPERLINK "file:///wiki/Daniel_2" \l "28"</w:instrText>
      </w:r>
      <w:r>
        <w:fldChar w:fldCharType="separate"/>
      </w:r>
      <w:r>
        <w:rPr>
          <w:rStyle w:val="Internetverknpfung"/>
        </w:rPr>
        <w:t>Dan 2,28-30</w:t>
      </w:r>
      <w:r>
        <w:fldChar w:fldCharType="end"/>
      </w:r>
      <w:r>
        <w:rPr/>
        <w:t xml:space="preserve"> sowie </w:t>
      </w:r>
      <w:r>
        <w:fldChar w:fldCharType="begin"/>
      </w:r>
      <w:r>
        <w:instrText> HYPERLINK "file:///wiki/Daniel_2" \l "45"</w:instrText>
      </w:r>
      <w:r>
        <w:fldChar w:fldCharType="separate"/>
      </w:r>
      <w:r>
        <w:rPr>
          <w:rStyle w:val="Internetverknpfung"/>
        </w:rPr>
        <w:t>2,45-47</w:t>
      </w:r>
      <w:r>
        <w:fldChar w:fldCharType="end"/>
      </w:r>
      <w:r>
        <w:rPr/>
        <w:t xml:space="preserve">,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w:t>
      </w:r>
      <w:r>
        <w:rPr>
          <w:i/>
        </w:rPr>
        <w:t>in Kürze</w:t>
      </w:r>
      <w:r>
        <w:rPr/>
        <w:t xml:space="preserve"> ersetzt (Beale 1999, 181f.). </w:t>
      </w:r>
    </w:p>
  </w:footnote>
  <w:footnote w:id="6698">
    <w:p>
      <w:pPr>
        <w:pStyle w:val="Funote"/>
        <w:rPr/>
      </w:pPr>
      <w:r>
        <w:rPr>
          <w:i/>
        </w:rPr>
        <w:footnoteRef/>
        <w:tab/>
        <w:t>indem er ... gesandt hat</w:t>
      </w:r>
      <w:r>
        <w:rPr/>
        <w:t xml:space="preserve"> Adverbiales Ptz. Aor., als modaler Nebensatz aufgelöst. Möglich wäre auch modal „erklärt und ... gesandt hat“ oder finaler „erklärt und dazu ... gesandt hat“.</w:t>
      </w:r>
    </w:p>
  </w:footnote>
  <w:footnote w:id="6699">
    <w:p>
      <w:pPr>
        <w:pStyle w:val="Funote"/>
        <w:rPr/>
      </w:pPr>
      <w:r>
        <w:rPr/>
        <w:footnoteRef/>
        <w:tab/>
        <w:t xml:space="preserve">[Fußnote: Schiefe Grammatik erklären.] </w:t>
      </w:r>
    </w:p>
  </w:footnote>
  <w:footnote w:id="6700">
    <w:p>
      <w:pPr>
        <w:pStyle w:val="Funote"/>
        <w:rPr/>
      </w:pPr>
      <w:r>
        <w:rPr/>
        <w:footnoteRef/>
        <w:tab/>
        <w:t>Objektiver Genitiv.</w:t>
      </w:r>
    </w:p>
  </w:footnote>
  <w:footnote w:id="6701">
    <w:p>
      <w:pPr>
        <w:pStyle w:val="Funote"/>
        <w:rPr/>
      </w:pPr>
      <w:r>
        <w:rPr>
          <w:i/>
        </w:rPr>
        <w:footnoteRef/>
        <w:tab/>
        <w:t>Gott, seinem Vater</w:t>
      </w:r>
      <w:r>
        <w:rPr/>
        <w:t xml:space="preserve"> Epexegetisches </w:t>
      </w:r>
      <w:r>
        <w:rPr>
          <w:lang w:val="el-GR"/>
        </w:rPr>
        <w:t>καὶ</w:t>
      </w:r>
      <w:r>
        <w:rPr/>
        <w:t xml:space="preserve">, sinngemäß also nicht „Gott und seinem Vater“, sondern „Gott, d.h. seinem Vater“. Die Auflösung als epexegetischer Einschub kommt dem sehr nahe. </w:t>
      </w:r>
    </w:p>
  </w:footnote>
  <w:footnote w:id="6702">
    <w:p>
      <w:pPr>
        <w:pStyle w:val="Funote"/>
        <w:rPr/>
      </w:pPr>
      <w:r>
        <w:rPr/>
        <w:footnoteRef/>
        <w:tab/>
        <w:t>Verschiedene deutsche Übersetzungen: „von Ewigkeit zu Ewigkeit“ oder „in alle Ewigkeit“.</w:t>
      </w:r>
    </w:p>
  </w:footnote>
  <w:footnote w:id="6703">
    <w:p>
      <w:pPr>
        <w:pStyle w:val="Funote"/>
        <w:rPr/>
      </w:pPr>
      <w:r>
        <w:rPr/>
        <w:footnoteRef/>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6704">
    <w:p>
      <w:pPr>
        <w:pStyle w:val="Funote"/>
        <w:rPr/>
      </w:pPr>
      <w:r>
        <w:rPr>
          <w:i/>
        </w:rPr>
        <w:footnoteRef/>
        <w:tab/>
        <w:t>Der Ist (Seiende) und Der War (Gewesene) und Der Kommen Wird (Kommende)</w:t>
      </w:r>
      <w:r>
        <w:rPr/>
        <w:t xml:space="preserve"> Substantivierte </w:t>
      </w:r>
      <w:hyperlink r:id="rId706">
        <w:r>
          <w:rPr>
            <w:rStyle w:val="Internetverknpfung"/>
          </w:rPr>
          <w:t>Partizipien</w:t>
        </w:r>
      </w:hyperlink>
      <w:r>
        <w:rPr/>
        <w:t xml:space="preserve">, je als Relativsatz aufgelöst. </w:t>
      </w:r>
    </w:p>
  </w:footnote>
  <w:footnote w:id="6705">
    <w:p>
      <w:pPr>
        <w:pStyle w:val="Funote"/>
        <w:rPr/>
      </w:pPr>
      <w:r>
        <w:rPr/>
        <w:footnoteRef/>
        <w:tab/>
        <w:t xml:space="preserve">Attributives </w:t>
      </w:r>
      <w:hyperlink r:id="rId707">
        <w:r>
          <w:rPr>
            <w:rStyle w:val="Internetverknpfung"/>
          </w:rPr>
          <w:t>Ptz.</w:t>
        </w:r>
      </w:hyperlink>
      <w:r>
        <w:rPr/>
        <w:t xml:space="preserve"> Präs. Pass., als Relativsatz aufgelöst. </w:t>
      </w:r>
    </w:p>
  </w:footnote>
  <w:footnote w:id="6706">
    <w:p>
      <w:pPr>
        <w:pStyle w:val="Funote"/>
        <w:rPr/>
      </w:pPr>
      <w:r>
        <w:rPr>
          <w:i/>
        </w:rPr>
        <w:footnoteRef/>
        <w:tab/>
        <w:t>Wort Gottes</w:t>
      </w:r>
      <w:r>
        <w:rPr/>
        <w:t xml:space="preserve"> Könnte ein </w:t>
      </w:r>
      <w:hyperlink r:id="rId708">
        <w:r>
          <w:rPr>
            <w:rStyle w:val="Internetverknpfung"/>
          </w:rPr>
          <w:t>Genitivus</w:t>
        </w:r>
      </w:hyperlink>
      <w:r>
        <w:rPr/>
        <w:t xml:space="preserve"> auctoris („Wort von Gott“) oder ein Genitivus epexegeticus („Wort über Gott“) sein. An dieser Stelle lässt die Übersetzung das offen. </w:t>
      </w:r>
    </w:p>
  </w:footnote>
  <w:footnote w:id="6707">
    <w:p>
      <w:pPr>
        <w:pStyle w:val="Funote"/>
        <w:rPr/>
      </w:pPr>
      <w:r>
        <w:rPr/>
        <w:footnoteRef/>
        <w:tab/>
        <w:t xml:space="preserve">Johannes macht an dieser Stelle nicht klar, ob er sich in Gottes Auftrag nach Patmos begeben hat, oder ob er wegen seiner Predigttätigkeit dorthin verbannt wurde, wie es die frühkirchliche Tradition überliefert. </w:t>
      </w:r>
    </w:p>
  </w:footnote>
  <w:footnote w:id="6708">
    <w:p>
      <w:pPr>
        <w:pStyle w:val="Funote"/>
        <w:rPr/>
      </w:pPr>
      <w:r>
        <w:rPr>
          <w:i/>
        </w:rPr>
        <w:footnoteRef/>
        <w:tab/>
        <w:t>Tag des Herrn</w:t>
      </w:r>
      <w:r>
        <w:rPr/>
        <w:t xml:space="preserve"> Das ist der Sonntag. Gr. </w:t>
      </w:r>
      <w:r>
        <w:rPr>
          <w:lang w:val="el-GR"/>
        </w:rPr>
        <w:t>κυριακῇ ἡμέρᾳ</w:t>
      </w:r>
      <w:r>
        <w:rPr/>
        <w:t xml:space="preserve">, etwa „der zum Herrn gehörige Tag“. </w:t>
      </w:r>
    </w:p>
  </w:footnote>
  <w:footnote w:id="6709">
    <w:p>
      <w:pPr>
        <w:pStyle w:val="Funote"/>
        <w:rPr/>
      </w:pPr>
      <w:r>
        <w:rPr>
          <w:i/>
        </w:rPr>
        <w:footnoteRef/>
        <w:tab/>
        <w:t>Laut wie eine Trompete/laute Stimme wie eine Trompete</w:t>
      </w:r>
      <w:r>
        <w:rPr/>
        <w:t xml:space="preserve"> Im zweiten Fall wäre gemeint, dass die Stimme wie eine Trompete klingt. Dass die Stimme so laut ist wie eine Trompete, scheint da näher zu liegen. </w:t>
      </w:r>
    </w:p>
  </w:footnote>
  <w:footnote w:id="6710">
    <w:p>
      <w:pPr>
        <w:pStyle w:val="Funote"/>
        <w:rPr/>
      </w:pPr>
      <w:r>
        <w:rPr>
          <w:i/>
        </w:rPr>
        <w:footnoteRef/>
        <w:tab/>
        <w:t>die sprach</w:t>
      </w:r>
      <w:r>
        <w:rPr/>
        <w:t xml:space="preserve"> </w:t>
      </w:r>
      <w:hyperlink r:id="rId709">
        <w:r>
          <w:rPr>
            <w:rStyle w:val="Internetverknpfung"/>
          </w:rPr>
          <w:t>Adverbiales Ptz.</w:t>
        </w:r>
      </w:hyperlink>
      <w:r>
        <w:rPr/>
        <w:t xml:space="preserve">, als Relativsatz aufgelöst. </w:t>
      </w:r>
    </w:p>
  </w:footnote>
  <w:footnote w:id="6711">
    <w:p>
      <w:pPr>
        <w:pStyle w:val="Funote"/>
        <w:rPr/>
      </w:pPr>
      <w:r>
        <w:rPr>
          <w:i/>
        </w:rPr>
        <w:footnoteRef/>
        <w:tab/>
        <w:t>als (indem) ich mich umwandte</w:t>
      </w:r>
      <w:r>
        <w:rPr/>
        <w:t xml:space="preserve"> Temporal oder modal aufzulösendes </w:t>
      </w:r>
      <w:hyperlink r:id="rId710">
        <w:r>
          <w:rPr>
            <w:rStyle w:val="Internetverknpfung"/>
          </w:rPr>
          <w:t>Ptz. coni.</w:t>
        </w:r>
      </w:hyperlink>
      <w:r>
        <w:rPr/>
        <w:t xml:space="preserve">. </w:t>
      </w:r>
    </w:p>
  </w:footnote>
  <w:footnote w:id="6712">
    <w:p>
      <w:pPr>
        <w:pStyle w:val="Funote"/>
        <w:rPr/>
      </w:pPr>
      <w:r>
        <w:rPr>
          <w:i/>
        </w:rPr>
        <w:footnoteRef/>
        <w:tab/>
        <w:t>Sohn eines Menschen (Menschensohn)</w:t>
      </w:r>
      <w:r>
        <w:rPr/>
        <w:t xml:space="preserve"> Es handelt sich entweder um einen Bezug [Rest der Fußnote zu ergänzen!]</w:t>
        <w:br/>
      </w:r>
      <w:r>
        <w:rPr>
          <w:i/>
        </w:rPr>
        <w:t>[den]</w:t>
      </w:r>
      <w:r>
        <w:rPr/>
        <w:t xml:space="preserve">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 </w:t>
      </w:r>
    </w:p>
  </w:footnote>
  <w:footnote w:id="6713">
    <w:p>
      <w:pPr>
        <w:pStyle w:val="Funote"/>
        <w:rPr/>
      </w:pPr>
      <w:r>
        <w:rPr/>
        <w:footnoteRef/>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6714">
    <w:p>
      <w:pPr>
        <w:pStyle w:val="Funote"/>
        <w:rPr/>
      </w:pPr>
      <w:r>
        <w:rPr>
          <w:i/>
        </w:rPr>
        <w:footnoteRef/>
        <w:tab/>
        <w:t>Feuerflamme</w:t>
      </w:r>
      <w:r>
        <w:rPr/>
        <w:t xml:space="preserve"> Gr. „Flamme [aus] Feuer“ (der </w:t>
      </w:r>
      <w:hyperlink r:id="rId711">
        <w:r>
          <w:rPr>
            <w:rStyle w:val="Internetverknpfung"/>
          </w:rPr>
          <w:t>Genitiv</w:t>
        </w:r>
      </w:hyperlink>
      <w:r>
        <w:rPr/>
        <w:t xml:space="preserve"> beschreibt eine Eigenschaft). Im Deutschen empfindet man die Information, dass es sich um eine Flamme „aus Feuer“ handelt, als überflüssig, hier scheint es jedoch zum Sprachgebrauch zu gehören. </w:t>
      </w:r>
    </w:p>
  </w:footnote>
  <w:footnote w:id="6715">
    <w:p>
      <w:pPr>
        <w:pStyle w:val="Funote"/>
        <w:rPr/>
      </w:pPr>
      <w:r>
        <w:rPr>
          <w:i/>
        </w:rPr>
        <w:footnoteRef/>
        <w:tab/>
        <w:t>wie im Ofen gebrannt</w:t>
      </w:r>
      <w:r>
        <w:rPr/>
        <w:t xml:space="preserve">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w:t>
      </w:r>
      <w:hyperlink r:id="rId712">
        <w:r>
          <w:rPr>
            <w:rStyle w:val="Internetverknpfung"/>
          </w:rPr>
          <w:t>Gen. abs.</w:t>
        </w:r>
      </w:hyperlink>
      <w:r>
        <w:rPr/>
        <w:t xml:space="preserve"> handelt. Beschrieben würde dann die Bronze (so Thomas nach Beale 1999, 210). </w:t>
      </w:r>
    </w:p>
  </w:footnote>
  <w:footnote w:id="6716">
    <w:p>
      <w:pPr>
        <w:pStyle w:val="Funote"/>
        <w:rPr/>
      </w:pPr>
      <w:r>
        <w:rPr>
          <w:i/>
        </w:rPr>
        <w:footnoteRef/>
        <w:tab/>
        <w:t>hielt</w:t>
      </w:r>
      <w:r>
        <w:rPr/>
        <w:t xml:space="preserve"> und </w:t>
      </w:r>
      <w:r>
        <w:rPr>
          <w:i/>
        </w:rPr>
        <w:t>kam heraus</w:t>
      </w:r>
      <w:r>
        <w:rPr/>
        <w:t xml:space="preserve"> Prädikative Partizipien (oder evtl. modale adverbiale Ptz.), als Indikative übersetzt. </w:t>
      </w:r>
    </w:p>
  </w:footnote>
  <w:footnote w:id="6717">
    <w:p>
      <w:pPr>
        <w:pStyle w:val="Funote"/>
        <w:rPr/>
      </w:pPr>
      <w:r>
        <w:rPr>
          <w:i/>
        </w:rPr>
        <w:footnoteRef/>
        <w:tab/>
        <w:t>und sagte</w:t>
      </w:r>
      <w:r>
        <w:rPr/>
        <w:t xml:space="preserve"> Mit „und“-Kombination aufgelöstes, modales </w:t>
      </w:r>
      <w:hyperlink r:id="rId713">
        <w:r>
          <w:rPr>
            <w:rStyle w:val="Internetverknpfung"/>
          </w:rPr>
          <w:t>Ptc. coni.</w:t>
        </w:r>
      </w:hyperlink>
      <w:r>
        <w:rPr/>
        <w:t xml:space="preserve">. </w:t>
      </w:r>
    </w:p>
  </w:footnote>
  <w:footnote w:id="6718">
    <w:p>
      <w:pPr>
        <w:pStyle w:val="Funote"/>
        <w:rPr/>
      </w:pPr>
      <w:r>
        <w:rPr/>
        <w:footnoteRef/>
        <w:tab/>
        <w:t>Verschiedene deutsche Übersetzungen: „von Ewigkeit zu Ewigkeit“ oder „in alle Ewigkeit“.</w:t>
      </w:r>
    </w:p>
  </w:footnote>
  <w:footnote w:id="6719">
    <w:p>
      <w:pPr>
        <w:pStyle w:val="Funote"/>
        <w:rPr/>
      </w:pPr>
      <w:r>
        <w:rPr>
          <w:i/>
        </w:rPr>
        <w:footnoteRef/>
        <w:tab/>
        <w:t>Schlüssel [zu] Tod und Hades</w:t>
      </w:r>
      <w:r>
        <w:rPr/>
        <w:t xml:space="preserve"> </w:t>
      </w:r>
      <w:hyperlink r:id="rId714">
        <w:r>
          <w:rPr>
            <w:rStyle w:val="Internetverknpfung"/>
          </w:rPr>
          <w:t>Genitivus obiectivus</w:t>
        </w:r>
      </w:hyperlink>
      <w:r>
        <w:rPr/>
        <w:t>, w. „Schlüssel des Todes und des Hades“</w:t>
      </w:r>
    </w:p>
  </w:footnote>
  <w:footnote w:id="6720">
    <w:p>
      <w:pPr>
        <w:pStyle w:val="Funote"/>
        <w:rPr/>
      </w:pPr>
      <w:r>
        <w:rPr/>
        <w:footnoteRef/>
        <w:tab/>
        <w:t xml:space="preserve">Gr. "und" ist hier vermutlich explikativ zu verstehen. Es hat also etwa die Übersetzung "d.h.". Hier ist es als Doppelpunkt wiedergegeben. </w:t>
      </w:r>
    </w:p>
  </w:footnote>
  <w:footnote w:id="6721">
    <w:p>
      <w:pPr>
        <w:pStyle w:val="Funote"/>
        <w:rPr/>
      </w:pPr>
      <w:r>
        <w:rPr/>
        <w:footnoteRef/>
        <w:tab/>
        <w:t>[Status: Ungeprüft]</w:t>
      </w:r>
    </w:p>
  </w:footnote>
  <w:footnote w:id="6722">
    <w:p>
      <w:pPr>
        <w:pStyle w:val="Funote"/>
        <w:rPr/>
      </w:pPr>
      <w:r>
        <w:rPr/>
        <w:footnoteRef/>
        <w:tab/>
        <w:t xml:space="preserve">Das Wort </w:t>
      </w:r>
      <w:r>
        <w:rPr>
          <w:lang w:val="el-GR"/>
        </w:rPr>
        <w:t>χαλκολίβανον</w:t>
      </w:r>
      <w:r>
        <w:rPr/>
        <w:t xml:space="preserve"> kommt im Neuen Testament nur hier und Offb 1,15 vor. Seine genaue Bedeutung ist unklar. Es liegt zwar nahe, eine Zusammensetzung aus </w:t>
      </w:r>
      <w:r>
        <w:rPr>
          <w:lang w:val="el-GR"/>
        </w:rPr>
        <w:t>χαλκός</w:t>
      </w:r>
      <w:r>
        <w:rPr/>
        <w:t xml:space="preserve"> (Kupfer, Bronze, Erz) und </w:t>
      </w:r>
      <w:r>
        <w:rPr>
          <w:lang w:val="el-GR"/>
        </w:rPr>
        <w:t>λίβανος</w:t>
      </w:r>
      <w:r>
        <w:rPr/>
        <w:t xml:space="preserve"> (Weihrauch, Libanon) anzunehmen, aber es ist schwer, eine solche Zusammensetzung zu deuten. Unter neueren Übersetzern und Kommentaren besteht aber Einigkeit, dass es sich um ein Metall handelt und sowohl der Kontext wie die Parallelität zu Dan 10,6 und Ez 1,7 lassen vermuten, dass es sich um ein besonderes, wahrscheinlich besonders glänzendes Metall handelt. (Cf. z.B. Charles Brütsch, Die Offenbarung Jesu Christi: Johannes-Apokalypse, Band 1, Zürich 1970, 86 f.)</w:t>
      </w:r>
    </w:p>
  </w:footnote>
  <w:footnote w:id="6723">
    <w:p>
      <w:pPr>
        <w:pStyle w:val="Funote"/>
        <w:rPr/>
      </w:pPr>
      <w:r>
        <w:rPr/>
        <w:footnoteRef/>
        <w:tab/>
        <w:t>Bezieht sich auf Isebel.</w:t>
      </w:r>
    </w:p>
  </w:footnote>
  <w:footnote w:id="6724">
    <w:p>
      <w:pPr>
        <w:pStyle w:val="Funote"/>
        <w:rPr/>
      </w:pPr>
      <w:r>
        <w:rPr/>
        <w:footnoteRef/>
        <w:tab/>
        <w:t xml:space="preserve">Kein wörtliches Zitat, aber eine deutliche Anspielung auf Ps 2,8f. In der Septuagintafassung: </w:t>
      </w:r>
      <w:r>
        <w:rPr>
          <w:lang w:val="el-GR"/>
        </w:rPr>
        <w:t>καὶ δώσω σοι ἔθνη τὴν κληρονομίαν σου καὶ τὴν κατάσχεσίν σου τὰ πέρατα τῆς γῆς: 9 ποιμανεῖς αὐτοὺς ἐν ῥάβδῳ σιδηρᾷ, ὡς σκεῦος κεραμέως συντρίψεις αὐτούς</w:t>
      </w:r>
      <w:r>
        <w:rPr/>
        <w:t>. (Und ich werde dir Völker als dein Erbe geben und die Enden der Erde als deinen Besitz: Du wirst sie weiden mit einem eisernen Stab, wie ein tönernes Gefäß wirst du sie zerschlagen.) Angesprochen (von Gott) ist in Ps 2,8f ein von Gott auf dem Zion eingesetzter König.</w:t>
      </w:r>
    </w:p>
  </w:footnote>
  <w:footnote w:id="6725">
    <w:p>
      <w:pPr>
        <w:pStyle w:val="Funote"/>
        <w:rPr/>
      </w:pPr>
      <w:r>
        <w:rPr/>
        <w:footnoteRef/>
        <w:tab/>
        <w:t>Die Übersetzung ist schwierig: Es ist kein„Engel“ im Snnne des himmlischen Hofstaates, auch kein Bote, denn einem solchen müßte Johannes nicht schreiben.</w:t>
      </w:r>
    </w:p>
  </w:footnote>
  <w:footnote w:id="6726">
    <w:p>
      <w:pPr>
        <w:pStyle w:val="Funote"/>
        <w:rPr/>
      </w:pPr>
      <w:r>
        <w:rPr/>
        <w:footnoteRef/>
        <w:tab/>
        <w:t>Eher nicht „der Wahre“ weil das im Deutschen zu sehr nach „echt“ klingt.</w:t>
      </w:r>
    </w:p>
  </w:footnote>
  <w:footnote w:id="6727">
    <w:p>
      <w:pPr>
        <w:pStyle w:val="Funote"/>
        <w:rPr/>
      </w:pPr>
      <w:r>
        <w:rPr/>
        <w:footnoteRef/>
        <w:tab/>
        <w:t>„</w:t>
      </w:r>
      <w:r>
        <w:rPr/>
        <w:t>eingesetzt“: ergänzt weil das Prädikat „habe“ eine Ergänzung braucht.</w:t>
      </w:r>
    </w:p>
  </w:footnote>
  <w:footnote w:id="6728">
    <w:p>
      <w:pPr>
        <w:pStyle w:val="Funote"/>
        <w:rPr/>
      </w:pPr>
      <w:r>
        <w:rPr/>
        <w:footnoteRef/>
        <w:tab/>
        <w:t>Freier Übersetzungsvorschlag: „Schau ich halte dir dir Tür auf“</w:t>
      </w:r>
    </w:p>
  </w:footnote>
  <w:footnote w:id="6729">
    <w:p>
      <w:pPr>
        <w:pStyle w:val="Funote"/>
        <w:rPr/>
      </w:pPr>
      <w:r>
        <w:rPr/>
        <w:footnoteRef/>
        <w:tab/>
        <w:t>Wörtlich: Weil du hast das Wort des geduldigen auf mich Wartens gehalten (bewahrt) hast,</w:t>
      </w:r>
    </w:p>
  </w:footnote>
  <w:footnote w:id="6730">
    <w:p>
      <w:pPr>
        <w:pStyle w:val="Funote"/>
        <w:rPr/>
      </w:pPr>
      <w:r>
        <w:rPr/>
        <w:footnoteRef/>
        <w:tab/>
        <w:t>einfacher: »über die ganze Welt«</w:t>
      </w:r>
    </w:p>
  </w:footnote>
  <w:footnote w:id="6731">
    <w:p>
      <w:pPr>
        <w:pStyle w:val="Funote"/>
        <w:rPr/>
      </w:pPr>
      <w:r>
        <w:rPr/>
        <w:footnoteRef/>
        <w:tab/>
        <w:t>[Status: Ungeprüft]</w:t>
      </w:r>
    </w:p>
  </w:footnote>
  <w:footnote w:id="6732">
    <w:p>
      <w:pPr>
        <w:pStyle w:val="Funote"/>
        <w:rPr/>
      </w:pPr>
      <w:r>
        <w:rPr/>
        <w:footnoteRef/>
        <w:tab/>
        <w:t>Prädikatives Ptz. (AcP), als Infinitivsatz übersetzt.</w:t>
      </w:r>
    </w:p>
  </w:footnote>
  <w:footnote w:id="6733">
    <w:p>
      <w:pPr>
        <w:pStyle w:val="Funote"/>
        <w:rPr/>
      </w:pPr>
      <w:r>
        <w:rPr/>
        <w:footnoteRef/>
        <w:tab/>
        <w:t>Hier steht ein adverbiales Partizip, wo eigentlich ein Indikativ zu erwarten wäre (so die Übersetzung). Ein Semitismus? Ein fehlendes Prädikat, ersetzt durch ein pleonastisches Ptz.? Muss man genauer erforschen.</w:t>
      </w:r>
    </w:p>
  </w:footnote>
  <w:footnote w:id="6734">
    <w:p>
      <w:pPr>
        <w:pStyle w:val="Funote"/>
        <w:rPr/>
      </w:pPr>
      <w:r>
        <w:rPr/>
        <w:footnoteRef/>
        <w:tab/>
        <w:t>„</w:t>
      </w:r>
      <w:r>
        <w:rPr/>
        <w:t>danach geschehen muss“ So die Zeichensetzung im NA28. Das SBLGNT zählt „danach“ zum nächsten Satz (V. 2) und liest „was geschehen muss! Danach...“</w:t>
      </w:r>
    </w:p>
  </w:footnote>
  <w:footnote w:id="6735">
    <w:p>
      <w:pPr>
        <w:pStyle w:val="Funote"/>
        <w:rPr/>
      </w:pPr>
      <w:r>
        <w:rPr>
          <w:i/>
        </w:rPr>
        <w:footnoteRef/>
        <w:tab/>
        <w:t>[in seinem] Aussehen</w:t>
      </w:r>
      <w:r>
        <w:rPr/>
        <w:t xml:space="preserve"> Dativ</w:t>
      </w:r>
    </w:p>
  </w:footnote>
  <w:footnote w:id="6736">
    <w:p>
      <w:pPr>
        <w:pStyle w:val="Funote"/>
        <w:rPr/>
      </w:pPr>
      <w:r>
        <w:rPr>
          <w:i/>
        </w:rPr>
        <w:footnoteRef/>
        <w:tab/>
        <w:t>Smaragden</w:t>
      </w:r>
      <w:r>
        <w:rPr/>
        <w:t xml:space="preserve"> Gr. das entsprechende Adjektiv </w:t>
      </w:r>
      <w:r>
        <w:rPr>
          <w:lang w:val="el-GR"/>
        </w:rPr>
        <w:t>σμαράγδινος</w:t>
      </w:r>
      <w:r>
        <w:rPr/>
        <w:t>.</w:t>
      </w:r>
    </w:p>
  </w:footnote>
  <w:footnote w:id="6737">
    <w:p>
      <w:pPr>
        <w:pStyle w:val="Funote"/>
        <w:rPr/>
      </w:pPr>
      <w:r>
        <w:rPr/>
        <w:footnoteRef/>
        <w:tab/>
        <w:t xml:space="preserve">Prädikatives </w:t>
      </w:r>
      <w:hyperlink r:id="rId715">
        <w:r>
          <w:rPr>
            <w:rStyle w:val="Internetverknpfung"/>
          </w:rPr>
          <w:t>Partizip</w:t>
        </w:r>
      </w:hyperlink>
      <w:r>
        <w:rPr/>
        <w:t>.</w:t>
      </w:r>
    </w:p>
  </w:footnote>
  <w:footnote w:id="6738">
    <w:p>
      <w:pPr>
        <w:pStyle w:val="Funote"/>
        <w:rPr/>
      </w:pPr>
      <w:r>
        <w:rPr/>
        <w:footnoteRef/>
        <w:tab/>
        <w:t xml:space="preserve">Modales </w:t>
      </w:r>
      <w:hyperlink r:id="rId716">
        <w:r>
          <w:rPr>
            <w:rStyle w:val="Internetverknpfung"/>
          </w:rPr>
          <w:t>Ptc. Coni.</w:t>
        </w:r>
      </w:hyperlink>
      <w:r>
        <w:rPr/>
        <w:t>.</w:t>
      </w:r>
    </w:p>
  </w:footnote>
  <w:footnote w:id="6739">
    <w:p>
      <w:pPr>
        <w:pStyle w:val="Funote"/>
        <w:rPr/>
      </w:pPr>
      <w:r>
        <w:rPr>
          <w:i/>
        </w:rPr>
        <w:footnoteRef/>
        <w:tab/>
        <w:t>[mit] Feuer</w:t>
      </w:r>
      <w:r>
        <w:rPr/>
        <w:t xml:space="preserve"> Genitivus materiae?.</w:t>
      </w:r>
    </w:p>
  </w:footnote>
  <w:footnote w:id="6740">
    <w:p>
      <w:pPr>
        <w:pStyle w:val="Funote"/>
        <w:rPr/>
      </w:pPr>
      <w:r>
        <w:rPr>
          <w:i/>
        </w:rPr>
        <w:footnoteRef/>
        <w:tab/>
        <w:t>wie ein Mensch</w:t>
      </w:r>
      <w:r>
        <w:rPr/>
        <w:t xml:space="preserve"> wörtlich </w:t>
      </w:r>
      <w:r>
        <w:rPr>
          <w:i/>
        </w:rPr>
        <w:t>Gesicht wie [das] eines Menschen</w:t>
      </w:r>
      <w:r>
        <w:rPr/>
        <w:t>, was jedoch im Deutschen unnötig kompliziert klingt. Die Aussage bleibt unverändert.</w:t>
      </w:r>
    </w:p>
  </w:footnote>
  <w:footnote w:id="6741">
    <w:p>
      <w:pPr>
        <w:pStyle w:val="Funote"/>
        <w:rPr/>
      </w:pPr>
      <w:r>
        <w:rPr>
          <w:i/>
        </w:rPr>
        <w:footnoteRef/>
        <w:tab/>
        <w:t>habend</w:t>
      </w:r>
      <w:r>
        <w:rPr/>
        <w:t xml:space="preserve"> Adverbiales </w:t>
      </w:r>
      <w:hyperlink r:id="rId717">
        <w:r>
          <w:rPr>
            <w:rStyle w:val="Internetverknpfung"/>
          </w:rPr>
          <w:t>Partizip</w:t>
        </w:r>
      </w:hyperlink>
      <w:r>
        <w:rPr/>
        <w:t xml:space="preserve">, wohl modalen Sinnes. Es wurde hier nicht in einen Nebensatz aufgelöst, um den seltsamen Satzbau zu erhalten, der in der durch das Partizip markierten Parenthese im Singular, sonst aber im Plural formuliert ist. </w:t>
      </w:r>
    </w:p>
  </w:footnote>
  <w:footnote w:id="6742">
    <w:p>
      <w:pPr>
        <w:pStyle w:val="Funote"/>
        <w:rPr/>
      </w:pPr>
      <w:r>
        <w:rPr>
          <w:i/>
        </w:rPr>
        <w:footnoteRef/>
        <w:tab/>
        <w:t>Und sie rufen Tag und Nacht ohne Unterbrechung</w:t>
      </w:r>
      <w:r>
        <w:rPr/>
        <w:t xml:space="preserve"> Wörtlich etwa </w:t>
      </w:r>
      <w:r>
        <w:rPr>
          <w:i/>
        </w:rPr>
        <w:t>sie haben Tag und Nacht keine Unterbrechung, weil (wobei) sie rufen (sprechen)</w:t>
      </w:r>
      <w:r>
        <w:rPr/>
        <w:t xml:space="preserve">.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w:t>
      </w:r>
      <w:r>
        <w:rPr>
          <w:i/>
        </w:rPr>
        <w:t>ohne Unterbrechung</w:t>
      </w:r>
      <w:r>
        <w:rPr/>
        <w:t xml:space="preserve"> Der griechischen HS wurde als Präpositionalphrase übersetzt.</w:t>
      </w:r>
    </w:p>
  </w:footnote>
  <w:footnote w:id="6743">
    <w:p>
      <w:pPr>
        <w:pStyle w:val="Funote"/>
        <w:rPr/>
      </w:pPr>
      <w:r>
        <w:rPr>
          <w:i/>
        </w:rPr>
        <w:footnoteRef/>
        <w:tab/>
        <w:t>Der War (Gewesene) und Der Ist (Seiende) und Der Kommen Wird (Kommende)</w:t>
      </w:r>
      <w:r>
        <w:rPr/>
        <w:t xml:space="preserve"> Substantivierte </w:t>
      </w:r>
      <w:hyperlink r:id="rId718">
        <w:r>
          <w:rPr>
            <w:rStyle w:val="Internetverknpfung"/>
          </w:rPr>
          <w:t>Partizipien</w:t>
        </w:r>
      </w:hyperlink>
      <w:r>
        <w:rPr/>
        <w:t>, je als Relativsatz aufgelöst.</w:t>
      </w:r>
    </w:p>
  </w:footnote>
  <w:footnote w:id="6744">
    <w:p>
      <w:pPr>
        <w:pStyle w:val="Funote"/>
        <w:rPr/>
      </w:pPr>
      <w:r>
        <w:rPr>
          <w:i/>
        </w:rPr>
        <w:footnoteRef/>
        <w:tab/>
        <w:t>gaben (geben werden)</w:t>
      </w:r>
      <w:r>
        <w:rPr/>
        <w:t xml:space="preserve">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6745">
    <w:p>
      <w:pPr>
        <w:pStyle w:val="Funote"/>
        <w:rPr/>
      </w:pPr>
      <w:r>
        <w:rPr>
          <w:i/>
        </w:rPr>
        <w:footnoteRef/>
        <w:tab/>
        <w:t>der lebt</w:t>
      </w:r>
      <w:r>
        <w:rPr/>
        <w:t xml:space="preserve"> Als Relativsatz aufgelöstes substantiviertes Partizip.</w:t>
      </w:r>
    </w:p>
  </w:footnote>
  <w:footnote w:id="6746">
    <w:p>
      <w:pPr>
        <w:pStyle w:val="Funote"/>
        <w:rPr/>
      </w:pPr>
      <w:r>
        <w:rPr/>
        <w:footnoteRef/>
        <w:tab/>
        <w:t xml:space="preserve">Verschiedene deutsche Übersetzungen: </w:t>
      </w:r>
      <w:r>
        <w:rPr>
          <w:i/>
        </w:rPr>
        <w:t>von Ewigkeit zu Ewigkeit</w:t>
      </w:r>
      <w:r>
        <w:rPr/>
        <w:t xml:space="preserve"> oder </w:t>
      </w:r>
      <w:r>
        <w:rPr>
          <w:i/>
        </w:rPr>
        <w:t>in alle Ewigkeit</w:t>
      </w:r>
    </w:p>
  </w:footnote>
  <w:footnote w:id="6747">
    <w:p>
      <w:pPr>
        <w:pStyle w:val="Funote"/>
        <w:rPr/>
      </w:pPr>
      <w:r>
        <w:rPr/>
        <w:footnoteRef/>
        <w:tab/>
        <w:t>Vgl. die Fußnote zur Futurform in V. 9.</w:t>
      </w:r>
    </w:p>
  </w:footnote>
  <w:footnote w:id="6748">
    <w:p>
      <w:pPr>
        <w:pStyle w:val="Funote"/>
        <w:rPr/>
      </w:pPr>
      <w:r>
        <w:rPr>
          <w:i/>
        </w:rPr>
        <w:footnoteRef/>
        <w:tab/>
        <w:t>der lebt</w:t>
      </w:r>
      <w:r>
        <w:rPr/>
        <w:t xml:space="preserve"> Als Relativsatz aufgelöstes substantiviertes Partizip.</w:t>
      </w:r>
    </w:p>
  </w:footnote>
  <w:footnote w:id="6749">
    <w:p>
      <w:pPr>
        <w:pStyle w:val="Funote"/>
        <w:rPr/>
      </w:pPr>
      <w:r>
        <w:rPr>
          <w:i/>
        </w:rPr>
        <w:footnoteRef/>
        <w:tab/>
        <w:t>wobei (während) sie rufen</w:t>
      </w:r>
      <w:r>
        <w:rPr/>
        <w:t xml:space="preserve"> Modal oder temporal aufzulösendes adverbiales Ptz.</w:t>
      </w:r>
    </w:p>
  </w:footnote>
  <w:footnote w:id="6750">
    <w:p>
      <w:pPr>
        <w:pStyle w:val="Funote"/>
        <w:rPr/>
      </w:pPr>
      <w:r>
        <w:rPr/>
        <w:footnoteRef/>
        <w:tab/>
        <w:t>[Status: Ungeprüft]</w:t>
      </w:r>
    </w:p>
  </w:footnote>
  <w:footnote w:id="6751">
    <w:p>
      <w:pPr>
        <w:pStyle w:val="Funote"/>
        <w:rPr/>
      </w:pPr>
      <w:r>
        <w:rPr>
          <w:i/>
        </w:rPr>
        <w:footnoteRef/>
        <w:tab/>
        <w:t>sah, wie (dass) … verkündete</w:t>
      </w:r>
      <w:r>
        <w:rPr/>
        <w:t xml:space="preserve"> </w:t>
      </w:r>
      <w:hyperlink r:id="rId719">
        <w:r>
          <w:rPr>
            <w:rStyle w:val="Internetverknpfung"/>
          </w:rPr>
          <w:t>AcP</w:t>
        </w:r>
      </w:hyperlink>
      <w:r>
        <w:rPr/>
        <w:t xml:space="preserve">. </w:t>
      </w:r>
      <w:r>
        <w:rPr>
          <w:i/>
        </w:rPr>
        <w:t>Wie (dass)</w:t>
      </w:r>
      <w:r>
        <w:rPr/>
        <w:t xml:space="preserve"> wurde eingefügt, um den AcP richtig aufzulösen.</w:t>
      </w:r>
    </w:p>
  </w:footnote>
  <w:footnote w:id="6752">
    <w:p>
      <w:pPr>
        <w:pStyle w:val="Funote"/>
        <w:rPr/>
      </w:pPr>
      <w:r>
        <w:rPr/>
        <w:footnoteRef/>
        <w:tab/>
        <w:t>hineinzusehen So die meisten Übersetzungen sinngemäß. W. „sie zu sehen“ (vgl. REB), damit ist wahrscheinlich der Blick auf den Inhalt gemeint.</w:t>
      </w:r>
    </w:p>
  </w:footnote>
  <w:footnote w:id="6753">
    <w:p>
      <w:pPr>
        <w:pStyle w:val="Funote"/>
        <w:rPr/>
      </w:pPr>
      <w:r>
        <w:rPr>
          <w:i/>
        </w:rPr>
        <w:footnoteRef/>
        <w:tab/>
        <w:t>ich begann heftig zu weinen</w:t>
      </w:r>
      <w:r>
        <w:rPr/>
        <w:t xml:space="preserve"> Konativ verstandenes Imperfekt, das dann den Beginn der Handlung beschreibt, was gut in den Kontext passt.</w:t>
      </w:r>
    </w:p>
  </w:footnote>
  <w:footnote w:id="6754">
    <w:p>
      <w:pPr>
        <w:pStyle w:val="Funote"/>
        <w:rPr/>
      </w:pPr>
      <w:r>
        <w:rPr>
          <w:i/>
        </w:rPr>
        <w:footnoteRef/>
        <w:tab/>
        <w:t>[um nun] zu öffnen</w:t>
      </w:r>
      <w:r>
        <w:rPr/>
        <w:t xml:space="preserve"> Der Infinitiv-NS scheint resultative Funktion zu haben. In der Lesefassung könnte er deutlich konsekutiv oder final übersetzt werden.</w:t>
      </w:r>
    </w:p>
  </w:footnote>
  <w:footnote w:id="6755">
    <w:p>
      <w:pPr>
        <w:pStyle w:val="Funote"/>
        <w:rPr/>
      </w:pPr>
      <w:r>
        <w:rPr>
          <w:i/>
        </w:rPr>
        <w:footnoteRef/>
        <w:tab/>
        <w:t>Lamm</w:t>
      </w:r>
      <w:r>
        <w:rPr/>
        <w:t xml:space="preserve">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6756">
    <w:p>
      <w:pPr>
        <w:pStyle w:val="Funote"/>
        <w:rPr/>
      </w:pPr>
      <w:r>
        <w:rPr>
          <w:i/>
        </w:rPr>
        <w:footnoteRef/>
        <w:tab/>
        <w:t>sah, dass (wie) … stand</w:t>
      </w:r>
      <w:r>
        <w:rPr/>
        <w:t xml:space="preserve"> </w:t>
      </w:r>
      <w:hyperlink r:id="rId720">
        <w:r>
          <w:rPr>
            <w:rStyle w:val="Internetverknpfung"/>
          </w:rPr>
          <w:t>AcP</w:t>
        </w:r>
      </w:hyperlink>
      <w:r>
        <w:rPr/>
        <w:t xml:space="preserve">. </w:t>
      </w:r>
      <w:r>
        <w:rPr>
          <w:i/>
        </w:rPr>
        <w:t>Dass (wie)</w:t>
      </w:r>
      <w:r>
        <w:rPr/>
        <w:t xml:space="preserve"> wurde eingefügt, um den AcP richtig aufzulösen.</w:t>
      </w:r>
    </w:p>
  </w:footnote>
  <w:footnote w:id="6757">
    <w:p>
      <w:pPr>
        <w:pStyle w:val="Funote"/>
        <w:rPr/>
      </w:pPr>
      <w:r>
        <w:rPr>
          <w:i/>
        </w:rPr>
        <w:footnoteRef/>
        <w:tab/>
        <w:t>Es hatte und ausgesandt</w:t>
      </w:r>
      <w:r>
        <w:rPr/>
        <w:t xml:space="preserve"> Adverbiale Partizipien, jeweils modal als unabhängiger HS bzw. als Attribut aufgelöst. Beide hätte man auch als Relativsätze auflösen können.</w:t>
      </w:r>
    </w:p>
  </w:footnote>
  <w:footnote w:id="6758">
    <w:p>
      <w:pPr>
        <w:pStyle w:val="Funote"/>
        <w:rPr/>
      </w:pPr>
      <w:r>
        <w:rPr/>
        <w:footnoteRef/>
        <w:tab/>
        <w:t>Substantiviertes Partizip, hier als Relativsatz aufgelöst.</w:t>
      </w:r>
    </w:p>
  </w:footnote>
  <w:footnote w:id="6759">
    <w:p>
      <w:pPr>
        <w:pStyle w:val="Funote"/>
        <w:rPr/>
      </w:pPr>
      <w:r>
        <w:rPr>
          <w:i/>
        </w:rPr>
        <w:footnoteRef/>
        <w:tab/>
        <w:t>Zither</w:t>
      </w:r>
      <w:r>
        <w:rPr/>
        <w:t xml:space="preserve"> Eine Art kleiner Harfe mit 10-12 Saiten, ein Instrument, das im Tempelgottesdienst Verwendung fand und auch hier darauf anspielt (Osborne 2002, 258).</w:t>
      </w:r>
    </w:p>
  </w:footnote>
  <w:footnote w:id="6760">
    <w:p>
      <w:pPr>
        <w:pStyle w:val="Funote"/>
        <w:rPr/>
      </w:pPr>
      <w:r>
        <w:rPr>
          <w:i/>
        </w:rPr>
        <w:footnoteRef/>
        <w:tab/>
        <w:t>wobei hatte</w:t>
      </w:r>
      <w:r>
        <w:rPr/>
        <w:t xml:space="preserve"> Als modaler Nebensatz aufgelöstes </w:t>
      </w:r>
      <w:hyperlink r:id="rId721">
        <w:r>
          <w:rPr>
            <w:rStyle w:val="Internetverknpfung"/>
          </w:rPr>
          <w:t>Ptc. Coni.</w:t>
        </w:r>
      </w:hyperlink>
      <w:r>
        <w:rPr/>
        <w:t xml:space="preserve"> (präs. 3. Pl.). Der Plural wurde im Deutschen als Singular wiedergegeben.</w:t>
      </w:r>
    </w:p>
  </w:footnote>
  <w:footnote w:id="6761">
    <w:p>
      <w:pPr>
        <w:pStyle w:val="Funote"/>
        <w:rPr/>
      </w:pPr>
      <w:r>
        <w:rPr>
          <w:i/>
        </w:rPr>
        <w:footnoteRef/>
        <w:tab/>
        <w:t>das</w:t>
      </w:r>
      <w:r>
        <w:rPr/>
        <w:t xml:space="preserve"> Gemeint sind wahrscheinlich nur die Schüsseln mit Weihrauch (vgl. Beale 1999, 357f.).</w:t>
      </w:r>
    </w:p>
  </w:footnote>
  <w:footnote w:id="6762">
    <w:p>
      <w:pPr>
        <w:pStyle w:val="Funote"/>
        <w:rPr/>
      </w:pPr>
      <w:r>
        <w:rPr>
          <w:i/>
        </w:rPr>
        <w:footnoteRef/>
        <w:tab/>
        <w:t>{mit dem Text}</w:t>
      </w:r>
      <w:r>
        <w:rPr/>
        <w:t xml:space="preserve"> W. „sagend/wobei sie sagten“. </w:t>
      </w:r>
      <w:r>
        <w:rPr>
          <w:i/>
        </w:rPr>
        <w:t>Mit dem Text</w:t>
      </w:r>
      <w:r>
        <w:rPr/>
        <w:t xml:space="preserve"> stellt eine paraphasierende Übersetzung als modale Präpositionalphrase dar. Das Partizip markiert nämlich in einer satzzeichenlosen Schrift den Beginn des Zitats, zeigt hier also an, welchen Text das Lied hatte.</w:t>
      </w:r>
    </w:p>
  </w:footnote>
  <w:footnote w:id="6763">
    <w:p>
      <w:pPr>
        <w:pStyle w:val="Funote"/>
        <w:rPr/>
      </w:pPr>
      <w:r>
        <w:rPr>
          <w:i/>
        </w:rPr>
        <w:footnoteRef/>
        <w:tab/>
        <w:t>[für] Gott</w:t>
      </w:r>
      <w:r>
        <w:rPr/>
        <w:t xml:space="preserve"> </w:t>
      </w:r>
      <w:hyperlink r:id="rId722">
        <w:r>
          <w:rPr>
            <w:rStyle w:val="Internetverknpfung"/>
          </w:rPr>
          <w:t>Dativus commodi</w:t>
        </w:r>
      </w:hyperlink>
      <w:r>
        <w:rPr/>
        <w:t>.</w:t>
      </w:r>
    </w:p>
  </w:footnote>
  <w:footnote w:id="6764">
    <w:p>
      <w:pPr>
        <w:pStyle w:val="Funote"/>
        <w:rPr/>
      </w:pPr>
      <w:r>
        <w:rPr>
          <w:i/>
        </w:rPr>
        <w:footnoteRef/>
        <w:tab/>
        <w:t>[für] unseren Gott</w:t>
      </w:r>
      <w:r>
        <w:rPr/>
        <w:t xml:space="preserve"> </w:t>
      </w:r>
      <w:hyperlink r:id="rId723">
        <w:r>
          <w:rPr>
            <w:rStyle w:val="Internetverknpfung"/>
          </w:rPr>
          <w:t>Dativus commodi</w:t>
        </w:r>
      </w:hyperlink>
      <w:r>
        <w:rPr/>
        <w:t>.</w:t>
      </w:r>
    </w:p>
  </w:footnote>
  <w:footnote w:id="6765">
    <w:p>
      <w:pPr>
        <w:pStyle w:val="Funote"/>
        <w:rPr/>
      </w:pPr>
      <w:r>
        <w:rPr>
          <w:i/>
        </w:rPr>
        <w:footnoteRef/>
        <w:tab/>
        <w:t>Stimmen</w:t>
      </w:r>
      <w:r>
        <w:rPr/>
        <w:t xml:space="preserve"> W. „Stimme“. Im Deutschen ist ein Plural erforderlich.</w:t>
      </w:r>
    </w:p>
  </w:footnote>
  <w:footnote w:id="6766">
    <w:p>
      <w:pPr>
        <w:pStyle w:val="Funote"/>
        <w:rPr/>
      </w:pPr>
      <w:r>
        <w:rPr>
          <w:i/>
        </w:rPr>
        <w:footnoteRef/>
        <w:tab/>
        <w:t>zehntausend mal zehntausend und tausend mal tausend</w:t>
      </w:r>
      <w:r>
        <w:rPr/>
        <w:t xml:space="preserve">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6767">
    <w:p>
      <w:pPr>
        <w:pStyle w:val="Funote"/>
        <w:rPr/>
      </w:pPr>
      <w:r>
        <w:rPr>
          <w:i/>
        </w:rPr>
        <w:footnoteRef/>
        <w:tab/>
        <w:t>die … riefen</w:t>
      </w:r>
      <w:r>
        <w:rPr/>
        <w:t xml:space="preserve"> Ptc. coni., modal als Relativsatz aufgelöst.</w:t>
      </w:r>
    </w:p>
  </w:footnote>
  <w:footnote w:id="6768">
    <w:p>
      <w:pPr>
        <w:pStyle w:val="Funote"/>
        <w:rPr/>
      </w:pPr>
      <w:r>
        <w:rPr/>
        <w:footnoteRef/>
        <w:tab/>
        <w:t xml:space="preserve">Attributives </w:t>
      </w:r>
      <w:hyperlink r:id="rId724">
        <w:r>
          <w:rPr>
            <w:rStyle w:val="Internetverknpfung"/>
          </w:rPr>
          <w:t>Ptz.</w:t>
        </w:r>
      </w:hyperlink>
      <w:r>
        <w:rPr/>
        <w:t xml:space="preserve"> pf. Pass.</w:t>
      </w:r>
    </w:p>
  </w:footnote>
  <w:footnote w:id="6769">
    <w:p>
      <w:pPr>
        <w:pStyle w:val="Funote"/>
        <w:rPr/>
      </w:pPr>
      <w:r>
        <w:rPr>
          <w:i/>
        </w:rPr>
        <w:footnoteRef/>
        <w:tab/>
        <w:t>rufen</w:t>
      </w:r>
      <w:r>
        <w:rPr/>
        <w:t xml:space="preserve"> Prädikatives Partizip (AcP). Auch möglich: „...hörte, wie sie riefen“</w:t>
      </w:r>
    </w:p>
  </w:footnote>
  <w:footnote w:id="6770">
    <w:p>
      <w:pPr>
        <w:pStyle w:val="Funote"/>
        <w:rPr/>
      </w:pPr>
      <w:r>
        <w:rPr/>
        <w:footnoteRef/>
        <w:tab/>
        <w:t>Verschiedene deutsche Übersetzungen: „von Ewigkeit zu Ewigkeit“ oder „in alle Ewigkeit“</w:t>
      </w:r>
    </w:p>
  </w:footnote>
  <w:footnote w:id="6771">
    <w:p>
      <w:pPr>
        <w:pStyle w:val="Funote"/>
        <w:rPr/>
      </w:pPr>
      <w:r>
        <w:rPr/>
        <w:footnoteRef/>
        <w:tab/>
        <w:t>Amen Beteuerungsformel, sinngemäß etwa „So ist es!“ (vgl. LN 72.6). In deutschen Übersetzungen bei Aussprüchen Jesu gelegentlich „Wahrlich!“</w:t>
      </w:r>
    </w:p>
  </w:footnote>
  <w:footnote w:id="6772">
    <w:p>
      <w:pPr>
        <w:pStyle w:val="Funote"/>
        <w:rPr/>
      </w:pPr>
      <w:r>
        <w:rPr/>
        <w:footnoteRef/>
        <w:tab/>
        <w:t>[Status: Ungeprüft]</w:t>
      </w:r>
    </w:p>
  </w:footnote>
  <w:footnote w:id="6773">
    <w:p>
      <w:pPr>
        <w:pStyle w:val="Funote"/>
        <w:rPr/>
      </w:pPr>
      <w:r>
        <w:rPr>
          <w:i/>
        </w:rPr>
        <w:footnoteRef/>
        <w:tab/>
        <w:t>die … standen [und] … festhielten</w:t>
      </w:r>
      <w:r>
        <w:rPr/>
        <w:t xml:space="preserve"> AcP, mit zwei durch „und“ aneinandergehängten Relativsätzen aufgelöst. Möglich auch: „sah, dass/wie … standen...“ Oder das 1. Ptz. könnte adverbial sein, eine andere Auflösung wäre dann: „die, während/wobei sie … standen, … festhielten“</w:t>
      </w:r>
    </w:p>
  </w:footnote>
  <w:footnote w:id="6774">
    <w:p>
      <w:pPr>
        <w:pStyle w:val="Funote"/>
        <w:rPr/>
      </w:pPr>
      <w:r>
        <w:rPr>
          <w:i/>
        </w:rPr>
        <w:footnoteRef/>
        <w:tab/>
        <w:t>weil … wehen sollte</w:t>
      </w:r>
      <w:r>
        <w:rPr/>
        <w:t xml:space="preserve"> Gr. final </w:t>
      </w:r>
      <w:r>
        <w:rPr>
          <w:lang w:val="el-GR"/>
        </w:rPr>
        <w:t>ἵνα</w:t>
      </w:r>
      <w:r>
        <w:rPr/>
        <w:t xml:space="preserve">, was meist mit „damit“ übersetzt wird, aber hier eine holprige Formulierung mit Konjunktiv erforderlich machen würde. Die Übersetzung mit </w:t>
      </w:r>
      <w:r>
        <w:rPr>
          <w:i/>
        </w:rPr>
        <w:t>weil</w:t>
      </w:r>
      <w:r>
        <w:rPr/>
        <w:t xml:space="preserve"> und finalem Modalverb ist im Deutschen natürlicher. Eine andere Alternative wäre „mit dem Ziel, dass“ oder auch „um zu verhindern, dass … wehte“.</w:t>
      </w:r>
    </w:p>
  </w:footnote>
  <w:footnote w:id="6775">
    <w:p>
      <w:pPr>
        <w:pStyle w:val="Funote"/>
        <w:rPr/>
      </w:pPr>
      <w:r>
        <w:rPr>
          <w:i/>
        </w:rPr>
        <w:footnoteRef/>
        <w:tab/>
        <w:t>der … hinabstieg [und] … hatte</w:t>
      </w:r>
      <w:r>
        <w:rPr/>
        <w:t xml:space="preserve"> Dieselbe Konstruktion wie in 7,1.</w:t>
      </w:r>
    </w:p>
  </w:footnote>
  <w:footnote w:id="6776">
    <w:p>
      <w:pPr>
        <w:pStyle w:val="Funote"/>
        <w:rPr/>
      </w:pPr>
      <w:r>
        <w:rPr>
          <w:i/>
        </w:rPr>
        <w:footnoteRef/>
        <w:tab/>
        <w:t>[mit] lauter Stimme</w:t>
      </w:r>
      <w:r>
        <w:rPr/>
        <w:t xml:space="preserve"> Appositiver Genitiv?</w:t>
      </w:r>
    </w:p>
  </w:footnote>
  <w:footnote w:id="6777">
    <w:p>
      <w:pPr>
        <w:pStyle w:val="Funote"/>
        <w:rPr/>
      </w:pPr>
      <w:r>
        <w:rPr>
          <w:i/>
        </w:rPr>
        <w:footnoteRef/>
        <w:tab/>
        <w:t>{ihnen}</w:t>
      </w:r>
      <w:r>
        <w:rPr/>
        <w:t xml:space="preserve"> Wohl in einem Versuch, einen hebräischen Relativsatz nachzubilden, setzt Johannes hier ein überflüssiges Demonstrativpronomen als (nach dem Relativpronomen) zweites Subjekt.</w:t>
      </w:r>
    </w:p>
  </w:footnote>
  <w:footnote w:id="6778">
    <w:p>
      <w:pPr>
        <w:pStyle w:val="Funote"/>
        <w:rPr/>
      </w:pPr>
      <w:r>
        <w:rPr>
          <w:i/>
        </w:rPr>
        <w:footnoteRef/>
        <w:tab/>
        <w:t>{und sagte}</w:t>
      </w:r>
      <w:r>
        <w:rPr/>
        <w:t xml:space="preserve"> Im Deutschen überflüssiges, modales Ptc. coni., das im Griechischen die zitierte Rede einleitet.</w:t>
      </w:r>
    </w:p>
  </w:footnote>
  <w:footnote w:id="6779">
    <w:p>
      <w:pPr>
        <w:pStyle w:val="Funote"/>
        <w:rPr/>
      </w:pPr>
      <w:r>
        <w:rPr/>
        <w:footnoteRef/>
        <w:tab/>
        <w:t>Oder: „Fügt der Erde und dem Meer und den Bäumen keinen Schaden zu“</w:t>
      </w:r>
    </w:p>
  </w:footnote>
  <w:footnote w:id="6780">
    <w:p>
      <w:pPr>
        <w:pStyle w:val="Funote"/>
        <w:rPr/>
      </w:pPr>
      <w:r>
        <w:rPr>
          <w:i/>
        </w:rPr>
        <w:footnoteRef/>
        <w:tab/>
        <w:t>Sie waren … gekleidet</w:t>
      </w:r>
      <w:r>
        <w:rPr/>
        <w:t xml:space="preserve"> Ptz. pf. Pass. 3. Pl. m. Modales Ptc. coni., hier auch wegen der Constructio ad sensum als separater HS aufgelöst.</w:t>
      </w:r>
    </w:p>
  </w:footnote>
  <w:footnote w:id="6781">
    <w:p>
      <w:pPr>
        <w:pStyle w:val="Funote"/>
        <w:rPr/>
      </w:pPr>
      <w:r>
        <w:rPr/>
        <w:footnoteRef/>
        <w:tab/>
        <w:t>Substantiviertes Ptz., als Relativsatz aufgelöst.</w:t>
      </w:r>
    </w:p>
  </w:footnote>
  <w:footnote w:id="6782">
    <w:p>
      <w:pPr>
        <w:pStyle w:val="Funote"/>
        <w:rPr/>
      </w:pPr>
      <w:r>
        <w:rPr/>
        <w:footnoteRef/>
        <w:tab/>
        <w:t>Verschiedene deutsche Übersetzungen: „von Ewigkeit zu Ewigkeit“ oder „in alle Ewigkeit“</w:t>
      </w:r>
    </w:p>
  </w:footnote>
  <w:footnote w:id="6783">
    <w:p>
      <w:pPr>
        <w:pStyle w:val="Funote"/>
        <w:rPr/>
      </w:pPr>
      <w:r>
        <w:rPr/>
        <w:footnoteRef/>
        <w:tab/>
        <w:t>W. „entgegnete/antwortete“</w:t>
      </w:r>
    </w:p>
  </w:footnote>
  <w:footnote w:id="6784">
    <w:p>
      <w:pPr>
        <w:pStyle w:val="Funote"/>
        <w:rPr/>
      </w:pPr>
      <w:r>
        <w:rPr>
          <w:i/>
        </w:rPr>
        <w:footnoteRef/>
        <w:tab/>
        <w:t>und fragte</w:t>
      </w:r>
      <w:r>
        <w:rPr/>
        <w:t xml:space="preserve"> Als „und“-Kombination aufgelöstes temporales oder modales Ptc. coni. Man könnte es (wie anderswo im Kapitel und der ganzen Offb) auch ganz weglassen, weil es die wörtliche Rede einleitet. </w:t>
      </w:r>
    </w:p>
  </w:footnote>
  <w:footnote w:id="6785">
    <w:p>
      <w:pPr>
        <w:pStyle w:val="Funote"/>
        <w:rPr/>
      </w:pPr>
      <w:r>
        <w:rPr/>
        <w:footnoteRef/>
        <w:tab/>
        <w:t>Substantiviertes Ptz., als Relativsatz aufgelöst.</w:t>
      </w:r>
    </w:p>
  </w:footnote>
  <w:footnote w:id="6786">
    <w:p>
      <w:pPr>
        <w:pStyle w:val="Funote"/>
        <w:rPr/>
      </w:pPr>
      <w:r>
        <w:rPr/>
        <w:footnoteRef/>
        <w:tab/>
        <w:t>[Status: Ungeprüft]</w:t>
      </w:r>
    </w:p>
  </w:footnote>
  <w:footnote w:id="6787">
    <w:p>
      <w:pPr>
        <w:pStyle w:val="Funote"/>
        <w:rPr/>
      </w:pPr>
      <w:r>
        <w:rPr/>
        <w:footnoteRef/>
        <w:tab/>
        <w:t xml:space="preserve">Einige Handschriften, wie z.B. der Stephanustext der 3. Edition, der Hoskier als Obertext dient, weisen eine Vertauschung von </w:t>
      </w:r>
      <w:r>
        <w:rPr>
          <w:lang w:val="el-GR"/>
        </w:rPr>
        <w:t>κέρατα δέκα καὶ κεφαλὰς ἑπτὰ</w:t>
      </w:r>
      <w:r>
        <w:rPr/>
        <w:t xml:space="preserve"> zu </w:t>
      </w:r>
      <w:r>
        <w:rPr>
          <w:lang w:val="el-GR"/>
        </w:rPr>
        <w:t>κεφαλὰς ἑπτὰ καὶ κέρατα δέκα</w:t>
      </w:r>
      <w:r>
        <w:rPr/>
        <w:t xml:space="preserve">. Der inneren Textkritik nach kann keine Entscheidung getroffen werden. Da </w:t>
      </w:r>
      <w:r>
        <w:rPr>
          <w:lang w:val="el-GR"/>
        </w:rPr>
        <w:t>κέρατα δέκα καὶ κεφαλὰς ἑπτὰ</w:t>
      </w:r>
      <w:r>
        <w:rPr/>
        <w:t xml:space="preserve"> von A und C, sowie </w:t>
      </w:r>
      <w:r>
        <w:rPr>
          <w:rtl w:val="true"/>
          <w:lang w:bidi="he-IL"/>
        </w:rPr>
        <w:t>א</w:t>
      </w:r>
      <w:r>
        <w:rPr/>
        <w:t xml:space="preserve"> </w:t>
      </w:r>
      <w:r>
        <w:rPr/>
        <w:t>belegt sind ist dieser Lesart dem Vorzug zu geben.</w:t>
      </w:r>
    </w:p>
  </w:footnote>
  <w:footnote w:id="6788">
    <w:p>
      <w:pPr>
        <w:pStyle w:val="Funote"/>
        <w:rPr/>
      </w:pPr>
      <w:r>
        <w:rPr/>
        <w:footnoteRef/>
        <w:tab/>
        <w:t xml:space="preserve">Anstatt des Plurals, gibt es Varianten, die den Singular des Wortes </w:t>
      </w:r>
      <w:r>
        <w:rPr>
          <w:lang w:val="el-GR"/>
        </w:rPr>
        <w:t>ονομα</w:t>
      </w:r>
      <w:r>
        <w:rPr/>
        <w:t xml:space="preserve"> aufweisen. Nach Maier ist die Singularform in den Handschriften jedoch schlechter belegt (vgl. MAIER, Gerhard: Die Offenbarung des Johannes. Kapitel 12-22 (His-torisch-Theologische Auslegung: Neues Testament), Witten 2.Auflage 2014. S.77f). Allerdings liest als wichtige Handschrift nur A die Pluralform, dagegen C, sowie auch </w:t>
      </w:r>
      <w:r>
        <w:rPr>
          <w:rtl w:val="true"/>
          <w:lang w:bidi="he-IL"/>
        </w:rPr>
        <w:t>א</w:t>
      </w:r>
      <w:r>
        <w:rPr/>
        <w:t xml:space="preserve"> </w:t>
      </w:r>
      <w:r>
        <w:rPr/>
        <w:t>die Singularform. 𝔓47 ist an dieser Stelle fragmentär. Da die Lücke jedoch nur einen Buchstaben umfasst, ist davon auszugehen, dass es die Singularform belegt. Daher gebe ich der Singularform hier den Vorzug.</w:t>
      </w:r>
    </w:p>
  </w:footnote>
  <w:footnote w:id="6789">
    <w:p>
      <w:pPr>
        <w:pStyle w:val="Funote"/>
        <w:rPr/>
      </w:pPr>
      <w:r>
        <w:rPr/>
        <w:footnoteRef/>
        <w:tab/>
        <w:t xml:space="preserve">Es gibt eine Ergänzung von </w:t>
      </w:r>
      <w:r>
        <w:rPr>
          <w:lang w:val="el-GR"/>
        </w:rPr>
        <w:t>πολεμον</w:t>
      </w:r>
      <w:r>
        <w:rPr/>
        <w:t xml:space="preserve"> vor </w:t>
      </w:r>
      <w:r>
        <w:rPr>
          <w:lang w:val="el-GR"/>
        </w:rPr>
        <w:t>ποιησαι</w:t>
      </w:r>
      <w:r>
        <w:rPr/>
        <w:t xml:space="preserve">. Diese ist durch einige Hand-schriften belegt, z.B. durch den Codex Vaticanus (B), jedoch fehlen die wichtigen Handschriften A, C, </w:t>
      </w:r>
      <w:r>
        <w:rPr>
          <w:rtl w:val="true"/>
          <w:lang w:bidi="he-IL"/>
        </w:rPr>
        <w:t>א</w:t>
      </w:r>
      <w:r>
        <w:rPr/>
        <w:t xml:space="preserve"> </w:t>
      </w:r>
      <w:r>
        <w:rPr/>
        <w:t xml:space="preserve">und 𝔓47. Zudem ist der Kurztext lectio brevior und damit wird </w:t>
      </w:r>
      <w:r>
        <w:rPr>
          <w:lang w:val="el-GR"/>
        </w:rPr>
        <w:t>πολεμον</w:t>
      </w:r>
      <w:r>
        <w:rPr/>
        <w:t xml:space="preserve"> eine spätere Ergänzung sein.</w:t>
      </w:r>
    </w:p>
  </w:footnote>
  <w:footnote w:id="6790">
    <w:p>
      <w:pPr>
        <w:pStyle w:val="Funote"/>
        <w:rPr/>
      </w:pPr>
      <w:r>
        <w:rPr/>
        <w:footnoteRef/>
        <w:tab/>
        <w:t xml:space="preserve">Und ihm wurde gegeben einen Krieg mit den Heiligen zu führen und sie zu besiegen: Zur Bewertung der äußeren Textkritik stellt Tóth fest, dass der Teilvers „von der wichtigsten Handschriftengruppe […], dem sog. A-Text […] ausgelassen“ (TÓTH, Franz: Das Tier, sein Bild und der falsche Prophet. Untersuchungen zum zeitgeschichtlichen Hintergrund von Johannesoffenbarung 13 unter Einbeziehung des antiken Orakel-wesens (BThSt, 126), Neukirchen-Vluyn 2012, S.30) wurde. Daneben fehlt er auch in einigen Schriften anderer Textfamilien, wie 𝔓47 und ist erst „rund ein Jahrhundert später zunächst fragmentarisch“ (TÓTH: Tier, S.30) belegt. Die meiste Kommentarliteratur folgt, so Tóth, dem Langtext (siehe TÓTH: Tier, S.30), so vermutet z.B. Satake hinter der Auslassung eine Haplographie aufgrund des gleichen Anfang mit </w:t>
      </w:r>
      <w:r>
        <w:rPr>
          <w:lang w:val="el-GR"/>
        </w:rPr>
        <w:t>καὶ ἐδόθη αὐτῷ</w:t>
      </w:r>
      <w:r>
        <w:rPr/>
        <w:t xml:space="preserve"> (nach SATAKE, Akira: Die Offenbarung des Johannes (KEK, 16), Göttingen 2008, S.299 Fußnote: 455). Dies ist jedoch aufgrund der Parallelstruktur, welche erst durch die Ergänzung durchbrochen wird, wenig wahrscheinlich (nach TÓTH: Tier, S.30). Ebenso sieht Maier den Vers als ursprünglich an und benennt noch nicht einmal das textkritische Problem, das es bei V.7a gibt, wie er es jedoch bei anderen Versen tut (vgl. MAIER, Gerhard: Die Offenbarung des Johannes. Kapitel 12-22 (Historisch-Theologische Auslegung: Neues Testament), Witten 2.Auflage 2014, S.89ff). Nach der inneren Textkritik ist der lectio brevior den Vorzug zu geben ist. Die Fortschreibung durch V.7a kann dann als Dramatisierung verstanden werden bzw. als „einen überaus dichten apokalyptischen Fatalismus“ (KARRER, Martin: Der Text der Johannesapokalypse, in: FREY, Jörg u.a. (Hg.): Die Johannesapokalypse. Kontexte - Konzepte - Rezeption (WUNT, 287), Tübingen 2012, S. 70f.). Eine Ergänzung des Textes, wie sie Karrer annimmt, als Folge der erlebten Christenverfolgung im 2. und 3. Jahrhundert scheint daher, sehr wahrscheinlich (siehe KARRER: Text, in: FREY (Hg.): Johannesapokalypse, S.70f.).</w:t>
      </w:r>
    </w:p>
  </w:footnote>
  <w:footnote w:id="6791">
    <w:p>
      <w:pPr>
        <w:pStyle w:val="Funote"/>
        <w:rPr/>
      </w:pPr>
      <w:r>
        <w:rPr>
          <w:lang w:val="el-GR"/>
        </w:rPr>
        <w:footnoteRef/>
        <w:tab/>
        <w:t>αὐτοῦ</w:t>
      </w:r>
      <w:r>
        <w:rPr/>
        <w:t xml:space="preserve"> ausgelassen, da es sich in der deutschen Sprache nicht in diesem Kontext sinnvoll wiedergeben lässt.</w:t>
      </w:r>
    </w:p>
  </w:footnote>
  <w:footnote w:id="6792">
    <w:p>
      <w:pPr>
        <w:pStyle w:val="Funote"/>
        <w:rPr/>
      </w:pPr>
      <w:r>
        <w:rPr/>
        <w:footnoteRef/>
        <w:tab/>
        <w:t xml:space="preserve">V.10 weist viele textkritische Varianten auf, wie Maier belegt (MAIER: Offenbarung. Kapitel 12-22, S. 93). Die wichtigen Handschriften A, C und belegen jeweils einen anderen Textbestand. A belegt </w:t>
      </w:r>
      <w:r>
        <w:rPr>
          <w:lang w:val="el-GR"/>
        </w:rPr>
        <w:t>εἴ τις εἰς αἰχμαλωσίαν, εἰς αἰχμαλωσίαν ὑπάγει</w:t>
      </w:r>
      <w:r>
        <w:rPr/>
        <w:t xml:space="preserve">, </w:t>
      </w:r>
      <w:r>
        <w:rPr>
          <w:rtl w:val="true"/>
          <w:lang w:bidi="he-IL"/>
        </w:rPr>
        <w:t>א</w:t>
      </w:r>
      <w:r>
        <w:rPr/>
        <w:t xml:space="preserve"> </w:t>
      </w:r>
      <w:r>
        <w:rPr/>
        <w:t xml:space="preserve">belegt </w:t>
      </w:r>
      <w:r>
        <w:rPr>
          <w:lang w:val="el-GR"/>
        </w:rPr>
        <w:t>εἴ τις εἰς αἰχμαλωσίαν ὑπάγει, εἰς αἰχμαλωσίαν</w:t>
      </w:r>
      <w:r>
        <w:rPr/>
        <w:t xml:space="preserve"> und C ist am kürzesten mit </w:t>
      </w:r>
      <w:r>
        <w:rPr>
          <w:lang w:val="el-GR"/>
        </w:rPr>
        <w:t>ἡ τις εἰς αἰχμαλωσίαν ὑπάγει</w:t>
      </w:r>
      <w:r>
        <w:rPr/>
        <w:t xml:space="preserve">. C ist hier die unwahrscheinlichste Lesart, da weder A noch </w:t>
      </w:r>
      <w:r>
        <w:rPr>
          <w:rtl w:val="true"/>
          <w:lang w:bidi="he-IL"/>
        </w:rPr>
        <w:t>א</w:t>
      </w:r>
      <w:r>
        <w:rPr/>
        <w:t xml:space="preserve"> </w:t>
      </w:r>
      <w:r>
        <w:rPr>
          <w:lang w:val="el-GR"/>
        </w:rPr>
        <w:t>ἡ τις</w:t>
      </w:r>
      <w:r>
        <w:rPr/>
        <w:t xml:space="preserve"> bezeugen. 𝔓47 ist an dieser Stelle defizitär, jedoch ist am Ende von V.10a [</w:t>
      </w:r>
      <w:r>
        <w:rPr>
          <w:lang w:val="el-GR"/>
        </w:rPr>
        <w:t>ὑ</w:t>
      </w:r>
      <w:r>
        <w:rPr/>
        <w:t>]</w:t>
      </w:r>
      <w:r>
        <w:rPr>
          <w:lang w:val="el-GR"/>
        </w:rPr>
        <w:t>πάγει</w:t>
      </w:r>
      <w:r>
        <w:rPr/>
        <w:t xml:space="preserve"> belegt. Somit steht der S-Text gegen die Handschrift A, die zum A-Text gehört. Obwohl normalerweise der A-Text stärker gewichtet wird, folge ich hier dem S-Text, da ich A auch in V.10b nicht folge. Die ursprüngliche Lesart ist damit vermutlich </w:t>
      </w:r>
      <w:r>
        <w:rPr>
          <w:lang w:val="el-GR"/>
        </w:rPr>
        <w:t>εἴ τις εἰς αἰχμαλωσίαν ὑπάγει, εἰς αἰχμαλωσίαν</w:t>
      </w:r>
      <w:r>
        <w:rPr/>
        <w:t>.</w:t>
      </w:r>
    </w:p>
  </w:footnote>
  <w:footnote w:id="6793">
    <w:p>
      <w:pPr>
        <w:pStyle w:val="Funote"/>
        <w:rPr/>
      </w:pPr>
      <w:r>
        <w:rPr/>
        <w:footnoteRef/>
        <w:tab/>
        <w:t xml:space="preserve">Der V.10b „enthält […] in fast allen Handschriften eine andere Nuance als im heutigen Text“ (KARRER, Martin: Hellenistische und frühkaiserliche Motive in der Johannesapokalypse, in: SCHMELLER, Thomas u.a. (Hg.): Die Offenbarung des Johannes. Kommunikation im Konflikt (QD, 253), Freiburg im Breisgau 2013, S. 32–73, S.52) A liest alleine gegen alle anderen Zeugen </w:t>
      </w:r>
      <w:r>
        <w:rPr>
          <w:lang w:val="el-GR"/>
        </w:rPr>
        <w:t>εἴ τις ἐν μαχαίρῃ ἀποκτανθῆναι αὐτὸν ἐν μαχαίρῃ ἀποκτανθῆναι</w:t>
      </w:r>
      <w:r>
        <w:rPr/>
        <w:t>. Somit ist es eigentlich schlecht bezeugt, wurde aber in der Forschung des 20. Jh. als die ursprünglichere Lesart aufgefasst und ist mittlerweile wieder umstritten (Siehe KARRER: Motive, in: SCHMELLER u.a. (Hg.): Offenbarung, S.52). Karrer führt die Veränderung des Textsinnes überzeugend, ähnlich wie bei V.7a auch, auf eine Zuspitzung der Christenverfolgungen im 2. und 3. Jh. zurück (Siehe KARRER: Motive, in: SCHMELLER u.a. (Hg.): Offenbarung, S.52). Demnach zeigt sich in der Textvariante von A eine gewisse Fatalität, wohingegen die anderen Handschriften „einen Rest von Recht“ (Siehe KARRER: Motive, in: SCHMELLER u.a. (Hg.): Offenbarung, S.52) im römischen Reich sehen, nach dem die Hoffnung besteht, dass Morde noch geahndet werden.</w:t>
      </w:r>
    </w:p>
  </w:footnote>
  <w:footnote w:id="6794">
    <w:p>
      <w:pPr>
        <w:pStyle w:val="Funote"/>
        <w:rPr/>
      </w:pPr>
      <w:r>
        <w:rPr/>
        <w:footnoteRef/>
        <w:tab/>
        <w:t xml:space="preserve">Nach Art. </w:t>
      </w:r>
      <w:r>
        <w:rPr>
          <w:lang w:val="el-GR"/>
        </w:rPr>
        <w:t>λέγω</w:t>
      </w:r>
      <w:r>
        <w:rPr/>
        <w:t xml:space="preserve"> in: BAUER: Wörterbuch, Sp.951-954, hier: Sp.953.</w:t>
      </w:r>
    </w:p>
  </w:footnote>
  <w:footnote w:id="6795">
    <w:p>
      <w:pPr>
        <w:pStyle w:val="Funote"/>
        <w:rPr/>
      </w:pPr>
      <w:r>
        <w:rPr>
          <w:lang w:val="el-GR"/>
        </w:rPr>
        <w:footnoteRef/>
        <w:tab/>
        <w:t>ἵνα ὅσοι</w:t>
      </w:r>
      <w:r>
        <w:rPr/>
        <w:t>: wörtlich „so viele wie“, sinngemäß daher „alle die“.</w:t>
      </w:r>
    </w:p>
  </w:footnote>
  <w:footnote w:id="6796">
    <w:p>
      <w:pPr>
        <w:pStyle w:val="Funote"/>
        <w:rPr/>
      </w:pPr>
      <w:r>
        <w:rPr/>
        <w:footnoteRef/>
        <w:tab/>
        <w:t xml:space="preserve">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 </w:t>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5">
    <w:lvl w:ilvl="0">
      <w:start w:val="1"/>
      <w:numFmt w:val="none"/>
      <w:suff w:val="nothing"/>
      <w:lvlText w:val=""/>
      <w:lvlJc w:val="left"/>
      <w:pPr>
        <w:ind w:left="0" w:hanging="0"/>
      </w:pPr>
    </w:lvl>
    <w:lvl w:ilvl="1">
      <w:start w:val="1"/>
      <w:pStyle w:val="Berschrift2"/>
      <w:numFmt w:val="none"/>
      <w:suff w:val="nothing"/>
      <w:lvlText w:val=""/>
      <w:lvlJc w:val="left"/>
      <w:pPr>
        <w:ind w:left="0" w:hanging="0"/>
      </w:pPr>
    </w:lvl>
    <w:lvl w:ilvl="2">
      <w:start w:val="1"/>
      <w:pStyle w:val="Berschrift3"/>
      <w:numFmt w:val="none"/>
      <w:suff w:val="nothing"/>
      <w:lvlText w:val=""/>
      <w:lvlJc w:val="left"/>
      <w:pPr>
        <w:ind w:left="0" w:hanging="0"/>
      </w:pPr>
    </w:lvl>
    <w:lvl w:ilvl="3">
      <w:start w:val="1"/>
      <w:pStyle w:val="Berschrift4"/>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83"/>
  <w:defaultTabStop w:val="709"/>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 w:val="24"/>
        <w:szCs w:val="24"/>
        <w:lang w:val="de-DE" w:eastAsia="zh-CN" w:bidi="hi-IN"/>
      </w:rPr>
    </w:rPrDefault>
    <w:pPrDefault>
      <w:pPr/>
    </w:pPrDefault>
  </w:docDefaults>
  <w:style w:type="paragraph" w:styleId="Normal">
    <w:name w:val="Normal"/>
    <w:qFormat/>
    <w:pPr>
      <w:widowControl w:val="false"/>
    </w:pPr>
    <w:rPr>
      <w:rFonts w:ascii="Times New Roman" w:hAnsi="Times New Roman" w:eastAsia="Times New Roman" w:cs="Times New Roman"/>
      <w:color w:val="auto"/>
      <w:sz w:val="24"/>
      <w:szCs w:val="24"/>
      <w:lang w:val="de-DE" w:eastAsia="zh-CN" w:bidi="hi-IN"/>
    </w:rPr>
  </w:style>
  <w:style w:type="paragraph" w:styleId="Berschrift1">
    <w:name w:val="Heading 1"/>
    <w:basedOn w:val="Berschrift"/>
    <w:next w:val="Textkrper"/>
    <w:qFormat/>
    <w:pPr/>
    <w:rPr>
      <w:rFonts w:ascii="Times New Roman" w:hAnsi="Times New Roman" w:eastAsia="Times New Roman" w:cs="Times New Roman"/>
      <w:b/>
      <w:bCs/>
      <w:sz w:val="48"/>
      <w:szCs w:val="44"/>
    </w:rPr>
  </w:style>
  <w:style w:type="paragraph" w:styleId="Berschrift2">
    <w:name w:val="Heading 2"/>
    <w:basedOn w:val="Berschrift"/>
    <w:next w:val="Textkrper"/>
    <w:qFormat/>
    <w:pPr>
      <w:spacing w:before="200" w:after="120"/>
      <w:outlineLvl w:val="1"/>
    </w:pPr>
    <w:rPr>
      <w:rFonts w:ascii="Times New Roman" w:hAnsi="Times New Roman" w:eastAsia="Times New Roman" w:cs="Times New Roman"/>
      <w:b/>
      <w:bCs/>
      <w:sz w:val="36"/>
      <w:szCs w:val="36"/>
    </w:rPr>
  </w:style>
  <w:style w:type="paragraph" w:styleId="Berschrift3">
    <w:name w:val="Heading 3"/>
    <w:basedOn w:val="Berschrift"/>
    <w:next w:val="Textkrper"/>
    <w:qFormat/>
    <w:pPr>
      <w:spacing w:before="140" w:after="120"/>
      <w:outlineLvl w:val="2"/>
    </w:pPr>
    <w:rPr>
      <w:rFonts w:ascii="Times New Roman" w:hAnsi="Times New Roman" w:eastAsia="Times New Roman" w:cs="Times New Roman"/>
      <w:b/>
      <w:bCs/>
      <w:sz w:val="28"/>
      <w:szCs w:val="28"/>
    </w:rPr>
  </w:style>
  <w:style w:type="paragraph" w:styleId="Berschrift4">
    <w:name w:val="Heading 4"/>
    <w:basedOn w:val="Berschrift"/>
    <w:next w:val="Textkrper"/>
    <w:qFormat/>
    <w:pPr>
      <w:spacing w:before="120" w:after="120"/>
      <w:outlineLvl w:val="3"/>
    </w:pPr>
    <w:rPr>
      <w:rFonts w:ascii="Times New Roman" w:hAnsi="Times New Roman" w:eastAsia="Times New Roman" w:cs="Times New Roman"/>
      <w:b/>
      <w:bCs/>
      <w:sz w:val="24"/>
      <w:szCs w:val="24"/>
    </w:rPr>
  </w:style>
  <w:style w:type="character" w:styleId="Endnotenzeichen">
    <w:name w:val="Endnotenzeichen"/>
    <w:qFormat/>
    <w:rPr>
      <w:i/>
      <w:iCs/>
    </w:rPr>
  </w:style>
  <w:style w:type="character" w:styleId="Funotenzeichen">
    <w:name w:val="Fußnotenzeichen"/>
    <w:qFormat/>
    <w:rPr>
      <w:i/>
      <w:iCs/>
    </w:rPr>
  </w:style>
  <w:style w:type="character" w:styleId="Internetverknpfung">
    <w:name w:val="Internetverknüpfung"/>
    <w:rPr>
      <w:color w:val="000080"/>
      <w:u w:val="single"/>
    </w:rPr>
  </w:style>
  <w:style w:type="character" w:styleId="Betont">
    <w:name w:val="Betont"/>
    <w:qFormat/>
    <w:rPr>
      <w:i/>
      <w:iCs/>
    </w:rPr>
  </w:style>
  <w:style w:type="character" w:styleId="Aufzhlungszeichen">
    <w:name w:val="Aufzählungszeichen"/>
    <w:qFormat/>
    <w:rPr>
      <w:rFonts w:ascii="OpenSymbol" w:hAnsi="OpenSymbol" w:eastAsia="OpenSymbol" w:cs="OpenSymbol"/>
    </w:rPr>
  </w:style>
  <w:style w:type="character" w:styleId="Nummerierungszeichen">
    <w:name w:val="Nummerierungszeichen"/>
    <w:qFormat/>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val="true"/>
      <w:spacing w:before="240" w:after="283"/>
    </w:pPr>
    <w:rPr>
      <w:rFonts w:ascii="Albany" w:hAnsi="Albany"/>
      <w:sz w:val="28"/>
      <w:szCs w:val="26"/>
    </w:rPr>
  </w:style>
  <w:style w:type="paragraph" w:styleId="Textkrper">
    <w:name w:val="Body Text"/>
    <w:basedOn w:val="Normal"/>
    <w:pPr>
      <w:spacing w:before="0" w:after="283"/>
    </w:pPr>
    <w:rPr/>
  </w:style>
  <w:style w:type="paragraph" w:styleId="Liste">
    <w:name w:val="List"/>
    <w:basedOn w:val="Textkrper"/>
    <w:pPr/>
    <w:rPr>
      <w:rFonts w:cs="Arial"/>
    </w:rPr>
  </w:style>
  <w:style w:type="paragraph" w:styleId="Beschriftung">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Envelope Return"/>
    <w:basedOn w:val="Normal"/>
    <w:pPr/>
    <w:rPr>
      <w:i/>
    </w:rPr>
  </w:style>
  <w:style w:type="paragraph" w:styleId="Tabelleninhalt">
    <w:name w:val="Tabelleninhalt"/>
    <w:basedOn w:val="Textkrper"/>
    <w:qFormat/>
    <w:pPr/>
    <w:rPr/>
  </w:style>
  <w:style w:type="paragraph" w:styleId="Fuzeile">
    <w:name w:val="Footer"/>
    <w:basedOn w:val="Normal"/>
    <w:pPr>
      <w:suppressLineNumbers/>
      <w:tabs>
        <w:tab w:val="center" w:pos="4818" w:leader="none"/>
        <w:tab w:val="right" w:pos="9637" w:leader="none"/>
      </w:tabs>
    </w:pPr>
    <w:rPr/>
  </w:style>
  <w:style w:type="paragraph" w:styleId="Kopfzeile">
    <w:name w:val="Header"/>
    <w:basedOn w:val="Normal"/>
    <w:pPr>
      <w:suppressLineNumbers/>
      <w:tabs>
        <w:tab w:val="center" w:pos="4818" w:leader="none"/>
        <w:tab w:val="right" w:pos="9637" w:leader="none"/>
      </w:tabs>
    </w:pPr>
    <w:rPr/>
  </w:style>
  <w:style w:type="paragraph" w:styleId="Funote">
    <w:name w:val="Footnote Text"/>
    <w:basedOn w:val="Normal"/>
    <w:pPr>
      <w:suppressLineNumbers/>
      <w:ind w:left="339" w:hanging="339"/>
    </w:pPr>
    <w:rPr>
      <w:sz w:val="20"/>
      <w:szCs w:val="20"/>
    </w:rPr>
  </w:style>
  <w:style w:type="paragraph" w:styleId="Listeninhalt">
    <w:name w:val="Listeninhalt"/>
    <w:basedOn w:val="Normal"/>
    <w:qFormat/>
    <w:pPr>
      <w:ind w:left="567" w:hanging="0"/>
    </w:pPr>
    <w:rPr/>
  </w:style>
  <w:style w:type="paragraph" w:styleId="Listenkopf">
    <w:name w:val="Listenkopf"/>
    <w:basedOn w:val="Normal"/>
    <w:next w:val="Listeninhalt"/>
    <w:qFormat/>
    <w:pPr>
      <w:ind w:hanging="0"/>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numbering" Target="numbering.xml"/><Relationship Id="rId4" Type="http://schemas.openxmlformats.org/officeDocument/2006/relationships/fontTable" Target="fontTable.xml"/><Relationship Id="rId5" Type="http://schemas.openxmlformats.org/officeDocument/2006/relationships/settings" Target="settings.xml"/>
</Relationships>
</file>

<file path=word/_rels/footnotes.xml.rels><?xml version="1.0" encoding="UTF-8"?>
<Relationships xmlns="http://schemas.openxmlformats.org/package/2006/relationships"><Relationship Id="rId1" Type="http://schemas.openxmlformats.org/officeDocument/2006/relationships/hyperlink" Target="http://www.offene-bibel.de/wiki/index.php5?title=&#1493;&#1456;" TargetMode="External"/><Relationship Id="rId2" Type="http://schemas.openxmlformats.org/officeDocument/2006/relationships/hyperlink" Target="file:///mediawiki/index.php%3Ftitle=2_K&#246;nige_19&amp;action=edit&amp;redlink=1" TargetMode="External"/><Relationship Id="rId3" Type="http://schemas.openxmlformats.org/officeDocument/2006/relationships/hyperlink" Target="file:///mediawiki/index.php%3Ftitle=Jeremia_46&amp;action=edit&amp;redlink=1" TargetMode="External"/><Relationship Id="rId4" Type="http://schemas.openxmlformats.org/officeDocument/2006/relationships/hyperlink" Target="file:///mediawiki/index.php%3Ftitle=Deuteronomium_2&amp;action=edit&amp;redlink=1" TargetMode="External"/><Relationship Id="rId5" Type="http://schemas.openxmlformats.org/officeDocument/2006/relationships/hyperlink" Target="file:///mediawiki/index.php%3Ftitle=Jeremia_47&amp;action=edit&amp;redlink=1" TargetMode="External"/><Relationship Id="rId6" Type="http://schemas.openxmlformats.org/officeDocument/2006/relationships/hyperlink" Target="file:///mediawiki/index.php%3Ftitle=Figura_Etymologica&amp;action=edit&amp;redlink=1" TargetMode="External"/><Relationship Id="rId7" Type="http://schemas.openxmlformats.org/officeDocument/2006/relationships/hyperlink" Target="file:///mediawiki/index.php%3Ftitle=Figura_etymologica&amp;action=edit&amp;redlink=1" TargetMode="External"/><Relationship Id="rId8" Type="http://schemas.openxmlformats.org/officeDocument/2006/relationships/hyperlink" Target="file:///mediawiki/index.php%3Ftitle=Figura_etymologica&amp;action=edit&amp;redlink=1" TargetMode="External"/><Relationship Id="rId9" Type="http://schemas.openxmlformats.org/officeDocument/2006/relationships/hyperlink" Target="file:///mediawiki/index.php%3Ftitle=Figura_etymologica&amp;action=edit&amp;redlink=1" TargetMode="External"/><Relationship Id="rId10" Type="http://schemas.openxmlformats.org/officeDocument/2006/relationships/hyperlink" Target="file:///mediawiki/index.php%3Ftitle=Waw-Perfekt&amp;action=edit&amp;redlink=1" TargetMode="External"/><Relationship Id="rId11" Type="http://schemas.openxmlformats.org/officeDocument/2006/relationships/hyperlink" Target="file:///mediawiki/index.php%3Ftitle=Waw-Perfekt&amp;action=edit&amp;redlink=1" TargetMode="External"/><Relationship Id="rId12" Type="http://schemas.openxmlformats.org/officeDocument/2006/relationships/hyperlink" Target="file:///mediawiki/index.php%3Ftitle=Waw-Perfekt&amp;action=edit&amp;redlink=1" TargetMode="External"/><Relationship Id="rId13" Type="http://schemas.openxmlformats.org/officeDocument/2006/relationships/hyperlink" Target="file:///mediawiki/index.php%3Ftitle=Waw-Perfekt&amp;action=edit&amp;redlink=1" TargetMode="External"/><Relationship Id="rId14" Type="http://schemas.openxmlformats.org/officeDocument/2006/relationships/hyperlink" Target="file:///mediawiki/index.php%3Ftitle=Waw-perfekt&amp;action=edit&amp;redlink=1" TargetMode="External"/><Relationship Id="rId15" Type="http://schemas.openxmlformats.org/officeDocument/2006/relationships/hyperlink" Target="file:///mediawiki/index.php%3Ftitle=Fig._etym.&amp;action=edit&amp;redlink=1" TargetMode="External"/><Relationship Id="rId16" Type="http://schemas.openxmlformats.org/officeDocument/2006/relationships/hyperlink" Target="file:///mediawiki/index.php%3Ftitle=Waw-Perfekt&amp;action=edit&amp;redlink=1" TargetMode="External"/><Relationship Id="rId17" Type="http://schemas.openxmlformats.org/officeDocument/2006/relationships/hyperlink" Target="file:///mediawiki/index.php%3Ftitle=Waw-Perfekt&amp;action=edit&amp;redlink=1" TargetMode="External"/><Relationship Id="rId18" Type="http://schemas.openxmlformats.org/officeDocument/2006/relationships/hyperlink" Target="file:///mediawiki/index.php%3Ftitle=Waw-Perfekt&amp;action=edit&amp;redlink=1" TargetMode="External"/><Relationship Id="rId19" Type="http://schemas.openxmlformats.org/officeDocument/2006/relationships/hyperlink" Target="file:///mediawiki/index.php%3Ftitle=Waw-Perfekt&amp;action=edit&amp;redlink=1" TargetMode="External"/><Relationship Id="rId20" Type="http://schemas.openxmlformats.org/officeDocument/2006/relationships/hyperlink" Target="file:///mediawiki/index.php%3Ftitle=Waw-Perfekt&amp;action=edit&amp;redlink=1" TargetMode="External"/><Relationship Id="rId21" Type="http://schemas.openxmlformats.org/officeDocument/2006/relationships/hyperlink" Target="file:///mediawiki/index.php%3Ftitle=Waw-Perfekt&amp;action=edit&amp;redlink=1" TargetMode="External"/><Relationship Id="rId22" Type="http://schemas.openxmlformats.org/officeDocument/2006/relationships/hyperlink" Target="file:///mediawiki/index.php%3Ftitle=Hesekiel_36&amp;action=edit&amp;redlink=1" TargetMode="External"/><Relationship Id="rId23" Type="http://schemas.openxmlformats.org/officeDocument/2006/relationships/hyperlink" Target="file:///mediawiki/index.php%3Ftitle=Psalm_25&amp;action=edit&amp;redlink=1" TargetMode="External"/><Relationship Id="rId24" Type="http://schemas.openxmlformats.org/officeDocument/2006/relationships/hyperlink" Target="file:///mediawiki/index.php%3Ftitle=Deuteronomium_25&amp;action=edit&amp;redlink=1" TargetMode="External"/><Relationship Id="rId25" Type="http://schemas.openxmlformats.org/officeDocument/2006/relationships/hyperlink" Target="file:///mediawiki/index.php%3Ftitle=Nehemia_9,29&amp;action=edit&amp;redlink=1" TargetMode="External"/><Relationship Id="rId26" Type="http://schemas.openxmlformats.org/officeDocument/2006/relationships/hyperlink" Target="http://www.bibelwissenschaft.de/wibilex/das-bibellexikon/lexikon/sachwort/anzeigen/details/moab-moabiter-3/ch/d763214e547e5d75aa217082da90a2ea/" TargetMode="External"/><Relationship Id="rId27" Type="http://schemas.openxmlformats.org/officeDocument/2006/relationships/hyperlink" Target="file:///mediawiki/index.php%3Ftitle=Richter_3&amp;action=edit&amp;redlink=1" TargetMode="External"/><Relationship Id="rId28" Type="http://schemas.openxmlformats.org/officeDocument/2006/relationships/hyperlink" Target="file:///mediawiki/index.php%3Ftitle=Matth&#228;us_20&amp;action=edit&amp;redlink=1" TargetMode="External"/><Relationship Id="rId29" Type="http://schemas.openxmlformats.org/officeDocument/2006/relationships/hyperlink" Target="file:///mediawiki/index.php%3Ftitle=Lk_12&amp;action=edit&amp;redlink=1" TargetMode="External"/><Relationship Id="rId30" Type="http://schemas.openxmlformats.org/officeDocument/2006/relationships/hyperlink" Target="file:///mediawiki/index.php%3Ftitle=Deuteronomium_4&amp;action=edit&amp;redlink=1" TargetMode="External"/><Relationship Id="rId31" Type="http://schemas.openxmlformats.org/officeDocument/2006/relationships/hyperlink" Target="file:///mediawiki/index.php%3Ftitle=Jeremia_38&amp;action=edit&amp;redlink=1" TargetMode="External"/><Relationship Id="rId32" Type="http://schemas.openxmlformats.org/officeDocument/2006/relationships/hyperlink" Target="file:///mediawiki/index.php%3Ftitle=Jer_42&amp;action=edit&amp;redlink=1" TargetMode="External"/><Relationship Id="rId33" Type="http://schemas.openxmlformats.org/officeDocument/2006/relationships/hyperlink" Target="file:///mediawiki/index.php%3Ftitle=1Samuel_25&amp;action=edit&amp;redlink=1" TargetMode="External"/><Relationship Id="rId34" Type="http://schemas.openxmlformats.org/officeDocument/2006/relationships/hyperlink" Target="file:///mediawiki/index.php%3Ftitle=1K&#246;nige_8&amp;action=edit&amp;redlink=1" TargetMode="External"/><Relationship Id="rId35" Type="http://schemas.openxmlformats.org/officeDocument/2006/relationships/hyperlink" Target="file:///mediawiki/index.php%3Ftitle=Deuteronomium_25&amp;action=edit&amp;redlink=1" TargetMode="External"/><Relationship Id="rId36" Type="http://schemas.openxmlformats.org/officeDocument/2006/relationships/hyperlink" Target="file:///mediawiki/index.php%3Ftitle=1Samuel_20&amp;action=edit&amp;redlink=1" TargetMode="External"/><Relationship Id="rId37" Type="http://schemas.openxmlformats.org/officeDocument/2006/relationships/hyperlink" Target="file:///mediawiki/index.php%3Ftitle=1Samuel_20&amp;action=edit&amp;redlink=1" TargetMode="External"/><Relationship Id="rId38" Type="http://schemas.openxmlformats.org/officeDocument/2006/relationships/hyperlink" Target="file:///mediawiki/index.php%3Ftitle=Ijob_36&amp;action=edit&amp;redlink=1" TargetMode="External"/><Relationship Id="rId39" Type="http://schemas.openxmlformats.org/officeDocument/2006/relationships/hyperlink" Target="file:///mediawiki/index.php%3Ftitle=Ijob_36&amp;action=edit&amp;redlink=1" TargetMode="External"/><Relationship Id="rId40" Type="http://schemas.openxmlformats.org/officeDocument/2006/relationships/hyperlink" Target="file:///mediawiki/index.php%3Ftitle=Jeremia_46&amp;action=edit&amp;redlink=1" TargetMode="External"/><Relationship Id="rId41" Type="http://schemas.openxmlformats.org/officeDocument/2006/relationships/hyperlink" Target="file:///mediawiki/index.php%3Ftitle=Jeremia_47&amp;action=edit&amp;redlink=1" TargetMode="External"/><Relationship Id="rId42" Type="http://schemas.openxmlformats.org/officeDocument/2006/relationships/hyperlink" Target="file:///mediawiki/index.php%3Ftitle=Genesis_31&amp;action=edit&amp;redlink=1" TargetMode="External"/><Relationship Id="rId43" Type="http://schemas.openxmlformats.org/officeDocument/2006/relationships/hyperlink" Target="file:///mediawiki/index.php%3Ftitle=1_K&#246;nige_6&amp;action=edit&amp;redlink=1" TargetMode="External"/><Relationship Id="rId44" Type="http://schemas.openxmlformats.org/officeDocument/2006/relationships/hyperlink" Target="file:///mediawiki/index.php%3Ftitle=Esra_1&amp;action=edit&amp;redlink=1" TargetMode="External"/><Relationship Id="rId45" Type="http://schemas.openxmlformats.org/officeDocument/2006/relationships/hyperlink" Target="file:///wiki/Generisches_Maskulinum" TargetMode="External"/><Relationship Id="rId46" Type="http://schemas.openxmlformats.org/officeDocument/2006/relationships/hyperlink" Target="file:///wiki/Psalter" TargetMode="External"/><Relationship Id="rId47" Type="http://schemas.openxmlformats.org/officeDocument/2006/relationships/hyperlink" Target="file:///mediawiki/index.php%3Ftitle=Daniel_6&amp;action=edit&amp;redlink=1" TargetMode="External"/><Relationship Id="rId48" Type="http://schemas.openxmlformats.org/officeDocument/2006/relationships/hyperlink" Target="file:///mediawiki/index.php%3Ftitle=2_Samuel_16&amp;action=edit&amp;redlink=1" TargetMode="External"/><Relationship Id="rId49" Type="http://schemas.openxmlformats.org/officeDocument/2006/relationships/hyperlink" Target="http://www.offene-bibel.de/wiki/index.php5?title=Sela" TargetMode="External"/><Relationship Id="rId50" Type="http://schemas.openxmlformats.org/officeDocument/2006/relationships/hyperlink" Target="https://www.bibelwissenschaft.de/stichwort/35418/" TargetMode="External"/><Relationship Id="rId51" Type="http://schemas.openxmlformats.org/officeDocument/2006/relationships/hyperlink" Target="http://www.offene-bibel.de/wiki/index.php5?title=Sela" TargetMode="External"/><Relationship Id="rId52" Type="http://schemas.openxmlformats.org/officeDocument/2006/relationships/hyperlink" Target="file:///mediawiki/index.php%3Ftitle=Psalm_55&amp;action=edit&amp;redlink=1" TargetMode="External"/><Relationship Id="rId53" Type="http://schemas.openxmlformats.org/officeDocument/2006/relationships/hyperlink" Target="file:///mediawiki/index.php%3Ftitle=Jesaja_24&amp;action=edit&amp;redlink=1" TargetMode="External"/><Relationship Id="rId54" Type="http://schemas.openxmlformats.org/officeDocument/2006/relationships/hyperlink" Target="file:///mediawiki/index.php%3Ftitle=Hosea_4&amp;action=edit&amp;redlink=1" TargetMode="External"/><Relationship Id="rId55" Type="http://schemas.openxmlformats.org/officeDocument/2006/relationships/hyperlink" Target="file:///mediawiki/index.php%3Ftitle=Habakkuk_3&amp;action=edit&amp;redlink=1" TargetMode="External"/><Relationship Id="rId56" Type="http://schemas.openxmlformats.org/officeDocument/2006/relationships/hyperlink" Target="http://www.offene-bibel.de/wiki/index.php5?title=Sela" TargetMode="External"/><Relationship Id="rId57" Type="http://schemas.openxmlformats.org/officeDocument/2006/relationships/hyperlink" Target="file:///mediawiki/index.php%3Ftitle=Ezechiel_33&amp;action=edit&amp;redlink=1" TargetMode="External"/><Relationship Id="rId58" Type="http://schemas.openxmlformats.org/officeDocument/2006/relationships/hyperlink" Target="file:///mediawiki/index.php%3Ftitle=Ezechiel_18&amp;action=edit&amp;redlink=1" TargetMode="External"/><Relationship Id="rId59" Type="http://schemas.openxmlformats.org/officeDocument/2006/relationships/hyperlink" Target="file:///mediawiki/index.php%3Ftitle=Jesaja_24&amp;action=edit&amp;redlink=1" TargetMode="External"/><Relationship Id="rId60" Type="http://schemas.openxmlformats.org/officeDocument/2006/relationships/hyperlink" Target="file:///mediawiki/index.php%3Ftitle=Klagelied_1&amp;action=edit&amp;redlink=1" TargetMode="External"/><Relationship Id="rId61" Type="http://schemas.openxmlformats.org/officeDocument/2006/relationships/hyperlink" Target="file:///mediawiki/index.php%3Ftitle=Genesis_30&amp;action=edit&amp;redlink=1" TargetMode="External"/><Relationship Id="rId62" Type="http://schemas.openxmlformats.org/officeDocument/2006/relationships/hyperlink" Target="file:///mediawiki/index.php%3Ftitle=Exodus_32&amp;action=edit&amp;redlink=1" TargetMode="External"/><Relationship Id="rId63" Type="http://schemas.openxmlformats.org/officeDocument/2006/relationships/hyperlink" Target="file:///mediawiki/index.php%3Ftitle=Deuteronomium_9&amp;action=edit&amp;redlink=1" TargetMode="External"/><Relationship Id="rId64" Type="http://schemas.openxmlformats.org/officeDocument/2006/relationships/hyperlink" Target="file:///mediawiki/index.php%3Ftitle=1Samuel_2&amp;action=edit&amp;redlink=1" TargetMode="External"/><Relationship Id="rId65" Type="http://schemas.openxmlformats.org/officeDocument/2006/relationships/hyperlink" Target="file:///mediawiki/index.php%3Ftitle=Psalm_21&amp;action=edit&amp;redlink=1" TargetMode="External"/><Relationship Id="rId66" Type="http://schemas.openxmlformats.org/officeDocument/2006/relationships/hyperlink" Target="file:///mediawiki/index.php%3Ftitle=Leviticus_26&amp;action=edit&amp;redlink=1" TargetMode="External"/><Relationship Id="rId67" Type="http://schemas.openxmlformats.org/officeDocument/2006/relationships/hyperlink" Target="file:///mediawiki/index.php%3Ftitle=2Chronik_25&amp;action=edit&amp;redlink=1" TargetMode="External"/><Relationship Id="rId68" Type="http://schemas.openxmlformats.org/officeDocument/2006/relationships/hyperlink" Target="file:///mediawiki/index.php%3Ftitle=Psalm_64&amp;action=edit&amp;redlink=1" TargetMode="External"/><Relationship Id="rId69" Type="http://schemas.openxmlformats.org/officeDocument/2006/relationships/hyperlink" Target="file:///mediawiki/index.php%3Ftitle=Jesaja_3&amp;action=edit&amp;redlink=1" TargetMode="External"/><Relationship Id="rId70" Type="http://schemas.openxmlformats.org/officeDocument/2006/relationships/hyperlink" Target="https://www.bibelwissenschaft.de/stichwort/23844/" TargetMode="External"/><Relationship Id="rId71" Type="http://schemas.openxmlformats.org/officeDocument/2006/relationships/hyperlink" Target="file:///mediawiki/index.php%3Ftitle=Psalm_89&amp;action=edit&amp;redlink=1" TargetMode="External"/><Relationship Id="rId72" Type="http://schemas.openxmlformats.org/officeDocument/2006/relationships/hyperlink" Target="file:///mediawiki/index.php%3Ftitle=Psalm_89&amp;action=edit&amp;redlink=1" TargetMode="External"/><Relationship Id="rId73" Type="http://schemas.openxmlformats.org/officeDocument/2006/relationships/hyperlink" Target="https://www.bibelwissenschaft.de/stichwort/35418/" TargetMode="External"/><Relationship Id="rId74" Type="http://schemas.openxmlformats.org/officeDocument/2006/relationships/hyperlink" Target="file:///mediawiki/index.php%3Ftitle=1Samuel_1&amp;action=edit&amp;redlink=1" TargetMode="External"/><Relationship Id="rId75" Type="http://schemas.openxmlformats.org/officeDocument/2006/relationships/hyperlink" Target="file:///mediawiki/index.php%3Ftitle=Psalm_44&amp;action=edit&amp;redlink=1" TargetMode="External"/><Relationship Id="rId76" Type="http://schemas.openxmlformats.org/officeDocument/2006/relationships/hyperlink" Target="file:///mediawiki/index.php%3Ftitle=Jesaja_49&amp;action=edit&amp;redlink=1" TargetMode="External"/><Relationship Id="rId77" Type="http://schemas.openxmlformats.org/officeDocument/2006/relationships/hyperlink" Target="file:///mediawiki/index.php%3Ftitle=Klagelieder_5&amp;action=edit&amp;redlink=1" TargetMode="External"/><Relationship Id="rId78" Type="http://schemas.openxmlformats.org/officeDocument/2006/relationships/hyperlink" Target="file:///mediawiki/index.php%3Ftitle=Psalm_92&amp;action=edit&amp;redlink=1" TargetMode="External"/><Relationship Id="rId79" Type="http://schemas.openxmlformats.org/officeDocument/2006/relationships/hyperlink" Target="http://www.offene-bibel.de/wiki/index.php5?title=Sela" TargetMode="External"/><Relationship Id="rId80" Type="http://schemas.openxmlformats.org/officeDocument/2006/relationships/hyperlink" Target="https://www.bibelwissenschaft.de/stichwort/33830/" TargetMode="External"/><Relationship Id="rId81" Type="http://schemas.openxmlformats.org/officeDocument/2006/relationships/hyperlink" Target="file:///wiki/Psalm_9" TargetMode="External"/><Relationship Id="rId82" Type="http://schemas.openxmlformats.org/officeDocument/2006/relationships/hyperlink" Target="file:///mediawiki/index.php%3Ftitle=Sprichw&#246;rter_10&amp;action=edit&amp;redlink=1" TargetMode="External"/><Relationship Id="rId83" Type="http://schemas.openxmlformats.org/officeDocument/2006/relationships/hyperlink" Target="file:///mediawiki/index.php%3Ftitle=Psalm_46&amp;action=edit&amp;redlink=1" TargetMode="External"/><Relationship Id="rId84" Type="http://schemas.openxmlformats.org/officeDocument/2006/relationships/hyperlink" Target="file:///mediawiki/index.php%3Ftitle=Psalm_62&amp;action=edit&amp;redlink=1" TargetMode="External"/><Relationship Id="rId85" Type="http://schemas.openxmlformats.org/officeDocument/2006/relationships/hyperlink" Target="file:///mediawiki/index.php%3Ftitle=Psalm_112&amp;action=edit&amp;redlink=1" TargetMode="External"/><Relationship Id="rId86" Type="http://schemas.openxmlformats.org/officeDocument/2006/relationships/hyperlink" Target="file:///mediawiki/index.php%3Ftitle=Psalm_125&amp;action=edit&amp;redlink=1" TargetMode="External"/><Relationship Id="rId87" Type="http://schemas.openxmlformats.org/officeDocument/2006/relationships/hyperlink" Target="file:///mediawiki/index.php%3Ftitle=Jeremia_16&amp;action=edit&amp;redlink=1" TargetMode="External"/><Relationship Id="rId88" Type="http://schemas.openxmlformats.org/officeDocument/2006/relationships/hyperlink" Target="file:///mediawiki/index.php%3Ftitle=Habakuk_1&amp;action=edit&amp;redlink=1" TargetMode="External"/><Relationship Id="rId89" Type="http://schemas.openxmlformats.org/officeDocument/2006/relationships/hyperlink" Target="file:///mediawiki/index.php%3Ftitle=1Samuel_1&amp;action=edit&amp;redlink=1" TargetMode="External"/><Relationship Id="rId90" Type="http://schemas.openxmlformats.org/officeDocument/2006/relationships/hyperlink" Target="file:///mediawiki/index.php%3Ftitle=Psalm_44&amp;action=edit&amp;redlink=1" TargetMode="External"/><Relationship Id="rId91" Type="http://schemas.openxmlformats.org/officeDocument/2006/relationships/hyperlink" Target="file:///mediawiki/index.php%3Ftitle=Jesaja_49&amp;action=edit&amp;redlink=1" TargetMode="External"/><Relationship Id="rId92" Type="http://schemas.openxmlformats.org/officeDocument/2006/relationships/hyperlink" Target="file:///mediawiki/index.php%3Ftitle=Klagelieder_5&amp;action=edit&amp;redlink=1" TargetMode="External"/><Relationship Id="rId93" Type="http://schemas.openxmlformats.org/officeDocument/2006/relationships/hyperlink" Target="file:///mediawiki/index.php%3Ftitle=Richter_16&amp;action=edit&amp;redlink=1" TargetMode="External"/><Relationship Id="rId94" Type="http://schemas.openxmlformats.org/officeDocument/2006/relationships/hyperlink" Target="file:///mediawiki/index.php%3Ftitle=Psalm_46&amp;action=edit&amp;redlink=1" TargetMode="External"/><Relationship Id="rId95" Type="http://schemas.openxmlformats.org/officeDocument/2006/relationships/hyperlink" Target="file:///mediawiki/index.php%3Ftitle=Psalm_48&amp;action=edit&amp;redlink=1" TargetMode="External"/><Relationship Id="rId96" Type="http://schemas.openxmlformats.org/officeDocument/2006/relationships/hyperlink" Target="file:///mediawiki/index.php%3Ftitle=Psalm_61&amp;action=edit&amp;redlink=1" TargetMode="External"/><Relationship Id="rId97" Type="http://schemas.openxmlformats.org/officeDocument/2006/relationships/hyperlink" Target="file:///mediawiki/index.php%3Ftitle=Jeremia_50&amp;action=edit&amp;redlink=1" TargetMode="External"/><Relationship Id="rId98" Type="http://schemas.openxmlformats.org/officeDocument/2006/relationships/hyperlink" Target="file:///mediawiki/index.php%3Ftitle=Psalm_59&amp;action=edit&amp;redlink=1" TargetMode="External"/><Relationship Id="rId99" Type="http://schemas.openxmlformats.org/officeDocument/2006/relationships/hyperlink" Target="file:///mediawiki/index.php%3Ftitle=Psalm_83&amp;action=edit&amp;redlink=1" TargetMode="External"/><Relationship Id="rId100" Type="http://schemas.openxmlformats.org/officeDocument/2006/relationships/hyperlink" Target="file:///mediawiki/index.php%3Ftitle=Ezechiel_38&amp;action=edit&amp;redlink=1" TargetMode="External"/><Relationship Id="rId101" Type="http://schemas.openxmlformats.org/officeDocument/2006/relationships/hyperlink" Target="file:///wiki/Genesis_25" TargetMode="External"/><Relationship Id="rId102" Type="http://schemas.openxmlformats.org/officeDocument/2006/relationships/hyperlink" Target="http://en.wikisource.org/wiki/Gesenius&apos;_Hebrew_Grammar/144" TargetMode="External"/><Relationship Id="rId103" Type="http://schemas.openxmlformats.org/officeDocument/2006/relationships/hyperlink" Target="http://wp.patheos.com.s3.amazonaws.com/blogs/exploringourmatrix/files/2012/11/Ancient-Hebrew-view-of-universe.png" TargetMode="External"/><Relationship Id="rId104" Type="http://schemas.openxmlformats.org/officeDocument/2006/relationships/hyperlink" Target="file:///mediawiki/index.php%3Ftitle=Psalm_103&amp;action=edit&amp;redlink=1" TargetMode="External"/><Relationship Id="rId105" Type="http://schemas.openxmlformats.org/officeDocument/2006/relationships/hyperlink" Target="file:///mediawiki/index.php%3Ftitle=Psalm_111&amp;action=edit&amp;redlink=1" TargetMode="External"/><Relationship Id="rId106" Type="http://schemas.openxmlformats.org/officeDocument/2006/relationships/hyperlink" Target="file:///mediawiki/index.php%3Ftitle=Psalm_119&amp;action=edit&amp;redlink=1" TargetMode="External"/><Relationship Id="rId107" Type="http://schemas.openxmlformats.org/officeDocument/2006/relationships/hyperlink" Target="file:///mediawiki/index.php%3Ftitle=Psalm_119&amp;action=edit&amp;redlink=1" TargetMode="External"/><Relationship Id="rId108" Type="http://schemas.openxmlformats.org/officeDocument/2006/relationships/hyperlink" Target="file:///mediawiki/index.php%3Ftitle=Psalm_119&amp;action=edit&amp;redlink=1" TargetMode="External"/><Relationship Id="rId109" Type="http://schemas.openxmlformats.org/officeDocument/2006/relationships/hyperlink" Target="file:///mediawiki/index.php%3Ftitle=Psalm_119&amp;action=edit&amp;redlink=1" TargetMode="External"/><Relationship Id="rId110" Type="http://schemas.openxmlformats.org/officeDocument/2006/relationships/hyperlink" Target="file:///mediawiki/index.php%3Ftitle=Psalm_119&amp;action=edit&amp;redlink=1" TargetMode="External"/><Relationship Id="rId111" Type="http://schemas.openxmlformats.org/officeDocument/2006/relationships/hyperlink" Target="file:///mediawiki/index.php%3Ftitle=Psalm_119&amp;action=edit&amp;redlink=1" TargetMode="External"/><Relationship Id="rId112" Type="http://schemas.openxmlformats.org/officeDocument/2006/relationships/hyperlink" Target="file:///mediawiki/index.php%3Ftitle=Psalm_119&amp;action=edit&amp;redlink=1" TargetMode="External"/><Relationship Id="rId113" Type="http://schemas.openxmlformats.org/officeDocument/2006/relationships/hyperlink" Target="file:///mediawiki/index.php%3Ftitle=Psalm_119&amp;action=edit&amp;redlink=1" TargetMode="External"/><Relationship Id="rId114" Type="http://schemas.openxmlformats.org/officeDocument/2006/relationships/hyperlink" Target="file:///mediawiki/index.php%3Ftitle=Psalm_119&amp;action=edit&amp;redlink=1" TargetMode="External"/><Relationship Id="rId115" Type="http://schemas.openxmlformats.org/officeDocument/2006/relationships/hyperlink" Target="file:///mediawiki/index.php%3Ftitle=Psalm_119&amp;action=edit&amp;redlink=1" TargetMode="External"/><Relationship Id="rId116" Type="http://schemas.openxmlformats.org/officeDocument/2006/relationships/hyperlink" Target="file:///mediawiki/index.php%3Ftitle=Psalm_119&amp;action=edit&amp;redlink=1" TargetMode="External"/><Relationship Id="rId117" Type="http://schemas.openxmlformats.org/officeDocument/2006/relationships/hyperlink" Target="file:///mediawiki/index.php%3Ftitle=Psalm_119&amp;action=edit&amp;redlink=1" TargetMode="External"/><Relationship Id="rId118" Type="http://schemas.openxmlformats.org/officeDocument/2006/relationships/hyperlink" Target="file:///mediawiki/index.php%3Ftitle=Deuteronomium_10&amp;action=edit&amp;redlink=1" TargetMode="External"/><Relationship Id="rId119" Type="http://schemas.openxmlformats.org/officeDocument/2006/relationships/hyperlink" Target="file:///mediawiki/index.php%3Ftitle=1K&#246;nige_8&amp;action=edit&amp;redlink=1" TargetMode="External"/><Relationship Id="rId120" Type="http://schemas.openxmlformats.org/officeDocument/2006/relationships/hyperlink" Target="file:///mediawiki/index.php%3Ftitle=2Chronik_2&amp;action=edit&amp;redlink=1" TargetMode="External"/><Relationship Id="rId121" Type="http://schemas.openxmlformats.org/officeDocument/2006/relationships/hyperlink" Target="file:///mediawiki/index.php%3Ftitle=2Chronik_6&amp;action=edit&amp;redlink=1" TargetMode="External"/><Relationship Id="rId122" Type="http://schemas.openxmlformats.org/officeDocument/2006/relationships/hyperlink" Target="file:///wiki/Levitikus_4" TargetMode="External"/><Relationship Id="rId123" Type="http://schemas.openxmlformats.org/officeDocument/2006/relationships/hyperlink" Target="file:///wiki/Levitikus_5" TargetMode="External"/><Relationship Id="rId124" Type="http://schemas.openxmlformats.org/officeDocument/2006/relationships/hyperlink" Target="file:///mediawiki/index.php%3Ftitle=Ijob_16&amp;action=edit&amp;redlink=1" TargetMode="External"/><Relationship Id="rId125" Type="http://schemas.openxmlformats.org/officeDocument/2006/relationships/hyperlink" Target="file:///mediawiki/index.php%3Ftitle=Psalm_35&amp;action=edit&amp;redlink=1" TargetMode="External"/><Relationship Id="rId126" Type="http://schemas.openxmlformats.org/officeDocument/2006/relationships/hyperlink" Target="file:///mediawiki/index.php%3Ftitle=Psalm_44&amp;action=edit&amp;redlink=1" TargetMode="External"/><Relationship Id="rId127" Type="http://schemas.openxmlformats.org/officeDocument/2006/relationships/hyperlink" Target="file:///mediawiki/index.php%3Ftitle=Psalm_64&amp;action=edit&amp;redlink=1" TargetMode="External"/><Relationship Id="rId128" Type="http://schemas.openxmlformats.org/officeDocument/2006/relationships/hyperlink" Target="file:///mediawiki/index.php%3Ftitle=Psalm_25&amp;action=edit&amp;redlink=1" TargetMode="External"/><Relationship Id="rId129" Type="http://schemas.openxmlformats.org/officeDocument/2006/relationships/hyperlink" Target="file:///mediawiki/index.php%3Ftitle=Ezechiel_39&amp;action=edit&amp;redlink=1" TargetMode="External"/><Relationship Id="rId130" Type="http://schemas.openxmlformats.org/officeDocument/2006/relationships/hyperlink" Target="file:///mediawiki/index.php%3Ftitle=Psalm_35&amp;action=edit&amp;redlink=1" TargetMode="External"/><Relationship Id="rId131" Type="http://schemas.openxmlformats.org/officeDocument/2006/relationships/hyperlink" Target="http://www.bibelwissenschaft.de/nc/wibilex/das-bibellexikon/details/quelle/WIBI/referenz/24713/" TargetMode="External"/><Relationship Id="rId132" Type="http://schemas.openxmlformats.org/officeDocument/2006/relationships/hyperlink" Target="file:///wiki/Sela" TargetMode="External"/><Relationship Id="rId133" Type="http://schemas.openxmlformats.org/officeDocument/2006/relationships/hyperlink" Target="file:///mediawiki/index.php%3Ftitle=1Makkab&#228;er_4&amp;action=edit&amp;redlink=1" TargetMode="External"/><Relationship Id="rId134" Type="http://schemas.openxmlformats.org/officeDocument/2006/relationships/hyperlink" Target="file:///mediawiki/index.php%3Ftitle=2Makkab&#228;er_10&amp;action=edit&amp;redlink=1" TargetMode="External"/><Relationship Id="rId135" Type="http://schemas.openxmlformats.org/officeDocument/2006/relationships/hyperlink" Target="http://www.bibelwissenschaft.de/nc/wibilex/das-bibellexikon/details/quelle/WIBI/referenz/24713/" TargetMode="External"/><Relationship Id="rId136" Type="http://schemas.openxmlformats.org/officeDocument/2006/relationships/hyperlink" Target="file:///wiki/Genesis_25" TargetMode="External"/><Relationship Id="rId137" Type="http://schemas.openxmlformats.org/officeDocument/2006/relationships/hyperlink" Target="file:///mediawiki/index.php%3Ftitle=Deuteronomium_28&amp;action=edit&amp;redlink=1" TargetMode="External"/><Relationship Id="rId138" Type="http://schemas.openxmlformats.org/officeDocument/2006/relationships/hyperlink" Target="file:///mediawiki/index.php%3Ftitle=Deuteronomium_28&amp;action=edit&amp;redlink=1" TargetMode="External"/><Relationship Id="rId139" Type="http://schemas.openxmlformats.org/officeDocument/2006/relationships/hyperlink" Target="file:///mediawiki/index.php%3Ftitle=Psalm_34&amp;action=edit&amp;redlink=1" TargetMode="External"/><Relationship Id="rId140" Type="http://schemas.openxmlformats.org/officeDocument/2006/relationships/hyperlink" Target="file:///mediawiki/index.php%3Ftitle=Psalm_47&amp;action=edit&amp;redlink=1" TargetMode="External"/><Relationship Id="rId141" Type="http://schemas.openxmlformats.org/officeDocument/2006/relationships/hyperlink" Target="file:///mediawiki/index.php%3Ftitle=Psalm_64&amp;action=edit&amp;redlink=1" TargetMode="External"/><Relationship Id="rId142" Type="http://schemas.openxmlformats.org/officeDocument/2006/relationships/hyperlink" Target="file:///wiki/Partizip" TargetMode="External"/><Relationship Id="rId143" Type="http://schemas.openxmlformats.org/officeDocument/2006/relationships/hyperlink" Target="file:///mediawiki/index.php%3Ftitle=1Chronik_16&amp;action=edit&amp;redlink=1" TargetMode="External"/><Relationship Id="rId144" Type="http://schemas.openxmlformats.org/officeDocument/2006/relationships/hyperlink" Target="file:///mediawiki/index.php%3Ftitle=Psalm_96&amp;action=edit&amp;redlink=1" TargetMode="External"/><Relationship Id="rId145" Type="http://schemas.openxmlformats.org/officeDocument/2006/relationships/hyperlink" Target="file:///mediawiki/index.php%3Ftitle=Psalm_111&amp;action=edit&amp;redlink=1" TargetMode="External"/><Relationship Id="rId146" Type="http://schemas.openxmlformats.org/officeDocument/2006/relationships/hyperlink" Target="file:///mediawiki/index.php%3Ftitle=Psalm_21&amp;action=edit&amp;redlink=1" TargetMode="External"/><Relationship Id="rId147" Type="http://schemas.openxmlformats.org/officeDocument/2006/relationships/hyperlink" Target="file:///mediawiki/index.php%3Ftitle=Psalm_45&amp;action=edit&amp;redlink=1" TargetMode="External"/><Relationship Id="rId148" Type="http://schemas.openxmlformats.org/officeDocument/2006/relationships/hyperlink" Target="file:///mediawiki/index.php%3Ftitle=Ijob_40&amp;action=edit&amp;redlink=1" TargetMode="External"/><Relationship Id="rId149" Type="http://schemas.openxmlformats.org/officeDocument/2006/relationships/hyperlink" Target="file:///mediawiki/index.php%3Ftitle=Ijob_40&amp;action=edit&amp;redlink=1" TargetMode="External"/><Relationship Id="rId150" Type="http://schemas.openxmlformats.org/officeDocument/2006/relationships/hyperlink" Target="file:///mediawiki/index.php%3Ftitle=Sprichw&#246;rter_31&amp;action=edit&amp;redlink=1" TargetMode="External"/><Relationship Id="rId151" Type="http://schemas.openxmlformats.org/officeDocument/2006/relationships/hyperlink" Target="file:///mediawiki/index.php%3Ftitle=Jesaja_63&amp;action=edit&amp;redlink=1" TargetMode="External"/><Relationship Id="rId152" Type="http://schemas.openxmlformats.org/officeDocument/2006/relationships/hyperlink" Target="file:///wiki/Genesis_1" TargetMode="External"/><Relationship Id="rId153" Type="http://schemas.openxmlformats.org/officeDocument/2006/relationships/hyperlink" Target="file:///mediawiki/index.php%3Ftitle=Ijob_37&amp;action=edit&amp;redlink=1" TargetMode="External"/><Relationship Id="rId154" Type="http://schemas.openxmlformats.org/officeDocument/2006/relationships/hyperlink" Target="file:///mediawiki/index.php%3Ftitle=Ezechiel_1&amp;action=edit&amp;redlink=1" TargetMode="External"/><Relationship Id="rId155" Type="http://schemas.openxmlformats.org/officeDocument/2006/relationships/hyperlink" Target="file:///mediawiki/index.php%3Ftitle=Ijob_9&amp;action=edit&amp;redlink=1" TargetMode="External"/><Relationship Id="rId156" Type="http://schemas.openxmlformats.org/officeDocument/2006/relationships/hyperlink" Target="file:///mediawiki/index.php%3Ftitle=Jesaja_42&amp;action=edit&amp;redlink=1" TargetMode="External"/><Relationship Id="rId157" Type="http://schemas.openxmlformats.org/officeDocument/2006/relationships/hyperlink" Target="file:///mediawiki/index.php%3Ftitle=Ijob_37&amp;action=edit&amp;redlink=1" TargetMode="External"/><Relationship Id="rId158" Type="http://schemas.openxmlformats.org/officeDocument/2006/relationships/hyperlink" Target="file:///mediawiki/index.php%3Ftitle=Ezechiel_31&amp;action=edit&amp;redlink=1" TargetMode="External"/><Relationship Id="rId159" Type="http://schemas.openxmlformats.org/officeDocument/2006/relationships/hyperlink" Target="file:///mediawiki/index.php%3Ftitle=1_K&#246;nige_4&amp;action=edit&amp;redlink=1" TargetMode="External"/><Relationship Id="rId160" Type="http://schemas.openxmlformats.org/officeDocument/2006/relationships/hyperlink" Target="file:///mediawiki/index.php%3Ftitle=Jesaja_2&amp;action=edit&amp;redlink=1" TargetMode="External"/><Relationship Id="rId161" Type="http://schemas.openxmlformats.org/officeDocument/2006/relationships/hyperlink" Target="file:///mediawiki/index.php%3Ftitle=Jesaja_37&amp;action=edit&amp;redlink=1" TargetMode="External"/><Relationship Id="rId162" Type="http://schemas.openxmlformats.org/officeDocument/2006/relationships/hyperlink" Target="file:///mediawiki/index.php%3Ftitle=Leviticus_11&amp;action=edit&amp;redlink=1" TargetMode="External"/><Relationship Id="rId163" Type="http://schemas.openxmlformats.org/officeDocument/2006/relationships/hyperlink" Target="file:///mediawiki/index.php%3Ftitle=Psalm_69&amp;action=edit&amp;redlink=1" TargetMode="External"/><Relationship Id="rId164" Type="http://schemas.openxmlformats.org/officeDocument/2006/relationships/hyperlink" Target="http://www.offene-bibel.de/wiki/index.php5?title=&#1493;&#1456;" TargetMode="External"/><Relationship Id="rId165" Type="http://schemas.openxmlformats.org/officeDocument/2006/relationships/hyperlink" Target="file:///mediawiki/index.php%3Ftitle=Jesus_Sirach_40&amp;action=edit&amp;redlink=1" TargetMode="External"/><Relationship Id="rId166" Type="http://schemas.openxmlformats.org/officeDocument/2006/relationships/hyperlink" Target="file:///mediawiki/index.php%3Ftitle=Ijob_30&amp;action=edit&amp;redlink=1" TargetMode="External"/><Relationship Id="rId167" Type="http://schemas.openxmlformats.org/officeDocument/2006/relationships/hyperlink" Target="file:///mediawiki/index.php%3Ftitle=Hohelied_4&amp;action=edit&amp;redlink=1" TargetMode="External"/><Relationship Id="rId168" Type="http://schemas.openxmlformats.org/officeDocument/2006/relationships/hyperlink" Target="file:///mediawiki/index.php%3Ftitle=Hohelied_4&amp;action=edit&amp;redlink=1" TargetMode="External"/><Relationship Id="rId169" Type="http://schemas.openxmlformats.org/officeDocument/2006/relationships/hyperlink" Target="file:///mediawiki/index.php%3Ftitle=Hohelied_5&amp;action=edit&amp;redlink=1" TargetMode="External"/><Relationship Id="rId170" Type="http://schemas.openxmlformats.org/officeDocument/2006/relationships/hyperlink" Target="file:///mediawiki/index.php%3Ftitle=Hohelied_6&amp;action=edit&amp;redlink=1" TargetMode="External"/><Relationship Id="rId171" Type="http://schemas.openxmlformats.org/officeDocument/2006/relationships/hyperlink" Target="file:///mediawiki/index.php%3Ftitle=Hohelied_4&amp;action=edit&amp;redlink=1" TargetMode="External"/><Relationship Id="rId172" Type="http://schemas.openxmlformats.org/officeDocument/2006/relationships/hyperlink" Target="file:///mediawiki/index.php%3Ftitle=Hohelied_4&amp;action=edit&amp;redlink=1" TargetMode="External"/><Relationship Id="rId173" Type="http://schemas.openxmlformats.org/officeDocument/2006/relationships/hyperlink" Target="file:///mediawiki/index.php%3Ftitle=Hohelied_5&amp;action=edit&amp;redlink=1" TargetMode="External"/><Relationship Id="rId174" Type="http://schemas.openxmlformats.org/officeDocument/2006/relationships/hyperlink" Target="file:///mediawiki/index.php%3Ftitle=Hohelied_6&amp;action=edit&amp;redlink=1" TargetMode="External"/><Relationship Id="rId175" Type="http://schemas.openxmlformats.org/officeDocument/2006/relationships/hyperlink" Target="file:///mediawiki/index.php%3Ftitle=Hohelied_5&amp;action=edit&amp;redlink=1" TargetMode="External"/><Relationship Id="rId176" Type="http://schemas.openxmlformats.org/officeDocument/2006/relationships/hyperlink" Target="file:///mediawiki/index.php%3Ftitle=Hohelied_6&amp;action=edit&amp;redlink=1" TargetMode="External"/><Relationship Id="rId177" Type="http://schemas.openxmlformats.org/officeDocument/2006/relationships/hyperlink" Target="file:///mediawiki/index.php%3Ftitle=1K&#246;nige_6&amp;action=edit&amp;redlink=1" TargetMode="External"/><Relationship Id="rId178" Type="http://schemas.openxmlformats.org/officeDocument/2006/relationships/hyperlink" Target="file:///mediawiki/index.php%3Ftitle=1K&#246;nige_7&amp;action=edit&amp;redlink=1" TargetMode="External"/><Relationship Id="rId179" Type="http://schemas.openxmlformats.org/officeDocument/2006/relationships/hyperlink" Target="file:///mediawiki/index.php%3Ftitle=1K&#246;nige_10&amp;action=edit&amp;redlink=1" TargetMode="External"/><Relationship Id="rId180" Type="http://schemas.openxmlformats.org/officeDocument/2006/relationships/hyperlink" Target="file:///mediawiki/index.php%3Ftitle=Jesaja_61&amp;action=edit&amp;redlink=1" TargetMode="External"/><Relationship Id="rId181" Type="http://schemas.openxmlformats.org/officeDocument/2006/relationships/hyperlink" Target="file:///mediawiki/index.php%3Ftitle=3Makkab&#228;er_4&amp;action=edit&amp;redlink=1" TargetMode="External"/><Relationship Id="rId182" Type="http://schemas.openxmlformats.org/officeDocument/2006/relationships/hyperlink" Target="file:///mediawiki/index.php%3Ftitle=Ahas&amp;action=edit&amp;redlink=1" TargetMode="External"/><Relationship Id="rId183" Type="http://schemas.openxmlformats.org/officeDocument/2006/relationships/hyperlink" Target="file:///wiki/Genesis_1" TargetMode="External"/><Relationship Id="rId184" Type="http://schemas.openxmlformats.org/officeDocument/2006/relationships/hyperlink" Target="file:///mediawiki/index.php%3Ftitle=AK&amp;action=edit&amp;redlink=1" TargetMode="External"/><Relationship Id="rId185" Type="http://schemas.openxmlformats.org/officeDocument/2006/relationships/hyperlink" Target="file:///mediawiki/index.php%3Ftitle=Hifil&amp;action=edit&amp;redlink=1" TargetMode="External"/><Relationship Id="rId186" Type="http://schemas.openxmlformats.org/officeDocument/2006/relationships/hyperlink" Target="http://de.wikipedia.org/wiki/Affodill" TargetMode="External"/><Relationship Id="rId187" Type="http://schemas.openxmlformats.org/officeDocument/2006/relationships/hyperlink" Target="http://de.wikipedia.org/wiki/Libanon_(Gebirge)" TargetMode="External"/><Relationship Id="rId188" Type="http://schemas.openxmlformats.org/officeDocument/2006/relationships/hyperlink" Target="http://de.wikipedia.org/wiki/Karmel_(Gebirge)" TargetMode="External"/><Relationship Id="rId189" Type="http://schemas.openxmlformats.org/officeDocument/2006/relationships/hyperlink" Target="http://de.wikipedia.org/wiki/Scharonebenea" TargetMode="External"/><Relationship Id="rId190" Type="http://schemas.openxmlformats.org/officeDocument/2006/relationships/hyperlink" Target="file:///wiki/Generisches_Maskulinum" TargetMode="External"/><Relationship Id="rId191" Type="http://schemas.openxmlformats.org/officeDocument/2006/relationships/hyperlink" Target="file:///mediawiki/index.php%3Ftitle=Ijob_29&amp;action=edit&amp;redlink=1" TargetMode="External"/><Relationship Id="rId192" Type="http://schemas.openxmlformats.org/officeDocument/2006/relationships/hyperlink" Target="file:///mediawiki/index.php%3Ftitle=Ijob_40&amp;action=edit&amp;redlink=1" TargetMode="External"/><Relationship Id="rId193" Type="http://schemas.openxmlformats.org/officeDocument/2006/relationships/hyperlink" Target="file:///mediawiki/index.php%3Ftitle=Micha_7&amp;action=edit&amp;redlink=1" TargetMode="External"/><Relationship Id="rId194" Type="http://schemas.openxmlformats.org/officeDocument/2006/relationships/hyperlink" Target="file:///wiki/Generisches_Maskulinum" TargetMode="External"/><Relationship Id="rId195" Type="http://schemas.openxmlformats.org/officeDocument/2006/relationships/hyperlink" Target="http://www.offene-bibel.de/wiki/index.php5?title=Diskussion:Jeremia_2" TargetMode="External"/><Relationship Id="rId196" Type="http://schemas.openxmlformats.org/officeDocument/2006/relationships/hyperlink" Target="http://www.offene-bibel.de/wiki/index.php5?title=Diskussion:Jeremia_2" TargetMode="External"/><Relationship Id="rId197" Type="http://schemas.openxmlformats.org/officeDocument/2006/relationships/hyperlink" Target="http://www.offene-bibel.de/wiki/index.php5?title=Gottesnamen" TargetMode="External"/><Relationship Id="rId198" Type="http://schemas.openxmlformats.org/officeDocument/2006/relationships/hyperlink" Target="file:///mediawiki/index.php%3Ftitle=2Samuel_2&amp;action=edit&amp;redlink=1" TargetMode="External"/><Relationship Id="rId199" Type="http://schemas.openxmlformats.org/officeDocument/2006/relationships/hyperlink" Target="file:///mediawiki/index.php%3Ftitle=Daniel_7&amp;action=edit&amp;redlink=1" TargetMode="External"/><Relationship Id="rId200" Type="http://schemas.openxmlformats.org/officeDocument/2006/relationships/hyperlink" Target="file:///mediawiki/index.php%3Ftitle=Genesis_31&amp;action=edit&amp;redlink=1" TargetMode="External"/><Relationship Id="rId201" Type="http://schemas.openxmlformats.org/officeDocument/2006/relationships/hyperlink" Target="http://www.sammlungen.ub.uni-frankfurt.de/freimann/content/pageview/290735" TargetMode="External"/><Relationship Id="rId202" Type="http://schemas.openxmlformats.org/officeDocument/2006/relationships/hyperlink" Target="file:///mediawiki/index.php%3Ftitle=Scheol&amp;action=edit&amp;redlink=1" TargetMode="External"/><Relationship Id="rId203" Type="http://schemas.openxmlformats.org/officeDocument/2006/relationships/hyperlink" Target="file:///mediawiki/index.php%3Ftitle=2_K&#246;nige_14&amp;action=edit&amp;redlink=1" TargetMode="External"/><Relationship Id="rId204" Type="http://schemas.openxmlformats.org/officeDocument/2006/relationships/hyperlink" Target="file:///mediawiki/index.php%3Ftitle=Deuteronomium_15&amp;action=edit&amp;redlink=1" TargetMode="External"/><Relationship Id="rId205" Type="http://schemas.openxmlformats.org/officeDocument/2006/relationships/hyperlink" Target="file:///mediawiki/index.php%3Ftitle=Deuteronomium_24&amp;action=edit&amp;redlink=1" TargetMode="External"/><Relationship Id="rId206" Type="http://schemas.openxmlformats.org/officeDocument/2006/relationships/hyperlink" Target="file:///mediawiki/index.php%3Ftitle=1_K&#246;nige_13&amp;action=edit&amp;redlink=1" TargetMode="External"/><Relationship Id="rId207" Type="http://schemas.openxmlformats.org/officeDocument/2006/relationships/hyperlink" Target="file:///mediawiki/index.php%3Ftitle=Ezechiel_38&amp;action=edit&amp;redlink=1" TargetMode="External"/><Relationship Id="rId208" Type="http://schemas.openxmlformats.org/officeDocument/2006/relationships/hyperlink" Target="file:///mediawiki/index.php%3Ftitle=Constructio_ad_sensum&amp;action=edit&amp;redlink=1" TargetMode="External"/><Relationship Id="rId209" Type="http://schemas.openxmlformats.org/officeDocument/2006/relationships/hyperlink" Target="file:///wiki/LXX" TargetMode="External"/><Relationship Id="rId210" Type="http://schemas.openxmlformats.org/officeDocument/2006/relationships/hyperlink" Target="file:///mediawiki/index.php%3Ftitle=Futurus_Instanz&amp;action=edit&amp;redlink=1" TargetMode="External"/><Relationship Id="rId211" Type="http://schemas.openxmlformats.org/officeDocument/2006/relationships/hyperlink" Target="file:///wiki/Partizip" TargetMode="External"/><Relationship Id="rId212" Type="http://schemas.openxmlformats.org/officeDocument/2006/relationships/hyperlink" Target="file:///wiki/Partizip" TargetMode="External"/><Relationship Id="rId213" Type="http://schemas.openxmlformats.org/officeDocument/2006/relationships/hyperlink" Target="file:///wiki/Partizip" TargetMode="External"/><Relationship Id="rId214" Type="http://schemas.openxmlformats.org/officeDocument/2006/relationships/hyperlink" Target="file:///wiki/Partizip" TargetMode="External"/><Relationship Id="rId215" Type="http://schemas.openxmlformats.org/officeDocument/2006/relationships/hyperlink" Target="file:///mediawiki/index.php%3Ftitle=Status_constructus&amp;action=edit&amp;redlink=1" TargetMode="External"/><Relationship Id="rId216" Type="http://schemas.openxmlformats.org/officeDocument/2006/relationships/hyperlink" Target="file:///wiki/Diskussion:Matth&#228;us_1" TargetMode="External"/><Relationship Id="rId217" Type="http://schemas.openxmlformats.org/officeDocument/2006/relationships/hyperlink" Target="file:///wiki/Magier" TargetMode="External"/><Relationship Id="rId218" Type="http://schemas.openxmlformats.org/officeDocument/2006/relationships/hyperlink" Target="file:///wiki/Partizip" TargetMode="External"/><Relationship Id="rId219" Type="http://schemas.openxmlformats.org/officeDocument/2006/relationships/hyperlink" Target="file:///wiki/Generisches_Maskulinum" TargetMode="External"/><Relationship Id="rId220" Type="http://schemas.openxmlformats.org/officeDocument/2006/relationships/hyperlink" Target="file:///wiki/Exodus_3" TargetMode="External"/><Relationship Id="rId221" Type="http://schemas.openxmlformats.org/officeDocument/2006/relationships/hyperlink" Target="file:///mediawiki/index.php%3Ftitle=Richter_6&amp;action=edit&amp;redlink=1" TargetMode="External"/><Relationship Id="rId222" Type="http://schemas.openxmlformats.org/officeDocument/2006/relationships/hyperlink" Target="file:///wiki/Generisches_Maskulinum" TargetMode="External"/><Relationship Id="rId223" Type="http://schemas.openxmlformats.org/officeDocument/2006/relationships/hyperlink" Target="file:///wiki/Genitivus_absolutus" TargetMode="External"/><Relationship Id="rId224" Type="http://schemas.openxmlformats.org/officeDocument/2006/relationships/hyperlink" Target="file:///wiki/&#8013;&#964;&#953;_recitativum" TargetMode="External"/><Relationship Id="rId225" Type="http://schemas.openxmlformats.org/officeDocument/2006/relationships/hyperlink" Target="file:///mediawiki/index.php%3Ftitle=Passivum_divinum&amp;action=edit&amp;redlink=1" TargetMode="External"/><Relationship Id="rId226" Type="http://schemas.openxmlformats.org/officeDocument/2006/relationships/hyperlink" Target="file:///mediawiki/index.php%3Ftitle=Imperfekt&amp;action=edit&amp;redlink=1" TargetMode="External"/><Relationship Id="rId227" Type="http://schemas.openxmlformats.org/officeDocument/2006/relationships/hyperlink" Target="file:///wiki/Partizip" TargetMode="External"/><Relationship Id="rId228" Type="http://schemas.openxmlformats.org/officeDocument/2006/relationships/hyperlink" Target="file:///wiki/Ptz._coni." TargetMode="External"/><Relationship Id="rId229" Type="http://schemas.openxmlformats.org/officeDocument/2006/relationships/hyperlink" Target="file:///wiki/Ptz._conj." TargetMode="External"/><Relationship Id="rId230" Type="http://schemas.openxmlformats.org/officeDocument/2006/relationships/hyperlink" Target="file:///wiki/Ptz._conj." TargetMode="External"/><Relationship Id="rId231" Type="http://schemas.openxmlformats.org/officeDocument/2006/relationships/hyperlink" Target="file:///wiki/Ptz._conj." TargetMode="External"/><Relationship Id="rId232" Type="http://schemas.openxmlformats.org/officeDocument/2006/relationships/hyperlink" Target="file:///mediawiki/index.php%3Ftitle=AcI&amp;action=edit&amp;redlink=1" TargetMode="External"/><Relationship Id="rId233" Type="http://schemas.openxmlformats.org/officeDocument/2006/relationships/hyperlink" Target="file:///wiki/Ptc._coni." TargetMode="External"/><Relationship Id="rId234" Type="http://schemas.openxmlformats.org/officeDocument/2006/relationships/hyperlink" Target="file:///wiki/Ptc._coni." TargetMode="External"/><Relationship Id="rId235" Type="http://schemas.openxmlformats.org/officeDocument/2006/relationships/hyperlink" Target="file:///wiki/Ptz._conj." TargetMode="External"/><Relationship Id="rId236" Type="http://schemas.openxmlformats.org/officeDocument/2006/relationships/hyperlink" Target="file:///mediawiki/index.php%3Ftitle=Inchoatives_Imperfekt&amp;action=edit&amp;redlink=1" TargetMode="External"/><Relationship Id="rId237" Type="http://schemas.openxmlformats.org/officeDocument/2006/relationships/hyperlink" Target="file:///wiki/Ptz._conj." TargetMode="External"/><Relationship Id="rId238" Type="http://schemas.openxmlformats.org/officeDocument/2006/relationships/hyperlink" Target="file:///wiki/Ptz._conj." TargetMode="External"/><Relationship Id="rId239" Type="http://schemas.openxmlformats.org/officeDocument/2006/relationships/hyperlink" Target="file:///wiki/Beschreibendes_Partizip" TargetMode="External"/><Relationship Id="rId240" Type="http://schemas.openxmlformats.org/officeDocument/2006/relationships/hyperlink" Target="file:///wiki/Ptz._conj." TargetMode="External"/><Relationship Id="rId241" Type="http://schemas.openxmlformats.org/officeDocument/2006/relationships/hyperlink" Target="file:///mediawiki/index.php%3Ftitle=Inchoatives_Imperfekt&amp;action=edit&amp;redlink=1" TargetMode="External"/><Relationship Id="rId242" Type="http://schemas.openxmlformats.org/officeDocument/2006/relationships/hyperlink" Target="file:///wiki/Gen._abs." TargetMode="External"/><Relationship Id="rId243" Type="http://schemas.openxmlformats.org/officeDocument/2006/relationships/hyperlink" Target="file:///mediawiki/index.php%3Ftitle=Imperfekt&amp;action=edit&amp;redlink=1" TargetMode="External"/><Relationship Id="rId244" Type="http://schemas.openxmlformats.org/officeDocument/2006/relationships/hyperlink" Target="file:///wiki/Ptz._conj." TargetMode="External"/><Relationship Id="rId245" Type="http://schemas.openxmlformats.org/officeDocument/2006/relationships/hyperlink" Target="file:///mediawiki/index.php%3Ftitle=Imperfekt&amp;action=edit&amp;redlink=1" TargetMode="External"/><Relationship Id="rId246" Type="http://schemas.openxmlformats.org/officeDocument/2006/relationships/hyperlink" Target="file:///wiki/Ptz._conj." TargetMode="External"/><Relationship Id="rId247" Type="http://schemas.openxmlformats.org/officeDocument/2006/relationships/hyperlink" Target="file:///wiki/Ptz._conj." TargetMode="External"/><Relationship Id="rId248" Type="http://schemas.openxmlformats.org/officeDocument/2006/relationships/hyperlink" Target="file:///wiki/Ptz._conj." TargetMode="External"/><Relationship Id="rId249" Type="http://schemas.openxmlformats.org/officeDocument/2006/relationships/hyperlink" Target="file:///wiki/Ptz._conj." TargetMode="External"/><Relationship Id="rId250" Type="http://schemas.openxmlformats.org/officeDocument/2006/relationships/hyperlink" Target="file:///mediawiki/index.php%3Ftitle=Imperfekt&amp;action=edit&amp;redlink=1" TargetMode="External"/><Relationship Id="rId251" Type="http://schemas.openxmlformats.org/officeDocument/2006/relationships/hyperlink" Target="file:///wiki/Ptz._conj." TargetMode="External"/><Relationship Id="rId252" Type="http://schemas.openxmlformats.org/officeDocument/2006/relationships/hyperlink" Target="file:///wiki/Historisches_Pr&#228;sens" TargetMode="External"/><Relationship Id="rId253" Type="http://schemas.openxmlformats.org/officeDocument/2006/relationships/hyperlink" Target="file:///wiki/Attributives_Partizip" TargetMode="External"/><Relationship Id="rId254" Type="http://schemas.openxmlformats.org/officeDocument/2006/relationships/hyperlink" Target="file:///wiki/Historisches_Pr&#228;sens" TargetMode="External"/><Relationship Id="rId255" Type="http://schemas.openxmlformats.org/officeDocument/2006/relationships/hyperlink" Target="file:///wiki/Historisches_Pr&#228;sens" TargetMode="External"/><Relationship Id="rId256" Type="http://schemas.openxmlformats.org/officeDocument/2006/relationships/hyperlink" Target="file:///wiki/Historisches_Pr&#228;sens" TargetMode="External"/><Relationship Id="rId257" Type="http://schemas.openxmlformats.org/officeDocument/2006/relationships/hyperlink" Target="file:///wiki/Ptz._conj." TargetMode="External"/><Relationship Id="rId258" Type="http://schemas.openxmlformats.org/officeDocument/2006/relationships/hyperlink" Target="file:///wiki/Ptz._conj." TargetMode="External"/><Relationship Id="rId259" Type="http://schemas.openxmlformats.org/officeDocument/2006/relationships/hyperlink" Target="file:///wiki/Pleonastisches_Partizip" TargetMode="External"/><Relationship Id="rId260" Type="http://schemas.openxmlformats.org/officeDocument/2006/relationships/hyperlink" Target="file:///mediawiki/index.php%3Ftitle=Imperfekt&amp;action=edit&amp;redlink=1" TargetMode="External"/><Relationship Id="rId261" Type="http://schemas.openxmlformats.org/officeDocument/2006/relationships/hyperlink" Target="file:///wiki/Ptz._conj." TargetMode="External"/><Relationship Id="rId262" Type="http://schemas.openxmlformats.org/officeDocument/2006/relationships/hyperlink" Target="file:///wiki/AcP" TargetMode="External"/><Relationship Id="rId263" Type="http://schemas.openxmlformats.org/officeDocument/2006/relationships/hyperlink" Target="file:///wiki/Beschreibendes_Partizip" TargetMode="External"/><Relationship Id="rId264" Type="http://schemas.openxmlformats.org/officeDocument/2006/relationships/hyperlink" Target="file:///mediawiki/index.php%3Ftitle=Imperfekt&amp;action=edit&amp;redlink=1" TargetMode="External"/><Relationship Id="rId265" Type="http://schemas.openxmlformats.org/officeDocument/2006/relationships/hyperlink" Target="file:///mediawiki/index.php%3Ftitle=Gen._part.&amp;action=edit&amp;redlink=1" TargetMode="External"/><Relationship Id="rId266" Type="http://schemas.openxmlformats.org/officeDocument/2006/relationships/hyperlink" Target="file:///wiki/Ptz._conj." TargetMode="External"/><Relationship Id="rId267" Type="http://schemas.openxmlformats.org/officeDocument/2006/relationships/hyperlink" Target="file:///wiki/Ptz._conj." TargetMode="External"/><Relationship Id="rId268" Type="http://schemas.openxmlformats.org/officeDocument/2006/relationships/hyperlink" Target="file:///wiki/&#8013;&#964;&#953;_recitativum" TargetMode="External"/><Relationship Id="rId269" Type="http://schemas.openxmlformats.org/officeDocument/2006/relationships/hyperlink" Target="file:///wiki/Subst._Ptz." TargetMode="External"/><Relationship Id="rId270" Type="http://schemas.openxmlformats.org/officeDocument/2006/relationships/hyperlink" Target="file:///wiki/Historisches_Pr&#228;sens" TargetMode="External"/><Relationship Id="rId271" Type="http://schemas.openxmlformats.org/officeDocument/2006/relationships/hyperlink" Target="file:///mediawiki/index.php%3Ftitle=AcI&amp;action=edit&amp;redlink=1" TargetMode="External"/><Relationship Id="rId272" Type="http://schemas.openxmlformats.org/officeDocument/2006/relationships/hyperlink" Target="file:///wiki/Attributives_Partizip" TargetMode="External"/><Relationship Id="rId273" Type="http://schemas.openxmlformats.org/officeDocument/2006/relationships/hyperlink" Target="file:///mediawiki/index.php%3Ftitle=Temporaler_Dativ&amp;action=edit&amp;redlink=1" TargetMode="External"/><Relationship Id="rId274" Type="http://schemas.openxmlformats.org/officeDocument/2006/relationships/hyperlink" Target="file:///wiki/Historisches_Pr&#228;sens" TargetMode="External"/><Relationship Id="rId275" Type="http://schemas.openxmlformats.org/officeDocument/2006/relationships/hyperlink" Target="file:///mediawiki/index.php%3Ftitle=Attr._Ptz.&amp;action=edit&amp;redlink=1" TargetMode="External"/><Relationship Id="rId276" Type="http://schemas.openxmlformats.org/officeDocument/2006/relationships/hyperlink" Target="file:///wiki/Historisches_Pr&#228;sens" TargetMode="External"/><Relationship Id="rId277" Type="http://schemas.openxmlformats.org/officeDocument/2006/relationships/hyperlink" Target="file:///mediawiki/index.php%3Ftitle=Temporaler_Dativ&amp;action=edit&amp;redlink=1" TargetMode="External"/><Relationship Id="rId278" Type="http://schemas.openxmlformats.org/officeDocument/2006/relationships/hyperlink" Target="file:///wiki/Ptz._conj." TargetMode="External"/><Relationship Id="rId279" Type="http://schemas.openxmlformats.org/officeDocument/2006/relationships/hyperlink" Target="file:///mediawiki/index.php%3Ftitle=Constructio_ad_sensum&amp;action=edit&amp;redlink=1" TargetMode="External"/><Relationship Id="rId280" Type="http://schemas.openxmlformats.org/officeDocument/2006/relationships/hyperlink" Target="file:///wiki/Ptz._conj." TargetMode="External"/><Relationship Id="rId281" Type="http://schemas.openxmlformats.org/officeDocument/2006/relationships/hyperlink" Target="file:///wiki/Pleonastisches_Partizip" TargetMode="External"/><Relationship Id="rId282" Type="http://schemas.openxmlformats.org/officeDocument/2006/relationships/hyperlink" Target="file:///wiki/&#8013;&#964;&#953;_recitativum" TargetMode="External"/><Relationship Id="rId283" Type="http://schemas.openxmlformats.org/officeDocument/2006/relationships/hyperlink" Target="file:///wiki/Historisches_Pr&#228;sens" TargetMode="External"/><Relationship Id="rId284" Type="http://schemas.openxmlformats.org/officeDocument/2006/relationships/hyperlink" Target="file:///wiki/Historisches_Pr&#228;sens" TargetMode="External"/><Relationship Id="rId285" Type="http://schemas.openxmlformats.org/officeDocument/2006/relationships/hyperlink" Target="file:///mediawiki/index.php%3Ftitle=Attr._Ptz.&amp;action=edit&amp;redlink=1" TargetMode="External"/><Relationship Id="rId286" Type="http://schemas.openxmlformats.org/officeDocument/2006/relationships/hyperlink" Target="file:///wiki/Ptz._conj." TargetMode="External"/><Relationship Id="rId287" Type="http://schemas.openxmlformats.org/officeDocument/2006/relationships/hyperlink" Target="file:///wiki/Ptz._conj." TargetMode="External"/><Relationship Id="rId288" Type="http://schemas.openxmlformats.org/officeDocument/2006/relationships/hyperlink" Target="file:///wiki/Generisches_Maskulinum" TargetMode="External"/><Relationship Id="rId289" Type="http://schemas.openxmlformats.org/officeDocument/2006/relationships/hyperlink" Target="file:///wiki/Historisches_Pr&#228;sens" TargetMode="External"/><Relationship Id="rId290" Type="http://schemas.openxmlformats.org/officeDocument/2006/relationships/hyperlink" Target="file:///wiki/Ptz._conj." TargetMode="External"/><Relationship Id="rId291" Type="http://schemas.openxmlformats.org/officeDocument/2006/relationships/hyperlink" Target="file:///wiki/Ptz._conj." TargetMode="External"/><Relationship Id="rId292" Type="http://schemas.openxmlformats.org/officeDocument/2006/relationships/hyperlink" Target="file:///wiki/Historisches_Pr&#228;sens" TargetMode="External"/><Relationship Id="rId293" Type="http://schemas.openxmlformats.org/officeDocument/2006/relationships/hyperlink" Target="file:///wiki/Ptz._conj." TargetMode="External"/><Relationship Id="rId294" Type="http://schemas.openxmlformats.org/officeDocument/2006/relationships/hyperlink" Target="file:///wiki/Substantiviertes_Partizip" TargetMode="External"/><Relationship Id="rId295" Type="http://schemas.openxmlformats.org/officeDocument/2006/relationships/hyperlink" Target="file:///wiki/Ptz._conj." TargetMode="External"/><Relationship Id="rId296" Type="http://schemas.openxmlformats.org/officeDocument/2006/relationships/hyperlink" Target="file:///mediawiki/index.php%3Ftitle=Constructio_ad_sensum&amp;action=edit&amp;redlink=1" TargetMode="External"/><Relationship Id="rId297" Type="http://schemas.openxmlformats.org/officeDocument/2006/relationships/hyperlink" Target="file:///wiki/Ptz._conj." TargetMode="External"/><Relationship Id="rId298" Type="http://schemas.openxmlformats.org/officeDocument/2006/relationships/hyperlink" Target="file:///mediawiki/index.php%3Ftitle=Imperfekt&amp;action=edit&amp;redlink=1" TargetMode="External"/><Relationship Id="rId299" Type="http://schemas.openxmlformats.org/officeDocument/2006/relationships/hyperlink" Target="file:///wiki/Genitivus_absolutus" TargetMode="External"/><Relationship Id="rId300" Type="http://schemas.openxmlformats.org/officeDocument/2006/relationships/hyperlink" Target="file:///wiki/Substantiviertes_Partizip" TargetMode="External"/><Relationship Id="rId301" Type="http://schemas.openxmlformats.org/officeDocument/2006/relationships/hyperlink" Target="file:///mediawiki/index.php%3Ftitle=Appositiver_Genitiv&amp;action=edit&amp;redlink=1" TargetMode="External"/><Relationship Id="rId302" Type="http://schemas.openxmlformats.org/officeDocument/2006/relationships/hyperlink" Target="file:///wiki/Ptz._conj." TargetMode="External"/><Relationship Id="rId303" Type="http://schemas.openxmlformats.org/officeDocument/2006/relationships/hyperlink" Target="file:///wiki/Subst._Ptz." TargetMode="External"/><Relationship Id="rId304" Type="http://schemas.openxmlformats.org/officeDocument/2006/relationships/hyperlink" Target="file:///mediawiki/index.php%3Ftitle=Imperfekt&amp;action=edit&amp;redlink=1" TargetMode="External"/><Relationship Id="rId305" Type="http://schemas.openxmlformats.org/officeDocument/2006/relationships/hyperlink" Target="file:///wiki/Gen._abs." TargetMode="External"/><Relationship Id="rId306" Type="http://schemas.openxmlformats.org/officeDocument/2006/relationships/hyperlink" Target="file:///wiki/Ptz._conj." TargetMode="External"/><Relationship Id="rId307" Type="http://schemas.openxmlformats.org/officeDocument/2006/relationships/hyperlink" Target="file:///mediawiki/index.php%3Ftitle=Imperfekt&amp;action=edit&amp;redlink=1" TargetMode="External"/><Relationship Id="rId308" Type="http://schemas.openxmlformats.org/officeDocument/2006/relationships/hyperlink" Target="file:///mediawiki/index.php%3Ftitle=Infinitiv&amp;action=edit&amp;redlink=1" TargetMode="External"/><Relationship Id="rId309" Type="http://schemas.openxmlformats.org/officeDocument/2006/relationships/hyperlink" Target="file:///wiki/Ptz._conj." TargetMode="External"/><Relationship Id="rId310" Type="http://schemas.openxmlformats.org/officeDocument/2006/relationships/hyperlink" Target="file:///wiki/Gen._abs." TargetMode="External"/><Relationship Id="rId311" Type="http://schemas.openxmlformats.org/officeDocument/2006/relationships/hyperlink" Target="file:///wiki/Umschreibendes_Partizip" TargetMode="External"/><Relationship Id="rId312" Type="http://schemas.openxmlformats.org/officeDocument/2006/relationships/hyperlink" Target="file:///wiki/Ptz._conj." TargetMode="External"/><Relationship Id="rId313" Type="http://schemas.openxmlformats.org/officeDocument/2006/relationships/hyperlink" Target="file:///wiki/Ptz._conj." TargetMode="External"/><Relationship Id="rId314" Type="http://schemas.openxmlformats.org/officeDocument/2006/relationships/hyperlink" Target="file:///wiki/Ptz._conj." TargetMode="External"/><Relationship Id="rId315" Type="http://schemas.openxmlformats.org/officeDocument/2006/relationships/hyperlink" Target="file:///wiki/Periphrastische_Konjugation" TargetMode="External"/><Relationship Id="rId316" Type="http://schemas.openxmlformats.org/officeDocument/2006/relationships/hyperlink" Target="file:///wiki/Ptz._conj." TargetMode="External"/><Relationship Id="rId317" Type="http://schemas.openxmlformats.org/officeDocument/2006/relationships/hyperlink" Target="file:///wiki/AcP" TargetMode="External"/><Relationship Id="rId318" Type="http://schemas.openxmlformats.org/officeDocument/2006/relationships/hyperlink" Target="file:///wiki/Ptz._conj." TargetMode="External"/><Relationship Id="rId319" Type="http://schemas.openxmlformats.org/officeDocument/2006/relationships/hyperlink" Target="file:///wiki/Gen._abs." TargetMode="External"/><Relationship Id="rId320" Type="http://schemas.openxmlformats.org/officeDocument/2006/relationships/hyperlink" Target="file:///wiki/Dekapolis" TargetMode="External"/><Relationship Id="rId321" Type="http://schemas.openxmlformats.org/officeDocument/2006/relationships/hyperlink" Target="file:///wiki/Gen._abs." TargetMode="External"/><Relationship Id="rId322" Type="http://schemas.openxmlformats.org/officeDocument/2006/relationships/hyperlink" Target="file:///wiki/Ptz._conj." TargetMode="External"/><Relationship Id="rId323" Type="http://schemas.openxmlformats.org/officeDocument/2006/relationships/hyperlink" Target="file:///wiki/Beschreibendes_Partizip" TargetMode="External"/><Relationship Id="rId324" Type="http://schemas.openxmlformats.org/officeDocument/2006/relationships/hyperlink" Target="file:///wiki/Ptz._conj." TargetMode="External"/><Relationship Id="rId325" Type="http://schemas.openxmlformats.org/officeDocument/2006/relationships/hyperlink" Target="file:///wiki/Beschreibendes_Partizip" TargetMode="External"/><Relationship Id="rId326" Type="http://schemas.openxmlformats.org/officeDocument/2006/relationships/hyperlink" Target="http://lsj.translatum.gr/wiki/&#963;&#965;&#957;&#952;&#955;&#943;&#946;&#969;" TargetMode="External"/><Relationship Id="rId327" Type="http://schemas.openxmlformats.org/officeDocument/2006/relationships/hyperlink" Target="file:///wiki/Ptz._conj." TargetMode="External"/><Relationship Id="rId328" Type="http://schemas.openxmlformats.org/officeDocument/2006/relationships/hyperlink" Target="file:///mediawiki/index.php%3Ftitle=Attr._Ptz.&amp;action=edit&amp;redlink=1" TargetMode="External"/><Relationship Id="rId329" Type="http://schemas.openxmlformats.org/officeDocument/2006/relationships/hyperlink" Target="file:///mediawiki/index.php%3Ftitle=Imperfekt&amp;action=edit&amp;redlink=1" TargetMode="External"/><Relationship Id="rId330" Type="http://schemas.openxmlformats.org/officeDocument/2006/relationships/hyperlink" Target="file:///wiki/Ptz._conj." TargetMode="External"/><Relationship Id="rId331" Type="http://schemas.openxmlformats.org/officeDocument/2006/relationships/hyperlink" Target="file:///mediawiki/index.php%3Ftitle=Imperfekt&amp;action=edit&amp;redlink=1" TargetMode="External"/><Relationship Id="rId332" Type="http://schemas.openxmlformats.org/officeDocument/2006/relationships/hyperlink" Target="file:///mediawiki/index.php%3Ftitle=Atr._Ptz.&amp;action=edit&amp;redlink=1" TargetMode="External"/><Relationship Id="rId333" Type="http://schemas.openxmlformats.org/officeDocument/2006/relationships/hyperlink" Target="file:///wiki/Gen._abs." TargetMode="External"/><Relationship Id="rId334" Type="http://schemas.openxmlformats.org/officeDocument/2006/relationships/hyperlink" Target="file:///wiki/Ptz._conj." TargetMode="External"/><Relationship Id="rId335" Type="http://schemas.openxmlformats.org/officeDocument/2006/relationships/hyperlink" Target="file:///wiki/AcP" TargetMode="External"/><Relationship Id="rId336" Type="http://schemas.openxmlformats.org/officeDocument/2006/relationships/hyperlink" Target="file:///wiki/Ptz._conj." TargetMode="External"/><Relationship Id="rId337" Type="http://schemas.openxmlformats.org/officeDocument/2006/relationships/hyperlink" Target="file:///wiki/Gen._abs." TargetMode="External"/><Relationship Id="rId338" Type="http://schemas.openxmlformats.org/officeDocument/2006/relationships/hyperlink" Target="file:///wiki/Gen._abs." TargetMode="External"/><Relationship Id="rId339" Type="http://schemas.openxmlformats.org/officeDocument/2006/relationships/hyperlink" Target="file:///wiki/Ptz._conj." TargetMode="External"/><Relationship Id="rId340" Type="http://schemas.openxmlformats.org/officeDocument/2006/relationships/hyperlink" Target="file:///wiki/Ptz._conj." TargetMode="External"/><Relationship Id="rId341" Type="http://schemas.openxmlformats.org/officeDocument/2006/relationships/hyperlink" Target="file:///wiki/Ptz._conj." TargetMode="External"/><Relationship Id="rId342" Type="http://schemas.openxmlformats.org/officeDocument/2006/relationships/hyperlink" Target="file:///wiki/Ptz._conj." TargetMode="External"/><Relationship Id="rId343" Type="http://schemas.openxmlformats.org/officeDocument/2006/relationships/hyperlink" Target="file:///wiki/Ptz._conj." TargetMode="External"/><Relationship Id="rId344" Type="http://schemas.openxmlformats.org/officeDocument/2006/relationships/hyperlink" Target="file:///mediawiki/index.php%3Ftitle=Imperfekt&amp;action=edit&amp;redlink=1" TargetMode="External"/><Relationship Id="rId345" Type="http://schemas.openxmlformats.org/officeDocument/2006/relationships/hyperlink" Target="file:///wiki/Ptz._conj." TargetMode="External"/><Relationship Id="rId346" Type="http://schemas.openxmlformats.org/officeDocument/2006/relationships/hyperlink" Target="file:///wiki/Gen._abs." TargetMode="External"/><Relationship Id="rId347" Type="http://schemas.openxmlformats.org/officeDocument/2006/relationships/hyperlink" Target="file:///mediawiki/index.php%3Ftitle=Temporaler_Dativ&amp;action=edit&amp;redlink=1" TargetMode="External"/><Relationship Id="rId348" Type="http://schemas.openxmlformats.org/officeDocument/2006/relationships/hyperlink" Target="file:///wiki/Gen._abs." TargetMode="External"/><Relationship Id="rId349" Type="http://schemas.openxmlformats.org/officeDocument/2006/relationships/hyperlink" Target="file:///wiki/Beschreibendes_Partizip" TargetMode="External"/><Relationship Id="rId350" Type="http://schemas.openxmlformats.org/officeDocument/2006/relationships/hyperlink" Target="file:///wiki/Beschreibendes_Partizip" TargetMode="External"/><Relationship Id="rId351" Type="http://schemas.openxmlformats.org/officeDocument/2006/relationships/hyperlink" Target="file:///wiki/Ptz._conj." TargetMode="External"/><Relationship Id="rId352" Type="http://schemas.openxmlformats.org/officeDocument/2006/relationships/hyperlink" Target="file:///wiki/Ptz._conj." TargetMode="External"/><Relationship Id="rId353" Type="http://schemas.openxmlformats.org/officeDocument/2006/relationships/hyperlink" Target="file:///wiki/Ptz._conj." TargetMode="External"/><Relationship Id="rId354" Type="http://schemas.openxmlformats.org/officeDocument/2006/relationships/hyperlink" Target="file:///wiki/Ptz._conj." TargetMode="External"/><Relationship Id="rId355" Type="http://schemas.openxmlformats.org/officeDocument/2006/relationships/hyperlink" Target="file:///wiki/Ptz._conj." TargetMode="External"/><Relationship Id="rId356" Type="http://schemas.openxmlformats.org/officeDocument/2006/relationships/hyperlink" Target="file:///wiki/Beschreibendes_Partizip" TargetMode="External"/><Relationship Id="rId357" Type="http://schemas.openxmlformats.org/officeDocument/2006/relationships/hyperlink" Target="file:///wiki/Ptz._conj." TargetMode="External"/><Relationship Id="rId358" Type="http://schemas.openxmlformats.org/officeDocument/2006/relationships/hyperlink" Target="file:///wiki/Ptz._conj." TargetMode="External"/><Relationship Id="rId359" Type="http://schemas.openxmlformats.org/officeDocument/2006/relationships/hyperlink" Target="file:///wiki/Ptz._conj." TargetMode="External"/><Relationship Id="rId360" Type="http://schemas.openxmlformats.org/officeDocument/2006/relationships/hyperlink" Target="file:///wiki/Gen._abs." TargetMode="External"/><Relationship Id="rId361" Type="http://schemas.openxmlformats.org/officeDocument/2006/relationships/hyperlink" Target="file:///mediawiki/index.php%3Ftitle=Ptc._conj.&amp;action=edit&amp;redlink=1" TargetMode="External"/><Relationship Id="rId362" Type="http://schemas.openxmlformats.org/officeDocument/2006/relationships/hyperlink" Target="file:///mediawiki/index.php%3Ftitle=Imperfekt&amp;action=edit&amp;redlink=1" TargetMode="External"/><Relationship Id="rId363" Type="http://schemas.openxmlformats.org/officeDocument/2006/relationships/hyperlink" Target="file:///wiki/Ptz._conj." TargetMode="External"/><Relationship Id="rId364" Type="http://schemas.openxmlformats.org/officeDocument/2006/relationships/hyperlink" Target="file:///mediawiki/index.php%3Ftitle=Ingressiver_Aorist&amp;action=edit&amp;redlink=1" TargetMode="External"/><Relationship Id="rId365" Type="http://schemas.openxmlformats.org/officeDocument/2006/relationships/hyperlink" Target="file:///wiki/Ptz._conj." TargetMode="External"/><Relationship Id="rId366" Type="http://schemas.openxmlformats.org/officeDocument/2006/relationships/hyperlink" Target="file:///wiki/Ptz._conj." TargetMode="External"/><Relationship Id="rId367" Type="http://schemas.openxmlformats.org/officeDocument/2006/relationships/hyperlink" Target="file:///wiki/Subst._Ptz." TargetMode="External"/><Relationship Id="rId368" Type="http://schemas.openxmlformats.org/officeDocument/2006/relationships/hyperlink" Target="file:///mediawiki/index.php%3Ftitle=Attr._Ptz.&amp;action=edit&amp;redlink=1" TargetMode="External"/><Relationship Id="rId369" Type="http://schemas.openxmlformats.org/officeDocument/2006/relationships/hyperlink" Target="file:///wiki/Ptz._conj." TargetMode="External"/><Relationship Id="rId370" Type="http://schemas.openxmlformats.org/officeDocument/2006/relationships/hyperlink" Target="file:///mediawiki/index.php%3Ftitle=Instr._Dativ&amp;action=edit&amp;redlink=1" TargetMode="External"/><Relationship Id="rId371" Type="http://schemas.openxmlformats.org/officeDocument/2006/relationships/hyperlink" Target="file:///mediawiki/index.php%3Ftitle=Instr._Dativ&amp;action=edit&amp;redlink=1" TargetMode="External"/><Relationship Id="rId372" Type="http://schemas.openxmlformats.org/officeDocument/2006/relationships/hyperlink" Target="file:///mediawiki/index.php%3Ftitle=Instr._Dativ&amp;action=edit&amp;redlink=1" TargetMode="External"/><Relationship Id="rId373" Type="http://schemas.openxmlformats.org/officeDocument/2006/relationships/hyperlink" Target="file:///mediawiki/index.php%3Ftitle=Imperfekt&amp;action=edit&amp;redlink=1" TargetMode="External"/><Relationship Id="rId374" Type="http://schemas.openxmlformats.org/officeDocument/2006/relationships/hyperlink" Target="file:///mediawiki/index.php%3Ftitle=Instr._Dat.&amp;action=edit&amp;redlink=1" TargetMode="External"/><Relationship Id="rId375" Type="http://schemas.openxmlformats.org/officeDocument/2006/relationships/hyperlink" Target="file:///wiki/Ptz._conj." TargetMode="External"/><Relationship Id="rId376" Type="http://schemas.openxmlformats.org/officeDocument/2006/relationships/hyperlink" Target="file:///mediawiki/index.php%3Ftitle=Imperfekt&amp;action=edit&amp;redlink=1" TargetMode="External"/><Relationship Id="rId377" Type="http://schemas.openxmlformats.org/officeDocument/2006/relationships/hyperlink" Target="file:///wiki/Subst._Ptz." TargetMode="External"/><Relationship Id="rId378" Type="http://schemas.openxmlformats.org/officeDocument/2006/relationships/hyperlink" Target="file:///wiki/Umschreibendes_Partizip" TargetMode="External"/><Relationship Id="rId379" Type="http://schemas.openxmlformats.org/officeDocument/2006/relationships/hyperlink" Target="file:///wiki/Historisches_Pr&#228;sens" TargetMode="External"/><Relationship Id="rId380" Type="http://schemas.openxmlformats.org/officeDocument/2006/relationships/hyperlink" Target="file:///wiki/Subst._Ptz." TargetMode="External"/><Relationship Id="rId381" Type="http://schemas.openxmlformats.org/officeDocument/2006/relationships/hyperlink" Target="file:///wiki/Ptz._conj." TargetMode="External"/><Relationship Id="rId382" Type="http://schemas.openxmlformats.org/officeDocument/2006/relationships/hyperlink" Target="file:///wiki/Ptz._conj." TargetMode="External"/><Relationship Id="rId383" Type="http://schemas.openxmlformats.org/officeDocument/2006/relationships/hyperlink" Target="file:///mediawiki/index.php%3Ftitle=Imperfekt&amp;action=edit&amp;redlink=1" TargetMode="External"/><Relationship Id="rId384" Type="http://schemas.openxmlformats.org/officeDocument/2006/relationships/hyperlink" Target="file:///wiki/Ptz._conj." TargetMode="External"/><Relationship Id="rId385" Type="http://schemas.openxmlformats.org/officeDocument/2006/relationships/hyperlink" Target="file:///wiki/Ptz._conj." TargetMode="External"/><Relationship Id="rId386" Type="http://schemas.openxmlformats.org/officeDocument/2006/relationships/hyperlink" Target="file:///wiki/Ptz._conj." TargetMode="External"/><Relationship Id="rId387" Type="http://schemas.openxmlformats.org/officeDocument/2006/relationships/hyperlink" Target="file:///wiki/Ptz._conj." TargetMode="External"/><Relationship Id="rId388" Type="http://schemas.openxmlformats.org/officeDocument/2006/relationships/hyperlink" Target="file:///wiki/Ptz._conj." TargetMode="External"/><Relationship Id="rId389" Type="http://schemas.openxmlformats.org/officeDocument/2006/relationships/hyperlink" Target="file:///wiki/Ptz._conj." TargetMode="External"/><Relationship Id="rId390" Type="http://schemas.openxmlformats.org/officeDocument/2006/relationships/hyperlink" Target="file:///wiki/Ptz._conj." TargetMode="External"/><Relationship Id="rId391" Type="http://schemas.openxmlformats.org/officeDocument/2006/relationships/hyperlink" Target="file:///wiki/Ptz._conj." TargetMode="External"/><Relationship Id="rId392" Type="http://schemas.openxmlformats.org/officeDocument/2006/relationships/hyperlink" Target="file:///wiki/Ptz._conj." TargetMode="External"/><Relationship Id="rId393" Type="http://schemas.openxmlformats.org/officeDocument/2006/relationships/hyperlink" Target="file:///wiki/Ptz._conj." TargetMode="External"/><Relationship Id="rId394" Type="http://schemas.openxmlformats.org/officeDocument/2006/relationships/hyperlink" Target="file:///mediawiki/index.php%3Ftitle=Attr._Ptz.&amp;action=edit&amp;redlink=1" TargetMode="External"/><Relationship Id="rId395" Type="http://schemas.openxmlformats.org/officeDocument/2006/relationships/hyperlink" Target="file:///mediawiki/index.php%3Ftitle=Imperfekt&amp;action=edit&amp;redlink=1" TargetMode="External"/><Relationship Id="rId396" Type="http://schemas.openxmlformats.org/officeDocument/2006/relationships/hyperlink" Target="file:///wiki/Ptz._conj." TargetMode="External"/><Relationship Id="rId397" Type="http://schemas.openxmlformats.org/officeDocument/2006/relationships/hyperlink" Target="file:///wiki/Ptz._conj." TargetMode="External"/><Relationship Id="rId398" Type="http://schemas.openxmlformats.org/officeDocument/2006/relationships/hyperlink" Target="file:///wiki/Ptz._conj." TargetMode="External"/><Relationship Id="rId399" Type="http://schemas.openxmlformats.org/officeDocument/2006/relationships/hyperlink" Target="file:///wiki/Pleonastisches_Partizip" TargetMode="External"/><Relationship Id="rId400" Type="http://schemas.openxmlformats.org/officeDocument/2006/relationships/hyperlink" Target="file:///mediawiki/index.php%3Ftitle=AcI&amp;action=edit&amp;redlink=1" TargetMode="External"/><Relationship Id="rId401" Type="http://schemas.openxmlformats.org/officeDocument/2006/relationships/hyperlink" Target="file:///wiki/Pleonastisches_Partizip" TargetMode="External"/><Relationship Id="rId402" Type="http://schemas.openxmlformats.org/officeDocument/2006/relationships/hyperlink" Target="file:///mediawiki/index.php%3Ftitle=AcI&amp;action=edit&amp;redlink=1" TargetMode="External"/><Relationship Id="rId403" Type="http://schemas.openxmlformats.org/officeDocument/2006/relationships/hyperlink" Target="file:///wiki/Pleonastisches_Partizip" TargetMode="External"/><Relationship Id="rId404" Type="http://schemas.openxmlformats.org/officeDocument/2006/relationships/hyperlink" Target="file:///wiki/Ptz._conj." TargetMode="External"/><Relationship Id="rId405" Type="http://schemas.openxmlformats.org/officeDocument/2006/relationships/hyperlink" Target="file:///mediawiki/index.php%3Ftitle=Reich_Gottes&amp;action=edit&amp;redlink=1" TargetMode="External"/><Relationship Id="rId406" Type="http://schemas.openxmlformats.org/officeDocument/2006/relationships/hyperlink" Target="http://www.zeno.org/Pape-1880/A/&#960;&#959;&#955;&#973;&#962;" TargetMode="External"/><Relationship Id="rId407" Type="http://schemas.openxmlformats.org/officeDocument/2006/relationships/hyperlink" Target="file:///mediawiki/index.php%3Ftitle=2K&#246;nige_16&amp;action=edit&amp;redlink=1" TargetMode="External"/><Relationship Id="rId408" Type="http://schemas.openxmlformats.org/officeDocument/2006/relationships/hyperlink" Target="file:///mediawiki/index.php%3Ftitle=2K&#246;nige_21&amp;action=edit&amp;redlink=1" TargetMode="External"/><Relationship Id="rId409" Type="http://schemas.openxmlformats.org/officeDocument/2006/relationships/hyperlink" Target="file:///wiki/Ptz._conj." TargetMode="External"/><Relationship Id="rId410" Type="http://schemas.openxmlformats.org/officeDocument/2006/relationships/hyperlink" Target="file:///wiki/Ptz._conj." TargetMode="External"/><Relationship Id="rId411" Type="http://schemas.openxmlformats.org/officeDocument/2006/relationships/hyperlink" Target="file:///wiki/Ptz._conj." TargetMode="External"/><Relationship Id="rId412" Type="http://schemas.openxmlformats.org/officeDocument/2006/relationships/hyperlink" Target="file:///wiki/Ptz._conj." TargetMode="External"/><Relationship Id="rId413" Type="http://schemas.openxmlformats.org/officeDocument/2006/relationships/hyperlink" Target="file:///wiki/Ptz._conj." TargetMode="External"/><Relationship Id="rId414" Type="http://schemas.openxmlformats.org/officeDocument/2006/relationships/hyperlink" Target="file:///wiki/Ptz._conj." TargetMode="External"/><Relationship Id="rId415" Type="http://schemas.openxmlformats.org/officeDocument/2006/relationships/hyperlink" Target="file:///wiki/Ptz._conj." TargetMode="External"/><Relationship Id="rId416" Type="http://schemas.openxmlformats.org/officeDocument/2006/relationships/hyperlink" Target="file:///wiki/Ptz._conj." TargetMode="External"/><Relationship Id="rId417" Type="http://schemas.openxmlformats.org/officeDocument/2006/relationships/hyperlink" Target="file:///wiki/Ptz._conj." TargetMode="External"/><Relationship Id="rId418" Type="http://schemas.openxmlformats.org/officeDocument/2006/relationships/hyperlink" Target="file:///mediawiki/index.php%3Ftitle=Pleonastisches_Ptz.&amp;action=edit&amp;redlink=1" TargetMode="External"/><Relationship Id="rId419" Type="http://schemas.openxmlformats.org/officeDocument/2006/relationships/hyperlink" Target="file:///wiki/Ptz._conj." TargetMode="External"/><Relationship Id="rId420" Type="http://schemas.openxmlformats.org/officeDocument/2006/relationships/hyperlink" Target="file:///wiki/Ptz._conj." TargetMode="External"/><Relationship Id="rId421" Type="http://schemas.openxmlformats.org/officeDocument/2006/relationships/hyperlink" Target="file:///wiki/Ptz._conj." TargetMode="External"/><Relationship Id="rId422" Type="http://schemas.openxmlformats.org/officeDocument/2006/relationships/hyperlink" Target="file:///wiki/Ptz._conj." TargetMode="External"/><Relationship Id="rId423" Type="http://schemas.openxmlformats.org/officeDocument/2006/relationships/hyperlink" Target="file:///mediawiki/index.php%3Ftitle=Dat._commodi&amp;action=edit&amp;redlink=1" TargetMode="External"/><Relationship Id="rId424" Type="http://schemas.openxmlformats.org/officeDocument/2006/relationships/hyperlink" Target="file:///mediawiki/index.php%3Ftitle=Dat._commodi&amp;action=edit&amp;redlink=1" TargetMode="External"/><Relationship Id="rId425" Type="http://schemas.openxmlformats.org/officeDocument/2006/relationships/hyperlink" Target="file:///wiki/Ptz._conj." TargetMode="External"/><Relationship Id="rId426" Type="http://schemas.openxmlformats.org/officeDocument/2006/relationships/hyperlink" Target="file:///wiki/Ptz._conj." TargetMode="External"/><Relationship Id="rId427" Type="http://schemas.openxmlformats.org/officeDocument/2006/relationships/hyperlink" Target="file:///wiki/Ptz._conj." TargetMode="External"/><Relationship Id="rId428" Type="http://schemas.openxmlformats.org/officeDocument/2006/relationships/hyperlink" Target="file:///wiki/Ptz._conj." TargetMode="External"/><Relationship Id="rId429" Type="http://schemas.openxmlformats.org/officeDocument/2006/relationships/hyperlink" Target="file:///wiki/Ptz._conj." TargetMode="External"/><Relationship Id="rId430" Type="http://schemas.openxmlformats.org/officeDocument/2006/relationships/hyperlink" Target="file:///wiki/Ptz._conj." TargetMode="External"/><Relationship Id="rId431" Type="http://schemas.openxmlformats.org/officeDocument/2006/relationships/hyperlink" Target="file:///mediawiki/index.php%3Ftitle=Impferfekt&amp;action=edit&amp;redlink=1" TargetMode="External"/><Relationship Id="rId432" Type="http://schemas.openxmlformats.org/officeDocument/2006/relationships/hyperlink" Target="file:///mediawiki/index.php%3Ftitle=Ingressives_Aorist&amp;action=edit&amp;redlink=1" TargetMode="External"/><Relationship Id="rId433" Type="http://schemas.openxmlformats.org/officeDocument/2006/relationships/hyperlink" Target="file:///wiki/Ptz._conj." TargetMode="External"/><Relationship Id="rId434" Type="http://schemas.openxmlformats.org/officeDocument/2006/relationships/hyperlink" Target="file:///wiki/Ptz._conj." TargetMode="External"/><Relationship Id="rId435" Type="http://schemas.openxmlformats.org/officeDocument/2006/relationships/hyperlink" Target="file:///mediawiki/index.php%3Ftitle=Imperfekt&amp;action=edit&amp;redlink=1" TargetMode="External"/><Relationship Id="rId436" Type="http://schemas.openxmlformats.org/officeDocument/2006/relationships/hyperlink" Target="file:///wiki/Ptz._conj." TargetMode="External"/><Relationship Id="rId437" Type="http://schemas.openxmlformats.org/officeDocument/2006/relationships/hyperlink" Target="file:///mediawiki/index.php%3Ftitle=Pleonatische_Partizip&amp;action=edit&amp;redlink=1" TargetMode="External"/><Relationship Id="rId438" Type="http://schemas.openxmlformats.org/officeDocument/2006/relationships/hyperlink" Target="http://nbn-resolving.de/urn:nbn:de:bsz:21-opus-68738" TargetMode="External"/><Relationship Id="rId439" Type="http://schemas.openxmlformats.org/officeDocument/2006/relationships/hyperlink" Target="http://nbn-resolving.de/urn:nbn:de:bsz:21-opus-68738" TargetMode="External"/><Relationship Id="rId440" Type="http://schemas.openxmlformats.org/officeDocument/2006/relationships/hyperlink" Target="file:///wiki/Ptz._conj." TargetMode="External"/><Relationship Id="rId441" Type="http://schemas.openxmlformats.org/officeDocument/2006/relationships/hyperlink" Target="file:///wiki/Ptz._conj." TargetMode="External"/><Relationship Id="rId442" Type="http://schemas.openxmlformats.org/officeDocument/2006/relationships/hyperlink" Target="file:///wiki/Ptz._conj." TargetMode="External"/><Relationship Id="rId443" Type="http://schemas.openxmlformats.org/officeDocument/2006/relationships/hyperlink" Target="file:///wiki/Ptz._conj." TargetMode="External"/><Relationship Id="rId444" Type="http://schemas.openxmlformats.org/officeDocument/2006/relationships/hyperlink" Target="file:///wiki/Ptz._conj." TargetMode="External"/><Relationship Id="rId445" Type="http://schemas.openxmlformats.org/officeDocument/2006/relationships/hyperlink" Target="http://erwin-reidinger.heimat.eu/HP_Bilder/TempelanlageInJerusalem.pdf" TargetMode="External"/><Relationship Id="rId446" Type="http://schemas.openxmlformats.org/officeDocument/2006/relationships/hyperlink" Target="file:///mediawiki/index.php%3Ftitle=Lukas_22&amp;action=edit&amp;redlink=1" TargetMode="External"/><Relationship Id="rId447" Type="http://schemas.openxmlformats.org/officeDocument/2006/relationships/hyperlink" Target="file:///mediawiki/index.php%3Ftitle=Jeremia_31&amp;action=edit&amp;redlink=1" TargetMode="External"/><Relationship Id="rId448" Type="http://schemas.openxmlformats.org/officeDocument/2006/relationships/hyperlink" Target="file:///mediawiki/index.php%3Ftitle=Jeremia_33&amp;action=edit&amp;redlink=1" TargetMode="External"/><Relationship Id="rId449" Type="http://schemas.openxmlformats.org/officeDocument/2006/relationships/hyperlink" Target="file:///mediawiki/index.php%3Ftitle=Joel_3&amp;action=edit&amp;redlink=1" TargetMode="External"/><Relationship Id="rId450" Type="http://schemas.openxmlformats.org/officeDocument/2006/relationships/hyperlink" Target="file:///mediawiki/index.php%3Ftitle=Sacharja_8&amp;action=edit&amp;redlink=1" TargetMode="External"/><Relationship Id="rId451" Type="http://schemas.openxmlformats.org/officeDocument/2006/relationships/hyperlink" Target="http://www.unifr.ch/bkv/kapitel3689.htm" TargetMode="External"/><Relationship Id="rId452" Type="http://schemas.openxmlformats.org/officeDocument/2006/relationships/hyperlink" Target="file:///mediawiki/index.php%3Ftitle=Jesaja_34&amp;action=edit&amp;redlink=1" TargetMode="External"/><Relationship Id="rId453" Type="http://schemas.openxmlformats.org/officeDocument/2006/relationships/hyperlink" Target="https://www.bibelwissenschaft.de/stichwort/30031/" TargetMode="External"/><Relationship Id="rId454" Type="http://schemas.openxmlformats.org/officeDocument/2006/relationships/hyperlink" Target="https://goo.gl/cxyLrL" TargetMode="External"/><Relationship Id="rId455" Type="http://schemas.openxmlformats.org/officeDocument/2006/relationships/hyperlink" Target="https://www.bibelwissenschaft.de/stichwort/25696/" TargetMode="External"/><Relationship Id="rId456" Type="http://schemas.openxmlformats.org/officeDocument/2006/relationships/hyperlink" Target="file:///wiki/Historisches_Pr&#228;sens" TargetMode="External"/><Relationship Id="rId457" Type="http://schemas.openxmlformats.org/officeDocument/2006/relationships/hyperlink" Target="file:///mediawiki/index.php%3Ftitle=Lukas_22&amp;action=edit&amp;redlink=1" TargetMode="External"/><Relationship Id="rId458" Type="http://schemas.openxmlformats.org/officeDocument/2006/relationships/hyperlink" Target="file:///mediawiki/index.php%3Ftitle=Matth&#228;us_27&amp;action=edit&amp;redlink=1" TargetMode="External"/><Relationship Id="rId459" Type="http://schemas.openxmlformats.org/officeDocument/2006/relationships/hyperlink" Target="file:///mediawiki/index.php%3Ftitle=Lukas_22&amp;action=edit&amp;redlink=1" TargetMode="External"/><Relationship Id="rId460" Type="http://schemas.openxmlformats.org/officeDocument/2006/relationships/hyperlink" Target="file:///mediawiki/index.php%3Ftitle=Psalm_115&amp;action=edit&amp;redlink=1" TargetMode="External"/><Relationship Id="rId461" Type="http://schemas.openxmlformats.org/officeDocument/2006/relationships/hyperlink" Target="file:///mediawiki/index.php%3Ftitle=Jeremia_25&amp;action=edit&amp;redlink=1" TargetMode="External"/><Relationship Id="rId462" Type="http://schemas.openxmlformats.org/officeDocument/2006/relationships/hyperlink" Target="file:///mediawiki/index.php%3Ftitle=Hesekiel_23&amp;action=edit&amp;redlink=1" TargetMode="External"/><Relationship Id="rId463" Type="http://schemas.openxmlformats.org/officeDocument/2006/relationships/hyperlink" Target="file:///mediawiki/index.php%3Ftitle=Imperfekt&amp;action=edit&amp;redlink=1" TargetMode="External"/><Relationship Id="rId464" Type="http://schemas.openxmlformats.org/officeDocument/2006/relationships/hyperlink" Target="file:///wiki/Gen._abs." TargetMode="External"/><Relationship Id="rId465" Type="http://schemas.openxmlformats.org/officeDocument/2006/relationships/hyperlink" Target="file:///wiki/Gen._abs." TargetMode="External"/><Relationship Id="rId466" Type="http://schemas.openxmlformats.org/officeDocument/2006/relationships/hyperlink" Target="file:///wiki/Ptz._coni." TargetMode="External"/><Relationship Id="rId467" Type="http://schemas.openxmlformats.org/officeDocument/2006/relationships/hyperlink" Target="file:///wiki/Ptz._coni." TargetMode="External"/><Relationship Id="rId468" Type="http://schemas.openxmlformats.org/officeDocument/2006/relationships/hyperlink" Target="file:///wiki/Historisches_Pr&#228;sens" TargetMode="External"/><Relationship Id="rId469" Type="http://schemas.openxmlformats.org/officeDocument/2006/relationships/hyperlink" Target="file:///wiki/&#8013;&#964;&#953;_recitativum" TargetMode="External"/><Relationship Id="rId470" Type="http://schemas.openxmlformats.org/officeDocument/2006/relationships/hyperlink" Target="file:///wiki/Ptz._coni." TargetMode="External"/><Relationship Id="rId471" Type="http://schemas.openxmlformats.org/officeDocument/2006/relationships/hyperlink" Target="file:///wiki/Generisches_Maskulinum" TargetMode="External"/><Relationship Id="rId472" Type="http://schemas.openxmlformats.org/officeDocument/2006/relationships/hyperlink" Target="file:///wiki/Partizip" TargetMode="External"/><Relationship Id="rId473" Type="http://schemas.openxmlformats.org/officeDocument/2006/relationships/hyperlink" Target="file:///wiki/Ptz" TargetMode="External"/><Relationship Id="rId474" Type="http://schemas.openxmlformats.org/officeDocument/2006/relationships/hyperlink" Target="file:///wiki/&#8013;&#964;&#953;_recitativum" TargetMode="External"/><Relationship Id="rId475" Type="http://schemas.openxmlformats.org/officeDocument/2006/relationships/hyperlink" Target="file:///wiki/Ptz._coni." TargetMode="External"/><Relationship Id="rId476" Type="http://schemas.openxmlformats.org/officeDocument/2006/relationships/hyperlink" Target="file:///wiki/Ptz._coni." TargetMode="External"/><Relationship Id="rId477" Type="http://schemas.openxmlformats.org/officeDocument/2006/relationships/hyperlink" Target="file:///mediawiki/index.php%3Ftitle=Exodus_12&amp;action=edit&amp;redlink=1" TargetMode="External"/><Relationship Id="rId478" Type="http://schemas.openxmlformats.org/officeDocument/2006/relationships/hyperlink" Target="file:///wiki/Gen._abs." TargetMode="External"/><Relationship Id="rId479" Type="http://schemas.openxmlformats.org/officeDocument/2006/relationships/hyperlink" Target="file:///wiki/Ptz._coni." TargetMode="External"/><Relationship Id="rId480" Type="http://schemas.openxmlformats.org/officeDocument/2006/relationships/hyperlink" Target="file:///wiki/Ptz._coni." TargetMode="External"/><Relationship Id="rId481" Type="http://schemas.openxmlformats.org/officeDocument/2006/relationships/hyperlink" Target="file:///wiki/Ptz._coni." TargetMode="External"/><Relationship Id="rId482" Type="http://schemas.openxmlformats.org/officeDocument/2006/relationships/hyperlink" Target="file:///mediawiki/index.php%3Ftitle=Reich_Gottes&amp;action=edit&amp;redlink=1" TargetMode="External"/><Relationship Id="rId483" Type="http://schemas.openxmlformats.org/officeDocument/2006/relationships/hyperlink" Target="file:///mediawiki/index.php%3Ftitle=Handschrift&amp;action=edit&amp;redlink=1" TargetMode="External"/><Relationship Id="rId484" Type="http://schemas.openxmlformats.org/officeDocument/2006/relationships/hyperlink" Target="file:///wiki/Ptz._coni." TargetMode="External"/><Relationship Id="rId485" Type="http://schemas.openxmlformats.org/officeDocument/2006/relationships/hyperlink" Target="file:///wiki/Ptz._coni." TargetMode="External"/><Relationship Id="rId486" Type="http://schemas.openxmlformats.org/officeDocument/2006/relationships/hyperlink" Target="file:///mediawiki/index.php%3Ftitle=&#8009;&#964;&#953;_rezitativum&amp;action=edit&amp;redlink=1" TargetMode="External"/><Relationship Id="rId487" Type="http://schemas.openxmlformats.org/officeDocument/2006/relationships/hyperlink" Target="file:///wiki/Ptz._coni." TargetMode="External"/><Relationship Id="rId488" Type="http://schemas.openxmlformats.org/officeDocument/2006/relationships/hyperlink" Target="file:///wiki/Ptz._coni." TargetMode="External"/><Relationship Id="rId489" Type="http://schemas.openxmlformats.org/officeDocument/2006/relationships/hyperlink" Target="file:///wiki/Ptz._coni." TargetMode="External"/><Relationship Id="rId490" Type="http://schemas.openxmlformats.org/officeDocument/2006/relationships/hyperlink" Target="file:///mediawiki/index.php%3Ftitle=Hoti_recitativum&amp;action=edit&amp;redlink=1" TargetMode="External"/><Relationship Id="rId491" Type="http://schemas.openxmlformats.org/officeDocument/2006/relationships/hyperlink" Target="file:///wiki/Johannes_7,53-8,11" TargetMode="External"/><Relationship Id="rId492" Type="http://schemas.openxmlformats.org/officeDocument/2006/relationships/hyperlink" Target="file:///wiki/Johannes_7,53-8,11" TargetMode="External"/><Relationship Id="rId493" Type="http://schemas.openxmlformats.org/officeDocument/2006/relationships/hyperlink" Target="file:///wiki/&#8013;&#964;&#953;_recitativum" TargetMode="External"/><Relationship Id="rId494" Type="http://schemas.openxmlformats.org/officeDocument/2006/relationships/hyperlink" Target="file:///wiki/Historisches_Pr&#228;sens" TargetMode="External"/><Relationship Id="rId495" Type="http://schemas.openxmlformats.org/officeDocument/2006/relationships/hyperlink" Target="file:///wiki/&#927;&#8022;&#957;" TargetMode="External"/><Relationship Id="rId496" Type="http://schemas.openxmlformats.org/officeDocument/2006/relationships/hyperlink" Target="file:///wiki/Historisches_Pr&#228;sens" TargetMode="External"/><Relationship Id="rId497" Type="http://schemas.openxmlformats.org/officeDocument/2006/relationships/hyperlink" Target="file:///wiki/Historisches_Pr&#228;sens" TargetMode="External"/><Relationship Id="rId498" Type="http://schemas.openxmlformats.org/officeDocument/2006/relationships/hyperlink" Target="file:///wiki/Historisches_Pr&#228;sens" TargetMode="External"/><Relationship Id="rId499" Type="http://schemas.openxmlformats.org/officeDocument/2006/relationships/hyperlink" Target="file:///wiki/Historisches_Pr&#228;sens" TargetMode="External"/><Relationship Id="rId500" Type="http://schemas.openxmlformats.org/officeDocument/2006/relationships/hyperlink" Target="file:///mediawiki/index.php%3Ftitle=Sacharja_9&amp;action=edit&amp;redlink=1" TargetMode="External"/><Relationship Id="rId501" Type="http://schemas.openxmlformats.org/officeDocument/2006/relationships/hyperlink" Target="file:///wiki/Historisches_Pr&#228;sens" TargetMode="External"/><Relationship Id="rId502" Type="http://schemas.openxmlformats.org/officeDocument/2006/relationships/hyperlink" Target="file:///wiki/&#8013;&#964;&#953;_recitativum" TargetMode="External"/><Relationship Id="rId503" Type="http://schemas.openxmlformats.org/officeDocument/2006/relationships/hyperlink" Target="file:///mediawiki/index.php%3Ftitle=Psalmen_35&amp;action=edit&amp;redlink=1" TargetMode="External"/><Relationship Id="rId504" Type="http://schemas.openxmlformats.org/officeDocument/2006/relationships/hyperlink" Target="file:///mediawiki/index.php%3Ftitle=Psalmen_69&amp;action=edit&amp;redlink=1" TargetMode="External"/><Relationship Id="rId505" Type="http://schemas.openxmlformats.org/officeDocument/2006/relationships/hyperlink" Target="file:///wiki/&#927;&#8022;&#957;" TargetMode="External"/><Relationship Id="rId506" Type="http://schemas.openxmlformats.org/officeDocument/2006/relationships/hyperlink" Target="file:///wiki/Historisches_Pr&#228;sens" TargetMode="External"/><Relationship Id="rId507" Type="http://schemas.openxmlformats.org/officeDocument/2006/relationships/hyperlink" Target="file:///wiki/JHWH" TargetMode="External"/><Relationship Id="rId508" Type="http://schemas.openxmlformats.org/officeDocument/2006/relationships/hyperlink" Target="file:///wiki/&#927;&#8022;&#957;" TargetMode="External"/><Relationship Id="rId509" Type="http://schemas.openxmlformats.org/officeDocument/2006/relationships/hyperlink" Target="file:///wiki/&#8013;&#964;&#953;_recitativum" TargetMode="External"/><Relationship Id="rId510" Type="http://schemas.openxmlformats.org/officeDocument/2006/relationships/hyperlink" Target="file:///wiki/Gen._abs." TargetMode="External"/><Relationship Id="rId511" Type="http://schemas.openxmlformats.org/officeDocument/2006/relationships/hyperlink" Target="file:///wiki/AcP" TargetMode="External"/><Relationship Id="rId512" Type="http://schemas.openxmlformats.org/officeDocument/2006/relationships/hyperlink" Target="file:///wiki/Ptc._coni." TargetMode="External"/><Relationship Id="rId513" Type="http://schemas.openxmlformats.org/officeDocument/2006/relationships/hyperlink" Target="file:///wiki/Ptc._coni." TargetMode="External"/><Relationship Id="rId514" Type="http://schemas.openxmlformats.org/officeDocument/2006/relationships/hyperlink" Target="file:///wiki/AcP" TargetMode="External"/><Relationship Id="rId515" Type="http://schemas.openxmlformats.org/officeDocument/2006/relationships/hyperlink" Target="file:///mediawiki/index.php%3Ftitle=Attr._Ptz.&amp;action=edit&amp;redlink=1" TargetMode="External"/><Relationship Id="rId516" Type="http://schemas.openxmlformats.org/officeDocument/2006/relationships/hyperlink" Target="file:///wiki/Ptc._coni." TargetMode="External"/><Relationship Id="rId517" Type="http://schemas.openxmlformats.org/officeDocument/2006/relationships/hyperlink" Target="file:///wiki/AcP" TargetMode="External"/><Relationship Id="rId518" Type="http://schemas.openxmlformats.org/officeDocument/2006/relationships/hyperlink" Target="file:///wiki/Ptc._coni." TargetMode="External"/><Relationship Id="rId519" Type="http://schemas.openxmlformats.org/officeDocument/2006/relationships/hyperlink" Target="file:///wiki/Ptc._coni." TargetMode="External"/><Relationship Id="rId520" Type="http://schemas.openxmlformats.org/officeDocument/2006/relationships/hyperlink" Target="file:///wiki/Gen._abs." TargetMode="External"/><Relationship Id="rId521" Type="http://schemas.openxmlformats.org/officeDocument/2006/relationships/hyperlink" Target="file:///wiki/Ptz._conj." TargetMode="External"/><Relationship Id="rId522" Type="http://schemas.openxmlformats.org/officeDocument/2006/relationships/hyperlink" Target="file:///wiki/Ptz._conj." TargetMode="External"/><Relationship Id="rId523" Type="http://schemas.openxmlformats.org/officeDocument/2006/relationships/hyperlink" Target="file:///wiki/Ptz._conj." TargetMode="External"/><Relationship Id="rId524" Type="http://schemas.openxmlformats.org/officeDocument/2006/relationships/hyperlink" Target="file:///wiki/Gen._abs." TargetMode="External"/><Relationship Id="rId525" Type="http://schemas.openxmlformats.org/officeDocument/2006/relationships/hyperlink" Target="file:///wiki/Subst._Ptz." TargetMode="External"/><Relationship Id="rId526" Type="http://schemas.openxmlformats.org/officeDocument/2006/relationships/hyperlink" Target="file:///wiki/Historisches_Pr&#228;sens" TargetMode="External"/><Relationship Id="rId527" Type="http://schemas.openxmlformats.org/officeDocument/2006/relationships/hyperlink" Target="file:///mediawiki/index.php%3Ftitle=Die_griechischen_Kasus&amp;action=edit&amp;redlink=1" TargetMode="External"/><Relationship Id="rId528" Type="http://schemas.openxmlformats.org/officeDocument/2006/relationships/hyperlink" Target="file:///wiki/Historisches_Pr&#228;sens" TargetMode="External"/><Relationship Id="rId529" Type="http://schemas.openxmlformats.org/officeDocument/2006/relationships/hyperlink" Target="file:///wiki/Ptz._coni." TargetMode="External"/><Relationship Id="rId530" Type="http://schemas.openxmlformats.org/officeDocument/2006/relationships/hyperlink" Target="file:///wiki/Ptz._coni." TargetMode="External"/><Relationship Id="rId531" Type="http://schemas.openxmlformats.org/officeDocument/2006/relationships/hyperlink" Target="file:///wiki/Ptz._coni." TargetMode="External"/><Relationship Id="rId532" Type="http://schemas.openxmlformats.org/officeDocument/2006/relationships/hyperlink" Target="file:///wiki/Ptz._coni." TargetMode="External"/><Relationship Id="rId533" Type="http://schemas.openxmlformats.org/officeDocument/2006/relationships/hyperlink" Target="file:///wiki/Ptz._coni." TargetMode="External"/><Relationship Id="rId534" Type="http://schemas.openxmlformats.org/officeDocument/2006/relationships/hyperlink" Target="file:///wiki/Ptz._coni." TargetMode="External"/><Relationship Id="rId535" Type="http://schemas.openxmlformats.org/officeDocument/2006/relationships/hyperlink" Target="file:///wiki/Ptz._coni." TargetMode="External"/><Relationship Id="rId536" Type="http://schemas.openxmlformats.org/officeDocument/2006/relationships/hyperlink" Target="file:///wiki/Ptz._coni." TargetMode="External"/><Relationship Id="rId537" Type="http://schemas.openxmlformats.org/officeDocument/2006/relationships/hyperlink" Target="file:///mediawiki/index.php%3Ftitle=Apostelgeschichte_10&amp;action=edit&amp;redlink=1" TargetMode="External"/><Relationship Id="rId538" Type="http://schemas.openxmlformats.org/officeDocument/2006/relationships/hyperlink" Target="file:///mediawiki/index.php%3Ftitle=1K&#246;nige_13&amp;action=edit&amp;redlink=1" TargetMode="External"/><Relationship Id="rId539" Type="http://schemas.openxmlformats.org/officeDocument/2006/relationships/hyperlink" Target="file:///mediawiki/index.php%3Ftitle=Ezechiel_12&amp;action=edit&amp;redlink=1" TargetMode="External"/><Relationship Id="rId540" Type="http://schemas.openxmlformats.org/officeDocument/2006/relationships/hyperlink" Target="file:///mediawiki/index.php%3Ftitle=Joel_2&amp;action=edit&amp;redlink=1" TargetMode="External"/><Relationship Id="rId541" Type="http://schemas.openxmlformats.org/officeDocument/2006/relationships/hyperlink" Target="file:///mediawiki/index.php%3Ftitle=Apostelgeschichte_14&amp;action=edit&amp;redlink=1" TargetMode="External"/><Relationship Id="rId542" Type="http://schemas.openxmlformats.org/officeDocument/2006/relationships/hyperlink" Target="file:///mediawiki/index.php%3Ftitle=Apostelgeschichte_3&amp;action=edit&amp;redlink=1" TargetMode="External"/><Relationship Id="rId543" Type="http://schemas.openxmlformats.org/officeDocument/2006/relationships/hyperlink" Target="file:///mediawiki/index.php%3Ftitle=1K&#246;nige_2&amp;action=edit&amp;redlink=1" TargetMode="External"/><Relationship Id="rId544" Type="http://schemas.openxmlformats.org/officeDocument/2006/relationships/hyperlink" Target="file:///mediawiki/index.php%3Ftitle=Nehemia_3&amp;action=edit&amp;redlink=1" TargetMode="External"/><Relationship Id="rId545" Type="http://schemas.openxmlformats.org/officeDocument/2006/relationships/hyperlink" Target="http://sacred-texts.com/jud/josephus/ant-16.htm" TargetMode="External"/><Relationship Id="rId546" Type="http://schemas.openxmlformats.org/officeDocument/2006/relationships/hyperlink" Target="file:///mediawiki/index.php%3Ftitle=Apostelgeschichte_27&amp;action=edit&amp;redlink=1" TargetMode="External"/><Relationship Id="rId547" Type="http://schemas.openxmlformats.org/officeDocument/2006/relationships/hyperlink" Target="file:///mediawiki/index.php%3Ftitle=Joel_3&amp;action=edit&amp;redlink=1" TargetMode="External"/><Relationship Id="rId548" Type="http://schemas.openxmlformats.org/officeDocument/2006/relationships/hyperlink" Target="file:///mediawiki/index.php%3Ftitle=AcI&amp;action=edit&amp;redlink=1" TargetMode="External"/><Relationship Id="rId549" Type="http://schemas.openxmlformats.org/officeDocument/2006/relationships/hyperlink" Target="file:///mediawiki/index.php%3Ftitle=1_Samuel_18&amp;action=edit&amp;redlink=1" TargetMode="External"/><Relationship Id="rId550" Type="http://schemas.openxmlformats.org/officeDocument/2006/relationships/hyperlink" Target="file:///mediawiki/index.php%3Ftitle=1_Samuel_19&amp;action=edit&amp;redlink=1" TargetMode="External"/><Relationship Id="rId551" Type="http://schemas.openxmlformats.org/officeDocument/2006/relationships/hyperlink" Target="file:///wiki/Galater_5" TargetMode="External"/><Relationship Id="rId552" Type="http://schemas.openxmlformats.org/officeDocument/2006/relationships/hyperlink" Target="file:///wiki/Partizip" TargetMode="External"/><Relationship Id="rId553" Type="http://schemas.openxmlformats.org/officeDocument/2006/relationships/hyperlink" Target="file:///wiki/Generisches_Maskulinum" TargetMode="External"/><Relationship Id="rId554" Type="http://schemas.openxmlformats.org/officeDocument/2006/relationships/hyperlink" Target="file:///wiki/Generisches_Maskulinum" TargetMode="External"/><Relationship Id="rId555" Type="http://schemas.openxmlformats.org/officeDocument/2006/relationships/hyperlink" Target="file:///mediawiki/index.php%3Ftitle=BDR&amp;action=edit&amp;redlink=1" TargetMode="External"/><Relationship Id="rId556" Type="http://schemas.openxmlformats.org/officeDocument/2006/relationships/hyperlink" Target="file:///mediawiki/index.php%3Ftitle=BW&amp;action=edit&amp;redlink=1" TargetMode="External"/><Relationship Id="rId557" Type="http://schemas.openxmlformats.org/officeDocument/2006/relationships/hyperlink" Target="file:///mediawiki/index.php%3Ftitle=Part._coni.&amp;action=edit&amp;redlink=1" TargetMode="External"/><Relationship Id="rId558" Type="http://schemas.openxmlformats.org/officeDocument/2006/relationships/hyperlink" Target="file:///mediawiki/index.php%3Ftitle=BDR&amp;action=edit&amp;redlink=1" TargetMode="External"/><Relationship Id="rId559" Type="http://schemas.openxmlformats.org/officeDocument/2006/relationships/hyperlink" Target="https://de.wikipedia.org/wiki/Zimbel" TargetMode="External"/><Relationship Id="rId560" Type="http://schemas.openxmlformats.org/officeDocument/2006/relationships/hyperlink" Target="file:///mediawiki/index.php%3Ftitle=&#8013;&#964;&#953;_citativum&amp;action=edit&amp;redlink=1" TargetMode="External"/><Relationship Id="rId561" Type="http://schemas.openxmlformats.org/officeDocument/2006/relationships/hyperlink" Target="file:///mediawiki/index.php%3Ftitle=Lexikon:Apostel&amp;action=edit&amp;redlink=1" TargetMode="External"/><Relationship Id="rId562" Type="http://schemas.openxmlformats.org/officeDocument/2006/relationships/hyperlink" Target="file:///mediawiki/index.php%3Ftitle=Lexikon:Gnade&amp;action=edit&amp;redlink=1" TargetMode="External"/><Relationship Id="rId563" Type="http://schemas.openxmlformats.org/officeDocument/2006/relationships/hyperlink" Target="file:///mediawiki/index.php%3Ftitle=Lexikon:Friede&amp;action=edit&amp;redlink=1" TargetMode="External"/><Relationship Id="rId564" Type="http://schemas.openxmlformats.org/officeDocument/2006/relationships/hyperlink" Target="file:///mediawiki/index.php%3Ftitle=Part._coni.&amp;action=edit&amp;redlink=1" TargetMode="External"/><Relationship Id="rId565" Type="http://schemas.openxmlformats.org/officeDocument/2006/relationships/hyperlink" Target="file:///mediawiki/index.php%3Ftitle=Lexikon:Fleisch&amp;action=edit&amp;redlink=1" TargetMode="External"/><Relationship Id="rId566" Type="http://schemas.openxmlformats.org/officeDocument/2006/relationships/hyperlink" Target="file:///mediawiki/index.php%3Ftitle=Lexikon:Gnade&amp;action=edit&amp;redlink=1" TargetMode="External"/><Relationship Id="rId567" Type="http://schemas.openxmlformats.org/officeDocument/2006/relationships/hyperlink" Target="file:///mediawiki/index.php%3Ftitle=Part._coni.&amp;action=edit&amp;redlink=1" TargetMode="External"/><Relationship Id="rId568" Type="http://schemas.openxmlformats.org/officeDocument/2006/relationships/hyperlink" Target="file:///mediawiki/index.php%3Ftitle=Lexikon:Amen&amp;action=edit&amp;redlink=1" TargetMode="External"/><Relationship Id="rId569" Type="http://schemas.openxmlformats.org/officeDocument/2006/relationships/hyperlink" Target="file:///mediawiki/index.php%3Ftitle=BW&amp;action=edit&amp;redlink=1" TargetMode="External"/><Relationship Id="rId570" Type="http://schemas.openxmlformats.org/officeDocument/2006/relationships/hyperlink" Target="file:///mediawiki/index.php%3Ftitle=Lexikon:Seele&amp;action=edit&amp;redlink=1" TargetMode="External"/><Relationship Id="rId571" Type="http://schemas.openxmlformats.org/officeDocument/2006/relationships/hyperlink" Target="file:///wiki/Ptz" TargetMode="External"/><Relationship Id="rId572" Type="http://schemas.openxmlformats.org/officeDocument/2006/relationships/hyperlink" Target="file:///mediawiki/index.php%3Ftitle=Dativus_commodi&amp;action=edit&amp;redlink=1" TargetMode="External"/><Relationship Id="rId573" Type="http://schemas.openxmlformats.org/officeDocument/2006/relationships/hyperlink" Target="file:///wiki/Ptz" TargetMode="External"/><Relationship Id="rId574" Type="http://schemas.openxmlformats.org/officeDocument/2006/relationships/hyperlink" Target="file:///wiki/Ptz" TargetMode="External"/><Relationship Id="rId575" Type="http://schemas.openxmlformats.org/officeDocument/2006/relationships/hyperlink" Target="file:///wiki/Ptz._coni." TargetMode="External"/><Relationship Id="rId576" Type="http://schemas.openxmlformats.org/officeDocument/2006/relationships/hyperlink" Target="file:///mediawiki/index.php%3Ftitle=Lexikon:Evangelium&amp;action=edit&amp;redlink=1" TargetMode="External"/><Relationship Id="rId577" Type="http://schemas.openxmlformats.org/officeDocument/2006/relationships/hyperlink" Target="file:///wiki/Ptz._coni." TargetMode="External"/><Relationship Id="rId578" Type="http://schemas.openxmlformats.org/officeDocument/2006/relationships/hyperlink" Target="file:///mediawiki/index.php%3Ftitle=Lexikon:Herrlichkeit&amp;action=edit&amp;redlink=1" TargetMode="External"/><Relationship Id="rId579" Type="http://schemas.openxmlformats.org/officeDocument/2006/relationships/hyperlink" Target="file:///wiki/Ptz._coni." TargetMode="External"/><Relationship Id="rId580" Type="http://schemas.openxmlformats.org/officeDocument/2006/relationships/hyperlink" Target="file:///mediawiki/index.php%3Ftitle=Lexikon:Geist&amp;action=edit&amp;redlink=1" TargetMode="External"/><Relationship Id="rId581" Type="http://schemas.openxmlformats.org/officeDocument/2006/relationships/hyperlink" Target="file:///mediawiki/index.php%3Ftitle=Ptz._coni&amp;action=edit&amp;redlink=1" TargetMode="External"/><Relationship Id="rId582" Type="http://schemas.openxmlformats.org/officeDocument/2006/relationships/hyperlink" Target="file:///mediawiki/index.php%3Ftitle=BW&amp;action=edit&amp;redlink=1" TargetMode="External"/><Relationship Id="rId583" Type="http://schemas.openxmlformats.org/officeDocument/2006/relationships/hyperlink" Target="file:///mediawiki/index.php%3Ftitle=Lexikon:Gnade&amp;action=edit&amp;redlink=1" TargetMode="External"/><Relationship Id="rId584" Type="http://schemas.openxmlformats.org/officeDocument/2006/relationships/hyperlink" Target="file:///wiki/Ptz._coni." TargetMode="External"/><Relationship Id="rId585" Type="http://schemas.openxmlformats.org/officeDocument/2006/relationships/hyperlink" Target="file:///wiki/Ptz._coni." TargetMode="External"/><Relationship Id="rId586" Type="http://schemas.openxmlformats.org/officeDocument/2006/relationships/hyperlink" Target="file:///wiki/Ptz._coni." TargetMode="External"/><Relationship Id="rId587" Type="http://schemas.openxmlformats.org/officeDocument/2006/relationships/hyperlink" Target="file:///wiki/Ptz._coni." TargetMode="External"/><Relationship Id="rId588" Type="http://schemas.openxmlformats.org/officeDocument/2006/relationships/hyperlink" Target="file:///wiki/Ptz._coni." TargetMode="External"/><Relationship Id="rId589" Type="http://schemas.openxmlformats.org/officeDocument/2006/relationships/hyperlink" Target="file:///wiki/Ptz._coni." TargetMode="External"/><Relationship Id="rId590" Type="http://schemas.openxmlformats.org/officeDocument/2006/relationships/hyperlink" Target="file:///wiki/Ptz._coni." TargetMode="External"/><Relationship Id="rId591" Type="http://schemas.openxmlformats.org/officeDocument/2006/relationships/hyperlink" Target="file:///wiki/Ptz._coni." TargetMode="External"/><Relationship Id="rId592" Type="http://schemas.openxmlformats.org/officeDocument/2006/relationships/hyperlink" Target="file:///wiki/Ptz._coni." TargetMode="External"/><Relationship Id="rId593" Type="http://schemas.openxmlformats.org/officeDocument/2006/relationships/hyperlink" Target="file:///wiki/Ptz._coni." TargetMode="External"/><Relationship Id="rId594" Type="http://schemas.openxmlformats.org/officeDocument/2006/relationships/hyperlink" Target="file:///wiki/Ptz._coni." TargetMode="External"/><Relationship Id="rId595" Type="http://schemas.openxmlformats.org/officeDocument/2006/relationships/hyperlink" Target="file:///wiki/Ptz._coni." TargetMode="External"/><Relationship Id="rId596" Type="http://schemas.openxmlformats.org/officeDocument/2006/relationships/hyperlink" Target="file:///wiki/Ptz._coni." TargetMode="External"/><Relationship Id="rId597" Type="http://schemas.openxmlformats.org/officeDocument/2006/relationships/hyperlink" Target="file:///wiki/Ptz._coni." TargetMode="External"/><Relationship Id="rId598" Type="http://schemas.openxmlformats.org/officeDocument/2006/relationships/hyperlink" Target="file:///mediawiki/index.php%3Ftitle=Lexikon:Gnade&amp;action=edit&amp;redlink=1" TargetMode="External"/><Relationship Id="rId599" Type="http://schemas.openxmlformats.org/officeDocument/2006/relationships/hyperlink" Target="file:///mediawiki/index.php%3Ftitle=Lexikon:Gerechtigkeit&amp;action=edit&amp;redlink=1" TargetMode="External"/><Relationship Id="rId600" Type="http://schemas.openxmlformats.org/officeDocument/2006/relationships/hyperlink" Target="file:///mediawiki/index.php%3Ftitle=Part._coni.&amp;action=edit&amp;redlink=1" TargetMode="External"/><Relationship Id="rId601" Type="http://schemas.openxmlformats.org/officeDocument/2006/relationships/hyperlink" Target="file:///mediawiki/index.php%3Ftitle=BDR_&#167;_354,1&amp;action=edit&amp;redlink=1" TargetMode="External"/><Relationship Id="rId602" Type="http://schemas.openxmlformats.org/officeDocument/2006/relationships/hyperlink" Target="file:///mediawiki/index.php%3Ftitle=Lexikon:Gerechtigkeit&amp;action=edit&amp;redlink=1" TargetMode="External"/><Relationship Id="rId603" Type="http://schemas.openxmlformats.org/officeDocument/2006/relationships/hyperlink" Target="file:///wiki/Ptz._coni." TargetMode="External"/><Relationship Id="rId604" Type="http://schemas.openxmlformats.org/officeDocument/2006/relationships/hyperlink" Target="file:///wiki/Ptz._coni." TargetMode="External"/><Relationship Id="rId605" Type="http://schemas.openxmlformats.org/officeDocument/2006/relationships/hyperlink" Target="file:///wiki/Ptz._coni." TargetMode="External"/><Relationship Id="rId606" Type="http://schemas.openxmlformats.org/officeDocument/2006/relationships/hyperlink" Target="file:///wiki/Ptz._coni." TargetMode="External"/><Relationship Id="rId607" Type="http://schemas.openxmlformats.org/officeDocument/2006/relationships/hyperlink" Target="file:///wiki/Ptz._coni." TargetMode="External"/><Relationship Id="rId608" Type="http://schemas.openxmlformats.org/officeDocument/2006/relationships/hyperlink" Target="file:///wiki/Ptz._coni." TargetMode="External"/><Relationship Id="rId609" Type="http://schemas.openxmlformats.org/officeDocument/2006/relationships/hyperlink" Target="file:///wiki/Generisches_Maskulinum" TargetMode="External"/><Relationship Id="rId610" Type="http://schemas.openxmlformats.org/officeDocument/2006/relationships/hyperlink" Target="file:///wiki/Generisches_Maskulinum" TargetMode="External"/><Relationship Id="rId611" Type="http://schemas.openxmlformats.org/officeDocument/2006/relationships/hyperlink" Target="file:///mediawiki/index.php%3Ftitle=Hebr&#228;er_9&amp;action=edit&amp;redlink=1" TargetMode="External"/><Relationship Id="rId612" Type="http://schemas.openxmlformats.org/officeDocument/2006/relationships/hyperlink" Target="file:///mediawiki/index.php%3Ftitle=Offenbarung_17&amp;action=edit&amp;redlink=1" TargetMode="External"/><Relationship Id="rId613" Type="http://schemas.openxmlformats.org/officeDocument/2006/relationships/hyperlink" Target="file:///mediawiki/index.php%3Ftitle=Deuteronomium_30&amp;action=edit&amp;redlink=1" TargetMode="External"/><Relationship Id="rId614" Type="http://schemas.openxmlformats.org/officeDocument/2006/relationships/hyperlink" Target="file:///mediawiki/index.php%3Ftitle=1_Samuel_16&amp;action=edit&amp;redlink=1" TargetMode="External"/><Relationship Id="rId615" Type="http://schemas.openxmlformats.org/officeDocument/2006/relationships/hyperlink" Target="file:///mediawiki/index.php%3Ftitle=Deuteronomium_7&amp;action=edit&amp;redlink=1" TargetMode="External"/><Relationship Id="rId616" Type="http://schemas.openxmlformats.org/officeDocument/2006/relationships/hyperlink" Target="file:///wiki/Ptz._coni." TargetMode="External"/><Relationship Id="rId617" Type="http://schemas.openxmlformats.org/officeDocument/2006/relationships/hyperlink" Target="file:///wiki/Ptz._coni." TargetMode="External"/><Relationship Id="rId618" Type="http://schemas.openxmlformats.org/officeDocument/2006/relationships/hyperlink" Target="file:///wiki/Ptz._coni." TargetMode="External"/><Relationship Id="rId619" Type="http://schemas.openxmlformats.org/officeDocument/2006/relationships/hyperlink" Target="file:///wiki/Ptz._coni." TargetMode="External"/><Relationship Id="rId620" Type="http://schemas.openxmlformats.org/officeDocument/2006/relationships/hyperlink" Target="file:///wiki/Ptz._coni." TargetMode="External"/><Relationship Id="rId621" Type="http://schemas.openxmlformats.org/officeDocument/2006/relationships/hyperlink" Target="file:///wiki/Ptz._coni." TargetMode="External"/><Relationship Id="rId622" Type="http://schemas.openxmlformats.org/officeDocument/2006/relationships/hyperlink" Target="file:///wiki/Ptz._coni." TargetMode="External"/><Relationship Id="rId623" Type="http://schemas.openxmlformats.org/officeDocument/2006/relationships/hyperlink" Target="file:///mediawiki/index.php%3Ftitle=Ptz.&amp;action=edit&amp;redlink=1" TargetMode="External"/><Relationship Id="rId624" Type="http://schemas.openxmlformats.org/officeDocument/2006/relationships/hyperlink" Target="file:///mediawiki/index.php%3Ftitle=Ptz.&amp;action=edit&amp;redlink=1" TargetMode="External"/><Relationship Id="rId625" Type="http://schemas.openxmlformats.org/officeDocument/2006/relationships/hyperlink" Target="file:///wiki/Ptz._coni." TargetMode="External"/><Relationship Id="rId626" Type="http://schemas.openxmlformats.org/officeDocument/2006/relationships/hyperlink" Target="file:///wiki/Ptz._coni." TargetMode="External"/><Relationship Id="rId627" Type="http://schemas.openxmlformats.org/officeDocument/2006/relationships/hyperlink" Target="file:///wiki/Ptz._coni." TargetMode="External"/><Relationship Id="rId628" Type="http://schemas.openxmlformats.org/officeDocument/2006/relationships/hyperlink" Target="file:///wiki/Ptz._coni." TargetMode="External"/><Relationship Id="rId629" Type="http://schemas.openxmlformats.org/officeDocument/2006/relationships/hyperlink" Target="file:///wiki/Ptz._coni." TargetMode="External"/><Relationship Id="rId630" Type="http://schemas.openxmlformats.org/officeDocument/2006/relationships/hyperlink" Target="file:///wiki/Ptz._coni." TargetMode="External"/><Relationship Id="rId631" Type="http://schemas.openxmlformats.org/officeDocument/2006/relationships/hyperlink" Target="file:///wiki/Ptz._coni." TargetMode="External"/><Relationship Id="rId632" Type="http://schemas.openxmlformats.org/officeDocument/2006/relationships/hyperlink" Target="file:///wiki/Ptz._coni." TargetMode="External"/><Relationship Id="rId633" Type="http://schemas.openxmlformats.org/officeDocument/2006/relationships/hyperlink" Target="file:///wiki/Ptz._coni." TargetMode="External"/><Relationship Id="rId634" Type="http://schemas.openxmlformats.org/officeDocument/2006/relationships/hyperlink" Target="file:///wiki/Ptz._coni." TargetMode="External"/><Relationship Id="rId635" Type="http://schemas.openxmlformats.org/officeDocument/2006/relationships/hyperlink" Target="file:///wiki/Ptz._coni." TargetMode="External"/><Relationship Id="rId636" Type="http://schemas.openxmlformats.org/officeDocument/2006/relationships/hyperlink" Target="file:///wiki/Ptz._coni." TargetMode="External"/><Relationship Id="rId637" Type="http://schemas.openxmlformats.org/officeDocument/2006/relationships/hyperlink" Target="file:///wiki/Ptz._coni." TargetMode="External"/><Relationship Id="rId638" Type="http://schemas.openxmlformats.org/officeDocument/2006/relationships/hyperlink" Target="file:///wiki/Ptz._coni." TargetMode="External"/><Relationship Id="rId639" Type="http://schemas.openxmlformats.org/officeDocument/2006/relationships/hyperlink" Target="file:///mediawiki/index.php%3Ftitle=1_Thessalonicher_1&amp;action=edit&amp;redlink=1" TargetMode="External"/><Relationship Id="rId640" Type="http://schemas.openxmlformats.org/officeDocument/2006/relationships/hyperlink" Target="file:///mediawiki/index.php%3Ftitle=2_Thessalonicher_1&amp;action=edit&amp;redlink=1" TargetMode="External"/><Relationship Id="rId641" Type="http://schemas.openxmlformats.org/officeDocument/2006/relationships/hyperlink" Target="file:///mediawiki/index.php%3Ftitle=Apostelgeschichte_16&amp;action=edit&amp;redlink=1" TargetMode="External"/><Relationship Id="rId642" Type="http://schemas.openxmlformats.org/officeDocument/2006/relationships/hyperlink" Target="file:///wiki/Generisches_Maskulinum" TargetMode="External"/><Relationship Id="rId643" Type="http://schemas.openxmlformats.org/officeDocument/2006/relationships/hyperlink" Target="file:///mediawiki/index.php%3Ftitle=Kolosser_4&amp;action=edit&amp;redlink=1" TargetMode="External"/><Relationship Id="rId644" Type="http://schemas.openxmlformats.org/officeDocument/2006/relationships/hyperlink" Target="file:///mediawiki/index.php%3Ftitle=Epheser_4&amp;action=edit&amp;redlink=1" TargetMode="External"/><Relationship Id="rId645" Type="http://schemas.openxmlformats.org/officeDocument/2006/relationships/hyperlink" Target="file:///wiki/Ptz._coni." TargetMode="External"/><Relationship Id="rId646" Type="http://schemas.openxmlformats.org/officeDocument/2006/relationships/hyperlink" Target="file:///wiki/Ptz._coni." TargetMode="External"/><Relationship Id="rId647" Type="http://schemas.openxmlformats.org/officeDocument/2006/relationships/hyperlink" Target="file:///mediawiki/index.php%3Ftitle=&#8013;&#964;&#953;_citativum&amp;action=edit&amp;redlink=1" TargetMode="External"/><Relationship Id="rId648" Type="http://schemas.openxmlformats.org/officeDocument/2006/relationships/hyperlink" Target="file:///wiki/Ptz._coni." TargetMode="External"/><Relationship Id="rId649" Type="http://schemas.openxmlformats.org/officeDocument/2006/relationships/hyperlink" Target="file:///wiki/Gen._abs." TargetMode="External"/><Relationship Id="rId650" Type="http://schemas.openxmlformats.org/officeDocument/2006/relationships/hyperlink" Target="file:///mediawiki/index.php%3Ftitle=Psalm_147&amp;action=edit&amp;redlink=1" TargetMode="External"/><Relationship Id="rId651" Type="http://schemas.openxmlformats.org/officeDocument/2006/relationships/hyperlink" Target="file:///mediawiki/index.php%3Ftitle=Jeremia_31&amp;action=edit&amp;redlink=1" TargetMode="External"/><Relationship Id="rId652" Type="http://schemas.openxmlformats.org/officeDocument/2006/relationships/hyperlink" Target="file:///mediawiki/index.php%3Ftitle=Ezechiel_28&amp;action=edit&amp;redlink=1" TargetMode="External"/><Relationship Id="rId653" Type="http://schemas.openxmlformats.org/officeDocument/2006/relationships/hyperlink" Target="file:///mediawiki/index.php%3Ftitle=Nehemia_1&amp;action=edit&amp;redlink=1" TargetMode="External"/><Relationship Id="rId654" Type="http://schemas.openxmlformats.org/officeDocument/2006/relationships/hyperlink" Target="file:///wiki/Generisches_Maskulinum" TargetMode="External"/><Relationship Id="rId655" Type="http://schemas.openxmlformats.org/officeDocument/2006/relationships/hyperlink" Target="file:///mediawiki/index.php%3Ftitle=Sprichw&#246;rter_1&amp;action=edit&amp;redlink=1" TargetMode="External"/><Relationship Id="rId656" Type="http://schemas.openxmlformats.org/officeDocument/2006/relationships/hyperlink" Target="file:///mediawiki/index.php%3Ftitle=Jesus_Sirach_39,5&amp;action=edit&amp;redlink=1" TargetMode="External"/><Relationship Id="rId657" Type="http://schemas.openxmlformats.org/officeDocument/2006/relationships/hyperlink" Target="file:///mediawiki/index.php%3Ftitle=Weisheit_7&amp;action=edit&amp;redlink=1" TargetMode="External"/><Relationship Id="rId658" Type="http://schemas.openxmlformats.org/officeDocument/2006/relationships/hyperlink" Target="file:///mediawiki/index.php%3Ftitle=Weisheit_7&amp;action=edit&amp;redlink=1" TargetMode="External"/><Relationship Id="rId659" Type="http://schemas.openxmlformats.org/officeDocument/2006/relationships/hyperlink" Target="file:///mediawiki/index.php%3Ftitle=Weisheit_7&amp;action=edit&amp;redlink=1" TargetMode="External"/><Relationship Id="rId660" Type="http://schemas.openxmlformats.org/officeDocument/2006/relationships/hyperlink" Target="file:///mediawiki/index.php%3Ftitle=1Korinther_2&amp;action=edit&amp;redlink=1" TargetMode="External"/><Relationship Id="rId661" Type="http://schemas.openxmlformats.org/officeDocument/2006/relationships/hyperlink" Target="file:///mediawiki/index.php%3Ftitle=1Korinther_12&amp;action=edit&amp;redlink=1" TargetMode="External"/><Relationship Id="rId662" Type="http://schemas.openxmlformats.org/officeDocument/2006/relationships/hyperlink" Target="file:///mediawiki/index.php%3Ftitle=1Korinther_1&amp;action=edit&amp;redlink=1" TargetMode="External"/><Relationship Id="rId663" Type="http://schemas.openxmlformats.org/officeDocument/2006/relationships/hyperlink" Target="file:///mediawiki/index.php%3Ftitle=1Korinther_2&amp;action=edit&amp;redlink=1" TargetMode="External"/><Relationship Id="rId664" Type="http://schemas.openxmlformats.org/officeDocument/2006/relationships/hyperlink" Target="file:///mediawiki/index.php%3Ftitle=Weisheit_7&amp;action=edit&amp;redlink=1" TargetMode="External"/><Relationship Id="rId665" Type="http://schemas.openxmlformats.org/officeDocument/2006/relationships/hyperlink" Target="file:///mediawiki/index.php%3Ftitle=Weisheit_8&amp;action=edit&amp;redlink=1" TargetMode="External"/><Relationship Id="rId666" Type="http://schemas.openxmlformats.org/officeDocument/2006/relationships/hyperlink" Target="file:///mediawiki/index.php%3Ftitle=Weisheit_9&amp;action=edit&amp;redlink=1" TargetMode="External"/><Relationship Id="rId667" Type="http://schemas.openxmlformats.org/officeDocument/2006/relationships/hyperlink" Target="file:///mediawiki/index.php%3Ftitle=Weisheit_9&amp;action=edit&amp;redlink=1" TargetMode="External"/><Relationship Id="rId668" Type="http://schemas.openxmlformats.org/officeDocument/2006/relationships/hyperlink" Target="file:///mediawiki/index.php%3Ftitle=Weisheit_9&amp;action=edit&amp;redlink=1" TargetMode="External"/><Relationship Id="rId669" Type="http://schemas.openxmlformats.org/officeDocument/2006/relationships/hyperlink" Target="http://de.wikisource.org/wiki/Das_vierte_Buch_der_Makkab&#228;er" TargetMode="External"/><Relationship Id="rId670" Type="http://schemas.openxmlformats.org/officeDocument/2006/relationships/hyperlink" Target="http://de.wikisource.org/wiki/Das_vierte_Buch_der_Makkab&#228;er" TargetMode="External"/><Relationship Id="rId671" Type="http://schemas.openxmlformats.org/officeDocument/2006/relationships/hyperlink" Target="file:///wiki/Generisches_Maskulinum" TargetMode="External"/><Relationship Id="rId672" Type="http://schemas.openxmlformats.org/officeDocument/2006/relationships/hyperlink" Target="file:///wiki/Partizip" TargetMode="External"/><Relationship Id="rId673" Type="http://schemas.openxmlformats.org/officeDocument/2006/relationships/hyperlink" Target="file:///wiki/Partizip" TargetMode="External"/><Relationship Id="rId674" Type="http://schemas.openxmlformats.org/officeDocument/2006/relationships/hyperlink" Target="file:///wiki/Generisches_Maskulinum" TargetMode="External"/><Relationship Id="rId675" Type="http://schemas.openxmlformats.org/officeDocument/2006/relationships/hyperlink" Target="file:///mediawiki/index.php%3Ftitle=Sprichw&#246;rter_3&amp;action=edit&amp;redlink=1" TargetMode="External"/><Relationship Id="rId676" Type="http://schemas.openxmlformats.org/officeDocument/2006/relationships/hyperlink" Target="file:///wiki/Ptz._coni." TargetMode="External"/><Relationship Id="rId677" Type="http://schemas.openxmlformats.org/officeDocument/2006/relationships/hyperlink" Target="file:///wiki/Ptz._coni." TargetMode="External"/><Relationship Id="rId678" Type="http://schemas.openxmlformats.org/officeDocument/2006/relationships/hyperlink" Target="file:///wiki/Ptz._coni." TargetMode="External"/><Relationship Id="rId679" Type="http://schemas.openxmlformats.org/officeDocument/2006/relationships/hyperlink" Target="file:///wiki/Ptz._coni." TargetMode="External"/><Relationship Id="rId680" Type="http://schemas.openxmlformats.org/officeDocument/2006/relationships/hyperlink" Target="file:///wiki/Ptz._coni." TargetMode="External"/><Relationship Id="rId681" Type="http://schemas.openxmlformats.org/officeDocument/2006/relationships/hyperlink" Target="file:///wiki/Ptz._coni." TargetMode="External"/><Relationship Id="rId682" Type="http://schemas.openxmlformats.org/officeDocument/2006/relationships/hyperlink" Target="file:///wiki/Ptz._coni." TargetMode="External"/><Relationship Id="rId683" Type="http://schemas.openxmlformats.org/officeDocument/2006/relationships/hyperlink" Target="file:///wiki/Ptz._coni." TargetMode="External"/><Relationship Id="rId684" Type="http://schemas.openxmlformats.org/officeDocument/2006/relationships/hyperlink" Target="file:///wiki/Ptz._coni." TargetMode="External"/><Relationship Id="rId685" Type="http://schemas.openxmlformats.org/officeDocument/2006/relationships/hyperlink" Target="file:///wiki/Ptz._coni." TargetMode="External"/><Relationship Id="rId686" Type="http://schemas.openxmlformats.org/officeDocument/2006/relationships/hyperlink" Target="file:///wiki/Gen._abs." TargetMode="External"/><Relationship Id="rId687" Type="http://schemas.openxmlformats.org/officeDocument/2006/relationships/hyperlink" Target="file:///wiki/Ptz._coni." TargetMode="External"/><Relationship Id="rId688" Type="http://schemas.openxmlformats.org/officeDocument/2006/relationships/hyperlink" Target="file:///wiki/Ptz._coni." TargetMode="External"/><Relationship Id="rId689" Type="http://schemas.openxmlformats.org/officeDocument/2006/relationships/hyperlink" Target="file:///wiki/Ptz._coni." TargetMode="External"/><Relationship Id="rId690" Type="http://schemas.openxmlformats.org/officeDocument/2006/relationships/hyperlink" Target="file:///wiki/Ptz._coni." TargetMode="External"/><Relationship Id="rId691" Type="http://schemas.openxmlformats.org/officeDocument/2006/relationships/hyperlink" Target="file:///wiki/Ptz._coni." TargetMode="External"/><Relationship Id="rId692" Type="http://schemas.openxmlformats.org/officeDocument/2006/relationships/hyperlink" Target="file:///wiki/Ptz._coni." TargetMode="External"/><Relationship Id="rId693" Type="http://schemas.openxmlformats.org/officeDocument/2006/relationships/hyperlink" Target="file:///wiki/Ptz._coni." TargetMode="External"/><Relationship Id="rId694" Type="http://schemas.openxmlformats.org/officeDocument/2006/relationships/hyperlink" Target="file:///wiki/Ptz._coni." TargetMode="External"/><Relationship Id="rId695" Type="http://schemas.openxmlformats.org/officeDocument/2006/relationships/hyperlink" Target="file:///wiki/Ptz._coni." TargetMode="External"/><Relationship Id="rId696" Type="http://schemas.openxmlformats.org/officeDocument/2006/relationships/hyperlink" Target="file:///wiki/Ptz._coni." TargetMode="External"/><Relationship Id="rId697" Type="http://schemas.openxmlformats.org/officeDocument/2006/relationships/hyperlink" Target="file:///wiki/Hapax_legomenon" TargetMode="External"/><Relationship Id="rId698" Type="http://schemas.openxmlformats.org/officeDocument/2006/relationships/hyperlink" Target="file:///wiki/Partizip" TargetMode="External"/><Relationship Id="rId699" Type="http://schemas.openxmlformats.org/officeDocument/2006/relationships/hyperlink" Target="file:///wiki/Partizip" TargetMode="External"/><Relationship Id="rId700" Type="http://schemas.openxmlformats.org/officeDocument/2006/relationships/hyperlink" Target="file:///wiki/Griechische_Verbformen" TargetMode="External"/><Relationship Id="rId701" Type="http://schemas.openxmlformats.org/officeDocument/2006/relationships/hyperlink" Target="file:///wiki/Partizip" TargetMode="External"/><Relationship Id="rId702" Type="http://schemas.openxmlformats.org/officeDocument/2006/relationships/hyperlink" Target="file:///wiki/Griechische_Verbformen" TargetMode="External"/><Relationship Id="rId703" Type="http://schemas.openxmlformats.org/officeDocument/2006/relationships/hyperlink" Target="file:///wiki/Partizip" TargetMode="External"/><Relationship Id="rId704" Type="http://schemas.openxmlformats.org/officeDocument/2006/relationships/hyperlink" Target="file:///wiki/Partizip" TargetMode="External"/><Relationship Id="rId705" Type="http://schemas.openxmlformats.org/officeDocument/2006/relationships/hyperlink" Target="file:///wiki/Partizip" TargetMode="External"/><Relationship Id="rId706" Type="http://schemas.openxmlformats.org/officeDocument/2006/relationships/hyperlink" Target="file:///wiki/Partizip" TargetMode="External"/><Relationship Id="rId707" Type="http://schemas.openxmlformats.org/officeDocument/2006/relationships/hyperlink" Target="file:///wiki/Partizip" TargetMode="External"/><Relationship Id="rId708" Type="http://schemas.openxmlformats.org/officeDocument/2006/relationships/hyperlink" Target="file:///mediawiki/index.php%3Ftitle=Die_griechischen_Kasus&amp;action=edit&amp;redlink=1" TargetMode="External"/><Relationship Id="rId709" Type="http://schemas.openxmlformats.org/officeDocument/2006/relationships/hyperlink" Target="file:///wiki/Partizip" TargetMode="External"/><Relationship Id="rId710" Type="http://schemas.openxmlformats.org/officeDocument/2006/relationships/hyperlink" Target="file:///wiki/Partizip" TargetMode="External"/><Relationship Id="rId711" Type="http://schemas.openxmlformats.org/officeDocument/2006/relationships/hyperlink" Target="file:///mediawiki/index.php%3Ftitle=Die_griechischen_Kasus&amp;action=edit&amp;redlink=1" TargetMode="External"/><Relationship Id="rId712" Type="http://schemas.openxmlformats.org/officeDocument/2006/relationships/hyperlink" Target="file:///wiki/Partizip" TargetMode="External"/><Relationship Id="rId713" Type="http://schemas.openxmlformats.org/officeDocument/2006/relationships/hyperlink" Target="file:///wiki/Partizip" TargetMode="External"/><Relationship Id="rId714" Type="http://schemas.openxmlformats.org/officeDocument/2006/relationships/hyperlink" Target="file:///mediawiki/index.php%3Ftitle=Die_griechischen_Kasus&amp;action=edit&amp;redlink=1" TargetMode="External"/><Relationship Id="rId715" Type="http://schemas.openxmlformats.org/officeDocument/2006/relationships/hyperlink" Target="file:///wiki/Partizip" TargetMode="External"/><Relationship Id="rId716" Type="http://schemas.openxmlformats.org/officeDocument/2006/relationships/hyperlink" Target="file:///mediawiki/index.php%3Ftitle=Ptc._Coni.&amp;action=edit&amp;redlink=1" TargetMode="External"/><Relationship Id="rId717" Type="http://schemas.openxmlformats.org/officeDocument/2006/relationships/hyperlink" Target="file:///wiki/Partizip" TargetMode="External"/><Relationship Id="rId718" Type="http://schemas.openxmlformats.org/officeDocument/2006/relationships/hyperlink" Target="file:///wiki/Partizip" TargetMode="External"/><Relationship Id="rId719" Type="http://schemas.openxmlformats.org/officeDocument/2006/relationships/hyperlink" Target="file:///wiki/Partizip" TargetMode="External"/><Relationship Id="rId720" Type="http://schemas.openxmlformats.org/officeDocument/2006/relationships/hyperlink" Target="file:///wiki/Partizip" TargetMode="External"/><Relationship Id="rId721" Type="http://schemas.openxmlformats.org/officeDocument/2006/relationships/hyperlink" Target="file:///wiki/Partizip" TargetMode="External"/><Relationship Id="rId722" Type="http://schemas.openxmlformats.org/officeDocument/2006/relationships/hyperlink" Target="file:///mediawiki/index.php%3Ftitle=Die_griechischen_Kasus&amp;action=edit&amp;redlink=1" TargetMode="External"/><Relationship Id="rId723" Type="http://schemas.openxmlformats.org/officeDocument/2006/relationships/hyperlink" Target="file:///mediawiki/index.php%3Ftitle=Die_griechischen_Kasus&amp;action=edit&amp;redlink=1" TargetMode="External"/><Relationship Id="rId724" Type="http://schemas.openxmlformats.org/officeDocument/2006/relationships/hyperlink" Target="file:///mediawiki/index.php%3Ftitle=Ptz.&amp;action=edit&amp;redlink=1" TargetMode="External"/>
</Relationships>
</file>

<file path=docProps/app.xml><?xml version="1.0" encoding="utf-8"?>
<Properties xmlns="http://schemas.openxmlformats.org/officeDocument/2006/extended-properties" xmlns:vt="http://schemas.openxmlformats.org/officeDocument/2006/docPropsVTypes">
  <Template/>
  <TotalTime>0</TotalTime>
  <Application>LibreOffice/5.3.6.1$Windows_x86 LibreOffice_project/686f202eff87ef707079aeb7f485847613344eb7</Application>
  <Pages>42</Pages>
  <Words>486873</Words>
  <Characters>3022719</Characters>
  <CharactersWithSpaces>3512513</CharactersWithSpaces>
  <Paragraphs>7820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de-DE</dc:language>
  <cp:lastModifiedBy/>
  <cp:revision>0</cp:revision>
  <dc:subject/>
  <dc:title/>
</cp:coreProperties>
</file>